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spacing w:line="0" w:lineRule="atLeast"/>
        <w:jc w:val="center"/>
        <w:rPr>
          <w:rFonts w:ascii="黑体" w:hAnsi="黑体" w:eastAsia="黑体"/>
          <w:b/>
          <w:color w:val="000000" w:themeColor="text1"/>
          <w:sz w:val="32"/>
          <w:szCs w:val="32"/>
          <w:highlight w:val="none"/>
          <w14:textFill>
            <w14:solidFill>
              <w14:schemeClr w14:val="tx1"/>
            </w14:solidFill>
          </w14:textFill>
        </w:rPr>
      </w:pPr>
      <w:bookmarkStart w:id="0" w:name="_Toc98580390"/>
    </w:p>
    <w:p>
      <w:pPr>
        <w:pStyle w:val="38"/>
        <w:spacing w:line="0" w:lineRule="atLeast"/>
        <w:jc w:val="center"/>
        <w:rPr>
          <w:rFonts w:ascii="宋体" w:hAnsi="宋体" w:cs="宋体"/>
          <w:b/>
          <w:color w:val="000000" w:themeColor="text1"/>
          <w:sz w:val="32"/>
          <w:szCs w:val="32"/>
          <w:highlight w:val="none"/>
          <w14:textFill>
            <w14:solidFill>
              <w14:schemeClr w14:val="tx1"/>
            </w14:solidFill>
          </w14:textFill>
        </w:rPr>
      </w:pPr>
    </w:p>
    <w:p>
      <w:pPr>
        <w:jc w:val="center"/>
        <w:rPr>
          <w:rFonts w:hint="eastAsia" w:ascii="宋体" w:hAnsi="宋体" w:eastAsia="宋体" w:cs="宋体"/>
          <w:b/>
          <w:color w:val="000000" w:themeColor="text1"/>
          <w:sz w:val="52"/>
          <w:szCs w:val="52"/>
          <w:highlight w:val="none"/>
          <w:lang w:val="en-US" w:eastAsia="zh-CN"/>
          <w14:textFill>
            <w14:solidFill>
              <w14:schemeClr w14:val="tx1"/>
            </w14:solidFill>
          </w14:textFill>
        </w:rPr>
      </w:pPr>
      <w:r>
        <w:rPr>
          <w:rFonts w:hint="eastAsia" w:ascii="宋体" w:hAnsi="宋体" w:cs="宋体"/>
          <w:b/>
          <w:color w:val="000000" w:themeColor="text1"/>
          <w:sz w:val="52"/>
          <w:szCs w:val="52"/>
          <w:highlight w:val="none"/>
          <w:lang w:eastAsia="zh-CN"/>
          <w14:textFill>
            <w14:solidFill>
              <w14:schemeClr w14:val="tx1"/>
            </w14:solidFill>
          </w14:textFill>
        </w:rPr>
        <w:t>麻醉监护仪等设备采购项目</w:t>
      </w:r>
    </w:p>
    <w:p>
      <w:pPr>
        <w:jc w:val="center"/>
        <w:rPr>
          <w:rFonts w:ascii="宋体" w:hAnsi="宋体" w:cs="宋体"/>
          <w:b/>
          <w:color w:val="000000" w:themeColor="text1"/>
          <w:sz w:val="84"/>
          <w:szCs w:val="84"/>
          <w:highlight w:val="none"/>
          <w14:textFill>
            <w14:solidFill>
              <w14:schemeClr w14:val="tx1"/>
            </w14:solidFill>
          </w14:textFill>
        </w:rPr>
      </w:pPr>
    </w:p>
    <w:p>
      <w:pPr>
        <w:jc w:val="center"/>
        <w:rPr>
          <w:rFonts w:ascii="宋体" w:hAnsi="宋体" w:cs="宋体"/>
          <w:b/>
          <w:color w:val="000000" w:themeColor="text1"/>
          <w:sz w:val="84"/>
          <w:szCs w:val="84"/>
          <w:highlight w:val="none"/>
          <w14:textFill>
            <w14:solidFill>
              <w14:schemeClr w14:val="tx1"/>
            </w14:solidFill>
          </w14:textFill>
        </w:rPr>
      </w:pPr>
    </w:p>
    <w:p>
      <w:pPr>
        <w:jc w:val="center"/>
        <w:rPr>
          <w:rFonts w:ascii="宋体" w:hAnsi="宋体" w:cs="宋体"/>
          <w:b/>
          <w:color w:val="000000" w:themeColor="text1"/>
          <w:sz w:val="84"/>
          <w:szCs w:val="84"/>
          <w:highlight w:val="none"/>
          <w14:textFill>
            <w14:solidFill>
              <w14:schemeClr w14:val="tx1"/>
            </w14:solidFill>
          </w14:textFill>
        </w:rPr>
      </w:pPr>
      <w:r>
        <w:rPr>
          <w:rFonts w:hint="eastAsia" w:ascii="宋体" w:hAnsi="宋体" w:cs="宋体"/>
          <w:b/>
          <w:color w:val="000000" w:themeColor="text1"/>
          <w:sz w:val="84"/>
          <w:szCs w:val="84"/>
          <w:highlight w:val="none"/>
          <w14:textFill>
            <w14:solidFill>
              <w14:schemeClr w14:val="tx1"/>
            </w14:solidFill>
          </w14:textFill>
        </w:rPr>
        <w:t>招 标 文 件</w:t>
      </w:r>
    </w:p>
    <w:p>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项目编号：</w:t>
      </w:r>
      <w:r>
        <w:rPr>
          <w:rFonts w:hint="eastAsia" w:ascii="宋体" w:hAnsi="宋体" w:cs="宋体"/>
          <w:b/>
          <w:bCs/>
          <w:sz w:val="28"/>
          <w:szCs w:val="28"/>
          <w:highlight w:val="none"/>
          <w:lang w:eastAsia="zh-CN"/>
        </w:rPr>
        <w:t>JM-2025-05-00562</w:t>
      </w:r>
      <w:r>
        <w:rPr>
          <w:rFonts w:hint="eastAsia" w:ascii="宋体" w:hAnsi="宋体" w:cs="宋体"/>
          <w:b/>
          <w:bCs/>
          <w:sz w:val="28"/>
          <w:szCs w:val="28"/>
          <w:highlight w:val="none"/>
          <w:lang w:val="en-US" w:eastAsia="zh-CN"/>
        </w:rPr>
        <w:t>-</w:t>
      </w:r>
      <w:r>
        <w:rPr>
          <w:rFonts w:hint="eastAsia" w:ascii="宋体" w:hAnsi="宋体" w:cs="宋体"/>
          <w:b/>
          <w:bCs/>
          <w:sz w:val="28"/>
          <w:szCs w:val="28"/>
          <w:highlight w:val="none"/>
          <w:lang w:eastAsia="zh-CN"/>
        </w:rPr>
        <w:t>2025ZCZB0713</w:t>
      </w:r>
    </w:p>
    <w:p>
      <w:pPr>
        <w:jc w:val="center"/>
        <w:rPr>
          <w:rFonts w:ascii="宋体" w:hAnsi="宋体" w:cs="宋体"/>
          <w:b/>
          <w:color w:val="000000" w:themeColor="text1"/>
          <w:sz w:val="32"/>
          <w:highlight w:val="none"/>
          <w14:textFill>
            <w14:solidFill>
              <w14:schemeClr w14:val="tx1"/>
            </w14:solidFill>
          </w14:textFill>
        </w:rPr>
      </w:pPr>
    </w:p>
    <w:p>
      <w:pPr>
        <w:jc w:val="center"/>
        <w:rPr>
          <w:rFonts w:ascii="宋体" w:hAnsi="宋体" w:cs="宋体"/>
          <w:color w:val="000000" w:themeColor="text1"/>
          <w:sz w:val="32"/>
          <w:highlight w:val="none"/>
          <w14:textFill>
            <w14:solidFill>
              <w14:schemeClr w14:val="tx1"/>
            </w14:solidFill>
          </w14:textFill>
        </w:rPr>
      </w:pPr>
    </w:p>
    <w:p>
      <w:pPr>
        <w:jc w:val="center"/>
        <w:rPr>
          <w:rFonts w:ascii="宋体" w:hAnsi="宋体" w:cs="宋体"/>
          <w:color w:val="000000" w:themeColor="text1"/>
          <w:sz w:val="18"/>
          <w:szCs w:val="18"/>
          <w:highlight w:val="none"/>
          <w14:textFill>
            <w14:solidFill>
              <w14:schemeClr w14:val="tx1"/>
            </w14:solidFill>
          </w14:textFill>
        </w:rPr>
      </w:pPr>
    </w:p>
    <w:p>
      <w:pPr>
        <w:jc w:val="both"/>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w:t>
      </w:r>
    </w:p>
    <w:p>
      <w:pPr>
        <w:jc w:val="center"/>
        <w:rPr>
          <w:rFonts w:ascii="宋体" w:hAnsi="宋体" w:cs="宋体"/>
          <w:color w:val="000000" w:themeColor="text1"/>
          <w:sz w:val="18"/>
          <w:szCs w:val="18"/>
          <w:highlight w:val="none"/>
          <w14:textFill>
            <w14:solidFill>
              <w14:schemeClr w14:val="tx1"/>
            </w14:solidFill>
          </w14:textFill>
        </w:rPr>
      </w:pPr>
    </w:p>
    <w:p>
      <w:pPr>
        <w:jc w:val="center"/>
        <w:rPr>
          <w:rFonts w:ascii="宋体" w:hAnsi="宋体" w:cs="宋体"/>
          <w:color w:val="000000" w:themeColor="text1"/>
          <w:sz w:val="18"/>
          <w:szCs w:val="18"/>
          <w:highlight w:val="none"/>
          <w14:textFill>
            <w14:solidFill>
              <w14:schemeClr w14:val="tx1"/>
            </w14:solidFill>
          </w14:textFill>
        </w:rPr>
      </w:pPr>
    </w:p>
    <w:p>
      <w:pPr>
        <w:spacing w:line="480" w:lineRule="auto"/>
        <w:jc w:val="center"/>
        <w:rPr>
          <w:rFonts w:ascii="宋体" w:hAnsi="宋体" w:cs="宋体"/>
          <w:color w:val="000000" w:themeColor="text1"/>
          <w:sz w:val="18"/>
          <w:szCs w:val="18"/>
          <w:highlight w:val="none"/>
          <w14:textFill>
            <w14:solidFill>
              <w14:schemeClr w14:val="tx1"/>
            </w14:solidFill>
          </w14:textFill>
        </w:rPr>
      </w:pPr>
    </w:p>
    <w:p>
      <w:pPr>
        <w:spacing w:line="480" w:lineRule="auto"/>
        <w:jc w:val="center"/>
        <w:rPr>
          <w:rFonts w:ascii="宋体" w:hAnsi="宋体" w:cs="宋体"/>
          <w:color w:val="000000" w:themeColor="text1"/>
          <w:sz w:val="18"/>
          <w:szCs w:val="18"/>
          <w:highlight w:val="none"/>
          <w14:textFill>
            <w14:solidFill>
              <w14:schemeClr w14:val="tx1"/>
            </w14:solidFill>
          </w14:textFill>
        </w:rPr>
      </w:pPr>
    </w:p>
    <w:p>
      <w:pPr>
        <w:spacing w:line="480" w:lineRule="auto"/>
        <w:jc w:val="center"/>
        <w:rPr>
          <w:rFonts w:ascii="宋体" w:hAnsi="宋体" w:cs="宋体"/>
          <w:color w:val="000000" w:themeColor="text1"/>
          <w:sz w:val="18"/>
          <w:szCs w:val="18"/>
          <w:highlight w:val="none"/>
          <w14:textFill>
            <w14:solidFill>
              <w14:schemeClr w14:val="tx1"/>
            </w14:solidFill>
          </w14:textFill>
        </w:rPr>
      </w:pPr>
    </w:p>
    <w:p>
      <w:pPr>
        <w:spacing w:line="480" w:lineRule="auto"/>
        <w:jc w:val="center"/>
        <w:rPr>
          <w:rFonts w:ascii="宋体" w:hAnsi="宋体" w:cs="宋体"/>
          <w:color w:val="000000" w:themeColor="text1"/>
          <w:sz w:val="18"/>
          <w:szCs w:val="18"/>
          <w:highlight w:val="none"/>
          <w14:textFill>
            <w14:solidFill>
              <w14:schemeClr w14:val="tx1"/>
            </w14:solidFill>
          </w14:textFill>
        </w:rPr>
      </w:pPr>
    </w:p>
    <w:p>
      <w:pPr>
        <w:spacing w:line="480" w:lineRule="auto"/>
        <w:jc w:val="center"/>
        <w:rPr>
          <w:rFonts w:ascii="宋体" w:hAnsi="宋体" w:cs="宋体"/>
          <w:color w:val="000000" w:themeColor="text1"/>
          <w:sz w:val="18"/>
          <w:szCs w:val="18"/>
          <w:highlight w:val="none"/>
          <w14:textFill>
            <w14:solidFill>
              <w14:schemeClr w14:val="tx1"/>
            </w14:solidFill>
          </w14:textFill>
        </w:rPr>
      </w:pPr>
    </w:p>
    <w:p>
      <w:pPr>
        <w:widowControl w:val="0"/>
        <w:ind w:left="1000" w:leftChars="500"/>
        <w:rPr>
          <w:rFonts w:ascii="宋体" w:hAnsi="宋体" w:cs="宋体"/>
          <w:b/>
          <w:bCs/>
          <w:sz w:val="28"/>
          <w:szCs w:val="28"/>
          <w:highlight w:val="none"/>
        </w:rPr>
      </w:pPr>
      <w:bookmarkStart w:id="1" w:name="_Toc98580389"/>
      <w:r>
        <w:rPr>
          <w:rFonts w:hint="eastAsia" w:ascii="宋体" w:hAnsi="宋体" w:cs="宋体"/>
          <w:b/>
          <w:bCs/>
          <w:sz w:val="28"/>
          <w:szCs w:val="28"/>
          <w:highlight w:val="none"/>
        </w:rPr>
        <w:t>采   购   人：浙江大学医学院附属妇产科医院吉林医院</w:t>
      </w:r>
    </w:p>
    <w:p>
      <w:pPr>
        <w:widowControl w:val="0"/>
        <w:ind w:left="1000" w:leftChars="500" w:firstLine="1687" w:firstLineChars="600"/>
        <w:rPr>
          <w:rFonts w:ascii="宋体" w:hAnsi="宋体" w:cs="宋体"/>
          <w:b/>
          <w:bCs/>
          <w:sz w:val="28"/>
          <w:szCs w:val="28"/>
          <w:highlight w:val="none"/>
        </w:rPr>
      </w:pPr>
      <w:r>
        <w:rPr>
          <w:rFonts w:hint="eastAsia" w:ascii="宋体" w:hAnsi="宋体" w:cs="宋体"/>
          <w:b/>
          <w:bCs/>
          <w:sz w:val="28"/>
          <w:szCs w:val="28"/>
          <w:highlight w:val="none"/>
        </w:rPr>
        <w:t>（长春市妇产医院、长春市妇幼保健院）</w:t>
      </w:r>
    </w:p>
    <w:p>
      <w:pPr>
        <w:widowControl w:val="0"/>
        <w:ind w:left="1000" w:leftChars="500"/>
        <w:rPr>
          <w:rFonts w:ascii="宋体" w:hAnsi="宋体" w:cs="宋体"/>
          <w:b/>
          <w:bCs/>
          <w:sz w:val="28"/>
          <w:szCs w:val="28"/>
          <w:highlight w:val="none"/>
        </w:rPr>
      </w:pPr>
    </w:p>
    <w:p>
      <w:pPr>
        <w:widowControl w:val="0"/>
        <w:tabs>
          <w:tab w:val="left" w:pos="938"/>
        </w:tabs>
        <w:ind w:left="1000" w:leftChars="500"/>
        <w:rPr>
          <w:rFonts w:ascii="宋体" w:hAnsi="宋体" w:cs="宋体"/>
          <w:b/>
          <w:bCs/>
          <w:sz w:val="28"/>
          <w:szCs w:val="28"/>
          <w:highlight w:val="none"/>
        </w:rPr>
      </w:pPr>
      <w:r>
        <w:rPr>
          <w:rFonts w:hint="eastAsia" w:ascii="宋体" w:hAnsi="宋体" w:cs="宋体"/>
          <w:b/>
          <w:bCs/>
          <w:sz w:val="28"/>
          <w:szCs w:val="28"/>
          <w:highlight w:val="none"/>
        </w:rPr>
        <w:tab/>
      </w:r>
    </w:p>
    <w:p>
      <w:pPr>
        <w:widowControl w:val="0"/>
        <w:tabs>
          <w:tab w:val="left" w:pos="938"/>
        </w:tabs>
        <w:ind w:left="1000" w:leftChars="500"/>
        <w:rPr>
          <w:rFonts w:ascii="宋体" w:hAnsi="宋体" w:cs="宋体"/>
          <w:b/>
          <w:bCs/>
          <w:sz w:val="28"/>
          <w:szCs w:val="28"/>
          <w:highlight w:val="none"/>
        </w:rPr>
      </w:pPr>
      <w:r>
        <w:rPr>
          <w:rFonts w:hint="eastAsia" w:ascii="宋体" w:hAnsi="宋体" w:cs="宋体"/>
          <w:b/>
          <w:bCs/>
          <w:sz w:val="28"/>
          <w:szCs w:val="28"/>
          <w:highlight w:val="none"/>
        </w:rPr>
        <w:t>采购代理机构：</w:t>
      </w:r>
      <w:r>
        <w:rPr>
          <w:rFonts w:hint="eastAsia" w:ascii="宋体" w:hAnsi="宋体" w:cs="宋体"/>
          <w:b/>
          <w:bCs/>
          <w:sz w:val="28"/>
          <w:szCs w:val="28"/>
          <w:highlight w:val="none"/>
          <w:lang w:val="zh-CN"/>
        </w:rPr>
        <w:t>吉林省致诚项目管理有限公司</w:t>
      </w:r>
    </w:p>
    <w:p>
      <w:pPr>
        <w:spacing w:line="400" w:lineRule="exact"/>
        <w:rPr>
          <w:rFonts w:ascii="宋体" w:hAnsi="宋体" w:cs="宋体"/>
          <w:b/>
          <w:bCs/>
          <w:highlight w:val="none"/>
        </w:rPr>
      </w:pPr>
    </w:p>
    <w:p>
      <w:pPr>
        <w:widowControl w:val="0"/>
        <w:jc w:val="center"/>
        <w:rPr>
          <w:rFonts w:ascii="宋体" w:hAnsi="宋体" w:cs="宋体"/>
          <w:b/>
          <w:bCs/>
          <w:sz w:val="28"/>
          <w:szCs w:val="28"/>
          <w:highlight w:val="none"/>
        </w:rPr>
      </w:pPr>
    </w:p>
    <w:p>
      <w:pPr>
        <w:widowControl w:val="0"/>
        <w:jc w:val="center"/>
        <w:rPr>
          <w:rFonts w:ascii="宋体" w:hAnsi="宋体" w:cs="宋体"/>
          <w:b/>
          <w:bCs/>
          <w:highlight w:val="none"/>
        </w:rPr>
      </w:pPr>
      <w:r>
        <w:rPr>
          <w:rFonts w:hint="eastAsia" w:ascii="宋体" w:hAnsi="宋体" w:cs="宋体"/>
          <w:b/>
          <w:bCs/>
          <w:sz w:val="28"/>
          <w:szCs w:val="28"/>
          <w:highlight w:val="none"/>
        </w:rPr>
        <w:t>202</w:t>
      </w:r>
      <w:r>
        <w:rPr>
          <w:rFonts w:hint="eastAsia" w:ascii="宋体" w:hAnsi="宋体" w:cs="宋体"/>
          <w:b/>
          <w:bCs/>
          <w:sz w:val="28"/>
          <w:szCs w:val="28"/>
          <w:highlight w:val="none"/>
          <w:lang w:val="en-US" w:eastAsia="zh-CN"/>
        </w:rPr>
        <w:t>5</w:t>
      </w:r>
      <w:r>
        <w:rPr>
          <w:rFonts w:hint="eastAsia" w:ascii="宋体" w:hAnsi="宋体" w:cs="宋体"/>
          <w:b/>
          <w:bCs/>
          <w:sz w:val="28"/>
          <w:szCs w:val="28"/>
          <w:highlight w:val="none"/>
        </w:rPr>
        <w:t>年</w:t>
      </w:r>
      <w:r>
        <w:rPr>
          <w:rFonts w:hint="eastAsia" w:ascii="宋体" w:hAnsi="宋体" w:cs="宋体"/>
          <w:b/>
          <w:bCs/>
          <w:sz w:val="28"/>
          <w:szCs w:val="28"/>
          <w:highlight w:val="none"/>
          <w:lang w:val="en-US" w:eastAsia="zh-CN"/>
        </w:rPr>
        <w:t>07</w:t>
      </w:r>
      <w:r>
        <w:rPr>
          <w:rFonts w:hint="eastAsia" w:ascii="宋体" w:hAnsi="宋体" w:cs="宋体"/>
          <w:b/>
          <w:bCs/>
          <w:sz w:val="28"/>
          <w:szCs w:val="28"/>
          <w:highlight w:val="none"/>
        </w:rPr>
        <w:t>月</w:t>
      </w:r>
    </w:p>
    <w:p>
      <w:pPr>
        <w:jc w:val="center"/>
        <w:rPr>
          <w:rFonts w:ascii="宋体" w:hAnsi="宋体" w:cs="宋体"/>
          <w:b/>
          <w:bCs/>
          <w:color w:val="000000" w:themeColor="text1"/>
          <w:sz w:val="36"/>
          <w:highlight w:val="none"/>
          <w14:textFill>
            <w14:solidFill>
              <w14:schemeClr w14:val="tx1"/>
            </w14:solidFill>
          </w14:textFill>
        </w:rPr>
      </w:pPr>
      <w:r>
        <w:rPr>
          <w:rFonts w:hint="eastAsia" w:ascii="宋体" w:hAnsi="宋体" w:cs="宋体"/>
          <w:b/>
          <w:bCs/>
          <w:color w:val="000000" w:themeColor="text1"/>
          <w:sz w:val="36"/>
          <w:highlight w:val="none"/>
          <w14:textFill>
            <w14:solidFill>
              <w14:schemeClr w14:val="tx1"/>
            </w14:solidFill>
          </w14:textFill>
        </w:rPr>
        <w:br w:type="page"/>
      </w:r>
    </w:p>
    <w:p>
      <w:pPr>
        <w:rPr>
          <w:rFonts w:ascii="宋体" w:hAnsi="宋体"/>
          <w:b/>
          <w:bCs/>
          <w:color w:val="000000" w:themeColor="text1"/>
          <w:sz w:val="36"/>
          <w:highlight w:val="none"/>
          <w14:textFill>
            <w14:solidFill>
              <w14:schemeClr w14:val="tx1"/>
            </w14:solidFill>
          </w14:textFill>
        </w:rPr>
      </w:pPr>
    </w:p>
    <w:p>
      <w:pPr>
        <w:jc w:val="center"/>
        <w:rPr>
          <w:rFonts w:ascii="宋体" w:hAnsi="宋体"/>
          <w:b/>
          <w:bCs/>
          <w:color w:val="000000" w:themeColor="text1"/>
          <w:sz w:val="36"/>
          <w:highlight w:val="none"/>
          <w14:textFill>
            <w14:solidFill>
              <w14:schemeClr w14:val="tx1"/>
            </w14:solidFill>
          </w14:textFill>
        </w:rPr>
      </w:pPr>
      <w:r>
        <w:rPr>
          <w:rFonts w:hint="eastAsia" w:ascii="宋体" w:hAnsi="宋体"/>
          <w:b/>
          <w:bCs/>
          <w:color w:val="000000" w:themeColor="text1"/>
          <w:sz w:val="36"/>
          <w:highlight w:val="none"/>
          <w14:textFill>
            <w14:solidFill>
              <w14:schemeClr w14:val="tx1"/>
            </w14:solidFill>
          </w14:textFill>
        </w:rPr>
        <w:t>目　　录</w:t>
      </w:r>
    </w:p>
    <w:p>
      <w:pPr>
        <w:jc w:val="center"/>
        <w:rPr>
          <w:rFonts w:ascii="宋体" w:hAnsi="宋体"/>
          <w:b/>
          <w:bCs/>
          <w:color w:val="000000" w:themeColor="text1"/>
          <w:sz w:val="36"/>
          <w:highlight w:val="none"/>
          <w14:textFill>
            <w14:solidFill>
              <w14:schemeClr w14:val="tx1"/>
            </w14:solidFill>
          </w14:textFill>
        </w:rPr>
      </w:pPr>
    </w:p>
    <w:p>
      <w:pPr>
        <w:pStyle w:val="30"/>
        <w:tabs>
          <w:tab w:val="right" w:leader="dot" w:pos="9061"/>
        </w:tabs>
        <w:spacing w:before="0" w:after="0" w:line="360" w:lineRule="auto"/>
        <w:rPr>
          <w:rFonts w:asciiTheme="minorEastAsia" w:hAnsiTheme="minorEastAsia" w:eastAsiaTheme="minorEastAsia" w:cstheme="minorBidi"/>
          <w:b w:val="0"/>
          <w:bCs w:val="0"/>
          <w:caps w:val="0"/>
          <w:color w:val="000000" w:themeColor="text1"/>
          <w:kern w:val="2"/>
          <w:sz w:val="28"/>
          <w:szCs w:val="28"/>
          <w:highlight w:val="none"/>
          <w14:textFill>
            <w14:solidFill>
              <w14:schemeClr w14:val="tx1"/>
            </w14:solidFill>
          </w14:textFill>
        </w:rPr>
      </w:pPr>
      <w:r>
        <w:rPr>
          <w:rFonts w:asciiTheme="minorEastAsia" w:hAnsiTheme="minorEastAsia" w:eastAsiaTheme="minorEastAsia"/>
          <w:b w:val="0"/>
          <w:color w:val="000000" w:themeColor="text1"/>
          <w:sz w:val="28"/>
          <w:szCs w:val="28"/>
          <w:highlight w:val="none"/>
          <w14:textFill>
            <w14:solidFill>
              <w14:schemeClr w14:val="tx1"/>
            </w14:solidFill>
          </w14:textFill>
        </w:rPr>
        <w:fldChar w:fldCharType="begin"/>
      </w:r>
      <w:r>
        <w:rPr>
          <w:rFonts w:asciiTheme="minorEastAsia" w:hAnsiTheme="minorEastAsia" w:eastAsiaTheme="minorEastAsia"/>
          <w:b w:val="0"/>
          <w:color w:val="000000" w:themeColor="text1"/>
          <w:sz w:val="28"/>
          <w:szCs w:val="28"/>
          <w:highlight w:val="none"/>
          <w14:textFill>
            <w14:solidFill>
              <w14:schemeClr w14:val="tx1"/>
            </w14:solidFill>
          </w14:textFill>
        </w:rPr>
        <w:instrText xml:space="preserve"> </w:instrText>
      </w:r>
      <w:r>
        <w:rPr>
          <w:rFonts w:hint="eastAsia" w:asciiTheme="minorEastAsia" w:hAnsiTheme="minorEastAsia" w:eastAsiaTheme="minorEastAsia"/>
          <w:b w:val="0"/>
          <w:color w:val="000000" w:themeColor="text1"/>
          <w:sz w:val="28"/>
          <w:szCs w:val="28"/>
          <w:highlight w:val="none"/>
          <w14:textFill>
            <w14:solidFill>
              <w14:schemeClr w14:val="tx1"/>
            </w14:solidFill>
          </w14:textFill>
        </w:rPr>
        <w:instrText xml:space="preserve">TOC \o "1-1" \h \z \u</w:instrText>
      </w:r>
      <w:r>
        <w:rPr>
          <w:rFonts w:asciiTheme="minorEastAsia" w:hAnsiTheme="minorEastAsia" w:eastAsiaTheme="minorEastAsia"/>
          <w:b w:val="0"/>
          <w:color w:val="000000" w:themeColor="text1"/>
          <w:sz w:val="28"/>
          <w:szCs w:val="28"/>
          <w:highlight w:val="none"/>
          <w14:textFill>
            <w14:solidFill>
              <w14:schemeClr w14:val="tx1"/>
            </w14:solidFill>
          </w14:textFill>
        </w:rPr>
        <w:instrText xml:space="preserve"> </w:instrText>
      </w:r>
      <w:r>
        <w:rPr>
          <w:rFonts w:asciiTheme="minorEastAsia" w:hAnsiTheme="minorEastAsia" w:eastAsiaTheme="minorEastAsia"/>
          <w:b w:val="0"/>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"_Toc55578492"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第一部分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招标公告</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fldChar w:fldCharType="end"/>
      </w:r>
    </w:p>
    <w:p>
      <w:pPr>
        <w:pStyle w:val="30"/>
        <w:tabs>
          <w:tab w:val="right" w:leader="dot" w:pos="9061"/>
        </w:tabs>
        <w:spacing w:before="0" w:after="0" w:line="360" w:lineRule="auto"/>
        <w:rPr>
          <w:rFonts w:asciiTheme="minorEastAsia" w:hAnsiTheme="minorEastAsia" w:eastAsiaTheme="minorEastAsia" w:cstheme="minorBidi"/>
          <w:b w:val="0"/>
          <w:bCs w:val="0"/>
          <w:caps w:val="0"/>
          <w:color w:val="000000" w:themeColor="text1"/>
          <w:kern w:val="2"/>
          <w:sz w:val="28"/>
          <w:szCs w:val="28"/>
          <w:highlight w:val="none"/>
          <w14:textFill>
            <w14:solidFill>
              <w14:schemeClr w14:val="tx1"/>
            </w14:solidFill>
          </w14:textFill>
        </w:rPr>
      </w:pPr>
      <w:r>
        <w:rPr>
          <w:highlight w:val="none"/>
        </w:rPr>
        <w:fldChar w:fldCharType="begin"/>
      </w:r>
      <w:r>
        <w:rPr>
          <w:highlight w:val="none"/>
        </w:rPr>
        <w:instrText xml:space="preserve"> HYPERLINK \l "_Toc55578493"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第二部分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供应商须知</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sz w:val="28"/>
          <w:szCs w:val="28"/>
          <w:highlight w:val="none"/>
          <w14:textFill>
            <w14:solidFill>
              <w14:schemeClr w14:val="tx1"/>
            </w14:solidFill>
          </w14:textFill>
        </w:rPr>
        <w:fldChar w:fldCharType="end"/>
      </w:r>
    </w:p>
    <w:p>
      <w:pPr>
        <w:pStyle w:val="30"/>
        <w:tabs>
          <w:tab w:val="right" w:leader="dot" w:pos="9061"/>
        </w:tabs>
        <w:spacing w:before="0" w:after="0" w:line="360" w:lineRule="auto"/>
        <w:rPr>
          <w:rFonts w:asciiTheme="minorEastAsia" w:hAnsiTheme="minorEastAsia" w:eastAsiaTheme="minorEastAsia" w:cstheme="minorBidi"/>
          <w:b w:val="0"/>
          <w:bCs w:val="0"/>
          <w:caps w:val="0"/>
          <w:color w:val="000000" w:themeColor="text1"/>
          <w:kern w:val="2"/>
          <w:sz w:val="28"/>
          <w:szCs w:val="28"/>
          <w:highlight w:val="none"/>
          <w14:textFill>
            <w14:solidFill>
              <w14:schemeClr w14:val="tx1"/>
            </w14:solidFill>
          </w14:textFill>
        </w:rPr>
      </w:pPr>
      <w:r>
        <w:rPr>
          <w:highlight w:val="none"/>
        </w:rPr>
        <w:fldChar w:fldCharType="begin"/>
      </w:r>
      <w:r>
        <w:rPr>
          <w:highlight w:val="none"/>
        </w:rPr>
        <w:instrText xml:space="preserve"> HYPERLINK \l "_Toc55578494"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第三部分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评标办法</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asciiTheme="minorEastAsia" w:hAnsiTheme="minorEastAsia" w:eastAsiaTheme="minorEastAsia"/>
          <w:color w:val="000000" w:themeColor="text1"/>
          <w:sz w:val="28"/>
          <w:szCs w:val="28"/>
          <w:highlight w:val="none"/>
          <w14:textFill>
            <w14:solidFill>
              <w14:schemeClr w14:val="tx1"/>
            </w14:solidFill>
          </w14:textFill>
        </w:rPr>
        <w:fldChar w:fldCharType="begin"/>
      </w:r>
      <w:r>
        <w:rPr>
          <w:rFonts w:asciiTheme="minorEastAsia" w:hAnsiTheme="minorEastAsia" w:eastAsiaTheme="minorEastAsia"/>
          <w:color w:val="000000" w:themeColor="text1"/>
          <w:sz w:val="28"/>
          <w:szCs w:val="28"/>
          <w:highlight w:val="none"/>
          <w14:textFill>
            <w14:solidFill>
              <w14:schemeClr w14:val="tx1"/>
            </w14:solidFill>
          </w14:textFill>
        </w:rPr>
        <w:instrText xml:space="preserve"> PAGEREF _Toc55578494 \h </w:instrText>
      </w:r>
      <w:r>
        <w:rPr>
          <w:rFonts w:asciiTheme="minorEastAsia" w:hAnsiTheme="minorEastAsia" w:eastAsiaTheme="minorEastAsia"/>
          <w:color w:val="000000" w:themeColor="text1"/>
          <w:sz w:val="28"/>
          <w:szCs w:val="28"/>
          <w:highlight w:val="none"/>
          <w14:textFill>
            <w14:solidFill>
              <w14:schemeClr w14:val="tx1"/>
            </w14:solidFill>
          </w14:textFill>
        </w:rPr>
        <w:fldChar w:fldCharType="separate"/>
      </w:r>
      <w:r>
        <w:rPr>
          <w:rFonts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4</w:t>
      </w:r>
      <w:r>
        <w:rPr>
          <w:rFonts w:asciiTheme="minorEastAsia" w:hAnsiTheme="minorEastAsia" w:eastAsiaTheme="minorEastAsia"/>
          <w:color w:val="000000" w:themeColor="text1"/>
          <w:sz w:val="28"/>
          <w:szCs w:val="28"/>
          <w:highlight w:val="none"/>
          <w14:textFill>
            <w14:solidFill>
              <w14:schemeClr w14:val="tx1"/>
            </w14:solidFill>
          </w14:textFill>
        </w:rPr>
        <w:fldChar w:fldCharType="end"/>
      </w:r>
      <w:r>
        <w:rPr>
          <w:rFonts w:asciiTheme="minorEastAsia" w:hAnsiTheme="minorEastAsia" w:eastAsiaTheme="minorEastAsia"/>
          <w:color w:val="000000" w:themeColor="text1"/>
          <w:sz w:val="28"/>
          <w:szCs w:val="28"/>
          <w:highlight w:val="none"/>
          <w14:textFill>
            <w14:solidFill>
              <w14:schemeClr w14:val="tx1"/>
            </w14:solidFill>
          </w14:textFill>
        </w:rPr>
        <w:fldChar w:fldCharType="end"/>
      </w:r>
    </w:p>
    <w:p>
      <w:pPr>
        <w:pStyle w:val="30"/>
        <w:tabs>
          <w:tab w:val="right" w:leader="dot" w:pos="9061"/>
        </w:tabs>
        <w:spacing w:before="0" w:after="0" w:line="360" w:lineRule="auto"/>
        <w:rPr>
          <w:rFonts w:hint="eastAsia" w:asciiTheme="minorEastAsia" w:hAnsiTheme="minorEastAsia" w:eastAsiaTheme="minorEastAsia" w:cstheme="minorBidi"/>
          <w:b w:val="0"/>
          <w:bCs w:val="0"/>
          <w:caps w:val="0"/>
          <w:color w:val="000000" w:themeColor="text1"/>
          <w:kern w:val="2"/>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"_Toc55578495"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第四部分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采购需求</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23</w:t>
      </w:r>
      <w:r>
        <w:rPr>
          <w:rFonts w:asciiTheme="minorEastAsia" w:hAnsiTheme="minorEastAsia" w:eastAsiaTheme="minorEastAsia"/>
          <w:color w:val="000000" w:themeColor="text1"/>
          <w:sz w:val="28"/>
          <w:szCs w:val="28"/>
          <w:highlight w:val="none"/>
          <w14:textFill>
            <w14:solidFill>
              <w14:schemeClr w14:val="tx1"/>
            </w14:solidFill>
          </w14:textFill>
        </w:rPr>
        <w:fldChar w:fldCharType="end"/>
      </w:r>
    </w:p>
    <w:p>
      <w:pPr>
        <w:pStyle w:val="30"/>
        <w:tabs>
          <w:tab w:val="right" w:leader="dot" w:pos="9061"/>
        </w:tabs>
        <w:spacing w:before="0" w:after="0" w:line="360" w:lineRule="auto"/>
        <w:rPr>
          <w:rFonts w:hint="default" w:asciiTheme="minorEastAsia" w:hAnsiTheme="minorEastAsia" w:eastAsiaTheme="minorEastAsia" w:cstheme="minorBidi"/>
          <w:b w:val="0"/>
          <w:bCs w:val="0"/>
          <w:caps w:val="0"/>
          <w:color w:val="000000" w:themeColor="text1"/>
          <w:kern w:val="2"/>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"_Toc55578496"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第五部分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合同条款</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37</w:t>
      </w:r>
    </w:p>
    <w:p>
      <w:pPr>
        <w:pStyle w:val="30"/>
        <w:tabs>
          <w:tab w:val="right" w:leader="dot" w:pos="9061"/>
        </w:tabs>
        <w:spacing w:before="0" w:after="0" w:line="360" w:lineRule="auto"/>
        <w:rPr>
          <w:rFonts w:hint="default" w:asciiTheme="minorEastAsia" w:hAnsiTheme="minorEastAsia" w:eastAsiaTheme="minorEastAsia" w:cstheme="minorBidi"/>
          <w:b w:val="0"/>
          <w:bCs w:val="0"/>
          <w:caps w:val="0"/>
          <w:color w:val="000000" w:themeColor="text1"/>
          <w:kern w:val="2"/>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"_Toc55578497"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第六部分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投标文件格式</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53</w:t>
      </w:r>
    </w:p>
    <w:p>
      <w:pPr>
        <w:spacing w:line="360" w:lineRule="auto"/>
        <w:ind w:left="400" w:leftChars="200" w:right="400" w:rightChars="200"/>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fldChar w:fldCharType="end"/>
      </w:r>
    </w:p>
    <w:bookmarkEnd w:id="1"/>
    <w:p>
      <w:pPr>
        <w:rPr>
          <w:color w:val="000000" w:themeColor="text1"/>
          <w:highlight w:val="none"/>
          <w14:textFill>
            <w14:solidFill>
              <w14:schemeClr w14:val="tx1"/>
            </w14:solidFill>
          </w14:textFill>
        </w:rPr>
        <w:sectPr>
          <w:headerReference r:id="rId4" w:type="first"/>
          <w:headerReference r:id="rId3" w:type="default"/>
          <w:footerReference r:id="rId5" w:type="even"/>
          <w:pgSz w:w="11906" w:h="16838"/>
          <w:pgMar w:top="1418" w:right="1247" w:bottom="1418" w:left="1588" w:header="851" w:footer="992" w:gutter="0"/>
          <w:cols w:space="720" w:num="1"/>
          <w:titlePg/>
          <w:docGrid w:linePitch="312" w:charSpace="0"/>
        </w:sectPr>
      </w:pPr>
    </w:p>
    <w:p>
      <w:pPr>
        <w:rPr>
          <w:color w:val="000000" w:themeColor="text1"/>
          <w:highlight w:val="none"/>
          <w14:textFill>
            <w14:solidFill>
              <w14:schemeClr w14:val="tx1"/>
            </w14:solidFill>
          </w14:textFill>
        </w:rPr>
      </w:pPr>
    </w:p>
    <w:p>
      <w:pPr>
        <w:pStyle w:val="2"/>
        <w:spacing w:before="0" w:after="0" w:line="360" w:lineRule="auto"/>
        <w:jc w:val="center"/>
        <w:rPr>
          <w:rFonts w:hAnsi="宋体"/>
          <w:color w:val="000000" w:themeColor="text1"/>
          <w:highlight w:val="none"/>
          <w14:textFill>
            <w14:solidFill>
              <w14:schemeClr w14:val="tx1"/>
            </w14:solidFill>
          </w14:textFill>
        </w:rPr>
      </w:pPr>
      <w:bookmarkStart w:id="2" w:name="_Toc55578492"/>
      <w:r>
        <w:rPr>
          <w:rFonts w:hint="eastAsia"/>
          <w:color w:val="000000" w:themeColor="text1"/>
          <w:highlight w:val="none"/>
          <w14:textFill>
            <w14:solidFill>
              <w14:schemeClr w14:val="tx1"/>
            </w14:solidFill>
          </w14:textFill>
        </w:rPr>
        <w:t xml:space="preserve">第一部分  </w:t>
      </w:r>
      <w:bookmarkEnd w:id="2"/>
      <w:bookmarkStart w:id="3" w:name="_Toc55578493"/>
      <w:r>
        <w:rPr>
          <w:rFonts w:hint="eastAsia"/>
          <w:color w:val="000000" w:themeColor="text1"/>
          <w:highlight w:val="none"/>
          <w14:textFill>
            <w14:solidFill>
              <w14:schemeClr w14:val="tx1"/>
            </w14:solidFill>
          </w14:textFill>
        </w:rPr>
        <w:t>招标公告</w:t>
      </w:r>
    </w:p>
    <w:p>
      <w:pPr>
        <w:pBdr>
          <w:top w:val="single" w:color="auto" w:sz="4" w:space="1"/>
          <w:left w:val="single" w:color="auto" w:sz="4" w:space="4"/>
          <w:bottom w:val="single" w:color="auto" w:sz="4" w:space="1"/>
          <w:right w:val="single" w:color="auto" w:sz="4" w:space="4"/>
        </w:pBdr>
        <w:wordWrap w:val="0"/>
        <w:spacing w:line="360" w:lineRule="auto"/>
        <w:ind w:firstLine="420" w:firstLineChars="200"/>
        <w:jc w:val="both"/>
        <w:rPr>
          <w:color w:val="000000"/>
          <w:sz w:val="21"/>
          <w:szCs w:val="21"/>
          <w:highlight w:val="none"/>
        </w:rPr>
      </w:pPr>
      <w:bookmarkStart w:id="4" w:name="_Hlk67035644"/>
      <w:r>
        <w:rPr>
          <w:rFonts w:hint="eastAsia"/>
          <w:color w:val="000000"/>
          <w:sz w:val="21"/>
          <w:szCs w:val="21"/>
          <w:highlight w:val="none"/>
        </w:rPr>
        <w:t>项目概况</w:t>
      </w:r>
    </w:p>
    <w:p>
      <w:pPr>
        <w:pBdr>
          <w:top w:val="single" w:color="auto" w:sz="4" w:space="1"/>
          <w:left w:val="single" w:color="auto" w:sz="4" w:space="4"/>
          <w:bottom w:val="single" w:color="auto" w:sz="4" w:space="1"/>
          <w:right w:val="single" w:color="auto" w:sz="4" w:space="4"/>
        </w:pBdr>
        <w:wordWrap w:val="0"/>
        <w:spacing w:line="360" w:lineRule="auto"/>
        <w:ind w:firstLine="420" w:firstLineChars="200"/>
        <w:jc w:val="both"/>
        <w:rPr>
          <w:sz w:val="21"/>
          <w:szCs w:val="21"/>
          <w:highlight w:val="none"/>
        </w:rPr>
      </w:pPr>
      <w:r>
        <w:rPr>
          <w:rFonts w:hint="eastAsia"/>
          <w:color w:val="000000"/>
          <w:sz w:val="21"/>
          <w:szCs w:val="21"/>
          <w:highlight w:val="none"/>
          <w:lang w:eastAsia="zh-CN"/>
        </w:rPr>
        <w:t>麻醉监护仪等设备采购项目</w:t>
      </w:r>
      <w:r>
        <w:rPr>
          <w:rFonts w:hint="eastAsia"/>
          <w:color w:val="000000"/>
          <w:sz w:val="21"/>
          <w:szCs w:val="21"/>
          <w:highlight w:val="none"/>
        </w:rPr>
        <w:t>的潜在供应商应在政府采购云平</w:t>
      </w:r>
      <w:r>
        <w:rPr>
          <w:rFonts w:hint="eastAsia" w:ascii="宋体" w:hAnsi="宋体" w:cs="宋体"/>
          <w:color w:val="000000"/>
          <w:sz w:val="21"/>
          <w:szCs w:val="21"/>
          <w:highlight w:val="none"/>
        </w:rPr>
        <w:t>台（网址：http:// www.zcygov.cn）获取招标文件，</w:t>
      </w:r>
      <w:r>
        <w:rPr>
          <w:rFonts w:hint="eastAsia" w:ascii="宋体" w:hAnsi="宋体" w:cs="宋体"/>
          <w:sz w:val="21"/>
          <w:szCs w:val="21"/>
          <w:highlight w:val="none"/>
        </w:rPr>
        <w:t>并于</w:t>
      </w:r>
      <w:r>
        <w:rPr>
          <w:rFonts w:hint="eastAsia" w:ascii="宋体" w:hAnsi="宋体" w:cs="宋体"/>
          <w:sz w:val="21"/>
          <w:szCs w:val="21"/>
          <w:highlight w:val="none"/>
          <w:lang w:eastAsia="zh-CN"/>
        </w:rPr>
        <w:t>2025年08月06日10 时00分</w:t>
      </w:r>
      <w:r>
        <w:rPr>
          <w:rFonts w:hint="eastAsia" w:ascii="宋体" w:hAnsi="宋体" w:cs="宋体"/>
          <w:bCs/>
          <w:sz w:val="21"/>
          <w:szCs w:val="21"/>
          <w:highlight w:val="none"/>
        </w:rPr>
        <w:t>（北京时间）前提交投标文件</w:t>
      </w:r>
      <w:r>
        <w:rPr>
          <w:rFonts w:hint="eastAsia" w:ascii="宋体" w:hAnsi="宋体" w:cs="宋体"/>
          <w:sz w:val="21"/>
          <w:szCs w:val="21"/>
          <w:highlight w:val="none"/>
        </w:rPr>
        <w:t>。</w:t>
      </w:r>
    </w:p>
    <w:p>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一、项目基本情况</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bookmarkStart w:id="5" w:name="_Toc35393791"/>
      <w:bookmarkStart w:id="6" w:name="_Toc28359003"/>
      <w:bookmarkStart w:id="7" w:name="_Toc28359080"/>
      <w:bookmarkStart w:id="8" w:name="_Toc35393622"/>
      <w:r>
        <w:rPr>
          <w:rFonts w:hint="eastAsia" w:ascii="宋体" w:hAnsi="宋体"/>
          <w:color w:val="000000" w:themeColor="text1"/>
          <w:sz w:val="21"/>
          <w:szCs w:val="21"/>
          <w:highlight w:val="none"/>
          <w14:textFill>
            <w14:solidFill>
              <w14:schemeClr w14:val="tx1"/>
            </w14:solidFill>
          </w14:textFill>
        </w:rPr>
        <w:t>1.项目编号：</w:t>
      </w:r>
      <w:r>
        <w:rPr>
          <w:rFonts w:hint="eastAsia" w:ascii="宋体" w:hAnsi="宋体"/>
          <w:color w:val="000000" w:themeColor="text1"/>
          <w:sz w:val="21"/>
          <w:szCs w:val="21"/>
          <w:highlight w:val="none"/>
          <w:lang w:eastAsia="zh-CN"/>
          <w14:textFill>
            <w14:solidFill>
              <w14:schemeClr w14:val="tx1"/>
            </w14:solidFill>
          </w14:textFill>
        </w:rPr>
        <w:t>JM-2025-05-00562</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2025ZCZB0713</w:t>
      </w:r>
      <w:r>
        <w:rPr>
          <w:rFonts w:hint="eastAsia" w:ascii="宋体" w:hAnsi="宋体"/>
          <w:color w:val="000000" w:themeColor="text1"/>
          <w:sz w:val="21"/>
          <w:szCs w:val="21"/>
          <w:highlight w:val="none"/>
          <w14:textFill>
            <w14:solidFill>
              <w14:schemeClr w14:val="tx1"/>
            </w14:solidFill>
          </w14:textFill>
        </w:rPr>
        <w:t>；</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2.项目名称：</w:t>
      </w:r>
      <w:r>
        <w:rPr>
          <w:rFonts w:hint="eastAsia" w:ascii="宋体" w:hAnsi="宋体"/>
          <w:color w:val="000000" w:themeColor="text1"/>
          <w:sz w:val="21"/>
          <w:szCs w:val="21"/>
          <w:highlight w:val="none"/>
          <w:lang w:eastAsia="zh-CN"/>
          <w14:textFill>
            <w14:solidFill>
              <w14:schemeClr w14:val="tx1"/>
            </w14:solidFill>
          </w14:textFill>
        </w:rPr>
        <w:t>麻醉监护仪等设备采购项目</w:t>
      </w:r>
      <w:r>
        <w:rPr>
          <w:rFonts w:hint="eastAsia" w:ascii="宋体" w:hAnsi="宋体"/>
          <w:color w:val="000000" w:themeColor="text1"/>
          <w:sz w:val="21"/>
          <w:szCs w:val="21"/>
          <w:highlight w:val="none"/>
          <w14:textFill>
            <w14:solidFill>
              <w14:schemeClr w14:val="tx1"/>
            </w14:solidFill>
          </w14:textFill>
        </w:rPr>
        <w:t>；</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3.预算总金额：</w:t>
      </w:r>
      <w:r>
        <w:rPr>
          <w:rFonts w:hint="eastAsia" w:ascii="宋体" w:hAnsi="宋体"/>
          <w:color w:val="000000" w:themeColor="text1"/>
          <w:sz w:val="21"/>
          <w:szCs w:val="21"/>
          <w:highlight w:val="none"/>
          <w:lang w:eastAsia="zh-CN"/>
          <w14:textFill>
            <w14:solidFill>
              <w14:schemeClr w14:val="tx1"/>
            </w14:solidFill>
          </w14:textFill>
        </w:rPr>
        <w:t>534</w:t>
      </w:r>
      <w:r>
        <w:rPr>
          <w:rFonts w:hint="eastAsia" w:ascii="宋体" w:hAnsi="宋体"/>
          <w:color w:val="000000" w:themeColor="text1"/>
          <w:sz w:val="21"/>
          <w:szCs w:val="21"/>
          <w:highlight w:val="none"/>
          <w14:textFill>
            <w14:solidFill>
              <w14:schemeClr w14:val="tx1"/>
            </w14:solidFill>
          </w14:textFill>
        </w:rPr>
        <w:t>万元；</w:t>
      </w:r>
    </w:p>
    <w:p>
      <w:pPr>
        <w:spacing w:line="380" w:lineRule="exact"/>
        <w:ind w:firstLine="420" w:firstLineChars="200"/>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4.采购需求：采购心电监护仪，48台、麻醉监护仪-1， 4台、麻醉监护仪-2， 8台、中心监护系统，1台、多功能监护仪-1,6台和高端多功能监护仪-2,4台，</w:t>
      </w:r>
      <w:r>
        <w:rPr>
          <w:rFonts w:hint="default" w:ascii="宋体" w:hAnsi="宋体" w:eastAsia="宋体" w:cs="Times New Roman"/>
          <w:b w:val="0"/>
          <w:bCs w:val="0"/>
          <w:color w:val="000000" w:themeColor="text1"/>
          <w:sz w:val="21"/>
          <w:szCs w:val="21"/>
          <w:highlight w:val="none"/>
          <w:lang w:val="en-US" w:eastAsia="zh-CN"/>
          <w14:textFill>
            <w14:solidFill>
              <w14:schemeClr w14:val="tx1"/>
            </w14:solidFill>
          </w14:textFill>
        </w:rPr>
        <w:t>具体内容详见招标文件第四部分采购需求</w:t>
      </w:r>
      <w:r>
        <w:rPr>
          <w:rFonts w:hint="eastAsia" w:ascii="宋体" w:hAnsi="宋体" w:cs="Times New Roman"/>
          <w:b w:val="0"/>
          <w:bCs w:val="0"/>
          <w:color w:val="000000" w:themeColor="text1"/>
          <w:sz w:val="21"/>
          <w:szCs w:val="21"/>
          <w:highlight w:val="none"/>
          <w:lang w:val="en-US" w:eastAsia="zh-CN"/>
          <w14:textFill>
            <w14:solidFill>
              <w14:schemeClr w14:val="tx1"/>
            </w14:solidFill>
          </w14:textFill>
        </w:rPr>
        <w:t>；</w:t>
      </w:r>
    </w:p>
    <w:p>
      <w:pPr>
        <w:spacing w:line="380" w:lineRule="exact"/>
        <w:ind w:firstLine="420" w:firstLineChars="200"/>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5.合同履行期限（交货期）：均签订合同后30天之内交货；</w:t>
      </w:r>
    </w:p>
    <w:p>
      <w:pPr>
        <w:spacing w:line="380" w:lineRule="exact"/>
        <w:ind w:firstLine="420" w:firstLineChars="200"/>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6.质量标准：符合国家及行业相关合格标准；</w:t>
      </w:r>
    </w:p>
    <w:p>
      <w:pPr>
        <w:spacing w:line="380" w:lineRule="exact"/>
        <w:ind w:firstLine="420" w:firstLineChars="200"/>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7.供货地点：采购人指定地点；</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8.本项目不接受联合体投标。</w:t>
      </w:r>
    </w:p>
    <w:p>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二、申请人的资格要求</w:t>
      </w:r>
      <w:bookmarkEnd w:id="5"/>
      <w:bookmarkEnd w:id="6"/>
      <w:bookmarkEnd w:id="7"/>
      <w:bookmarkEnd w:id="8"/>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满足《中华人民共和国政府采购法》第二十二条规定；</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bookmarkStart w:id="9" w:name="_Toc28359081"/>
      <w:bookmarkStart w:id="10" w:name="_Toc28359004"/>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落实政府采购政策需满足的资格要求：</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（1）鼓励节能、环保政策；</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（2）本项目非专门面向中小企业；</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本项目的特定资格要求：</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（1）供应商须是具有独立的法人资格的企业或其他组织，具有有效的营业执照，并在人员、设备、资金等方面具有相应的能力；</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（2）资格要求</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①供应商为生产企业的，从事第一类医疗器械生产的，应取得《第一类医疗器械生产备案凭证》；从事第二类、第三类医疗器械生产的，应取得《医疗器械生产许可证》或在有效期内的《医疗器械生产企业许可证》；</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②供应商为经营企业的，从事第二类医疗器械经营的，应取得《第二类医疗器械经营备案凭证》或有效期内的《医疗器械经营企业许可证》；从事第三类医疗器械经营的，应取得《医疗器械经营许可证》或有效期内的《医疗器械经营企业许可证》；</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③投标产品若纳入中华人民共和国医疗器械监督管理的，第一类医疗器械须具有备案凭证，第二、三类则应取得监督管理部门颁发相应的《中华人民共和国医疗器械注册证》及《医疗器械产品注册登记表》，若已办理两证合一则只需提供《医疗器械注册证》；</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（4）拒绝列入政府取消投标资格记录期间的企业或个人投标；</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供应商不得为“信用中国”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号）；</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w:t>
      </w:r>
      <w:r>
        <w:rPr>
          <w:rFonts w:hint="eastAsia" w:ascii="宋体" w:hAnsi="宋体"/>
          <w:color w:val="000000" w:themeColor="text1"/>
          <w:sz w:val="21"/>
          <w:szCs w:val="21"/>
          <w:highlight w:val="none"/>
          <w:lang w:val="zh-CN"/>
          <w14:textFill>
            <w14:solidFill>
              <w14:schemeClr w14:val="tx1"/>
            </w14:solidFill>
          </w14:textFill>
        </w:rPr>
        <w:t>参加政府采购活动前3年内在经营活动中没有重大违法记录。</w:t>
      </w:r>
    </w:p>
    <w:bookmarkEnd w:id="9"/>
    <w:bookmarkEnd w:id="10"/>
    <w:p>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bookmarkStart w:id="11" w:name="_Toc35393792"/>
      <w:bookmarkStart w:id="12" w:name="_Toc35393623"/>
      <w:r>
        <w:rPr>
          <w:rFonts w:hint="eastAsia" w:ascii="宋体" w:hAnsi="宋体"/>
          <w:b/>
          <w:color w:val="000000" w:themeColor="text1"/>
          <w:sz w:val="21"/>
          <w:szCs w:val="21"/>
          <w:highlight w:val="none"/>
          <w14:textFill>
            <w14:solidFill>
              <w14:schemeClr w14:val="tx1"/>
            </w14:solidFill>
          </w14:textFill>
        </w:rPr>
        <w:t>三、获取招标文件</w:t>
      </w:r>
      <w:bookmarkEnd w:id="11"/>
      <w:bookmarkEnd w:id="12"/>
    </w:p>
    <w:p>
      <w:pPr>
        <w:spacing w:line="380" w:lineRule="exact"/>
        <w:ind w:firstLine="420" w:firstLineChars="200"/>
        <w:rPr>
          <w:rFonts w:ascii="宋体" w:hAnsi="宋体"/>
          <w:sz w:val="21"/>
          <w:szCs w:val="21"/>
          <w:highlight w:val="none"/>
        </w:rPr>
      </w:pPr>
      <w:r>
        <w:rPr>
          <w:rFonts w:hint="eastAsia" w:ascii="宋体" w:hAnsi="宋体"/>
          <w:sz w:val="21"/>
          <w:szCs w:val="21"/>
          <w:highlight w:val="none"/>
        </w:rPr>
        <w:t>时间：202</w:t>
      </w:r>
      <w:r>
        <w:rPr>
          <w:rFonts w:hint="eastAsia" w:ascii="宋体" w:hAnsi="宋体"/>
          <w:sz w:val="21"/>
          <w:szCs w:val="21"/>
          <w:highlight w:val="none"/>
          <w:lang w:val="en-US" w:eastAsia="zh-CN"/>
        </w:rPr>
        <w:t>5</w:t>
      </w:r>
      <w:r>
        <w:rPr>
          <w:rFonts w:hint="eastAsia" w:ascii="宋体" w:hAnsi="宋体"/>
          <w:sz w:val="21"/>
          <w:szCs w:val="21"/>
          <w:highlight w:val="none"/>
        </w:rPr>
        <w:t>年</w:t>
      </w:r>
      <w:r>
        <w:rPr>
          <w:rFonts w:hint="eastAsia" w:ascii="宋体" w:hAnsi="宋体"/>
          <w:sz w:val="21"/>
          <w:szCs w:val="21"/>
          <w:highlight w:val="none"/>
          <w:lang w:val="en-US" w:eastAsia="zh-CN"/>
        </w:rPr>
        <w:t>07</w:t>
      </w:r>
      <w:r>
        <w:rPr>
          <w:rFonts w:hint="eastAsia" w:ascii="宋体" w:hAnsi="宋体"/>
          <w:sz w:val="21"/>
          <w:szCs w:val="21"/>
          <w:highlight w:val="none"/>
        </w:rPr>
        <w:t>月</w:t>
      </w:r>
      <w:r>
        <w:rPr>
          <w:rFonts w:hint="eastAsia" w:ascii="宋体" w:hAnsi="宋体"/>
          <w:sz w:val="21"/>
          <w:szCs w:val="21"/>
          <w:highlight w:val="none"/>
          <w:lang w:val="en-US" w:eastAsia="zh-CN"/>
        </w:rPr>
        <w:t>17</w:t>
      </w:r>
      <w:r>
        <w:rPr>
          <w:rFonts w:hint="eastAsia" w:ascii="宋体" w:hAnsi="宋体"/>
          <w:sz w:val="21"/>
          <w:szCs w:val="21"/>
          <w:highlight w:val="none"/>
        </w:rPr>
        <w:t>日上午8时30分起至202</w:t>
      </w:r>
      <w:r>
        <w:rPr>
          <w:rFonts w:hint="eastAsia" w:ascii="宋体" w:hAnsi="宋体"/>
          <w:sz w:val="21"/>
          <w:szCs w:val="21"/>
          <w:highlight w:val="none"/>
          <w:lang w:val="en-US" w:eastAsia="zh-CN"/>
        </w:rPr>
        <w:t>5</w:t>
      </w:r>
      <w:r>
        <w:rPr>
          <w:rFonts w:hint="eastAsia" w:ascii="宋体" w:hAnsi="宋体"/>
          <w:sz w:val="21"/>
          <w:szCs w:val="21"/>
          <w:highlight w:val="none"/>
        </w:rPr>
        <w:t>年</w:t>
      </w:r>
      <w:r>
        <w:rPr>
          <w:rFonts w:hint="eastAsia" w:ascii="宋体" w:hAnsi="宋体"/>
          <w:sz w:val="21"/>
          <w:szCs w:val="21"/>
          <w:highlight w:val="none"/>
          <w:lang w:val="en-US" w:eastAsia="zh-CN"/>
        </w:rPr>
        <w:t>07</w:t>
      </w:r>
      <w:r>
        <w:rPr>
          <w:rFonts w:hint="eastAsia" w:ascii="宋体" w:hAnsi="宋体"/>
          <w:sz w:val="21"/>
          <w:szCs w:val="21"/>
          <w:highlight w:val="none"/>
        </w:rPr>
        <w:t>月</w:t>
      </w:r>
      <w:r>
        <w:rPr>
          <w:rFonts w:hint="eastAsia" w:ascii="宋体" w:hAnsi="宋体"/>
          <w:sz w:val="21"/>
          <w:szCs w:val="21"/>
          <w:highlight w:val="none"/>
          <w:lang w:val="en-US" w:eastAsia="zh-CN"/>
        </w:rPr>
        <w:t>24</w:t>
      </w:r>
      <w:r>
        <w:rPr>
          <w:rFonts w:hint="eastAsia" w:ascii="宋体" w:hAnsi="宋体"/>
          <w:sz w:val="21"/>
          <w:szCs w:val="21"/>
          <w:highlight w:val="none"/>
        </w:rPr>
        <w:t>日下午16时00分止（北京时间）；</w:t>
      </w:r>
    </w:p>
    <w:p>
      <w:pPr>
        <w:spacing w:line="380" w:lineRule="exact"/>
        <w:ind w:firstLine="420" w:firstLineChars="200"/>
        <w:rPr>
          <w:rFonts w:ascii="宋体" w:hAnsi="宋体"/>
          <w:sz w:val="21"/>
          <w:szCs w:val="21"/>
          <w:highlight w:val="none"/>
        </w:rPr>
      </w:pPr>
      <w:r>
        <w:rPr>
          <w:rFonts w:hint="eastAsia" w:ascii="宋体" w:hAnsi="宋体"/>
          <w:sz w:val="21"/>
          <w:szCs w:val="21"/>
          <w:highlight w:val="none"/>
          <w:lang w:eastAsia="en-US"/>
        </w:rPr>
        <w:t>地点：政府采购云平台（网址：http:// www.zcygov.cn）</w:t>
      </w:r>
      <w:r>
        <w:rPr>
          <w:rFonts w:hint="eastAsia" w:ascii="宋体" w:hAnsi="宋体"/>
          <w:sz w:val="21"/>
          <w:szCs w:val="21"/>
          <w:highlight w:val="none"/>
        </w:rPr>
        <w:t>；</w:t>
      </w:r>
    </w:p>
    <w:p>
      <w:pPr>
        <w:spacing w:line="380" w:lineRule="exact"/>
        <w:ind w:firstLine="420" w:firstLineChars="200"/>
        <w:rPr>
          <w:rFonts w:ascii="宋体" w:hAnsi="宋体"/>
          <w:sz w:val="21"/>
          <w:szCs w:val="21"/>
          <w:highlight w:val="none"/>
        </w:rPr>
      </w:pPr>
      <w:r>
        <w:rPr>
          <w:rFonts w:hint="eastAsia" w:ascii="宋体" w:hAnsi="宋体"/>
          <w:sz w:val="21"/>
          <w:szCs w:val="21"/>
          <w:highlight w:val="none"/>
        </w:rPr>
        <w:t>方式：潜在供应商自行登录政府采购云平台（网址：http:// www.zcygov.cn）网上注册（</w:t>
      </w:r>
      <w:r>
        <w:rPr>
          <w:rFonts w:ascii="宋体" w:hAnsi="宋体"/>
          <w:sz w:val="21"/>
          <w:szCs w:val="21"/>
          <w:highlight w:val="none"/>
        </w:rPr>
        <w:t>https://middle.zcygov.cn/v-settle-front/registry</w:t>
      </w:r>
      <w:r>
        <w:rPr>
          <w:rFonts w:hint="eastAsia" w:ascii="宋体" w:hAnsi="宋体"/>
          <w:sz w:val="21"/>
          <w:szCs w:val="21"/>
          <w:highlight w:val="none"/>
        </w:rPr>
        <w:t>）并下载招标文件，其他途径获取的招标文件开标时一律按无效投标处理）；未进行网上注册并办理CA认证的供应商将无法参与本次采购活动；</w:t>
      </w:r>
    </w:p>
    <w:p>
      <w:pPr>
        <w:spacing w:line="380" w:lineRule="exact"/>
        <w:ind w:firstLine="420" w:firstLineChars="200"/>
        <w:rPr>
          <w:rFonts w:ascii="宋体" w:hAnsi="宋体"/>
          <w:sz w:val="21"/>
          <w:szCs w:val="21"/>
          <w:highlight w:val="none"/>
        </w:rPr>
      </w:pPr>
      <w:r>
        <w:rPr>
          <w:rFonts w:hint="eastAsia" w:ascii="宋体" w:hAnsi="宋体"/>
          <w:sz w:val="21"/>
          <w:szCs w:val="21"/>
          <w:highlight w:val="none"/>
        </w:rPr>
        <w:t>售价：0元。</w:t>
      </w:r>
    </w:p>
    <w:p>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bookmarkStart w:id="13" w:name="_Toc28359005"/>
      <w:bookmarkStart w:id="14" w:name="_Toc28359082"/>
      <w:bookmarkStart w:id="15" w:name="_Toc35393793"/>
      <w:bookmarkStart w:id="16" w:name="_Toc35393624"/>
      <w:r>
        <w:rPr>
          <w:rFonts w:hint="eastAsia" w:ascii="宋体" w:hAnsi="宋体"/>
          <w:b/>
          <w:color w:val="000000" w:themeColor="text1"/>
          <w:sz w:val="21"/>
          <w:szCs w:val="21"/>
          <w:highlight w:val="none"/>
          <w14:textFill>
            <w14:solidFill>
              <w14:schemeClr w14:val="tx1"/>
            </w14:solidFill>
          </w14:textFill>
        </w:rPr>
        <w:t>四、提交投标文件</w:t>
      </w:r>
      <w:bookmarkEnd w:id="13"/>
      <w:bookmarkEnd w:id="14"/>
      <w:r>
        <w:rPr>
          <w:rFonts w:hint="eastAsia" w:ascii="宋体" w:hAnsi="宋体"/>
          <w:b/>
          <w:color w:val="000000" w:themeColor="text1"/>
          <w:sz w:val="21"/>
          <w:szCs w:val="21"/>
          <w:highlight w:val="none"/>
          <w14:textFill>
            <w14:solidFill>
              <w14:schemeClr w14:val="tx1"/>
            </w14:solidFill>
          </w14:textFill>
        </w:rPr>
        <w:t>截止时间、开标时间和地点</w:t>
      </w:r>
      <w:bookmarkEnd w:id="15"/>
      <w:bookmarkEnd w:id="16"/>
    </w:p>
    <w:p>
      <w:pPr>
        <w:spacing w:line="380" w:lineRule="exact"/>
        <w:ind w:firstLine="315" w:firstLineChars="15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时间：</w:t>
      </w:r>
      <w:r>
        <w:rPr>
          <w:rFonts w:hint="eastAsia" w:ascii="宋体" w:hAnsi="宋体" w:cs="宋体"/>
          <w:sz w:val="21"/>
          <w:szCs w:val="21"/>
          <w:highlight w:val="none"/>
          <w:lang w:eastAsia="zh-CN"/>
        </w:rPr>
        <w:t>2025年08月06日10 时00分</w:t>
      </w:r>
      <w:r>
        <w:rPr>
          <w:rFonts w:hint="eastAsia" w:ascii="宋体" w:hAnsi="宋体"/>
          <w:color w:val="000000" w:themeColor="text1"/>
          <w:sz w:val="21"/>
          <w:szCs w:val="21"/>
          <w:highlight w:val="none"/>
          <w14:textFill>
            <w14:solidFill>
              <w14:schemeClr w14:val="tx1"/>
            </w14:solidFill>
          </w14:textFill>
        </w:rPr>
        <w:t>（北京时间）；</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地点：吉利招公共资源标准化交易平台（长春市高新区鸿达街248号吉林日报副楼4楼）</w:t>
      </w:r>
      <w:r>
        <w:rPr>
          <w:rFonts w:hint="eastAsia" w:ascii="宋体" w:hAnsi="宋体"/>
          <w:color w:val="000000" w:themeColor="text1"/>
          <w:sz w:val="21"/>
          <w:szCs w:val="21"/>
          <w:highlight w:val="none"/>
          <w:lang w:eastAsia="zh-CN"/>
          <w14:textFill>
            <w14:solidFill>
              <w14:schemeClr w14:val="tx1"/>
            </w14:solidFill>
          </w14:textFill>
        </w:rPr>
        <w:t>第二开标室</w:t>
      </w:r>
      <w:r>
        <w:rPr>
          <w:rFonts w:hint="eastAsia" w:ascii="宋体" w:hAnsi="宋体"/>
          <w:color w:val="000000" w:themeColor="text1"/>
          <w:sz w:val="21"/>
          <w:szCs w:val="21"/>
          <w:highlight w:val="none"/>
          <w14:textFill>
            <w14:solidFill>
              <w14:schemeClr w14:val="tx1"/>
            </w14:solidFill>
          </w14:textFill>
        </w:rPr>
        <w:t>；</w:t>
      </w:r>
    </w:p>
    <w:p>
      <w:pPr>
        <w:spacing w:line="38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投标</w:t>
      </w:r>
      <w:r>
        <w:rPr>
          <w:rFonts w:hint="eastAsia" w:ascii="宋体" w:hAnsi="宋体"/>
          <w:sz w:val="21"/>
          <w:szCs w:val="21"/>
          <w:highlight w:val="none"/>
        </w:rPr>
        <w:t>文件提交方式：</w:t>
      </w:r>
      <w:r>
        <w:rPr>
          <w:rFonts w:ascii="宋体" w:hAnsi="宋体"/>
          <w:sz w:val="21"/>
          <w:szCs w:val="21"/>
          <w:highlight w:val="none"/>
        </w:rPr>
        <w:t>本项目执行电子化招投标</w:t>
      </w:r>
      <w:r>
        <w:rPr>
          <w:rFonts w:hint="eastAsia" w:ascii="宋体" w:hAnsi="宋体"/>
          <w:sz w:val="21"/>
          <w:szCs w:val="21"/>
          <w:highlight w:val="none"/>
        </w:rPr>
        <w:t>，</w:t>
      </w:r>
      <w:r>
        <w:rPr>
          <w:rFonts w:ascii="宋体" w:hAnsi="宋体"/>
          <w:sz w:val="21"/>
          <w:szCs w:val="21"/>
          <w:highlight w:val="none"/>
        </w:rPr>
        <w:t>须</w:t>
      </w:r>
      <w:r>
        <w:rPr>
          <w:rFonts w:hint="eastAsia" w:ascii="宋体" w:hAnsi="宋体"/>
          <w:sz w:val="21"/>
          <w:szCs w:val="21"/>
          <w:highlight w:val="none"/>
        </w:rPr>
        <w:t>通过政府采购云平台（网址：http://</w:t>
      </w:r>
      <w:r>
        <w:rPr>
          <w:rFonts w:ascii="宋体" w:hAnsi="宋体"/>
          <w:sz w:val="21"/>
          <w:szCs w:val="21"/>
          <w:highlight w:val="none"/>
        </w:rPr>
        <w:t xml:space="preserve"> www.zcygov.cn</w:t>
      </w:r>
      <w:r>
        <w:rPr>
          <w:rFonts w:hint="eastAsia" w:ascii="宋体" w:hAnsi="宋体"/>
          <w:sz w:val="21"/>
          <w:szCs w:val="21"/>
          <w:highlight w:val="none"/>
        </w:rPr>
        <w:t>）递交电子版投标文件（开标时间后30分钟内，由供应商持制作该电子投标文件的同一数字证书（CA锁）及电脑进行解密）；</w:t>
      </w:r>
    </w:p>
    <w:p>
      <w:pPr>
        <w:spacing w:line="380" w:lineRule="exact"/>
        <w:ind w:firstLine="420" w:firstLineChars="200"/>
        <w:rPr>
          <w:rFonts w:ascii="宋体" w:hAnsi="宋体"/>
          <w:sz w:val="21"/>
          <w:szCs w:val="21"/>
          <w:highlight w:val="none"/>
        </w:rPr>
      </w:pPr>
      <w:r>
        <w:rPr>
          <w:rFonts w:hint="eastAsia" w:ascii="宋体" w:hAnsi="宋体"/>
          <w:sz w:val="21"/>
          <w:szCs w:val="21"/>
          <w:highlight w:val="none"/>
        </w:rPr>
        <w:t>投标操作流程：供应商在政府采购云平台网注册入库成为正式供应商后，在平台上按《政府采购项目电子交易管理操作指南-供应商》进行投标操作，供应商须办理数字证书方可参加投标。</w:t>
      </w:r>
    </w:p>
    <w:p>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bookmarkStart w:id="17" w:name="_Toc35393625"/>
      <w:bookmarkStart w:id="18" w:name="_Toc28359007"/>
      <w:bookmarkStart w:id="19" w:name="_Toc35393794"/>
      <w:bookmarkStart w:id="20" w:name="_Toc28359084"/>
      <w:r>
        <w:rPr>
          <w:rFonts w:hint="eastAsia" w:ascii="宋体" w:hAnsi="宋体"/>
          <w:b/>
          <w:color w:val="000000" w:themeColor="text1"/>
          <w:sz w:val="21"/>
          <w:szCs w:val="21"/>
          <w:highlight w:val="none"/>
          <w14:textFill>
            <w14:solidFill>
              <w14:schemeClr w14:val="tx1"/>
            </w14:solidFill>
          </w14:textFill>
        </w:rPr>
        <w:t>五、公告期限</w:t>
      </w:r>
      <w:bookmarkEnd w:id="17"/>
      <w:bookmarkEnd w:id="18"/>
      <w:bookmarkEnd w:id="19"/>
      <w:bookmarkEnd w:id="20"/>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sz w:val="21"/>
          <w:szCs w:val="21"/>
          <w:highlight w:val="none"/>
        </w:rPr>
        <w:t>自本公告发布之日起5个工作日</w:t>
      </w:r>
      <w:r>
        <w:rPr>
          <w:rFonts w:hint="eastAsia" w:ascii="宋体" w:hAnsi="宋体"/>
          <w:color w:val="000000" w:themeColor="text1"/>
          <w:sz w:val="21"/>
          <w:szCs w:val="21"/>
          <w:highlight w:val="none"/>
          <w14:textFill>
            <w14:solidFill>
              <w14:schemeClr w14:val="tx1"/>
            </w14:solidFill>
          </w14:textFill>
        </w:rPr>
        <w:t>。</w:t>
      </w:r>
    </w:p>
    <w:p>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bookmarkStart w:id="21" w:name="_Toc35393626"/>
      <w:bookmarkStart w:id="22" w:name="_Toc35393795"/>
      <w:r>
        <w:rPr>
          <w:rFonts w:hint="eastAsia" w:ascii="宋体" w:hAnsi="宋体"/>
          <w:b/>
          <w:color w:val="000000" w:themeColor="text1"/>
          <w:sz w:val="21"/>
          <w:szCs w:val="21"/>
          <w:highlight w:val="none"/>
          <w14:textFill>
            <w14:solidFill>
              <w14:schemeClr w14:val="tx1"/>
            </w14:solidFill>
          </w14:textFill>
        </w:rPr>
        <w:t>六、其他补充事宜</w:t>
      </w:r>
      <w:bookmarkEnd w:id="21"/>
      <w:bookmarkEnd w:id="22"/>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1.公告发布媒体：</w:t>
      </w:r>
      <w:r>
        <w:rPr>
          <w:rFonts w:hint="eastAsia" w:ascii="宋体" w:hAnsi="宋体" w:eastAsia="宋体" w:cs="宋体"/>
          <w:sz w:val="21"/>
          <w:szCs w:val="21"/>
          <w:highlight w:val="none"/>
          <w:lang w:eastAsia="zh-CN"/>
        </w:rPr>
        <w:t>在政府采购云平台（http:// www.zcygov.cn）(同步推送到吉林省政府采购网（http://www.ccgp-jilin.gov.cn/）、长春市公共资源交易网、中国政府采购网</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上发布</w:t>
      </w:r>
      <w:r>
        <w:rPr>
          <w:rFonts w:hint="eastAsia" w:ascii="宋体" w:hAnsi="宋体"/>
          <w:color w:val="000000" w:themeColor="text1"/>
          <w:sz w:val="21"/>
          <w:szCs w:val="21"/>
          <w:highlight w:val="none"/>
          <w14:textFill>
            <w14:solidFill>
              <w14:schemeClr w14:val="tx1"/>
            </w14:solidFill>
          </w14:textFill>
        </w:rPr>
        <w:t>；</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2.若对项目采购电子交易系统操作有疑问，可登录“政采云”平台（https://www.zcygov.cn/）点击右侧咨询小采，获取采小蜜智能服务管家帮助，或拨打政采云服务热线95763获取热线服务帮助。</w:t>
      </w:r>
    </w:p>
    <w:p>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bookmarkStart w:id="23" w:name="_Toc35393627"/>
      <w:bookmarkStart w:id="24" w:name="_Toc28359085"/>
      <w:bookmarkStart w:id="25" w:name="_Toc35393796"/>
      <w:bookmarkStart w:id="26" w:name="_Toc28359008"/>
      <w:r>
        <w:rPr>
          <w:rFonts w:hint="eastAsia" w:ascii="宋体" w:hAnsi="宋体"/>
          <w:b/>
          <w:color w:val="000000" w:themeColor="text1"/>
          <w:sz w:val="21"/>
          <w:szCs w:val="21"/>
          <w:highlight w:val="none"/>
          <w14:textFill>
            <w14:solidFill>
              <w14:schemeClr w14:val="tx1"/>
            </w14:solidFill>
          </w14:textFill>
        </w:rPr>
        <w:t>七、对本次招标提出询问，请按以下方式联系</w:t>
      </w:r>
      <w:bookmarkEnd w:id="23"/>
      <w:bookmarkEnd w:id="24"/>
      <w:bookmarkEnd w:id="25"/>
      <w:bookmarkEnd w:id="26"/>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bookmarkStart w:id="27" w:name="_Toc35393637"/>
      <w:bookmarkStart w:id="28" w:name="_Toc28359096"/>
      <w:bookmarkStart w:id="29" w:name="_Toc35393806"/>
      <w:bookmarkStart w:id="30" w:name="_Toc28359019"/>
      <w:r>
        <w:rPr>
          <w:rFonts w:hint="eastAsia" w:ascii="宋体" w:hAnsi="宋体"/>
          <w:color w:val="000000" w:themeColor="text1"/>
          <w:sz w:val="21"/>
          <w:szCs w:val="21"/>
          <w:highlight w:val="none"/>
          <w14:textFill>
            <w14:solidFill>
              <w14:schemeClr w14:val="tx1"/>
            </w14:solidFill>
          </w14:textFill>
        </w:rPr>
        <w:t>1.采购人信息</w:t>
      </w:r>
      <w:bookmarkEnd w:id="27"/>
      <w:bookmarkEnd w:id="28"/>
      <w:bookmarkEnd w:id="29"/>
      <w:bookmarkEnd w:id="30"/>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名  称：浙江大学医学院附属妇产科医院吉林医院（长春市妇产医院、长春市妇幼保健院） </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  址：长春市南关区西五马路555号</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bookmarkStart w:id="31" w:name="_Toc28359097"/>
      <w:bookmarkStart w:id="32" w:name="_Toc35393638"/>
      <w:bookmarkStart w:id="33" w:name="_Toc35393807"/>
      <w:bookmarkStart w:id="34" w:name="_Toc28359020"/>
      <w:r>
        <w:rPr>
          <w:rFonts w:hint="eastAsia" w:ascii="宋体" w:hAnsi="宋体"/>
          <w:color w:val="000000" w:themeColor="text1"/>
          <w:sz w:val="21"/>
          <w:szCs w:val="21"/>
          <w:highlight w:val="none"/>
          <w14:textFill>
            <w14:solidFill>
              <w14:schemeClr w14:val="tx1"/>
            </w14:solidFill>
          </w14:textFill>
        </w:rPr>
        <w:t>联系人：</w:t>
      </w:r>
      <w:r>
        <w:rPr>
          <w:rFonts w:hint="eastAsia" w:ascii="宋体" w:hAnsi="宋体"/>
          <w:color w:val="000000" w:themeColor="text1"/>
          <w:sz w:val="21"/>
          <w:szCs w:val="21"/>
          <w:highlight w:val="none"/>
          <w:lang w:eastAsia="zh-CN"/>
          <w14:textFill>
            <w14:solidFill>
              <w14:schemeClr w14:val="tx1"/>
            </w14:solidFill>
          </w14:textFill>
        </w:rPr>
        <w:t>孙成兴</w:t>
      </w:r>
      <w:r>
        <w:rPr>
          <w:rFonts w:hint="eastAsia" w:ascii="宋体" w:hAnsi="宋体"/>
          <w:color w:val="000000" w:themeColor="text1"/>
          <w:sz w:val="21"/>
          <w:szCs w:val="21"/>
          <w:highlight w:val="none"/>
          <w14:textFill>
            <w14:solidFill>
              <w14:schemeClr w14:val="tx1"/>
            </w14:solidFill>
          </w14:textFill>
        </w:rPr>
        <w:t xml:space="preserve">       </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联系方式：0431-82903702</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2.采购代理机构信息</w:t>
      </w:r>
      <w:bookmarkEnd w:id="31"/>
      <w:bookmarkEnd w:id="32"/>
      <w:bookmarkEnd w:id="33"/>
      <w:bookmarkEnd w:id="34"/>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称：吉林省致诚项目管理有限公司</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  址：</w:t>
      </w:r>
      <w:r>
        <w:rPr>
          <w:rFonts w:hint="eastAsia" w:ascii="宋体" w:hAnsi="宋体"/>
          <w:color w:val="000000" w:themeColor="text1"/>
          <w:sz w:val="21"/>
          <w:szCs w:val="21"/>
          <w:highlight w:val="none"/>
          <w:lang w:eastAsia="zh-CN"/>
          <w14:textFill>
            <w14:solidFill>
              <w14:schemeClr w14:val="tx1"/>
            </w14:solidFill>
          </w14:textFill>
        </w:rPr>
        <w:t xml:space="preserve">长春市南关区华庆南路钜城上景A3-2栋806室  </w:t>
      </w:r>
      <w:r>
        <w:rPr>
          <w:rFonts w:hint="eastAsia" w:ascii="宋体" w:hAnsi="宋体"/>
          <w:color w:val="000000" w:themeColor="text1"/>
          <w:sz w:val="21"/>
          <w:szCs w:val="21"/>
          <w:highlight w:val="none"/>
          <w14:textFill>
            <w14:solidFill>
              <w14:schemeClr w14:val="tx1"/>
            </w14:solidFill>
          </w14:textFill>
        </w:rPr>
        <w:t xml:space="preserve">    </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联系方式：13394306657（曹波）</w:t>
      </w:r>
      <w:bookmarkStart w:id="35" w:name="_Toc35393639"/>
      <w:bookmarkStart w:id="36" w:name="_Toc28359098"/>
      <w:bookmarkStart w:id="37" w:name="_Toc35393808"/>
      <w:bookmarkStart w:id="38" w:name="_Toc28359021"/>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3.项目联系方式</w:t>
      </w:r>
      <w:bookmarkEnd w:id="35"/>
      <w:bookmarkEnd w:id="36"/>
      <w:bookmarkEnd w:id="37"/>
      <w:bookmarkEnd w:id="38"/>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项目联系人：曹波</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电    　话：13394306657（办公电话）</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4.监督部门：长春市财政局政府采购管理工作办公室</w:t>
      </w:r>
    </w:p>
    <w:bookmarkEnd w:id="4"/>
    <w:p>
      <w:pPr>
        <w:rPr>
          <w:color w:val="000000" w:themeColor="text1"/>
          <w:highlight w:val="none"/>
          <w14:textFill>
            <w14:solidFill>
              <w14:schemeClr w14:val="tx1"/>
            </w14:solidFill>
          </w14:textFill>
        </w:rPr>
      </w:pPr>
    </w:p>
    <w:p>
      <w:pPr>
        <w:pStyle w:val="19"/>
        <w:rPr>
          <w:highlight w:val="none"/>
        </w:rPr>
      </w:pP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来源：吉林省致诚项目管理有限公司</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初审：曹波             </w:t>
      </w:r>
    </w:p>
    <w:p>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复审：刘佳佳</w:t>
      </w:r>
    </w:p>
    <w:p>
      <w:pPr>
        <w:spacing w:line="380" w:lineRule="exact"/>
        <w:ind w:firstLine="420" w:firstLineChars="200"/>
        <w:rPr>
          <w:highlight w:val="none"/>
        </w:rPr>
      </w:pPr>
      <w:r>
        <w:rPr>
          <w:rFonts w:hint="eastAsia" w:ascii="宋体" w:hAnsi="宋体"/>
          <w:color w:val="000000" w:themeColor="text1"/>
          <w:sz w:val="21"/>
          <w:szCs w:val="21"/>
          <w:highlight w:val="none"/>
          <w14:textFill>
            <w14:solidFill>
              <w14:schemeClr w14:val="tx1"/>
            </w14:solidFill>
          </w14:textFill>
        </w:rPr>
        <w:t>终审：孙丽萍</w:t>
      </w:r>
      <w:r>
        <w:rPr>
          <w:highlight w:val="none"/>
        </w:rPr>
        <w:br w:type="page"/>
      </w:r>
    </w:p>
    <w:p>
      <w:pPr>
        <w:pStyle w:val="2"/>
        <w:spacing w:before="0" w:after="0"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第二部分  供应商须知</w:t>
      </w:r>
      <w:bookmarkEnd w:id="3"/>
    </w:p>
    <w:p>
      <w:pPr>
        <w:pStyle w:val="1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一、供应商须知前附表</w:t>
      </w:r>
    </w:p>
    <w:tbl>
      <w:tblPr>
        <w:tblStyle w:val="43"/>
        <w:tblW w:w="91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4"/>
        <w:gridCol w:w="2024"/>
        <w:gridCol w:w="63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ind w:right="-358"/>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项号</w:t>
            </w: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内</w:t>
            </w:r>
            <w:r>
              <w:rPr>
                <w:rFonts w:asciiTheme="minorEastAsia" w:hAnsiTheme="minorEastAsia" w:eastAsiaTheme="minorEastAsia"/>
                <w:color w:val="000000" w:themeColor="text1"/>
                <w:sz w:val="21"/>
                <w:szCs w:val="21"/>
                <w:highlight w:val="none"/>
                <w14:textFill>
                  <w14:solidFill>
                    <w14:schemeClr w14:val="tx1"/>
                  </w14:solidFill>
                </w14:textFill>
              </w:rPr>
              <w:t xml:space="preserve">    容</w:t>
            </w:r>
          </w:p>
        </w:tc>
        <w:tc>
          <w:tcPr>
            <w:tcW w:w="6373"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采购人</w:t>
            </w:r>
          </w:p>
        </w:tc>
        <w:tc>
          <w:tcPr>
            <w:tcW w:w="637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名称：浙江大学医学院附属妇产科医院吉林医院（长春市妇产医院、长春市妇幼保健院）</w:t>
            </w:r>
          </w:p>
          <w:p>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地址：长春市南关区西五马路555号</w:t>
            </w:r>
          </w:p>
          <w:p>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联系人：</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孙成兴</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p>
          <w:p>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联系方式：0431-82903702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sz w:val="21"/>
                <w:szCs w:val="21"/>
                <w:highlight w:val="none"/>
              </w:rPr>
              <w:t>采购代理机构</w:t>
            </w:r>
          </w:p>
        </w:tc>
        <w:tc>
          <w:tcPr>
            <w:tcW w:w="637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名称：吉林省致诚项目管理有限公司</w:t>
            </w:r>
          </w:p>
          <w:p>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地址：</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 xml:space="preserve">长春市南关区华庆南路钜城上景A3-2栋806室  </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p>
          <w:p>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联系方式：13394306657（曹波）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项目名称</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项目</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编号</w:t>
            </w:r>
          </w:p>
        </w:tc>
        <w:tc>
          <w:tcPr>
            <w:tcW w:w="6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exact"/>
              <w:jc w:val="both"/>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项目名称：麻醉监护仪等设备采购项目</w:t>
            </w:r>
          </w:p>
          <w:p>
            <w:pPr>
              <w:pStyle w:val="19"/>
              <w:keepNext w:val="0"/>
              <w:keepLines w:val="0"/>
              <w:pageBreakBefore w:val="0"/>
              <w:kinsoku/>
              <w:wordWrap/>
              <w:overflowPunct/>
              <w:topLinePunct w:val="0"/>
              <w:autoSpaceDE/>
              <w:autoSpaceDN/>
              <w:bidi w:val="0"/>
              <w:snapToGrid/>
              <w:spacing w:line="300" w:lineRule="exact"/>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sz w:val="21"/>
                <w:szCs w:val="21"/>
                <w:highlight w:val="none"/>
                <w:lang w:val="en-US" w:eastAsia="zh-CN"/>
              </w:rPr>
              <w:t>项目编号</w:t>
            </w:r>
            <w:r>
              <w:rPr>
                <w:rFonts w:hint="eastAsia"/>
                <w:sz w:val="21"/>
                <w:szCs w:val="21"/>
                <w:highlight w:val="none"/>
                <w:lang w:val="zh-CN"/>
              </w:rPr>
              <w:t>：</w:t>
            </w:r>
            <w:r>
              <w:rPr>
                <w:rFonts w:hint="eastAsia" w:ascii="宋体" w:hAnsi="宋体"/>
                <w:color w:val="000000" w:themeColor="text1"/>
                <w:sz w:val="21"/>
                <w:szCs w:val="21"/>
                <w:highlight w:val="none"/>
                <w:lang w:eastAsia="zh-CN"/>
                <w14:textFill>
                  <w14:solidFill>
                    <w14:schemeClr w14:val="tx1"/>
                  </w14:solidFill>
                </w14:textFill>
              </w:rPr>
              <w:t>JM-2025-05-00562</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2025ZCZB0713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7" w:hRule="atLeast"/>
          <w:jc w:val="center"/>
        </w:trPr>
        <w:tc>
          <w:tcPr>
            <w:tcW w:w="794" w:type="dxa"/>
            <w:tcBorders>
              <w:top w:val="single" w:color="auto" w:sz="4" w:space="0"/>
              <w:left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pPr>
              <w:spacing w:line="300" w:lineRule="exact"/>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预算金额</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最高限价</w:t>
            </w:r>
          </w:p>
        </w:tc>
        <w:tc>
          <w:tcPr>
            <w:tcW w:w="6373" w:type="dxa"/>
            <w:tcBorders>
              <w:top w:val="single" w:color="auto" w:sz="4" w:space="0"/>
              <w:left w:val="single" w:color="auto" w:sz="4" w:space="0"/>
              <w:bottom w:val="single" w:color="auto" w:sz="4" w:space="0"/>
              <w:right w:val="single" w:color="auto" w:sz="4" w:space="0"/>
            </w:tcBorders>
            <w:vAlign w:val="center"/>
          </w:tcPr>
          <w:p>
            <w:pPr>
              <w:pStyle w:val="19"/>
              <w:keepNext w:val="0"/>
              <w:keepLines w:val="0"/>
              <w:pageBreakBefore w:val="0"/>
              <w:kinsoku/>
              <w:wordWrap/>
              <w:overflowPunct/>
              <w:topLinePunct w:val="0"/>
              <w:autoSpaceDE/>
              <w:autoSpaceDN/>
              <w:bidi w:val="0"/>
              <w:snapToGrid/>
              <w:spacing w:line="300" w:lineRule="exac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sz w:val="21"/>
                <w:szCs w:val="21"/>
                <w:highlight w:val="none"/>
                <w:lang w:val="en-US" w:eastAsia="zh-CN"/>
              </w:rPr>
              <w:t>预算总金额</w:t>
            </w:r>
            <w:r>
              <w:rPr>
                <w:rFonts w:hint="eastAsia" w:ascii="宋体" w:hAnsi="宋体" w:eastAsia="宋体" w:cs="宋体"/>
                <w:b w:val="0"/>
                <w:bCs w:val="0"/>
                <w:sz w:val="21"/>
                <w:szCs w:val="21"/>
                <w:highlight w:val="none"/>
                <w:lang w:val="zh-CN"/>
              </w:rPr>
              <w:t>：</w:t>
            </w:r>
            <w:r>
              <w:rPr>
                <w:rFonts w:hint="eastAsia" w:ascii="宋体" w:hAnsi="宋体" w:cs="宋体"/>
                <w:b w:val="0"/>
                <w:bCs w:val="0"/>
                <w:sz w:val="21"/>
                <w:szCs w:val="21"/>
                <w:highlight w:val="none"/>
                <w:lang w:val="en-US" w:eastAsia="zh-CN"/>
              </w:rPr>
              <w:t>534</w:t>
            </w:r>
            <w:r>
              <w:rPr>
                <w:rFonts w:hint="eastAsia" w:ascii="宋体" w:hAnsi="宋体" w:eastAsia="宋体" w:cs="宋体"/>
                <w:b w:val="0"/>
                <w:bCs w:val="0"/>
                <w:sz w:val="21"/>
                <w:szCs w:val="21"/>
                <w:highlight w:val="none"/>
                <w:lang w:val="en-US" w:eastAsia="zh-CN"/>
              </w:rPr>
              <w:t>万元；</w:t>
            </w:r>
          </w:p>
          <w:p>
            <w:pPr>
              <w:spacing w:line="300" w:lineRule="exact"/>
              <w:jc w:val="both"/>
              <w:rPr>
                <w:rFonts w:hint="eastAsia" w:cs="宋体" w:asciiTheme="minorEastAsia" w:hAnsiTheme="minorEastAsia" w:eastAsiaTheme="minorEastAsia"/>
                <w:b/>
                <w:bCs/>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21"/>
                <w:szCs w:val="21"/>
                <w:highlight w:val="none"/>
                <w:lang w:val="en-US" w:eastAsia="zh-CN"/>
                <w14:textFill>
                  <w14:solidFill>
                    <w14:schemeClr w14:val="tx1"/>
                  </w14:solidFill>
                </w14:textFill>
              </w:rPr>
              <w:t>注：</w:t>
            </w:r>
            <w:r>
              <w:rPr>
                <w:rFonts w:hint="eastAsia" w:cs="宋体" w:asciiTheme="minorEastAsia" w:hAnsiTheme="minorEastAsia" w:eastAsiaTheme="minorEastAsia"/>
                <w:b/>
                <w:bCs/>
                <w:color w:val="000000" w:themeColor="text1"/>
                <w:sz w:val="21"/>
                <w:szCs w:val="21"/>
                <w:highlight w:val="none"/>
                <w:lang w:val="zh-CN"/>
                <w14:textFill>
                  <w14:solidFill>
                    <w14:schemeClr w14:val="tx1"/>
                  </w14:solidFill>
                </w14:textFill>
              </w:rPr>
              <w:t>供应商报价不得超</w:t>
            </w:r>
            <w:r>
              <w:rPr>
                <w:rFonts w:hint="eastAsia" w:cs="宋体" w:asciiTheme="minorEastAsia" w:hAnsiTheme="minorEastAsia" w:eastAsiaTheme="minorEastAsia"/>
                <w:b/>
                <w:bCs/>
                <w:color w:val="000000" w:themeColor="text1"/>
                <w:sz w:val="21"/>
                <w:szCs w:val="21"/>
                <w:highlight w:val="none"/>
                <w:lang w:val="en-US" w:eastAsia="zh-CN"/>
                <w14:textFill>
                  <w14:solidFill>
                    <w14:schemeClr w14:val="tx1"/>
                  </w14:solidFill>
                </w14:textFill>
              </w:rPr>
              <w:t>最高限价</w:t>
            </w:r>
            <w:r>
              <w:rPr>
                <w:rFonts w:hint="eastAsia" w:cs="宋体" w:asciiTheme="minorEastAsia" w:hAnsiTheme="minorEastAsia" w:eastAsiaTheme="minorEastAsia"/>
                <w:b/>
                <w:bCs/>
                <w:color w:val="000000" w:themeColor="text1"/>
                <w:sz w:val="21"/>
                <w:szCs w:val="21"/>
                <w:highlight w:val="none"/>
                <w:lang w:val="zh-CN"/>
                <w14:textFill>
                  <w14:solidFill>
                    <w14:schemeClr w14:val="tx1"/>
                  </w14:solidFill>
                </w14:textFill>
              </w:rPr>
              <w:t>，否则按废标处理。</w:t>
            </w:r>
          </w:p>
          <w:tbl>
            <w:tblPr>
              <w:tblStyle w:val="44"/>
              <w:tblW w:w="6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1146"/>
              <w:gridCol w:w="1455"/>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257" w:type="dxa"/>
                  <w:shd w:val="clear" w:color="auto" w:fill="auto"/>
                  <w:vAlign w:val="center"/>
                </w:tcPr>
                <w:p>
                  <w:pPr>
                    <w:widowControl w:val="0"/>
                    <w:spacing w:line="300" w:lineRule="exact"/>
                    <w:jc w:val="center"/>
                    <w:rPr>
                      <w:rFonts w:hint="eastAsia" w:cs="Times New Roman" w:asciiTheme="minorEastAsia" w:hAnsiTheme="minorEastAsia" w:eastAsiaTheme="minorEastAsia"/>
                      <w:b/>
                      <w:bCs/>
                      <w:color w:val="000000" w:themeColor="text1"/>
                      <w:sz w:val="21"/>
                      <w:szCs w:val="21"/>
                      <w:highlight w:val="none"/>
                      <w:lang w:val="zh-CN" w:eastAsia="zh-CN"/>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eastAsia="zh-CN"/>
                      <w14:textFill>
                        <w14:solidFill>
                          <w14:schemeClr w14:val="tx1"/>
                        </w14:solidFill>
                      </w14:textFill>
                    </w:rPr>
                    <w:t>产品名称</w:t>
                  </w:r>
                </w:p>
              </w:tc>
              <w:tc>
                <w:tcPr>
                  <w:tcW w:w="1146" w:type="dxa"/>
                  <w:shd w:val="clear" w:color="auto" w:fill="auto"/>
                  <w:vAlign w:val="center"/>
                </w:tcPr>
                <w:p>
                  <w:pPr>
                    <w:widowControl w:val="0"/>
                    <w:spacing w:line="300" w:lineRule="exact"/>
                    <w:jc w:val="center"/>
                    <w:rPr>
                      <w:rFonts w:hint="eastAsia" w:cs="Times New Roman" w:asciiTheme="minorEastAsia" w:hAnsiTheme="minorEastAsia" w:eastAsiaTheme="minorEastAsia"/>
                      <w:b/>
                      <w:bCs/>
                      <w:color w:val="000000" w:themeColor="text1"/>
                      <w:sz w:val="21"/>
                      <w:szCs w:val="21"/>
                      <w:highlight w:val="none"/>
                      <w:lang w:val="zh-CN" w:eastAsia="zh-CN"/>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eastAsia="zh-CN"/>
                      <w14:textFill>
                        <w14:solidFill>
                          <w14:schemeClr w14:val="tx1"/>
                        </w14:solidFill>
                      </w14:textFill>
                    </w:rPr>
                    <w:t>数量</w:t>
                  </w:r>
                </w:p>
              </w:tc>
              <w:tc>
                <w:tcPr>
                  <w:tcW w:w="1455" w:type="dxa"/>
                  <w:shd w:val="clear" w:color="auto" w:fill="auto"/>
                  <w:vAlign w:val="center"/>
                </w:tcPr>
                <w:p>
                  <w:pPr>
                    <w:widowControl w:val="0"/>
                    <w:spacing w:line="300" w:lineRule="exact"/>
                    <w:jc w:val="center"/>
                    <w:rPr>
                      <w:rFonts w:hint="default" w:cs="Times New Roman" w:asciiTheme="minorEastAsia" w:hAnsiTheme="minorEastAsia" w:eastAsiaTheme="minorEastAsia"/>
                      <w:b/>
                      <w:bCs/>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eastAsia="zh-CN"/>
                      <w14:textFill>
                        <w14:solidFill>
                          <w14:schemeClr w14:val="tx1"/>
                        </w14:solidFill>
                      </w14:textFill>
                    </w:rPr>
                    <w:t>预算</w:t>
                  </w:r>
                  <w:r>
                    <w:rPr>
                      <w:rFonts w:hint="eastAsia" w:cs="Times New Roman" w:asciiTheme="minorEastAsia" w:hAnsiTheme="minorEastAsia" w:eastAsiaTheme="minorEastAsia"/>
                      <w:b/>
                      <w:bCs/>
                      <w:color w:val="000000" w:themeColor="text1"/>
                      <w:sz w:val="21"/>
                      <w:szCs w:val="21"/>
                      <w:highlight w:val="none"/>
                      <w:lang w:val="en-US" w:eastAsia="zh-CN"/>
                      <w14:textFill>
                        <w14:solidFill>
                          <w14:schemeClr w14:val="tx1"/>
                        </w14:solidFill>
                      </w14:textFill>
                    </w:rPr>
                    <w:t>金额</w:t>
                  </w:r>
                </w:p>
              </w:tc>
              <w:tc>
                <w:tcPr>
                  <w:tcW w:w="1224" w:type="dxa"/>
                  <w:shd w:val="clear" w:color="auto" w:fill="auto"/>
                  <w:vAlign w:val="center"/>
                </w:tcPr>
                <w:p>
                  <w:pPr>
                    <w:widowControl w:val="0"/>
                    <w:spacing w:line="300" w:lineRule="exact"/>
                    <w:jc w:val="center"/>
                    <w:rPr>
                      <w:rFonts w:hint="eastAsia" w:cs="Times New Roman" w:asciiTheme="minorEastAsia" w:hAnsiTheme="minorEastAsia" w:eastAsiaTheme="minorEastAsia"/>
                      <w:b/>
                      <w:bCs/>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en-US" w:eastAsia="zh-CN"/>
                      <w14:textFill>
                        <w14:solidFill>
                          <w14:schemeClr w14:val="tx1"/>
                        </w14:solidFill>
                      </w14:textFill>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257" w:type="dxa"/>
                  <w:vAlign w:val="center"/>
                </w:tcPr>
                <w:p>
                  <w:pPr>
                    <w:pStyle w:val="94"/>
                    <w:jc w:val="center"/>
                    <w:rPr>
                      <w:rFonts w:hint="eastAsia" w:cs="Times New Roman" w:asciiTheme="minorEastAsia" w:hAnsiTheme="minorEastAsia" w:eastAsiaTheme="minorEastAsia"/>
                      <w:b/>
                      <w:bCs/>
                      <w:color w:val="000000" w:themeColor="text1"/>
                      <w:sz w:val="21"/>
                      <w:szCs w:val="21"/>
                      <w:highlight w:val="none"/>
                      <w:lang w:val="zh-CN" w:eastAsia="zh-CN" w:bidi="ar-SA"/>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zh-CN" w:eastAsia="zh-CN" w:bidi="ar-SA"/>
                      <w14:textFill>
                        <w14:solidFill>
                          <w14:schemeClr w14:val="tx1"/>
                        </w14:solidFill>
                      </w14:textFill>
                    </w:rPr>
                    <w:t>心电监护仪</w:t>
                  </w:r>
                </w:p>
              </w:tc>
              <w:tc>
                <w:tcPr>
                  <w:tcW w:w="1146" w:type="dxa"/>
                  <w:vAlign w:val="center"/>
                </w:tcPr>
                <w:p>
                  <w:pPr>
                    <w:pStyle w:val="94"/>
                    <w:jc w:val="center"/>
                    <w:rPr>
                      <w:rFonts w:hint="eastAsia"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t>48台</w:t>
                  </w:r>
                </w:p>
              </w:tc>
              <w:tc>
                <w:tcPr>
                  <w:tcW w:w="1455" w:type="dxa"/>
                  <w:vAlign w:val="center"/>
                </w:tcPr>
                <w:p>
                  <w:pPr>
                    <w:pStyle w:val="94"/>
                    <w:jc w:val="center"/>
                    <w:rPr>
                      <w:rFonts w:hint="default"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t>127万元</w:t>
                  </w:r>
                </w:p>
              </w:tc>
              <w:tc>
                <w:tcPr>
                  <w:tcW w:w="1224" w:type="dxa"/>
                  <w:vAlign w:val="center"/>
                </w:tcPr>
                <w:p>
                  <w:pPr>
                    <w:pStyle w:val="94"/>
                    <w:jc w:val="center"/>
                    <w:rPr>
                      <w:rFonts w:hint="default"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t>63万元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57" w:type="dxa"/>
                  <w:vAlign w:val="center"/>
                </w:tcPr>
                <w:p>
                  <w:pPr>
                    <w:pStyle w:val="94"/>
                    <w:jc w:val="center"/>
                    <w:rPr>
                      <w:rFonts w:hint="eastAsia" w:cs="Times New Roman" w:asciiTheme="minorEastAsia" w:hAnsiTheme="minorEastAsia" w:eastAsiaTheme="minorEastAsia"/>
                      <w:b/>
                      <w:bCs/>
                      <w:color w:val="000000" w:themeColor="text1"/>
                      <w:sz w:val="21"/>
                      <w:szCs w:val="21"/>
                      <w:highlight w:val="none"/>
                      <w:lang w:val="zh-CN" w:eastAsia="zh-CN" w:bidi="ar-SA"/>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zh-CN" w:eastAsia="zh-CN" w:bidi="ar-SA"/>
                      <w14:textFill>
                        <w14:solidFill>
                          <w14:schemeClr w14:val="tx1"/>
                        </w14:solidFill>
                      </w14:textFill>
                    </w:rPr>
                    <w:t>麻醉监护仪-1</w:t>
                  </w:r>
                </w:p>
              </w:tc>
              <w:tc>
                <w:tcPr>
                  <w:tcW w:w="1146" w:type="dxa"/>
                  <w:vAlign w:val="center"/>
                </w:tcPr>
                <w:p>
                  <w:pPr>
                    <w:pStyle w:val="94"/>
                    <w:jc w:val="center"/>
                    <w:rPr>
                      <w:rFonts w:hint="eastAsia" w:cs="Times New Roman" w:asciiTheme="minorEastAsia" w:hAnsiTheme="minorEastAsia" w:eastAsiaTheme="minorEastAsia"/>
                      <w:b/>
                      <w:bCs/>
                      <w:color w:val="000000" w:themeColor="text1"/>
                      <w:sz w:val="21"/>
                      <w:szCs w:val="21"/>
                      <w:highlight w:val="none"/>
                      <w:lang w:val="zh-CN" w:eastAsia="zh-CN" w:bidi="ar-SA"/>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zh-CN" w:eastAsia="zh-CN" w:bidi="ar-SA"/>
                      <w14:textFill>
                        <w14:solidFill>
                          <w14:schemeClr w14:val="tx1"/>
                        </w14:solidFill>
                      </w14:textFill>
                    </w:rPr>
                    <w:t>4台</w:t>
                  </w:r>
                </w:p>
              </w:tc>
              <w:tc>
                <w:tcPr>
                  <w:tcW w:w="1455" w:type="dxa"/>
                  <w:vAlign w:val="center"/>
                </w:tcPr>
                <w:p>
                  <w:pPr>
                    <w:pStyle w:val="94"/>
                    <w:jc w:val="center"/>
                    <w:rPr>
                      <w:rFonts w:hint="default"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t>160万元</w:t>
                  </w:r>
                </w:p>
              </w:tc>
              <w:tc>
                <w:tcPr>
                  <w:tcW w:w="1224" w:type="dxa"/>
                  <w:vAlign w:val="center"/>
                </w:tcPr>
                <w:p>
                  <w:pPr>
                    <w:pStyle w:val="94"/>
                    <w:jc w:val="center"/>
                    <w:rPr>
                      <w:rFonts w:hint="default"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t>128万元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57" w:type="dxa"/>
                  <w:vAlign w:val="center"/>
                </w:tcPr>
                <w:p>
                  <w:pPr>
                    <w:pStyle w:val="94"/>
                    <w:jc w:val="center"/>
                    <w:rPr>
                      <w:rFonts w:hint="eastAsia" w:cs="Times New Roman" w:asciiTheme="minorEastAsia" w:hAnsiTheme="minorEastAsia" w:eastAsiaTheme="minorEastAsia"/>
                      <w:b/>
                      <w:bCs/>
                      <w:color w:val="000000" w:themeColor="text1"/>
                      <w:sz w:val="21"/>
                      <w:szCs w:val="21"/>
                      <w:highlight w:val="none"/>
                      <w:lang w:val="zh-CN" w:eastAsia="zh-CN" w:bidi="ar-SA"/>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zh-CN" w:eastAsia="zh-CN" w:bidi="ar-SA"/>
                      <w14:textFill>
                        <w14:solidFill>
                          <w14:schemeClr w14:val="tx1"/>
                        </w14:solidFill>
                      </w14:textFill>
                    </w:rPr>
                    <w:t>麻醉监护仪-2</w:t>
                  </w:r>
                </w:p>
              </w:tc>
              <w:tc>
                <w:tcPr>
                  <w:tcW w:w="1146" w:type="dxa"/>
                  <w:vAlign w:val="center"/>
                </w:tcPr>
                <w:p>
                  <w:pPr>
                    <w:pStyle w:val="94"/>
                    <w:jc w:val="center"/>
                    <w:rPr>
                      <w:rFonts w:hint="eastAsia" w:cs="Times New Roman" w:asciiTheme="minorEastAsia" w:hAnsiTheme="minorEastAsia" w:eastAsiaTheme="minorEastAsia"/>
                      <w:b/>
                      <w:bCs/>
                      <w:color w:val="000000" w:themeColor="text1"/>
                      <w:sz w:val="21"/>
                      <w:szCs w:val="21"/>
                      <w:highlight w:val="none"/>
                      <w:lang w:val="zh-CN" w:eastAsia="zh-CN" w:bidi="ar-SA"/>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zh-CN" w:eastAsia="zh-CN" w:bidi="ar-SA"/>
                      <w14:textFill>
                        <w14:solidFill>
                          <w14:schemeClr w14:val="tx1"/>
                        </w14:solidFill>
                      </w14:textFill>
                    </w:rPr>
                    <w:t xml:space="preserve"> 8台</w:t>
                  </w:r>
                </w:p>
              </w:tc>
              <w:tc>
                <w:tcPr>
                  <w:tcW w:w="1455" w:type="dxa"/>
                  <w:vAlign w:val="center"/>
                </w:tcPr>
                <w:p>
                  <w:pPr>
                    <w:pStyle w:val="94"/>
                    <w:jc w:val="center"/>
                    <w:rPr>
                      <w:rFonts w:hint="default"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t>200万元</w:t>
                  </w:r>
                </w:p>
              </w:tc>
              <w:tc>
                <w:tcPr>
                  <w:tcW w:w="1224" w:type="dxa"/>
                  <w:vAlign w:val="center"/>
                </w:tcPr>
                <w:p>
                  <w:pPr>
                    <w:pStyle w:val="94"/>
                    <w:jc w:val="center"/>
                    <w:rPr>
                      <w:rFonts w:hint="default"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t>120万元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57" w:type="dxa"/>
                  <w:vAlign w:val="center"/>
                </w:tcPr>
                <w:p>
                  <w:pPr>
                    <w:pStyle w:val="94"/>
                    <w:jc w:val="center"/>
                    <w:rPr>
                      <w:rFonts w:hint="eastAsia" w:cs="Times New Roman" w:asciiTheme="minorEastAsia" w:hAnsiTheme="minorEastAsia" w:eastAsiaTheme="minorEastAsia"/>
                      <w:b/>
                      <w:bCs/>
                      <w:color w:val="000000" w:themeColor="text1"/>
                      <w:sz w:val="21"/>
                      <w:szCs w:val="21"/>
                      <w:highlight w:val="none"/>
                      <w:lang w:val="zh-CN" w:eastAsia="zh-CN" w:bidi="ar-SA"/>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zh-CN" w:eastAsia="zh-CN" w:bidi="ar-SA"/>
                      <w14:textFill>
                        <w14:solidFill>
                          <w14:schemeClr w14:val="tx1"/>
                        </w14:solidFill>
                      </w14:textFill>
                    </w:rPr>
                    <w:t>中心监护系统</w:t>
                  </w:r>
                </w:p>
              </w:tc>
              <w:tc>
                <w:tcPr>
                  <w:tcW w:w="1146" w:type="dxa"/>
                  <w:vAlign w:val="center"/>
                </w:tcPr>
                <w:p>
                  <w:pPr>
                    <w:pStyle w:val="94"/>
                    <w:jc w:val="center"/>
                    <w:rPr>
                      <w:rFonts w:hint="eastAsia" w:cs="Times New Roman" w:asciiTheme="minorEastAsia" w:hAnsiTheme="minorEastAsia" w:eastAsiaTheme="minorEastAsia"/>
                      <w:b/>
                      <w:bCs/>
                      <w:color w:val="000000" w:themeColor="text1"/>
                      <w:sz w:val="21"/>
                      <w:szCs w:val="21"/>
                      <w:highlight w:val="none"/>
                      <w:lang w:val="zh-CN" w:eastAsia="zh-CN" w:bidi="ar-SA"/>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zh-CN" w:eastAsia="zh-CN" w:bidi="ar-SA"/>
                      <w14:textFill>
                        <w14:solidFill>
                          <w14:schemeClr w14:val="tx1"/>
                        </w14:solidFill>
                      </w14:textFill>
                    </w:rPr>
                    <w:t>1台</w:t>
                  </w:r>
                </w:p>
              </w:tc>
              <w:tc>
                <w:tcPr>
                  <w:tcW w:w="1455" w:type="dxa"/>
                  <w:vAlign w:val="center"/>
                </w:tcPr>
                <w:p>
                  <w:pPr>
                    <w:pStyle w:val="94"/>
                    <w:jc w:val="center"/>
                    <w:rPr>
                      <w:rFonts w:hint="default"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t>5万元</w:t>
                  </w:r>
                </w:p>
              </w:tc>
              <w:tc>
                <w:tcPr>
                  <w:tcW w:w="1224" w:type="dxa"/>
                  <w:vAlign w:val="center"/>
                </w:tcPr>
                <w:p>
                  <w:pPr>
                    <w:pStyle w:val="94"/>
                    <w:jc w:val="center"/>
                    <w:rPr>
                      <w:rFonts w:hint="default"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57" w:type="dxa"/>
                  <w:vAlign w:val="center"/>
                </w:tcPr>
                <w:p>
                  <w:pPr>
                    <w:pStyle w:val="94"/>
                    <w:jc w:val="center"/>
                    <w:rPr>
                      <w:rFonts w:hint="eastAsia" w:cs="Times New Roman" w:asciiTheme="minorEastAsia" w:hAnsiTheme="minorEastAsia" w:eastAsiaTheme="minorEastAsia"/>
                      <w:b/>
                      <w:bCs/>
                      <w:color w:val="000000" w:themeColor="text1"/>
                      <w:sz w:val="21"/>
                      <w:szCs w:val="21"/>
                      <w:highlight w:val="none"/>
                      <w:lang w:val="zh-CN" w:eastAsia="zh-CN" w:bidi="ar-SA"/>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zh-CN" w:eastAsia="zh-CN" w:bidi="ar-SA"/>
                      <w14:textFill>
                        <w14:solidFill>
                          <w14:schemeClr w14:val="tx1"/>
                        </w14:solidFill>
                      </w14:textFill>
                    </w:rPr>
                    <w:t>多功能监护仪-1</w:t>
                  </w:r>
                </w:p>
              </w:tc>
              <w:tc>
                <w:tcPr>
                  <w:tcW w:w="1146" w:type="dxa"/>
                  <w:vAlign w:val="center"/>
                </w:tcPr>
                <w:p>
                  <w:pPr>
                    <w:pStyle w:val="94"/>
                    <w:jc w:val="center"/>
                    <w:rPr>
                      <w:rFonts w:hint="eastAsia" w:cs="Times New Roman" w:asciiTheme="minorEastAsia" w:hAnsiTheme="minorEastAsia" w:eastAsiaTheme="minorEastAsia"/>
                      <w:b/>
                      <w:bCs/>
                      <w:color w:val="000000" w:themeColor="text1"/>
                      <w:sz w:val="21"/>
                      <w:szCs w:val="21"/>
                      <w:highlight w:val="none"/>
                      <w:lang w:val="zh-CN" w:eastAsia="zh-CN" w:bidi="ar-SA"/>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zh-CN" w:eastAsia="zh-CN" w:bidi="ar-SA"/>
                      <w14:textFill>
                        <w14:solidFill>
                          <w14:schemeClr w14:val="tx1"/>
                        </w14:solidFill>
                      </w14:textFill>
                    </w:rPr>
                    <w:t>6台</w:t>
                  </w:r>
                </w:p>
              </w:tc>
              <w:tc>
                <w:tcPr>
                  <w:tcW w:w="1455" w:type="dxa"/>
                  <w:vAlign w:val="center"/>
                </w:tcPr>
                <w:p>
                  <w:pPr>
                    <w:pStyle w:val="94"/>
                    <w:jc w:val="center"/>
                    <w:rPr>
                      <w:rFonts w:hint="default"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t>18万元</w:t>
                  </w:r>
                </w:p>
              </w:tc>
              <w:tc>
                <w:tcPr>
                  <w:tcW w:w="1224" w:type="dxa"/>
                  <w:vAlign w:val="center"/>
                </w:tcPr>
                <w:p>
                  <w:pPr>
                    <w:pStyle w:val="94"/>
                    <w:jc w:val="center"/>
                    <w:rPr>
                      <w:rFonts w:hint="default"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t>18万元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57" w:type="dxa"/>
                  <w:vAlign w:val="center"/>
                </w:tcPr>
                <w:p>
                  <w:pPr>
                    <w:pStyle w:val="94"/>
                    <w:jc w:val="center"/>
                    <w:rPr>
                      <w:rFonts w:hint="eastAsia" w:cs="Times New Roman" w:asciiTheme="minorEastAsia" w:hAnsiTheme="minorEastAsia" w:eastAsiaTheme="minorEastAsia"/>
                      <w:b/>
                      <w:bCs/>
                      <w:color w:val="000000" w:themeColor="text1"/>
                      <w:sz w:val="21"/>
                      <w:szCs w:val="21"/>
                      <w:highlight w:val="none"/>
                      <w:lang w:val="zh-CN" w:eastAsia="zh-CN" w:bidi="ar-SA"/>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zh-CN" w:eastAsia="zh-CN" w:bidi="ar-SA"/>
                      <w14:textFill>
                        <w14:solidFill>
                          <w14:schemeClr w14:val="tx1"/>
                        </w14:solidFill>
                      </w14:textFill>
                    </w:rPr>
                    <w:t>高端多功能监护仪-2</w:t>
                  </w:r>
                </w:p>
              </w:tc>
              <w:tc>
                <w:tcPr>
                  <w:tcW w:w="1146" w:type="dxa"/>
                  <w:vAlign w:val="center"/>
                </w:tcPr>
                <w:p>
                  <w:pPr>
                    <w:pStyle w:val="94"/>
                    <w:jc w:val="center"/>
                    <w:rPr>
                      <w:rFonts w:hint="eastAsia" w:cs="Times New Roman" w:asciiTheme="minorEastAsia" w:hAnsiTheme="minorEastAsia" w:eastAsiaTheme="minorEastAsia"/>
                      <w:b/>
                      <w:bCs/>
                      <w:color w:val="000000" w:themeColor="text1"/>
                      <w:sz w:val="21"/>
                      <w:szCs w:val="21"/>
                      <w:highlight w:val="none"/>
                      <w:lang w:val="zh-CN" w:eastAsia="zh-CN" w:bidi="ar-SA"/>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zh-CN" w:eastAsia="zh-CN" w:bidi="ar-SA"/>
                      <w14:textFill>
                        <w14:solidFill>
                          <w14:schemeClr w14:val="tx1"/>
                        </w14:solidFill>
                      </w14:textFill>
                    </w:rPr>
                    <w:t>4台</w:t>
                  </w:r>
                </w:p>
              </w:tc>
              <w:tc>
                <w:tcPr>
                  <w:tcW w:w="1455" w:type="dxa"/>
                  <w:vAlign w:val="center"/>
                </w:tcPr>
                <w:p>
                  <w:pPr>
                    <w:pStyle w:val="94"/>
                    <w:jc w:val="center"/>
                    <w:rPr>
                      <w:rFonts w:hint="default"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t>24万元</w:t>
                  </w:r>
                </w:p>
              </w:tc>
              <w:tc>
                <w:tcPr>
                  <w:tcW w:w="1224" w:type="dxa"/>
                  <w:vAlign w:val="center"/>
                </w:tcPr>
                <w:p>
                  <w:pPr>
                    <w:pStyle w:val="94"/>
                    <w:jc w:val="center"/>
                    <w:rPr>
                      <w:rFonts w:hint="default"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en-US" w:eastAsia="zh-CN" w:bidi="ar-SA"/>
                      <w14:textFill>
                        <w14:solidFill>
                          <w14:schemeClr w14:val="tx1"/>
                        </w14:solidFill>
                      </w14:textFill>
                    </w:rPr>
                    <w:t>19万元</w:t>
                  </w:r>
                </w:p>
              </w:tc>
            </w:tr>
          </w:tbl>
          <w:p>
            <w:pPr>
              <w:spacing w:line="300" w:lineRule="exact"/>
              <w:jc w:val="both"/>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供货地点</w:t>
            </w:r>
          </w:p>
        </w:tc>
        <w:tc>
          <w:tcPr>
            <w:tcW w:w="637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采购需求</w:t>
            </w:r>
          </w:p>
        </w:tc>
        <w:tc>
          <w:tcPr>
            <w:tcW w:w="6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exact"/>
              <w:jc w:val="both"/>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采购心电监护仪，48台、麻醉监护仪-1， 4台、麻醉监护仪-2， 8台、中心监护系统，1台、多功能监护仪-1,6台和高端多功能监护仪-2,4台，</w:t>
            </w:r>
            <w:r>
              <w:rPr>
                <w:rFonts w:hint="default" w:ascii="宋体" w:hAnsi="宋体" w:eastAsia="宋体" w:cs="Times New Roman"/>
                <w:b w:val="0"/>
                <w:bCs w:val="0"/>
                <w:color w:val="000000" w:themeColor="text1"/>
                <w:sz w:val="21"/>
                <w:szCs w:val="21"/>
                <w:highlight w:val="none"/>
                <w:lang w:val="en-US" w:eastAsia="zh-CN"/>
                <w14:textFill>
                  <w14:solidFill>
                    <w14:schemeClr w14:val="tx1"/>
                  </w14:solidFill>
                </w14:textFill>
              </w:rPr>
              <w:t>具体内容详见招标文件第四部分采购需求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质量标准</w:t>
            </w:r>
          </w:p>
        </w:tc>
        <w:tc>
          <w:tcPr>
            <w:tcW w:w="637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符合国家及行业相关合格标准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合同履行期限</w:t>
            </w:r>
          </w:p>
          <w:p>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（交货期）</w:t>
            </w:r>
          </w:p>
        </w:tc>
        <w:tc>
          <w:tcPr>
            <w:tcW w:w="637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均签订合同后30天之内交货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资金来源</w:t>
            </w:r>
          </w:p>
        </w:tc>
        <w:tc>
          <w:tcPr>
            <w:tcW w:w="637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cs="宋体" w:asciiTheme="minorEastAsia" w:hAnsiTheme="minorEastAsia" w:eastAsiaTheme="minorEastAsia"/>
                <w:bCs/>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bCs/>
                <w:color w:val="000000" w:themeColor="text1"/>
                <w:sz w:val="21"/>
                <w:szCs w:val="21"/>
                <w:highlight w:val="none"/>
                <w14:textFill>
                  <w14:solidFill>
                    <w14:schemeClr w14:val="tx1"/>
                  </w14:solidFill>
                </w14:textFill>
              </w:rPr>
              <w:t>财政</w:t>
            </w:r>
            <w:r>
              <w:rPr>
                <w:rFonts w:hint="eastAsia" w:cs="宋体" w:asciiTheme="minorEastAsia" w:hAnsiTheme="minorEastAsia" w:eastAsiaTheme="minorEastAsia"/>
                <w:bCs/>
                <w:color w:val="000000" w:themeColor="text1"/>
                <w:sz w:val="21"/>
                <w:szCs w:val="21"/>
                <w:highlight w:val="none"/>
                <w:lang w:val="en-US" w:eastAsia="zh-CN"/>
                <w14:textFill>
                  <w14:solidFill>
                    <w14:schemeClr w14:val="tx1"/>
                  </w14:solidFill>
                </w14:textFill>
              </w:rPr>
              <w:t>性</w:t>
            </w:r>
            <w:r>
              <w:rPr>
                <w:rFonts w:hint="eastAsia" w:cs="宋体" w:asciiTheme="minorEastAsia" w:hAnsiTheme="minorEastAsia" w:eastAsiaTheme="minorEastAsia"/>
                <w:bCs/>
                <w:color w:val="000000" w:themeColor="text1"/>
                <w:sz w:val="21"/>
                <w:szCs w:val="21"/>
                <w:highlight w:val="none"/>
                <w14:textFill>
                  <w14:solidFill>
                    <w14:schemeClr w14:val="tx1"/>
                  </w14:solidFill>
                </w14:textFill>
              </w:rPr>
              <w:t>资金，已落实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供应商资质条件、能力、信誉</w:t>
            </w:r>
          </w:p>
        </w:tc>
        <w:tc>
          <w:tcPr>
            <w:tcW w:w="6373" w:type="dxa"/>
            <w:tcBorders>
              <w:top w:val="single" w:color="auto" w:sz="4" w:space="0"/>
              <w:left w:val="single" w:color="auto" w:sz="4" w:space="0"/>
              <w:right w:val="single" w:color="auto" w:sz="4" w:space="0"/>
            </w:tcBorders>
            <w:vAlign w:val="center"/>
          </w:tcPr>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满足《中华人民共和国政府采购法》第二十二条规定；</w:t>
            </w:r>
          </w:p>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落实政府采购政策需满足的资格要求：</w:t>
            </w:r>
          </w:p>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（1）鼓励节能、环保政策；</w:t>
            </w:r>
          </w:p>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（2）本项目非专门面向中小企业；</w:t>
            </w:r>
          </w:p>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本项目的特定资格要求：</w:t>
            </w:r>
          </w:p>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（1）供应商须是具有独立的法人资格的企业或其他组织，具有有效的营业执照，并在人员、设备、资金等方面具有相应的能力；</w:t>
            </w:r>
          </w:p>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（2）资格要求</w:t>
            </w:r>
          </w:p>
          <w:p>
            <w:pPr>
              <w:spacing w:line="300" w:lineRule="exac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①供应商为生产企业的，从事第一类医疗器械生产的，应取得《第一类医疗器械生产备案凭证》；从事第二类、第三类医疗器械生产的，应取得《医疗器械生产许可证》或在有效期内的《医疗器械生产企业许可证》；</w:t>
            </w:r>
          </w:p>
          <w:p>
            <w:pPr>
              <w:spacing w:line="300" w:lineRule="exac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②供应商为经营企业的，从事第二类医疗器械经营的，应取得《第二类医疗器械经营备案凭证》或有效期内的《医疗器械经营企业许可证》；从事第三类医疗器械经营的，应取得《医疗器械经营许可证》或有效期内的《医疗器械经营企业许可证》；</w:t>
            </w:r>
          </w:p>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③投标产品若纳入中华人民共和国医疗器械监督管理的，第一类医疗器械须具有备案凭证，第二、三类则应取得监督管理部门颁发相应的《中华人民共和国医疗器械注册证》及《医疗器械产品注册登记表》，若已办理两证合一则只需提供《医疗器械注册证》；</w:t>
            </w:r>
          </w:p>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（4）拒绝列入政府取消投标资格记录期间的企业或个人投标；</w:t>
            </w:r>
          </w:p>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6）供应商不得为“信用中国”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号）；</w:t>
            </w:r>
          </w:p>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（7）</w:t>
            </w: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参加政府采购活动前3年内在经营活动中没有重大违法记录。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投标有效期</w:t>
            </w:r>
          </w:p>
        </w:tc>
        <w:tc>
          <w:tcPr>
            <w:tcW w:w="6373" w:type="dxa"/>
            <w:tcBorders>
              <w:top w:val="single" w:color="auto" w:sz="4" w:space="0"/>
              <w:left w:val="single" w:color="auto" w:sz="4" w:space="0"/>
              <w:bottom w:val="single" w:color="auto" w:sz="4" w:space="0"/>
              <w:right w:val="single" w:color="auto" w:sz="4" w:space="0"/>
            </w:tcBorders>
            <w:vAlign w:val="center"/>
          </w:tcPr>
          <w:p>
            <w:pPr>
              <w:spacing w:line="300" w:lineRule="exact"/>
              <w:ind w:left="-8" w:hanging="166"/>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b/>
                <w:bCs/>
                <w:color w:val="000000" w:themeColor="text1"/>
                <w:sz w:val="21"/>
                <w:szCs w:val="21"/>
                <w:highlight w:val="none"/>
                <w:u w:val="single"/>
                <w14:textFill>
                  <w14:solidFill>
                    <w14:schemeClr w14:val="tx1"/>
                  </w14:solidFill>
                </w14:textFill>
              </w:rPr>
              <w:t>90</w:t>
            </w:r>
            <w:r>
              <w:rPr>
                <w:rFonts w:hint="eastAsia" w:asciiTheme="minorEastAsia" w:hAnsiTheme="minorEastAsia" w:eastAsiaTheme="minorEastAsia"/>
                <w:color w:val="000000" w:themeColor="text1"/>
                <w:sz w:val="21"/>
                <w:szCs w:val="21"/>
                <w:highlight w:val="none"/>
                <w14:textFill>
                  <w14:solidFill>
                    <w14:schemeClr w14:val="tx1"/>
                  </w14:solidFill>
                </w14:textFill>
              </w:rPr>
              <w:t>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投标保证金</w:t>
            </w:r>
          </w:p>
        </w:tc>
        <w:tc>
          <w:tcPr>
            <w:tcW w:w="63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1.根据长春市财政局关于取消政府采购投标保证金及采购文件工本费等有关事项的通知《长财采购〔2021〕695 号》文件要求，经“信用中国”网站查询无行政处罚信息的供应商不收取保证金。符合要求的供应商可在投标文件中提供“信用中国”网站查询无行政处罚信息的证明材料；</w:t>
            </w:r>
          </w:p>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2.对于满足《中华人民共和国政府采购法》第二十二条有关规定，经“信用中国”网站查询存在行政处罚信息的供应商，收取保证金。</w:t>
            </w:r>
          </w:p>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保证金形式：投标保证金应当以支票、汇票、本票或者金融机构、担保机构出具的保函等非现金形式提交。供应商未按照招标文件要求提交投标保证金的，投标无效。以支票形式提交的投标保证金应当从供应商的基本账户转出。</w:t>
            </w:r>
          </w:p>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投标保证金截止时间：投标保证金须在投标文件递交截止时间前到账，投标保证金的确认以最终到账日期为准。</w:t>
            </w:r>
          </w:p>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保证金数额：</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人民币50000</w:t>
            </w:r>
            <w:r>
              <w:rPr>
                <w:rFonts w:hint="eastAsia" w:asciiTheme="minorEastAsia" w:hAnsiTheme="minorEastAsia" w:eastAsiaTheme="minorEastAsia"/>
                <w:color w:val="000000" w:themeColor="text1"/>
                <w:sz w:val="21"/>
                <w:szCs w:val="21"/>
                <w:highlight w:val="none"/>
                <w14:textFill>
                  <w14:solidFill>
                    <w14:schemeClr w14:val="tx1"/>
                  </w14:solidFill>
                </w14:textFill>
              </w:rPr>
              <w:t>元；</w:t>
            </w:r>
          </w:p>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收款人全称：吉林省致诚项目管理有限公司</w:t>
            </w:r>
          </w:p>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开户银行：中信银行股份有限公司幸福街支行</w:t>
            </w:r>
          </w:p>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账    号：8113 6010 1260 0220 846</w:t>
            </w:r>
          </w:p>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3.采购人或者采购代理机构应当自中标通知书发出之日起5个工作日内退还未中标人的投标保证金，自采购合同签订之日起5个工作日内退还中标人的投标保证金。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是否接受联合体投标</w:t>
            </w:r>
          </w:p>
        </w:tc>
        <w:tc>
          <w:tcPr>
            <w:tcW w:w="63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投标预备会</w:t>
            </w:r>
          </w:p>
        </w:tc>
        <w:tc>
          <w:tcPr>
            <w:tcW w:w="63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分包</w:t>
            </w:r>
          </w:p>
        </w:tc>
        <w:tc>
          <w:tcPr>
            <w:tcW w:w="63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供应商提出问题的截止时间</w:t>
            </w:r>
          </w:p>
        </w:tc>
        <w:tc>
          <w:tcPr>
            <w:tcW w:w="63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知道或者应知其权益受到损害之日起7个工作日内</w:t>
            </w:r>
          </w:p>
          <w:p>
            <w:pPr>
              <w:spacing w:line="300" w:lineRule="exact"/>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登录政采云平台https://www.zcygov.cn/在线申请提出问题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采购人书面澄清的时间</w:t>
            </w:r>
          </w:p>
        </w:tc>
        <w:tc>
          <w:tcPr>
            <w:tcW w:w="63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时  间：投标截止时间15日前</w:t>
            </w:r>
          </w:p>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请潜在供应商在参加与本项目活动期间关注网站信息，所有有意愿的供应商有义务在网上自行查询，无需书面回复。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供应商确认收到招标文件澄清</w:t>
            </w:r>
          </w:p>
        </w:tc>
        <w:tc>
          <w:tcPr>
            <w:tcW w:w="63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请潜在供应商在参加本项目活动期间关注</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政府采购云</w:t>
            </w:r>
            <w:r>
              <w:rPr>
                <w:rFonts w:hint="eastAsia" w:asciiTheme="minorEastAsia" w:hAnsiTheme="minorEastAsia" w:eastAsiaTheme="minorEastAsia"/>
                <w:sz w:val="21"/>
                <w:szCs w:val="21"/>
                <w:highlight w:val="none"/>
                <w:lang w:val="en-US" w:eastAsia="zh-CN"/>
              </w:rPr>
              <w:t>平台</w:t>
            </w:r>
            <w:r>
              <w:rPr>
                <w:rFonts w:hint="eastAsia" w:asciiTheme="minorEastAsia" w:hAnsiTheme="minorEastAsia" w:eastAsiaTheme="minorEastAsia"/>
                <w:color w:val="000000" w:themeColor="text1"/>
                <w:sz w:val="21"/>
                <w:szCs w:val="21"/>
                <w:highlight w:val="none"/>
                <w14:textFill>
                  <w14:solidFill>
                    <w14:schemeClr w14:val="tx1"/>
                  </w14:solidFill>
                </w14:textFill>
              </w:rPr>
              <w:t>信息，所有有投标意愿的供应商有义务在网上自行查询，无需书面回复。招标文件的澄清文件、答疑文件、补遗文件一经发布即视为已告知了所有已获取招标文件的供应商，且供应商也已经收到并明确了该澄清文件的内容。供应商须主动阅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sz w:val="21"/>
                <w:szCs w:val="21"/>
                <w:highlight w:val="none"/>
              </w:rPr>
              <w:t>供应商确认收到招标文件修改</w:t>
            </w:r>
          </w:p>
        </w:tc>
        <w:tc>
          <w:tcPr>
            <w:tcW w:w="63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请</w:t>
            </w:r>
            <w:r>
              <w:rPr>
                <w:rFonts w:hint="eastAsia" w:asciiTheme="minorEastAsia" w:hAnsiTheme="minorEastAsia" w:eastAsiaTheme="minorEastAsia"/>
                <w:color w:val="000000" w:themeColor="text1"/>
                <w:sz w:val="21"/>
                <w:szCs w:val="21"/>
                <w:highlight w:val="none"/>
                <w14:textFill>
                  <w14:solidFill>
                    <w14:schemeClr w14:val="tx1"/>
                  </w14:solidFill>
                </w14:textFill>
              </w:rPr>
              <w:t>潜在供应商在参加本项目活动期间关注网站信息，所有有投标意愿的供应商有义务在网上自行查询，无需书面回复。招标文件的澄清文件、答疑文件、补遗文件一经发布即视为已告知了所有已获取招标文件的供应商，且供应商也已经收到并明确了该澄清文件的内容。供应商须主动阅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供应商的替代方案</w:t>
            </w:r>
          </w:p>
        </w:tc>
        <w:tc>
          <w:tcPr>
            <w:tcW w:w="6373"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投标文件份数</w:t>
            </w:r>
          </w:p>
        </w:tc>
        <w:tc>
          <w:tcPr>
            <w:tcW w:w="63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sz w:val="21"/>
                <w:szCs w:val="21"/>
                <w:highlight w:val="none"/>
                <w:lang w:val="zh-CN"/>
              </w:rPr>
              <w:t>供应商在</w:t>
            </w:r>
            <w:r>
              <w:rPr>
                <w:rFonts w:hint="eastAsia" w:asciiTheme="minorEastAsia" w:hAnsiTheme="minorEastAsia" w:eastAsiaTheme="minorEastAsia"/>
                <w:sz w:val="21"/>
                <w:szCs w:val="21"/>
                <w:highlight w:val="none"/>
                <w:lang w:val="en-US" w:eastAsia="zh-CN"/>
              </w:rPr>
              <w:t>政府采购云</w:t>
            </w:r>
            <w:r>
              <w:rPr>
                <w:rFonts w:hint="eastAsia" w:asciiTheme="minorEastAsia" w:hAnsiTheme="minorEastAsia" w:eastAsiaTheme="minorEastAsia"/>
                <w:sz w:val="21"/>
                <w:szCs w:val="21"/>
                <w:highlight w:val="none"/>
                <w:lang w:val="zh-CN"/>
              </w:rPr>
              <w:t>平台</w:t>
            </w:r>
            <w:r>
              <w:rPr>
                <w:rFonts w:hint="eastAsia" w:asciiTheme="minorEastAsia" w:hAnsiTheme="minorEastAsia" w:eastAsiaTheme="minorEastAsia"/>
                <w:sz w:val="21"/>
                <w:szCs w:val="21"/>
                <w:highlight w:val="none"/>
              </w:rPr>
              <w:t>（http：//www.zcygov.cn）</w:t>
            </w:r>
            <w:r>
              <w:rPr>
                <w:rFonts w:hint="eastAsia" w:asciiTheme="minorEastAsia" w:hAnsiTheme="minorEastAsia" w:eastAsiaTheme="minorEastAsia"/>
                <w:sz w:val="21"/>
                <w:szCs w:val="21"/>
                <w:highlight w:val="none"/>
                <w:lang w:val="zh-CN"/>
              </w:rPr>
              <w:t>上制作投标文件一份</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zh-CN"/>
              </w:rPr>
              <w:t>此投标文件须上传至</w:t>
            </w:r>
            <w:r>
              <w:rPr>
                <w:rFonts w:hint="eastAsia" w:asciiTheme="minorEastAsia" w:hAnsiTheme="minorEastAsia" w:eastAsiaTheme="minorEastAsia"/>
                <w:sz w:val="21"/>
                <w:szCs w:val="21"/>
                <w:highlight w:val="none"/>
                <w:lang w:val="en-US" w:eastAsia="zh-CN"/>
              </w:rPr>
              <w:t>政府采购云</w:t>
            </w:r>
            <w:r>
              <w:rPr>
                <w:rFonts w:hint="eastAsia" w:asciiTheme="minorEastAsia" w:hAnsiTheme="minorEastAsia" w:eastAsiaTheme="minorEastAsia"/>
                <w:sz w:val="21"/>
                <w:szCs w:val="21"/>
                <w:highlight w:val="none"/>
                <w:lang w:val="zh-CN"/>
              </w:rPr>
              <w:t>平台</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zh-CN"/>
              </w:rPr>
              <w:t>。</w:t>
            </w:r>
            <w:r>
              <w:rPr>
                <w:rFonts w:hint="eastAsia" w:asciiTheme="minorEastAsia" w:hAnsiTheme="minorEastAsia" w:eastAsiaTheme="minorEastAsia"/>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投标文件提交地点及截止时间</w:t>
            </w:r>
          </w:p>
        </w:tc>
        <w:tc>
          <w:tcPr>
            <w:tcW w:w="63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时间：</w:t>
            </w:r>
            <w:r>
              <w:rPr>
                <w:rFonts w:hint="eastAsia" w:ascii="宋体" w:hAnsi="宋体" w:cs="宋体"/>
                <w:sz w:val="21"/>
                <w:szCs w:val="21"/>
                <w:highlight w:val="none"/>
                <w:lang w:eastAsia="zh-CN"/>
              </w:rPr>
              <w:t>2025年08月06日10 时00分</w:t>
            </w:r>
            <w:r>
              <w:rPr>
                <w:rFonts w:hint="eastAsia" w:asciiTheme="minorEastAsia" w:hAnsiTheme="minorEastAsia" w:eastAsiaTheme="minorEastAsia"/>
                <w:color w:val="000000" w:themeColor="text1"/>
                <w:sz w:val="21"/>
                <w:szCs w:val="21"/>
                <w:highlight w:val="none"/>
                <w14:textFill>
                  <w14:solidFill>
                    <w14:schemeClr w14:val="tx1"/>
                  </w14:solidFill>
                </w14:textFill>
              </w:rPr>
              <w:t>（北京时间）</w:t>
            </w:r>
          </w:p>
          <w:p>
            <w:pPr>
              <w:spacing w:line="300" w:lineRule="exact"/>
              <w:rPr>
                <w:rFonts w:hint="eastAsia" w:eastAsia="宋体" w:asciiTheme="minorEastAsia" w:hAnsi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地点：</w:t>
            </w:r>
            <w:r>
              <w:rPr>
                <w:rFonts w:hint="eastAsia" w:ascii="宋体" w:hAnsi="宋体"/>
                <w:color w:val="000000" w:themeColor="text1"/>
                <w:sz w:val="21"/>
                <w:szCs w:val="21"/>
                <w:highlight w:val="none"/>
                <w14:textFill>
                  <w14:solidFill>
                    <w14:schemeClr w14:val="tx1"/>
                  </w14:solidFill>
                </w14:textFill>
              </w:rPr>
              <w:t>吉利招公共资源标准化交易平台（长春市高新区鸿达街248号吉林日报副楼4楼）</w:t>
            </w:r>
            <w:r>
              <w:rPr>
                <w:rFonts w:hint="eastAsia" w:ascii="宋体" w:hAnsi="宋体"/>
                <w:color w:val="000000" w:themeColor="text1"/>
                <w:sz w:val="21"/>
                <w:szCs w:val="21"/>
                <w:highlight w:val="none"/>
                <w:lang w:eastAsia="zh-CN"/>
                <w14:textFill>
                  <w14:solidFill>
                    <w14:schemeClr w14:val="tx1"/>
                  </w14:solidFill>
                </w14:textFill>
              </w:rPr>
              <w:t>第二开标室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sz w:val="21"/>
                <w:szCs w:val="21"/>
                <w:highlight w:val="none"/>
              </w:rPr>
              <w:t>投标文件是否退还</w:t>
            </w:r>
          </w:p>
        </w:tc>
        <w:tc>
          <w:tcPr>
            <w:tcW w:w="63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5"/>
              <w:ind w:left="100" w:leftChars="50" w:right="100" w:rightChars="50"/>
              <w:contextualSpacing/>
              <w:jc w:val="center"/>
              <w:rPr>
                <w:rFonts w:ascii="Times New Roman" w:hAnsi="Times New Roman" w:eastAsia="宋体" w:cs="Times New Roman"/>
                <w:sz w:val="21"/>
                <w:szCs w:val="21"/>
                <w:highlight w:val="none"/>
                <w:lang w:val="en-US" w:eastAsia="zh-CN" w:bidi="ar-SA"/>
              </w:rPr>
            </w:pPr>
            <w:r>
              <w:rPr>
                <w:rFonts w:hint="eastAsia"/>
                <w:sz w:val="21"/>
                <w:szCs w:val="21"/>
                <w:highlight w:val="none"/>
              </w:rPr>
              <w:t>评标委员会的组建</w:t>
            </w:r>
          </w:p>
        </w:tc>
        <w:tc>
          <w:tcPr>
            <w:tcW w:w="63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36" w:beforeLines="15" w:line="276" w:lineRule="auto"/>
              <w:rPr>
                <w:sz w:val="21"/>
                <w:szCs w:val="21"/>
                <w:highlight w:val="none"/>
              </w:rPr>
            </w:pPr>
            <w:r>
              <w:rPr>
                <w:rFonts w:hint="eastAsia"/>
                <w:sz w:val="21"/>
                <w:szCs w:val="21"/>
                <w:highlight w:val="none"/>
              </w:rPr>
              <w:t>评标委员会构成：由经济</w:t>
            </w:r>
            <w:r>
              <w:rPr>
                <w:rFonts w:hint="eastAsia"/>
                <w:sz w:val="21"/>
                <w:szCs w:val="21"/>
                <w:highlight w:val="none"/>
                <w:lang w:eastAsia="zh-CN"/>
              </w:rPr>
              <w:t>、</w:t>
            </w:r>
            <w:r>
              <w:rPr>
                <w:rFonts w:hint="eastAsia"/>
                <w:sz w:val="21"/>
                <w:szCs w:val="21"/>
                <w:highlight w:val="none"/>
                <w:lang w:val="en-US" w:eastAsia="zh-CN"/>
              </w:rPr>
              <w:t>技术</w:t>
            </w:r>
            <w:r>
              <w:rPr>
                <w:rFonts w:hint="eastAsia"/>
                <w:sz w:val="21"/>
                <w:szCs w:val="21"/>
                <w:highlight w:val="none"/>
              </w:rPr>
              <w:t>等方面的专家共</w:t>
            </w:r>
            <w:r>
              <w:rPr>
                <w:rFonts w:hint="eastAsia"/>
                <w:sz w:val="21"/>
                <w:szCs w:val="21"/>
                <w:highlight w:val="none"/>
                <w:lang w:val="en-US" w:eastAsia="zh-CN"/>
              </w:rPr>
              <w:t>5</w:t>
            </w:r>
            <w:r>
              <w:rPr>
                <w:rFonts w:hint="eastAsia"/>
                <w:sz w:val="21"/>
                <w:szCs w:val="21"/>
                <w:highlight w:val="none"/>
              </w:rPr>
              <w:t>人组成。</w:t>
            </w:r>
          </w:p>
          <w:p>
            <w:pPr>
              <w:snapToGrid w:val="0"/>
              <w:rPr>
                <w:rFonts w:hint="eastAsia" w:ascii="Times New Roman" w:hAnsi="Times New Roman" w:eastAsia="宋体" w:cs="Times New Roman"/>
                <w:bCs/>
                <w:sz w:val="21"/>
                <w:szCs w:val="21"/>
                <w:highlight w:val="none"/>
                <w:lang w:val="zh-CN" w:eastAsia="zh-CN" w:bidi="ar-SA"/>
              </w:rPr>
            </w:pPr>
            <w:r>
              <w:rPr>
                <w:rFonts w:hint="eastAsia"/>
                <w:sz w:val="21"/>
                <w:szCs w:val="21"/>
                <w:highlight w:val="none"/>
              </w:rPr>
              <w:t>评标专家确定方式：从依法设立的评标专家库中随机抽取。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评标方法及标准</w:t>
            </w:r>
          </w:p>
        </w:tc>
        <w:tc>
          <w:tcPr>
            <w:tcW w:w="63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综合评分法；</w:t>
            </w:r>
          </w:p>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评标委员会推荐中标候选供应商的人数：3名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5"/>
              <w:ind w:left="100" w:leftChars="50" w:right="100" w:rightChars="50"/>
              <w:contextualSpacing/>
              <w:jc w:val="center"/>
              <w:rPr>
                <w:rFonts w:hint="eastAsia" w:ascii="Times New Roman" w:hAnsi="Times New Roman" w:eastAsia="宋体" w:cs="Times New Roman"/>
                <w:sz w:val="21"/>
                <w:szCs w:val="21"/>
                <w:highlight w:val="none"/>
                <w:lang w:val="en-US" w:eastAsia="zh-CN" w:bidi="ar-SA"/>
              </w:rPr>
            </w:pPr>
            <w:r>
              <w:rPr>
                <w:rFonts w:hint="eastAsia"/>
                <w:sz w:val="21"/>
                <w:szCs w:val="21"/>
                <w:highlight w:val="none"/>
                <w:lang w:eastAsia="zh-CN"/>
              </w:rPr>
              <w:t>公示媒介及期限</w:t>
            </w:r>
          </w:p>
        </w:tc>
        <w:tc>
          <w:tcPr>
            <w:tcW w:w="63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5"/>
              <w:ind w:right="100" w:rightChars="50"/>
              <w:contextualSpacing/>
              <w:rPr>
                <w:rFonts w:hint="eastAsia"/>
                <w:sz w:val="21"/>
                <w:szCs w:val="21"/>
                <w:highlight w:val="none"/>
                <w:lang w:eastAsia="zh-CN"/>
              </w:rPr>
            </w:pPr>
            <w:r>
              <w:rPr>
                <w:rFonts w:hint="eastAsia"/>
                <w:sz w:val="21"/>
                <w:szCs w:val="21"/>
                <w:highlight w:val="none"/>
                <w:lang w:eastAsia="zh-CN"/>
              </w:rPr>
              <w:t>在政府采购云平台（http:// www.zcygov.cn）(同步推送到吉林省政府采购网（http://www.ccgp-jilin.gov.cn/）、长春市公共资源交易网、中国政府采购网）上发布</w:t>
            </w:r>
          </w:p>
          <w:p>
            <w:pPr>
              <w:pStyle w:val="185"/>
              <w:ind w:right="100" w:rightChars="50"/>
              <w:contextualSpacing/>
              <w:rPr>
                <w:rFonts w:hint="eastAsia" w:ascii="Times New Roman" w:hAnsi="Times New Roman" w:eastAsia="宋体" w:cs="Times New Roman"/>
                <w:sz w:val="21"/>
                <w:szCs w:val="21"/>
                <w:highlight w:val="none"/>
                <w:lang w:val="en-US" w:eastAsia="zh-CN" w:bidi="ar-SA"/>
              </w:rPr>
            </w:pPr>
            <w:r>
              <w:rPr>
                <w:rFonts w:hint="eastAsia"/>
                <w:sz w:val="21"/>
                <w:szCs w:val="21"/>
                <w:highlight w:val="none"/>
                <w:lang w:eastAsia="zh-CN"/>
              </w:rPr>
              <w:t>公示期限：1个工作日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履约担保</w:t>
            </w:r>
          </w:p>
        </w:tc>
        <w:tc>
          <w:tcPr>
            <w:tcW w:w="63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beforeLines="25" w:after="60" w:afterLines="25"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签订合同</w:t>
            </w:r>
          </w:p>
        </w:tc>
        <w:tc>
          <w:tcPr>
            <w:tcW w:w="63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beforeLines="25" w:after="60" w:afterLines="25"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中标人应在中标结果确定后</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30  </w:t>
            </w:r>
            <w:r>
              <w:rPr>
                <w:rFonts w:hint="eastAsia" w:asciiTheme="minorEastAsia" w:hAnsiTheme="minorEastAsia" w:eastAsiaTheme="minorEastAsia"/>
                <w:color w:val="000000" w:themeColor="text1"/>
                <w:sz w:val="21"/>
                <w:szCs w:val="21"/>
                <w:highlight w:val="none"/>
                <w14:textFill>
                  <w14:solidFill>
                    <w14:schemeClr w14:val="tx1"/>
                  </w14:solidFill>
                </w14:textFill>
              </w:rPr>
              <w:t>天内签订采购合同。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付款方式</w:t>
            </w:r>
          </w:p>
        </w:tc>
        <w:tc>
          <w:tcPr>
            <w:tcW w:w="637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按照合同约定支付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合同存档</w:t>
            </w:r>
          </w:p>
        </w:tc>
        <w:tc>
          <w:tcPr>
            <w:tcW w:w="637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中标单位与采购人签订合同后</w:t>
            </w:r>
            <w:r>
              <w:rPr>
                <w:rFonts w:hint="eastAsia" w:asciiTheme="minorEastAsia" w:hAnsiTheme="minorEastAsia" w:eastAsiaTheme="minorEastAsia"/>
                <w:bCs/>
                <w:color w:val="000000" w:themeColor="text1"/>
                <w:kern w:val="15"/>
                <w:sz w:val="21"/>
                <w:szCs w:val="21"/>
                <w:highlight w:val="none"/>
                <w:u w:val="single"/>
                <w14:textFill>
                  <w14:solidFill>
                    <w14:schemeClr w14:val="tx1"/>
                  </w14:solidFill>
                </w14:textFill>
              </w:rPr>
              <w:t xml:space="preserve"> 2 </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个工作日内将采购合同扫描件发送至采购代理机构上传。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beforeLines="25" w:after="60" w:afterLines="25" w:line="300" w:lineRule="exact"/>
              <w:jc w:val="center"/>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招标代理服务费</w:t>
            </w:r>
          </w:p>
        </w:tc>
        <w:tc>
          <w:tcPr>
            <w:tcW w:w="637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执行国家发展改革委《关于进一步放开建设项目专业服务价格的通知》（发改价格〔2015〕299号）,参照发改委计价格【2002】1980号文件和发改办价格[2003]857号文件</w:t>
            </w:r>
            <w:r>
              <w:rPr>
                <w:rFonts w:hint="eastAsia" w:asciiTheme="minorEastAsia" w:hAnsiTheme="minorEastAsia" w:eastAsiaTheme="minorEastAsia"/>
                <w:color w:val="000000" w:themeColor="text1"/>
                <w:sz w:val="21"/>
                <w:szCs w:val="21"/>
                <w:highlight w:val="none"/>
                <w14:textFill>
                  <w14:solidFill>
                    <w14:schemeClr w14:val="tx1"/>
                  </w14:solidFill>
                </w14:textFill>
              </w:rPr>
              <w:t>的收取标准72%</w:t>
            </w: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向中标（成交）供应商收取招标代理服务费。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1"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beforeLines="25" w:after="60" w:afterLines="25" w:line="300" w:lineRule="exact"/>
              <w:jc w:val="center"/>
              <w:rPr>
                <w:rFonts w:ascii="宋体" w:hAnsi="宋体"/>
                <w:bCs/>
                <w:kern w:val="18"/>
                <w:sz w:val="21"/>
                <w:szCs w:val="21"/>
                <w:highlight w:val="none"/>
              </w:rPr>
            </w:pPr>
            <w:r>
              <w:rPr>
                <w:rFonts w:hint="eastAsia" w:asciiTheme="minorEastAsia" w:hAnsiTheme="minorEastAsia" w:eastAsiaTheme="minorEastAsia"/>
                <w:bCs/>
                <w:kern w:val="15"/>
                <w:sz w:val="21"/>
                <w:szCs w:val="21"/>
                <w:highlight w:val="none"/>
              </w:rPr>
              <w:t>电子标说明</w:t>
            </w:r>
          </w:p>
        </w:tc>
        <w:tc>
          <w:tcPr>
            <w:tcW w:w="637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bCs/>
                <w:kern w:val="15"/>
                <w:sz w:val="21"/>
                <w:szCs w:val="21"/>
                <w:highlight w:val="none"/>
                <w:lang w:eastAsia="zh-CN"/>
              </w:rPr>
            </w:pPr>
            <w:r>
              <w:rPr>
                <w:rFonts w:hint="eastAsia" w:ascii="宋体" w:hAnsi="宋体"/>
                <w:bCs/>
                <w:kern w:val="15"/>
                <w:sz w:val="21"/>
                <w:szCs w:val="21"/>
                <w:highlight w:val="none"/>
                <w:lang w:eastAsia="zh-CN"/>
              </w:rPr>
              <w:t>1.上传的电子证件及资料均需按要求签字盖章上传，否则按未签章处理。</w:t>
            </w:r>
          </w:p>
          <w:p>
            <w:pPr>
              <w:spacing w:line="300" w:lineRule="exact"/>
              <w:jc w:val="both"/>
              <w:rPr>
                <w:rFonts w:hint="eastAsia" w:ascii="宋体" w:hAnsi="宋体"/>
                <w:bCs/>
                <w:kern w:val="15"/>
                <w:sz w:val="21"/>
                <w:szCs w:val="21"/>
                <w:highlight w:val="none"/>
                <w:lang w:eastAsia="zh-CN"/>
              </w:rPr>
            </w:pPr>
            <w:r>
              <w:rPr>
                <w:rFonts w:hint="eastAsia" w:ascii="宋体" w:hAnsi="宋体"/>
                <w:bCs/>
                <w:kern w:val="15"/>
                <w:sz w:val="21"/>
                <w:szCs w:val="21"/>
                <w:highlight w:val="none"/>
                <w:lang w:eastAsia="zh-CN"/>
              </w:rPr>
              <w:t>2.若对项目采购电子交易系统操作有疑问，可登录政府采购云平台（https://www.zcygov.cn/）点击右侧咨询小采，获取采小蜜智能服务管家帮助，或拨打政采云服务热线95763获取热线服务帮助；</w:t>
            </w:r>
          </w:p>
          <w:p>
            <w:pPr>
              <w:spacing w:line="300" w:lineRule="exact"/>
              <w:jc w:val="both"/>
              <w:rPr>
                <w:rFonts w:ascii="宋体" w:hAnsi="宋体"/>
                <w:bCs/>
                <w:kern w:val="15"/>
                <w:sz w:val="21"/>
                <w:szCs w:val="21"/>
                <w:highlight w:val="none"/>
              </w:rPr>
            </w:pPr>
            <w:r>
              <w:rPr>
                <w:rFonts w:hint="eastAsia" w:ascii="宋体" w:hAnsi="宋体"/>
                <w:bCs/>
                <w:kern w:val="15"/>
                <w:sz w:val="21"/>
                <w:szCs w:val="21"/>
                <w:highlight w:val="none"/>
                <w:lang w:eastAsia="zh-CN"/>
              </w:rPr>
              <w:t>3.供应商在政府采购云平台（网址：http:// www.zcygov.cn）通过数字证书制作响应文件1份（此响应文件需上传至政府采购云平台，并在开标时持编制响应文件的供应商数字证书进行远程解密）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94" w:type="dxa"/>
            <w:tcBorders>
              <w:top w:val="single" w:color="auto" w:sz="4" w:space="0"/>
              <w:left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pPr>
              <w:adjustRightInd w:val="0"/>
              <w:snapToGrid w:val="0"/>
              <w:spacing w:before="60" w:beforeLines="25" w:after="60" w:afterLines="25" w:line="300" w:lineRule="exact"/>
              <w:jc w:val="center"/>
              <w:rPr>
                <w:rFonts w:ascii="宋体" w:hAnsi="宋体"/>
                <w:bCs/>
                <w:kern w:val="18"/>
                <w:sz w:val="21"/>
                <w:szCs w:val="21"/>
                <w:highlight w:val="none"/>
              </w:rPr>
            </w:pPr>
            <w:r>
              <w:rPr>
                <w:rFonts w:hint="eastAsia" w:asciiTheme="minorEastAsia" w:hAnsiTheme="minorEastAsia" w:eastAsiaTheme="minorEastAsia"/>
                <w:bCs/>
                <w:kern w:val="15"/>
                <w:sz w:val="21"/>
                <w:szCs w:val="21"/>
                <w:highlight w:val="none"/>
              </w:rPr>
              <w:t>违约责任</w:t>
            </w:r>
          </w:p>
        </w:tc>
        <w:tc>
          <w:tcPr>
            <w:tcW w:w="63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Cs/>
                <w:kern w:val="15"/>
                <w:sz w:val="21"/>
                <w:szCs w:val="21"/>
                <w:highlight w:val="none"/>
              </w:rPr>
            </w:pPr>
            <w:r>
              <w:rPr>
                <w:rFonts w:hint="eastAsia" w:ascii="宋体" w:hAnsi="宋体"/>
                <w:bCs/>
                <w:kern w:val="15"/>
                <w:sz w:val="21"/>
                <w:szCs w:val="21"/>
                <w:highlight w:val="none"/>
                <w:lang w:eastAsia="zh-CN"/>
              </w:rPr>
              <w:t>如果供应商投标文件有任何造假或响应文件不实</w:t>
            </w:r>
            <w:r>
              <w:rPr>
                <w:rFonts w:hint="eastAsia" w:ascii="宋体" w:hAnsi="宋体"/>
                <w:bCs/>
                <w:kern w:val="15"/>
                <w:sz w:val="21"/>
                <w:szCs w:val="21"/>
                <w:highlight w:val="none"/>
              </w:rPr>
              <w:t>，即便不是主要参数，一经发现，取消中标结果，供应商按中标金额10%予以赔偿，以及赔偿采购人测算的所有设备的60天总收入。</w:t>
            </w:r>
          </w:p>
          <w:p>
            <w:pPr>
              <w:spacing w:line="300" w:lineRule="exact"/>
              <w:rPr>
                <w:rFonts w:ascii="宋体" w:hAnsi="宋体" w:eastAsiaTheme="minorEastAsia"/>
                <w:bCs/>
                <w:kern w:val="15"/>
                <w:sz w:val="21"/>
                <w:szCs w:val="21"/>
                <w:highlight w:val="none"/>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投标文件内附由法定代表人或其委托代理人签字并加盖单位公章的书面声明。否则视为无效投标。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right w:val="single" w:color="auto" w:sz="4" w:space="0"/>
            </w:tcBorders>
            <w:vAlign w:val="center"/>
          </w:tcPr>
          <w:p>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pPr>
              <w:adjustRightInd w:val="0"/>
              <w:snapToGrid w:val="0"/>
              <w:spacing w:before="60" w:beforeLines="25" w:after="60" w:afterLines="25" w:line="300" w:lineRule="exact"/>
              <w:jc w:val="center"/>
              <w:rPr>
                <w:rFonts w:asciiTheme="minorEastAsia" w:hAnsiTheme="minorEastAsia" w:eastAsiaTheme="minorEastAsia"/>
                <w:bCs/>
                <w:kern w:val="15"/>
                <w:sz w:val="21"/>
                <w:szCs w:val="21"/>
                <w:highlight w:val="none"/>
              </w:rPr>
            </w:pPr>
            <w:r>
              <w:rPr>
                <w:rFonts w:hint="eastAsia" w:asciiTheme="minorEastAsia" w:hAnsiTheme="minorEastAsia" w:eastAsiaTheme="minorEastAsia"/>
                <w:bCs/>
                <w:kern w:val="15"/>
                <w:sz w:val="21"/>
                <w:szCs w:val="21"/>
                <w:highlight w:val="none"/>
              </w:rPr>
              <w:t>其他要求</w:t>
            </w:r>
          </w:p>
        </w:tc>
        <w:tc>
          <w:tcPr>
            <w:tcW w:w="6373"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00" w:lineRule="exact"/>
              <w:rPr>
                <w:rFonts w:ascii="宋体" w:hAnsi="宋体"/>
                <w:bCs/>
                <w:kern w:val="15"/>
                <w:sz w:val="21"/>
                <w:szCs w:val="21"/>
                <w:highlight w:val="none"/>
              </w:rPr>
            </w:pPr>
            <w:r>
              <w:rPr>
                <w:rFonts w:hint="eastAsia" w:ascii="宋体" w:hAnsi="宋体"/>
                <w:bCs/>
                <w:kern w:val="15"/>
                <w:sz w:val="21"/>
                <w:szCs w:val="21"/>
                <w:highlight w:val="none"/>
              </w:rPr>
              <w:t>采购人可以邀请参加本项目的其他供应商或者第三方专业机构及专家参与验收工作，相关验收意见作为验收的参考材料。</w:t>
            </w:r>
          </w:p>
          <w:p>
            <w:pPr>
              <w:numPr>
                <w:ilvl w:val="0"/>
                <w:numId w:val="3"/>
              </w:numPr>
              <w:spacing w:line="300" w:lineRule="exact"/>
              <w:rPr>
                <w:rFonts w:ascii="宋体" w:hAnsi="宋体"/>
                <w:bCs/>
                <w:kern w:val="15"/>
                <w:sz w:val="21"/>
                <w:szCs w:val="21"/>
                <w:highlight w:val="none"/>
              </w:rPr>
            </w:pPr>
            <w:r>
              <w:rPr>
                <w:rFonts w:hint="eastAsia" w:ascii="宋体" w:hAnsi="宋体"/>
                <w:bCs/>
                <w:kern w:val="15"/>
                <w:sz w:val="21"/>
                <w:szCs w:val="21"/>
                <w:highlight w:val="none"/>
              </w:rPr>
              <w:t>如虚假响应或提供虚假证明材料，采购人及评标委员会有权追究其法律责任，并将违法情况上报主管部门，申请将其失信行为公示于信用中国网站（www.creditchina.gov.cn）和中国政府采购网（www.ccgp.gov.cn）)。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19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本项目招标公告与招标文件中内容有不符之处，以本招标文件中内容为准。</w:t>
            </w:r>
          </w:p>
        </w:tc>
      </w:tr>
    </w:tbl>
    <w:p>
      <w:pPr>
        <w:rPr>
          <w:b/>
          <w:color w:val="000000" w:themeColor="text1"/>
          <w:kern w:val="2"/>
          <w:sz w:val="24"/>
          <w:highlight w:val="none"/>
          <w14:textFill>
            <w14:solidFill>
              <w14:schemeClr w14:val="tx1"/>
            </w14:solidFill>
          </w14:textFill>
        </w:rPr>
      </w:pPr>
      <w:r>
        <w:rPr>
          <w:color w:val="000000" w:themeColor="text1"/>
          <w:highlight w:val="none"/>
          <w14:textFill>
            <w14:solidFill>
              <w14:schemeClr w14:val="tx1"/>
            </w14:solidFill>
          </w14:textFill>
        </w:rPr>
        <w:br w:type="page"/>
      </w:r>
    </w:p>
    <w:bookmarkEnd w:id="0"/>
    <w:p>
      <w:pPr>
        <w:pStyle w:val="1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39" w:name="_Toc55578494"/>
      <w:bookmarkStart w:id="40" w:name="_Toc98580422"/>
      <w:bookmarkStart w:id="41" w:name="_Toc24696155"/>
      <w:r>
        <w:rPr>
          <w:rFonts w:hint="eastAsia" w:asciiTheme="minorEastAsia" w:hAnsiTheme="minorEastAsia" w:eastAsiaTheme="minorEastAsia"/>
          <w:color w:val="000000" w:themeColor="text1"/>
          <w:sz w:val="21"/>
          <w:szCs w:val="21"/>
          <w:highlight w:val="none"/>
          <w14:textFill>
            <w14:solidFill>
              <w14:schemeClr w14:val="tx1"/>
            </w14:solidFill>
          </w14:textFill>
        </w:rPr>
        <w:t>二 供应商须知</w:t>
      </w:r>
    </w:p>
    <w:p>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42" w:name="_Toc98580391"/>
      <w:r>
        <w:rPr>
          <w:rFonts w:asciiTheme="minorEastAsia" w:hAnsiTheme="minorEastAsia" w:eastAsiaTheme="minorEastAsia"/>
          <w:color w:val="000000" w:themeColor="text1"/>
          <w:sz w:val="21"/>
          <w:szCs w:val="21"/>
          <w:highlight w:val="none"/>
          <w14:textFill>
            <w14:solidFill>
              <w14:schemeClr w14:val="tx1"/>
            </w14:solidFill>
          </w14:textFill>
        </w:rPr>
        <w:t xml:space="preserve">A </w:t>
      </w:r>
      <w:r>
        <w:rPr>
          <w:rFonts w:hint="eastAsia" w:asciiTheme="minorEastAsia" w:hAnsiTheme="minorEastAsia" w:eastAsiaTheme="minorEastAsia"/>
          <w:color w:val="000000" w:themeColor="text1"/>
          <w:sz w:val="21"/>
          <w:szCs w:val="21"/>
          <w:highlight w:val="none"/>
          <w14:textFill>
            <w14:solidFill>
              <w14:schemeClr w14:val="tx1"/>
            </w14:solidFill>
          </w14:textFill>
        </w:rPr>
        <w:t>说明</w:t>
      </w:r>
      <w:bookmarkEnd w:id="42"/>
    </w:p>
    <w:p>
      <w:pPr>
        <w:pStyle w:val="4"/>
        <w:spacing w:before="0" w:after="0" w:line="360" w:lineRule="auto"/>
        <w:rPr>
          <w:rFonts w:asciiTheme="minorEastAsia" w:hAnsiTheme="minorEastAsia" w:eastAsiaTheme="minorEastAsia"/>
          <w:b w:val="0"/>
          <w:color w:val="000000" w:themeColor="text1"/>
          <w:spacing w:val="6"/>
          <w:sz w:val="21"/>
          <w:szCs w:val="21"/>
          <w:highlight w:val="none"/>
          <w14:textFill>
            <w14:solidFill>
              <w14:schemeClr w14:val="tx1"/>
            </w14:solidFill>
          </w14:textFill>
        </w:rPr>
      </w:pPr>
      <w:bookmarkStart w:id="43" w:name="_Toc98580392"/>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适用范围</w:t>
      </w:r>
      <w:bookmarkEnd w:id="43"/>
    </w:p>
    <w:p>
      <w:pPr>
        <w:spacing w:line="360" w:lineRule="auto"/>
        <w:ind w:firstLine="56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本文件是受</w:t>
      </w:r>
      <w:r>
        <w:rPr>
          <w:rFonts w:hint="eastAsia" w:asciiTheme="minorEastAsia" w:hAnsiTheme="minorEastAsia" w:eastAsiaTheme="minorEastAsia"/>
          <w:color w:val="000000" w:themeColor="text1"/>
          <w:spacing w:val="6"/>
          <w:sz w:val="21"/>
          <w:szCs w:val="21"/>
          <w:highlight w:val="none"/>
          <w14:textFill>
            <w14:solidFill>
              <w14:schemeClr w14:val="tx1"/>
            </w14:solidFill>
          </w14:textFill>
        </w:rPr>
        <w:t>采购人</w:t>
      </w:r>
      <w:r>
        <w:rPr>
          <w:rFonts w:hint="eastAsia" w:asciiTheme="minorEastAsia" w:hAnsiTheme="minorEastAsia" w:eastAsiaTheme="minorEastAsia"/>
          <w:color w:val="000000" w:themeColor="text1"/>
          <w:sz w:val="21"/>
          <w:szCs w:val="21"/>
          <w:highlight w:val="none"/>
          <w14:textFill>
            <w14:solidFill>
              <w14:schemeClr w14:val="tx1"/>
            </w14:solidFill>
          </w14:textFill>
        </w:rPr>
        <w:t>委托</w:t>
      </w:r>
      <w:r>
        <w:rPr>
          <w:rFonts w:hint="eastAsia" w:asciiTheme="minorEastAsia" w:hAnsiTheme="minorEastAsia" w:eastAsiaTheme="minorEastAsia"/>
          <w:color w:val="000000" w:themeColor="text1"/>
          <w:spacing w:val="6"/>
          <w:sz w:val="21"/>
          <w:szCs w:val="21"/>
          <w:highlight w:val="none"/>
          <w14:textFill>
            <w14:solidFill>
              <w14:schemeClr w14:val="tx1"/>
            </w14:solidFill>
          </w14:textFill>
        </w:rPr>
        <w:t>，对采购人</w:t>
      </w:r>
      <w:r>
        <w:rPr>
          <w:rFonts w:hint="eastAsia" w:asciiTheme="minorEastAsia" w:hAnsiTheme="minorEastAsia" w:eastAsiaTheme="minorEastAsia"/>
          <w:color w:val="000000" w:themeColor="text1"/>
          <w:sz w:val="21"/>
          <w:szCs w:val="21"/>
          <w:highlight w:val="none"/>
          <w14:textFill>
            <w14:solidFill>
              <w14:schemeClr w14:val="tx1"/>
            </w14:solidFill>
          </w14:textFill>
        </w:rPr>
        <w:t>委托</w:t>
      </w:r>
      <w:r>
        <w:rPr>
          <w:rFonts w:hint="eastAsia" w:cs="宋体" w:asciiTheme="minorEastAsia" w:hAnsiTheme="minorEastAsia" w:eastAsiaTheme="minorEastAsia"/>
          <w:bCs/>
          <w:color w:val="000000" w:themeColor="text1"/>
          <w:sz w:val="21"/>
          <w:szCs w:val="21"/>
          <w:highlight w:val="none"/>
          <w:lang w:val="zh-CN"/>
          <w14:textFill>
            <w14:solidFill>
              <w14:schemeClr w14:val="tx1"/>
            </w14:solidFill>
          </w14:textFill>
        </w:rPr>
        <w:t>采购项目</w:t>
      </w:r>
      <w:r>
        <w:rPr>
          <w:rFonts w:hint="eastAsia" w:asciiTheme="minorEastAsia" w:hAnsiTheme="minorEastAsia" w:eastAsiaTheme="minorEastAsia"/>
          <w:color w:val="000000" w:themeColor="text1"/>
          <w:spacing w:val="6"/>
          <w:sz w:val="21"/>
          <w:szCs w:val="21"/>
          <w:highlight w:val="none"/>
          <w14:textFill>
            <w14:solidFill>
              <w14:schemeClr w14:val="tx1"/>
            </w14:solidFill>
          </w14:textFill>
        </w:rPr>
        <w:t>的规范性招标</w:t>
      </w:r>
      <w:r>
        <w:rPr>
          <w:rFonts w:hint="eastAsia" w:asciiTheme="minorEastAsia" w:hAnsiTheme="minorEastAsia" w:eastAsiaTheme="minorEastAsia"/>
          <w:color w:val="000000" w:themeColor="text1"/>
          <w:sz w:val="21"/>
          <w:szCs w:val="21"/>
          <w:highlight w:val="none"/>
          <w14:textFill>
            <w14:solidFill>
              <w14:schemeClr w14:val="tx1"/>
            </w14:solidFill>
          </w14:textFill>
        </w:rPr>
        <w:t>文件，适用于本项目采购需求所述的标的采购及服务，是供应商编制投标文件的依据。</w:t>
      </w:r>
    </w:p>
    <w:p>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44" w:name="_Toc98580393"/>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法律适用</w:t>
      </w:r>
      <w:bookmarkEnd w:id="44"/>
    </w:p>
    <w:p>
      <w:pPr>
        <w:spacing w:line="360" w:lineRule="auto"/>
        <w:ind w:firstLine="56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本招标文件及由本次招标产生的合同适用中华人民共和国法律。</w:t>
      </w:r>
    </w:p>
    <w:p>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45" w:name="_Toc98580394"/>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定义</w:t>
      </w:r>
      <w:bookmarkEnd w:id="45"/>
    </w:p>
    <w:p>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“招标机构”系指组织本次招标的代理机构；</w:t>
      </w:r>
    </w:p>
    <w:p>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“供应商”系指向招标机构提交投标文件的投标商；</w:t>
      </w:r>
    </w:p>
    <w:p>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“买方”系指采购人，合同一方当事人；</w:t>
      </w:r>
    </w:p>
    <w:p>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“服务”系指招标文件规定须完成的服务和其他的类似义务；</w:t>
      </w:r>
    </w:p>
    <w:p>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“日”、“天”系指日历日；</w:t>
      </w:r>
    </w:p>
    <w:p>
      <w:pPr>
        <w:pStyle w:val="119"/>
        <w:spacing w:before="0" w:beforeAutospacing="0" w:after="0" w:afterAutospacing="0" w:line="360" w:lineRule="auto"/>
        <w:ind w:firstLine="24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“合同”是买方与中标人共同以招标文件、投标文件为依据，经过协商签订的具备法律效力的文件。招标文件、投标文件及其共同确定的补充文件是合同的有效组成部分，与合同具备同等的法律效力。</w:t>
      </w:r>
    </w:p>
    <w:p>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46" w:name="_Toc98580395"/>
      <w:r>
        <w:rPr>
          <w:rFonts w:asciiTheme="minorEastAsia" w:hAnsiTheme="minorEastAsia" w:eastAsiaTheme="minorEastAsia"/>
          <w:color w:val="000000" w:themeColor="text1"/>
          <w:sz w:val="21"/>
          <w:szCs w:val="21"/>
          <w:highlight w:val="none"/>
          <w14:textFill>
            <w14:solidFill>
              <w14:schemeClr w14:val="tx1"/>
            </w14:solidFill>
          </w14:textFill>
        </w:rPr>
        <w:t>4.</w:t>
      </w:r>
      <w:r>
        <w:rPr>
          <w:rFonts w:hint="eastAsia" w:asciiTheme="minorEastAsia" w:hAnsiTheme="minorEastAsia" w:eastAsiaTheme="minorEastAsia"/>
          <w:color w:val="000000" w:themeColor="text1"/>
          <w:sz w:val="21"/>
          <w:szCs w:val="21"/>
          <w:highlight w:val="none"/>
          <w14:textFill>
            <w14:solidFill>
              <w14:schemeClr w14:val="tx1"/>
            </w14:solidFill>
          </w14:textFill>
        </w:rPr>
        <w:t>合格的供应商</w:t>
      </w:r>
      <w:bookmarkEnd w:id="46"/>
    </w:p>
    <w:p>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4.1</w:t>
      </w:r>
      <w:r>
        <w:rPr>
          <w:rFonts w:hint="eastAsia" w:asciiTheme="minorEastAsia" w:hAnsiTheme="minorEastAsia" w:eastAsiaTheme="minorEastAsia"/>
          <w:color w:val="000000" w:themeColor="text1"/>
          <w:sz w:val="21"/>
          <w:szCs w:val="21"/>
          <w:highlight w:val="none"/>
          <w14:textFill>
            <w14:solidFill>
              <w14:schemeClr w14:val="tx1"/>
            </w14:solidFill>
          </w14:textFill>
        </w:rPr>
        <w:t>合格供应商必须符合供应商须知前附表第11项下各项要求，并在投标时提供以下文件，若有遗漏或不符合要求均为资格审查不合格；</w:t>
      </w:r>
    </w:p>
    <w:p>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4.2</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仔细阅读招标文件的所有内容，按招标文件的要求提供投标文件，并保证所提供的全部资料的真实性，使其投标对招标文件做出实质性响应，否则，其投标将被拒绝。招标机构保留进一步要求供应商补充提供有关材料的权利，拒绝补充材料或提供材料不真实，将被视为自动放弃投标资格。</w:t>
      </w:r>
    </w:p>
    <w:p>
      <w:pPr>
        <w:spacing w:line="360" w:lineRule="auto"/>
        <w:jc w:val="both"/>
        <w:rPr>
          <w:rFonts w:asciiTheme="minorEastAsia" w:hAnsiTheme="minorEastAsia" w:eastAsiaTheme="minorEastAsia"/>
          <w:b/>
          <w:color w:val="000000" w:themeColor="text1"/>
          <w:sz w:val="21"/>
          <w:szCs w:val="21"/>
          <w:highlight w:val="none"/>
          <w14:textFill>
            <w14:solidFill>
              <w14:schemeClr w14:val="tx1"/>
            </w14:solidFill>
          </w14:textFill>
        </w:rPr>
      </w:pPr>
      <w:bookmarkStart w:id="47" w:name="_Toc98580402"/>
      <w:r>
        <w:rPr>
          <w:rFonts w:hint="eastAsia" w:asciiTheme="minorEastAsia" w:hAnsiTheme="minorEastAsia" w:eastAsiaTheme="minorEastAsia"/>
          <w:b/>
          <w:color w:val="000000" w:themeColor="text1"/>
          <w:sz w:val="21"/>
          <w:szCs w:val="21"/>
          <w:highlight w:val="none"/>
          <w14:textFill>
            <w14:solidFill>
              <w14:schemeClr w14:val="tx1"/>
            </w14:solidFill>
          </w14:textFill>
        </w:rPr>
        <w:t>5．投标费用</w:t>
      </w:r>
    </w:p>
    <w:p>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供应商应承担其在投标准备、编制、递交投标文件和签订合同协议书的整个过程中发生的一切费用而不论其投标结果如何。</w:t>
      </w:r>
    </w:p>
    <w:p>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48" w:name="_Toc98580396"/>
      <w:r>
        <w:rPr>
          <w:rFonts w:asciiTheme="minorEastAsia" w:hAnsiTheme="minorEastAsia" w:eastAsiaTheme="minorEastAsia"/>
          <w:color w:val="000000" w:themeColor="text1"/>
          <w:sz w:val="21"/>
          <w:szCs w:val="21"/>
          <w:highlight w:val="none"/>
          <w14:textFill>
            <w14:solidFill>
              <w14:schemeClr w14:val="tx1"/>
            </w14:solidFill>
          </w14:textFill>
        </w:rPr>
        <w:t>B.</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招标文件说明</w:t>
      </w:r>
      <w:bookmarkEnd w:id="48"/>
    </w:p>
    <w:p>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49" w:name="_Toc98580397"/>
      <w:r>
        <w:rPr>
          <w:rFonts w:asciiTheme="minorEastAsia" w:hAnsiTheme="minorEastAsia" w:eastAsiaTheme="minorEastAsia"/>
          <w:color w:val="000000" w:themeColor="text1"/>
          <w:sz w:val="21"/>
          <w:szCs w:val="21"/>
          <w:highlight w:val="none"/>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w:t>
      </w:r>
      <w:bookmarkEnd w:id="49"/>
    </w:p>
    <w:p>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招标文件用以阐明所需货物及服务、招标投标程序和投标文件格式。招标文件由以下部分组成：</w:t>
      </w:r>
    </w:p>
    <w:p>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bookmarkStart w:id="50" w:name="_Toc98580398"/>
      <w:r>
        <w:rPr>
          <w:rFonts w:hint="eastAsia" w:asciiTheme="minorEastAsia" w:hAnsiTheme="minorEastAsia" w:eastAsiaTheme="minorEastAsia"/>
          <w:color w:val="000000" w:themeColor="text1"/>
          <w:sz w:val="21"/>
          <w:szCs w:val="21"/>
          <w:highlight w:val="none"/>
          <w14:textFill>
            <w14:solidFill>
              <w14:schemeClr w14:val="tx1"/>
            </w14:solidFill>
          </w14:textFill>
        </w:rPr>
        <w:t>第一部分   招标公告</w:t>
      </w:r>
    </w:p>
    <w:p>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第二部分   供应商须知</w:t>
      </w:r>
    </w:p>
    <w:p>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第三部分   评标办法</w:t>
      </w:r>
    </w:p>
    <w:p>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第四部分   采购需求</w:t>
      </w:r>
    </w:p>
    <w:p>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第五部分   合同条款</w:t>
      </w:r>
    </w:p>
    <w:p>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第六部分   投标文件格式</w:t>
      </w:r>
    </w:p>
    <w:p>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7.</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招标文件的澄清</w:t>
      </w:r>
      <w:bookmarkEnd w:id="50"/>
    </w:p>
    <w:p>
      <w:pPr>
        <w:spacing w:line="360" w:lineRule="auto"/>
        <w:ind w:firstLine="56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供应商应仔细阅读和检查招标文件的全部内容。如发现缺页或附件不全，应及时向采购人提出，以便补齐。如有疑问，应按供应商须知前附表规定的时间和形式将提出，要求采购人对招标文件予以澄清。</w:t>
      </w:r>
    </w:p>
    <w:p>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1" w:name="_Toc98580399"/>
      <w:r>
        <w:rPr>
          <w:rFonts w:asciiTheme="minorEastAsia" w:hAnsiTheme="minorEastAsia" w:eastAsiaTheme="minorEastAsia"/>
          <w:color w:val="000000" w:themeColor="text1"/>
          <w:sz w:val="21"/>
          <w:szCs w:val="21"/>
          <w:highlight w:val="none"/>
          <w14:textFill>
            <w14:solidFill>
              <w14:schemeClr w14:val="tx1"/>
            </w14:solidFill>
          </w14:textFill>
        </w:rPr>
        <w:t>8.</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招标文件的修改</w:t>
      </w:r>
      <w:bookmarkEnd w:id="51"/>
    </w:p>
    <w:p>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8.1</w:t>
      </w:r>
      <w:r>
        <w:rPr>
          <w:rFonts w:hint="eastAsia" w:asciiTheme="minorEastAsia" w:hAnsiTheme="minorEastAsia" w:eastAsiaTheme="minorEastAsia"/>
          <w:color w:val="000000" w:themeColor="text1"/>
          <w:sz w:val="21"/>
          <w:szCs w:val="21"/>
          <w:highlight w:val="none"/>
          <w14:textFill>
            <w14:solidFill>
              <w14:schemeClr w14:val="tx1"/>
            </w14:solidFill>
          </w14:textFill>
        </w:rPr>
        <w:t>在投标截止时间前，招标机构可根据需要和（或）依据供应商要求澄清的问题而修改招标文件，并以书面形式在</w:t>
      </w:r>
      <w:r>
        <w:rPr>
          <w:rFonts w:hint="eastAsia" w:asciiTheme="minorEastAsia" w:hAnsiTheme="minorEastAsia" w:eastAsiaTheme="minorEastAsia"/>
          <w:bCs/>
          <w:kern w:val="15"/>
          <w:sz w:val="21"/>
          <w:szCs w:val="21"/>
          <w:highlight w:val="none"/>
        </w:rPr>
        <w:t>政府采购云平台（网址：http:// www.zcygov.cn）上</w:t>
      </w:r>
      <w:r>
        <w:rPr>
          <w:rFonts w:hint="eastAsia" w:asciiTheme="minorEastAsia" w:hAnsiTheme="minorEastAsia" w:eastAsiaTheme="minorEastAsia"/>
          <w:color w:val="000000" w:themeColor="text1"/>
          <w:sz w:val="21"/>
          <w:szCs w:val="21"/>
          <w:highlight w:val="none"/>
          <w14:textFill>
            <w14:solidFill>
              <w14:schemeClr w14:val="tx1"/>
            </w14:solidFill>
          </w14:textFill>
        </w:rPr>
        <w:t>发布；</w:t>
      </w:r>
    </w:p>
    <w:p>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8.</w:t>
      </w: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招标文件的修改书将构成招标文件的一部分，对供应商具有同样的约束力。</w:t>
      </w:r>
    </w:p>
    <w:p>
      <w:pPr>
        <w:spacing w:line="360" w:lineRule="auto"/>
        <w:jc w:val="both"/>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8.3</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修改招标文件的时间距投标截止时间不足15 日的，并且修改内容可能影响投标文件编制的，将相应延长投标截止时间</w:t>
      </w:r>
      <w:r>
        <w:rPr>
          <w:rFonts w:hint="eastAsia" w:asciiTheme="minorEastAsia" w:hAnsiTheme="minorEastAsia" w:eastAsiaTheme="minorEastAsia"/>
          <w:color w:val="000000" w:themeColor="text1"/>
          <w:sz w:val="21"/>
          <w:szCs w:val="21"/>
          <w:highlight w:val="none"/>
          <w14:textFill>
            <w14:solidFill>
              <w14:schemeClr w14:val="tx1"/>
            </w14:solidFill>
          </w14:textFill>
        </w:rPr>
        <w:t>，并在政府采购云平台（网址：http:// www.zcygov.cn）上发布。</w:t>
      </w:r>
    </w:p>
    <w:p>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52" w:name="_Toc98580400"/>
      <w:r>
        <w:rPr>
          <w:rFonts w:asciiTheme="minorEastAsia" w:hAnsiTheme="minorEastAsia" w:eastAsiaTheme="minorEastAsia"/>
          <w:color w:val="000000" w:themeColor="text1"/>
          <w:sz w:val="21"/>
          <w:szCs w:val="21"/>
          <w:highlight w:val="none"/>
          <w14:textFill>
            <w14:solidFill>
              <w14:schemeClr w14:val="tx1"/>
            </w14:solidFill>
          </w14:textFill>
        </w:rPr>
        <w:t>C</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投标文件的编写</w:t>
      </w:r>
      <w:bookmarkEnd w:id="52"/>
    </w:p>
    <w:p>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3" w:name="_Toc98580401"/>
      <w:r>
        <w:rPr>
          <w:rFonts w:asciiTheme="minorEastAsia" w:hAnsiTheme="minorEastAsia" w:eastAsiaTheme="minorEastAsia"/>
          <w:color w:val="000000" w:themeColor="text1"/>
          <w:sz w:val="21"/>
          <w:szCs w:val="21"/>
          <w:highlight w:val="none"/>
          <w14:textFill>
            <w14:solidFill>
              <w14:schemeClr w14:val="tx1"/>
            </w14:solidFill>
          </w14:textFill>
        </w:rPr>
        <w:t>9.</w:t>
      </w:r>
      <w:r>
        <w:rPr>
          <w:rFonts w:hint="eastAsia" w:asciiTheme="minorEastAsia" w:hAnsiTheme="minorEastAsia" w:eastAsiaTheme="minorEastAsia"/>
          <w:color w:val="000000" w:themeColor="text1"/>
          <w:sz w:val="21"/>
          <w:szCs w:val="21"/>
          <w:highlight w:val="none"/>
          <w14:textFill>
            <w14:solidFill>
              <w14:schemeClr w14:val="tx1"/>
            </w14:solidFill>
          </w14:textFill>
        </w:rPr>
        <w:t>投标语言及计量单位</w:t>
      </w:r>
      <w:bookmarkEnd w:id="53"/>
    </w:p>
    <w:p>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9.1</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投标文件及供应商和招标机构就投标交换的文件和来往信件，以中文书写（专有名词除外）；</w:t>
      </w:r>
    </w:p>
    <w:p>
      <w:pPr>
        <w:spacing w:line="360" w:lineRule="auto"/>
        <w:ind w:left="-2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9.2</w:t>
      </w:r>
      <w:r>
        <w:rPr>
          <w:rFonts w:hint="eastAsia" w:asciiTheme="minorEastAsia" w:hAnsiTheme="minorEastAsia" w:eastAsiaTheme="minorEastAsia"/>
          <w:color w:val="000000" w:themeColor="text1"/>
          <w:sz w:val="21"/>
          <w:szCs w:val="21"/>
          <w:highlight w:val="none"/>
          <w14:textFill>
            <w14:solidFill>
              <w14:schemeClr w14:val="tx1"/>
            </w14:solidFill>
          </w14:textFill>
        </w:rPr>
        <w:t>除在招标文件的“技术要求”中另有规定外， 计量单位应使用中华人民共和国法定计量单位（国际单位制和国家选定的其他计量单位）。</w:t>
      </w:r>
    </w:p>
    <w:p>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10．投标文件的组成</w:t>
      </w:r>
      <w:bookmarkEnd w:id="47"/>
    </w:p>
    <w:p>
      <w:pPr>
        <w:spacing w:line="360" w:lineRule="auto"/>
        <w:ind w:left="56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详见第六部分：投标文件格式。</w:t>
      </w:r>
    </w:p>
    <w:p>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4" w:name="_Toc98580403"/>
      <w:r>
        <w:rPr>
          <w:rFonts w:asciiTheme="minorEastAsia" w:hAnsiTheme="minorEastAsia" w:eastAsiaTheme="minorEastAsia"/>
          <w:color w:val="000000" w:themeColor="text1"/>
          <w:sz w:val="21"/>
          <w:szCs w:val="21"/>
          <w:highlight w:val="none"/>
          <w14:textFill>
            <w14:solidFill>
              <w14:schemeClr w14:val="tx1"/>
            </w14:solidFill>
          </w14:textFill>
        </w:rPr>
        <w:t>11.</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投标文件内容填写说明</w:t>
      </w:r>
      <w:bookmarkEnd w:id="54"/>
    </w:p>
    <w:p>
      <w:pPr>
        <w:spacing w:line="360" w:lineRule="auto"/>
        <w:ind w:left="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11.1</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供应商应严格按招标文件要求的内容逐项填写编制投标文件，有规定格式的按规定格式填写，无规定格式的由供应商自拟</w:t>
      </w:r>
      <w:r>
        <w:rPr>
          <w:rFonts w:hint="eastAsia" w:asciiTheme="minorEastAsia" w:hAnsiTheme="minorEastAsia" w:eastAsiaTheme="minorEastAsia"/>
          <w:b/>
          <w:color w:val="000000" w:themeColor="text1"/>
          <w:sz w:val="21"/>
          <w:szCs w:val="21"/>
          <w:highlight w:val="none"/>
          <w14:textFill>
            <w14:solidFill>
              <w14:schemeClr w14:val="tx1"/>
            </w14:solidFill>
          </w14:textFill>
        </w:rPr>
        <w:t>。</w:t>
      </w:r>
    </w:p>
    <w:p>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11.2</w:t>
      </w:r>
      <w:r>
        <w:rPr>
          <w:rFonts w:hint="eastAsia" w:asciiTheme="minorEastAsia" w:hAnsiTheme="minorEastAsia" w:eastAsiaTheme="minorEastAsia"/>
          <w:color w:val="000000" w:themeColor="text1"/>
          <w:sz w:val="21"/>
          <w:szCs w:val="21"/>
          <w:highlight w:val="none"/>
          <w14:textFill>
            <w14:solidFill>
              <w14:schemeClr w14:val="tx1"/>
            </w14:solidFill>
          </w14:textFill>
        </w:rPr>
        <w:t>开标一览表为在开标仪式上唱标的内容，要求按格式填写、统一规范，不得自行增减内容。投标文件不得漏项或虚报，否则将可能导致其投标被拒绝。</w:t>
      </w:r>
    </w:p>
    <w:p>
      <w:pPr>
        <w:spacing w:line="360" w:lineRule="auto"/>
        <w:ind w:left="-14"/>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11.3 供应商应保证其所提供文件的真实性，并应对招标文件的实质性要求作出完全响应，否则其投标可能被拒绝。</w:t>
      </w:r>
    </w:p>
    <w:p>
      <w:pPr>
        <w:spacing w:line="360" w:lineRule="auto"/>
        <w:ind w:left="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11.4供应商视需要自行编制技术文件的补充附件。规格幅面应与正文一致，附于正文之后，与正文页码</w:t>
      </w:r>
      <w:r>
        <w:rPr>
          <w:rFonts w:hint="eastAsia" w:asciiTheme="minorEastAsia" w:hAnsiTheme="minorEastAsia" w:eastAsiaTheme="minorEastAsia"/>
          <w:b/>
          <w:color w:val="000000" w:themeColor="text1"/>
          <w:sz w:val="21"/>
          <w:szCs w:val="21"/>
          <w:highlight w:val="none"/>
          <w14:textFill>
            <w14:solidFill>
              <w14:schemeClr w14:val="tx1"/>
            </w14:solidFill>
          </w14:textFill>
        </w:rPr>
        <w:t>装订</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5" w:name="_Toc98580404"/>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投标报价</w:t>
      </w:r>
      <w:bookmarkEnd w:id="55"/>
    </w:p>
    <w:p>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12.1 所有投标均以人民币报价；</w:t>
      </w:r>
    </w:p>
    <w:p>
      <w:pPr>
        <w:spacing w:line="360" w:lineRule="auto"/>
        <w:ind w:left="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2供应商应在填写分项报价表时注明各项单价、总价。如果单价与总价有出入，以单价为准。招标机构不接受有任何选择的报价；报价须有法人代表或授权代表签署。</w:t>
      </w:r>
    </w:p>
    <w:p>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3供应商应按上述</w:t>
      </w:r>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3条款要求填写投标报价，以供评标委员会比较评价。</w:t>
      </w:r>
    </w:p>
    <w:p>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12.5</w:t>
      </w:r>
      <w:r>
        <w:rPr>
          <w:rFonts w:asciiTheme="minorEastAsia" w:hAnsiTheme="minorEastAsia" w:eastAsiaTheme="minorEastAsia"/>
          <w:color w:val="000000" w:themeColor="text1"/>
          <w:sz w:val="21"/>
          <w:szCs w:val="21"/>
          <w:highlight w:val="none"/>
          <w14:textFill>
            <w14:solidFill>
              <w14:schemeClr w14:val="tx1"/>
            </w14:solidFill>
          </w14:textFill>
        </w:rPr>
        <w:t>供应商</w:t>
      </w:r>
      <w:r>
        <w:rPr>
          <w:rFonts w:hint="eastAsia" w:asciiTheme="minorEastAsia" w:hAnsiTheme="minorEastAsia" w:eastAsiaTheme="minorEastAsia"/>
          <w:color w:val="000000" w:themeColor="text1"/>
          <w:sz w:val="21"/>
          <w:szCs w:val="21"/>
          <w:highlight w:val="none"/>
          <w14:textFill>
            <w14:solidFill>
              <w14:schemeClr w14:val="tx1"/>
            </w14:solidFill>
          </w14:textFill>
        </w:rPr>
        <w:t>因承包本项目需支付的一切费用如：制作、拼装、检验、税金、运费、安装费、保险费、调试验收等费用均由供应商承担，并包含在所报的单价或总额价内。</w:t>
      </w:r>
    </w:p>
    <w:p>
      <w:pPr>
        <w:spacing w:line="360" w:lineRule="auto"/>
        <w:rPr>
          <w:rFonts w:asciiTheme="minorEastAsia" w:hAnsiTheme="minorEastAsia" w:eastAsiaTheme="minorEastAsia"/>
          <w:b/>
          <w:color w:val="000000" w:themeColor="text1"/>
          <w:sz w:val="21"/>
          <w:szCs w:val="21"/>
          <w:highlight w:val="none"/>
          <w14:textFill>
            <w14:solidFill>
              <w14:schemeClr w14:val="tx1"/>
            </w14:solidFill>
          </w14:textFill>
        </w:rPr>
      </w:pPr>
      <w:bookmarkStart w:id="56" w:name="_Toc98580405"/>
      <w:r>
        <w:rPr>
          <w:rFonts w:asciiTheme="minorEastAsia" w:hAnsiTheme="minorEastAsia" w:eastAsiaTheme="minorEastAsia"/>
          <w:b/>
          <w:color w:val="000000" w:themeColor="text1"/>
          <w:sz w:val="21"/>
          <w:szCs w:val="21"/>
          <w:highlight w:val="none"/>
          <w14:textFill>
            <w14:solidFill>
              <w14:schemeClr w14:val="tx1"/>
            </w14:solidFill>
          </w14:textFill>
        </w:rPr>
        <w:t>13</w:t>
      </w:r>
      <w:r>
        <w:rPr>
          <w:rFonts w:hint="eastAsia" w:asciiTheme="minorEastAsia" w:hAnsiTheme="minorEastAsia" w:eastAsiaTheme="minorEastAsia"/>
          <w:b/>
          <w:color w:val="000000" w:themeColor="text1"/>
          <w:sz w:val="21"/>
          <w:szCs w:val="21"/>
          <w:highlight w:val="none"/>
          <w14:textFill>
            <w14:solidFill>
              <w14:schemeClr w14:val="tx1"/>
            </w14:solidFill>
          </w14:textFill>
        </w:rPr>
        <w:t>.投标保证金</w:t>
      </w:r>
      <w:bookmarkEnd w:id="56"/>
    </w:p>
    <w:p>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13.1投标保证金的形式：</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见</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供应商须知前附表。</w:t>
      </w:r>
    </w:p>
    <w:p>
      <w:pPr>
        <w:spacing w:line="360" w:lineRule="auto"/>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13.2投标保证金的金额：见</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供应商须知前附表</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 xml:space="preserve">； </w:t>
      </w:r>
    </w:p>
    <w:p>
      <w:pPr>
        <w:spacing w:line="360" w:lineRule="auto"/>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13.3递交方式：见</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供应商须知前附表</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w:t>
      </w:r>
    </w:p>
    <w:p>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13.4投标保证金用于保护本次招标免受因供应商不履行投标承诺及合同等行为而引起的风险；</w:t>
      </w:r>
    </w:p>
    <w:p>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13.5未按13.1和13.2条款要求提交投标保证金的投标将被视为投标无效；</w:t>
      </w:r>
    </w:p>
    <w:p>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13.6 发生下列情况之一，投标保证金将被没收：</w:t>
      </w:r>
    </w:p>
    <w:p>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（1）开标后在投标有效期间，供应商撤回其投标文件；</w:t>
      </w:r>
    </w:p>
    <w:p>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（2）中标人不按本须知第26条规定签约；</w:t>
      </w:r>
    </w:p>
    <w:p>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（3）中标人不按本须知第28条规定缴付中标服务费。</w:t>
      </w:r>
    </w:p>
    <w:p>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7" w:name="_Toc98580406"/>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投标有效期</w:t>
      </w:r>
      <w:bookmarkEnd w:id="57"/>
    </w:p>
    <w:p>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14</w:t>
      </w: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从开标之日起，投标有效期为90天。不能满足投标有效期的投标，将被拒绝；</w:t>
      </w:r>
    </w:p>
    <w:p>
      <w:pPr>
        <w:spacing w:line="360" w:lineRule="auto"/>
        <w:ind w:left="464" w:hanging="464" w:hangingChars="22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特殊情况下，招标机构可于投标有效期满之前要求供应商延长投标有效期，这种要求和答复都应以书面的形式进行。供应商可以拒绝接受延期要求。同意延长有效期的供应商不能修改投标文件。</w:t>
      </w:r>
    </w:p>
    <w:p>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8" w:name="_Toc98580407"/>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投标文件的签署及规定</w:t>
      </w:r>
      <w:bookmarkEnd w:id="58"/>
    </w:p>
    <w:p>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9" w:name="_Toc98580408"/>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组成投标文件的各项资料均应遵守本须知第10条中所规定的内容。</w:t>
      </w:r>
    </w:p>
    <w:p>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供应商应填写单位全称，同时加盖印章。</w:t>
      </w:r>
    </w:p>
    <w:p>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投标文件必须由法人代表或法人授权代表签署。</w:t>
      </w:r>
    </w:p>
    <w:p>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投标文件的必须用不退色的墨水填写或打印。</w:t>
      </w:r>
    </w:p>
    <w:p>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投标文件不得涂改和增删，如有修改错漏处，必须由同一签署人签字或盖章。</w:t>
      </w:r>
    </w:p>
    <w:p>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投标文件因字迹潦草或表达不清所引起的后果由供应商负责。</w:t>
      </w:r>
    </w:p>
    <w:p>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招标机构概不接受以电话、传真形式的投标。</w:t>
      </w:r>
    </w:p>
    <w:p>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D</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投标文件的递交</w:t>
      </w:r>
      <w:bookmarkEnd w:id="59"/>
    </w:p>
    <w:p>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0" w:name="_Toc98580410"/>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递交投标文件的截止时间</w:t>
      </w:r>
      <w:bookmarkEnd w:id="60"/>
    </w:p>
    <w:p>
      <w:pPr>
        <w:spacing w:line="360" w:lineRule="auto"/>
        <w:ind w:left="451" w:hanging="451" w:hangingChars="215"/>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投标文件按照招标机构在投标邀请中规定的投标截止时间</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之前上传至政府采购云平台</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spacing w:line="360" w:lineRule="auto"/>
        <w:rPr>
          <w:rFonts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1</w:t>
      </w:r>
      <w:r>
        <w:rPr>
          <w:rFonts w:hint="eastAsia" w:asciiTheme="minorEastAsia" w:hAnsiTheme="minorEastAsia" w:eastAsiaTheme="minorEastAsia"/>
          <w:b/>
          <w:bCs/>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.投标文件修改和撤消</w:t>
      </w:r>
    </w:p>
    <w:p>
      <w:pPr>
        <w:spacing w:line="360" w:lineRule="auto"/>
        <w:ind w:left="514" w:hanging="514" w:hangingChars="245"/>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在投标截止时间前</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上传投标文件</w:t>
      </w:r>
      <w:r>
        <w:rPr>
          <w:rFonts w:hint="eastAsia" w:asciiTheme="minorEastAsia" w:hAnsiTheme="minorEastAsia" w:eastAsiaTheme="minorEastAsia"/>
          <w:color w:val="000000" w:themeColor="text1"/>
          <w:sz w:val="21"/>
          <w:szCs w:val="21"/>
          <w:highlight w:val="none"/>
          <w14:textFill>
            <w14:solidFill>
              <w14:schemeClr w14:val="tx1"/>
            </w14:solidFill>
          </w14:textFill>
        </w:rPr>
        <w:t>者，</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可即时修改或撤消文件</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投标截止时间以后不得修改投标文件；</w:t>
      </w:r>
    </w:p>
    <w:p>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开标后供应商不得撤回投标。</w:t>
      </w:r>
    </w:p>
    <w:p>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61" w:name="_Toc98580411"/>
      <w:r>
        <w:rPr>
          <w:rFonts w:hint="eastAsia" w:asciiTheme="minorEastAsia" w:hAnsiTheme="minorEastAsia" w:eastAsiaTheme="minorEastAsia"/>
          <w:color w:val="000000" w:themeColor="text1"/>
          <w:sz w:val="21"/>
          <w:szCs w:val="21"/>
          <w:highlight w:val="none"/>
          <w14:textFill>
            <w14:solidFill>
              <w14:schemeClr w14:val="tx1"/>
            </w14:solidFill>
          </w14:textFill>
        </w:rPr>
        <w:t>E开标及评标</w:t>
      </w:r>
      <w:bookmarkEnd w:id="61"/>
    </w:p>
    <w:p>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2" w:name="_Toc98580412"/>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8</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开标</w:t>
      </w:r>
      <w:bookmarkEnd w:id="62"/>
    </w:p>
    <w:p>
      <w:pPr>
        <w:spacing w:line="360" w:lineRule="auto"/>
        <w:ind w:left="477" w:hanging="476" w:hangingChars="227"/>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8</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采购代理机构按招标文件规定的时间、地点主持公开开标。开标仪式由采购代理机构主持，采购人代表及有关工作人员参加。</w:t>
      </w:r>
    </w:p>
    <w:p>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8</w:t>
      </w: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供应商派代表参加开标仪式。</w:t>
      </w:r>
    </w:p>
    <w:p>
      <w:pPr>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8</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采购代理机构在开标仪式上，将公开唱出所有供应商的“开标一览表”内容及投标声明，以及采购机构认为合适的其它内容并记录。</w:t>
      </w:r>
    </w:p>
    <w:p>
      <w:pPr>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1"/>
          <w:szCs w:val="21"/>
          <w:highlight w:val="none"/>
          <w14:textFill>
            <w14:solidFill>
              <w14:schemeClr w14:val="tx1"/>
            </w14:solidFill>
          </w14:textFill>
        </w:rPr>
        <w:t>开标前，投标文件</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未按规定时间完成解密</w:t>
      </w:r>
      <w:r>
        <w:rPr>
          <w:rFonts w:hint="eastAsia" w:asciiTheme="minorEastAsia" w:hAnsiTheme="minorEastAsia" w:eastAsiaTheme="minorEastAsia"/>
          <w:color w:val="000000" w:themeColor="text1"/>
          <w:sz w:val="21"/>
          <w:szCs w:val="21"/>
          <w:highlight w:val="none"/>
          <w14:textFill>
            <w14:solidFill>
              <w14:schemeClr w14:val="tx1"/>
            </w14:solidFill>
          </w14:textFill>
        </w:rPr>
        <w:t>的供应商不予受理：</w:t>
      </w:r>
    </w:p>
    <w:p>
      <w:pPr>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1"/>
          <w:szCs w:val="21"/>
          <w:highlight w:val="none"/>
          <w14:textFill>
            <w14:solidFill>
              <w14:schemeClr w14:val="tx1"/>
            </w14:solidFill>
          </w14:textFill>
        </w:rPr>
        <w:t>开标后,直到宣布授予中标单位合同为止,凡属于审查、澄清、评价和比较投标的所有质料,有关授予合同的信息,都不应该向投标无关的其他人泄露。</w:t>
      </w:r>
    </w:p>
    <w:p>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3" w:name="_Toc98580413"/>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对投标文件的初审</w:t>
      </w:r>
      <w:bookmarkEnd w:id="63"/>
    </w:p>
    <w:p>
      <w:pPr>
        <w:spacing w:line="360" w:lineRule="auto"/>
        <w:ind w:left="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采购人根据招标项目特点组建评标委员会，采购人代表和技术经济及其他有关方面的专家组成。 </w:t>
      </w:r>
    </w:p>
    <w:p>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评标委员会对投标文件进行初审，初审内容为投标文件是否符合招标文件的要求、内容是否完整、价格构成有无计算错误、文件签署是否齐全及验证保证金以及投标文件是否具有实质响应性。</w:t>
      </w:r>
    </w:p>
    <w:p>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初审中，对价格的计算错误按下述原则修正：</w:t>
      </w:r>
    </w:p>
    <w:p>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如果单价乘数量不等于总价，应以单价为准修正总价。</w:t>
      </w:r>
    </w:p>
    <w:p>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如果以文字表示的数据与数字表示的有差别，应以文字为准修正数字。</w:t>
      </w:r>
    </w:p>
    <w:p>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供应商不同意以上修正，则其投标将被拒绝。</w:t>
      </w:r>
    </w:p>
    <w:p>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与招标文件有重大偏离的投标文件将被视为具有非实质响应性的投标文件而被拒绝。</w:t>
      </w:r>
    </w:p>
    <w:p>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重大偏离系指投标项目的服务范围、质量、数量及交货期明显不能满足招标文件的要求，或限制了采购人的权力和供应商的义务的规定，而纠正这些偏离将影响到其它提交实质性响应投标的供应商的公平竞争地位。这些偏离不允许在开标后修正。但招标机构将允许修改投标中不构成重大偏离的、微小的、非正规的、不一致或不规则的地方。评委会对投标文件的判定，只依据投标内容本身，不依据开标后的任何外来证明。</w:t>
      </w:r>
    </w:p>
    <w:p>
      <w:pPr>
        <w:spacing w:line="360" w:lineRule="auto"/>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4 投标有下列情况之一者，</w:t>
      </w:r>
      <w:r>
        <w:rPr>
          <w:rFonts w:hint="eastAsia" w:asciiTheme="minorEastAsia" w:hAnsiTheme="minorEastAsia" w:eastAsiaTheme="minorEastAsia"/>
          <w:b/>
          <w:color w:val="000000" w:themeColor="text1"/>
          <w:sz w:val="21"/>
          <w:szCs w:val="21"/>
          <w:highlight w:val="none"/>
          <w14:textFill>
            <w14:solidFill>
              <w14:schemeClr w14:val="tx1"/>
            </w14:solidFill>
          </w14:textFill>
        </w:rPr>
        <w:t>将被视为非实质性响应的投标而被拒绝：</w:t>
      </w:r>
    </w:p>
    <w:p>
      <w:pPr>
        <w:numPr>
          <w:ilvl w:val="0"/>
          <w:numId w:val="4"/>
        </w:numPr>
        <w:tabs>
          <w:tab w:val="left" w:pos="686"/>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资格条件及证明文件不符合招标文件要求的；</w:t>
      </w:r>
    </w:p>
    <w:p>
      <w:pPr>
        <w:numPr>
          <w:ilvl w:val="0"/>
          <w:numId w:val="4"/>
        </w:numPr>
        <w:tabs>
          <w:tab w:val="left" w:pos="686"/>
          <w:tab w:val="clear" w:pos="1080"/>
        </w:tabs>
        <w:spacing w:line="360" w:lineRule="auto"/>
        <w:ind w:left="0"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投标文件无公章或无法定代表人签字，或签字人无法定代表人有效授权书的，或未按要求签字、盖公章的；</w:t>
      </w:r>
    </w:p>
    <w:p>
      <w:pPr>
        <w:numPr>
          <w:ilvl w:val="0"/>
          <w:numId w:val="4"/>
        </w:numPr>
        <w:tabs>
          <w:tab w:val="left" w:pos="700"/>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不能满足投标有效期的；</w:t>
      </w:r>
    </w:p>
    <w:p>
      <w:pPr>
        <w:numPr>
          <w:ilvl w:val="0"/>
          <w:numId w:val="4"/>
        </w:numPr>
        <w:tabs>
          <w:tab w:val="left" w:pos="700"/>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投标明显不符合技术规格、技术标准的要求；</w:t>
      </w:r>
    </w:p>
    <w:p>
      <w:pPr>
        <w:numPr>
          <w:ilvl w:val="0"/>
          <w:numId w:val="4"/>
        </w:numPr>
        <w:tabs>
          <w:tab w:val="left" w:pos="714"/>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投标文件附有买方不能接受的条件；</w:t>
      </w:r>
    </w:p>
    <w:p>
      <w:pPr>
        <w:numPr>
          <w:ilvl w:val="0"/>
          <w:numId w:val="4"/>
        </w:numPr>
        <w:tabs>
          <w:tab w:val="left" w:pos="714"/>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投标报价超过采购预算的；</w:t>
      </w:r>
    </w:p>
    <w:p>
      <w:pPr>
        <w:numPr>
          <w:ilvl w:val="0"/>
          <w:numId w:val="4"/>
        </w:numPr>
        <w:tabs>
          <w:tab w:val="left" w:pos="714"/>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未响应招标文件规定的其它实质性条款。</w:t>
      </w:r>
    </w:p>
    <w:p>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4" w:name="_Toc98580414"/>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0</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投标的澄清</w:t>
      </w:r>
      <w:bookmarkEnd w:id="64"/>
    </w:p>
    <w:p>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0</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招标机构有权就投标文件中含混之处向供应商提出询问或澄清要求，或要求其补充某些材料。供应商必须按照招标机构通知的时间、地点派技术和商务人员进行答疑和澄清。</w:t>
      </w:r>
    </w:p>
    <w:p>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0</w:t>
      </w: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必要时招标机构可要求供应商就澄清的问题作书面回答，该书面回答应有投标全权代表的签章，并将作为投标内容的一部分。</w:t>
      </w:r>
    </w:p>
    <w:p>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0</w:t>
      </w: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供应商对投标文件的澄清不得改变投标价格及实质内容。</w:t>
      </w:r>
    </w:p>
    <w:p>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5" w:name="_Toc98580415"/>
      <w:bookmarkStart w:id="66" w:name="_Toc98580416"/>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评标</w:t>
      </w:r>
      <w:bookmarkEnd w:id="65"/>
    </w:p>
    <w:p>
      <w:pPr>
        <w:autoSpaceDE w:val="0"/>
        <w:autoSpaceDN w:val="0"/>
        <w:spacing w:line="360" w:lineRule="auto"/>
        <w:textAlignment w:val="bottom"/>
        <w:rPr>
          <w:rFonts w:cs="Arial" w:asciiTheme="minorEastAsia" w:hAnsiTheme="minorEastAsia" w:eastAsiaTheme="minorEastAsia"/>
          <w:bCs/>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bCs/>
          <w:color w:val="000000" w:themeColor="text1"/>
          <w:sz w:val="21"/>
          <w:szCs w:val="21"/>
          <w:highlight w:val="none"/>
          <w14:textFill>
            <w14:solidFill>
              <w14:schemeClr w14:val="tx1"/>
            </w14:solidFill>
          </w14:textFill>
        </w:rPr>
        <w:t>2</w:t>
      </w:r>
      <w:r>
        <w:rPr>
          <w:rFonts w:hint="eastAsia" w:cs="Arial" w:asciiTheme="minorEastAsia" w:hAnsiTheme="minorEastAsia" w:eastAsiaTheme="minorEastAsia"/>
          <w:bCs/>
          <w:color w:val="000000" w:themeColor="text1"/>
          <w:sz w:val="21"/>
          <w:szCs w:val="21"/>
          <w:highlight w:val="none"/>
          <w:lang w:val="en-US" w:eastAsia="zh-CN"/>
          <w14:textFill>
            <w14:solidFill>
              <w14:schemeClr w14:val="tx1"/>
            </w14:solidFill>
          </w14:textFill>
        </w:rPr>
        <w:t>1</w:t>
      </w:r>
      <w:r>
        <w:rPr>
          <w:rFonts w:hint="eastAsia" w:cs="Arial" w:asciiTheme="minorEastAsia" w:hAnsiTheme="minorEastAsia" w:eastAsiaTheme="minorEastAsia"/>
          <w:bCs/>
          <w:color w:val="000000" w:themeColor="text1"/>
          <w:sz w:val="21"/>
          <w:szCs w:val="21"/>
          <w:highlight w:val="none"/>
          <w14:textFill>
            <w14:solidFill>
              <w14:schemeClr w14:val="tx1"/>
            </w14:solidFill>
          </w14:textFill>
        </w:rPr>
        <w:t xml:space="preserve">.1 </w:t>
      </w:r>
      <w:r>
        <w:rPr>
          <w:rFonts w:cs="Arial" w:asciiTheme="minorEastAsia" w:hAnsiTheme="minorEastAsia" w:eastAsiaTheme="minorEastAsia"/>
          <w:bCs/>
          <w:color w:val="000000" w:themeColor="text1"/>
          <w:sz w:val="21"/>
          <w:szCs w:val="21"/>
          <w:highlight w:val="none"/>
          <w14:textFill>
            <w14:solidFill>
              <w14:schemeClr w14:val="tx1"/>
            </w14:solidFill>
          </w14:textFill>
        </w:rPr>
        <w:t>原则：对所有供应商的投标评估，都采用相同的程序和标准。</w:t>
      </w:r>
    </w:p>
    <w:p>
      <w:pPr>
        <w:autoSpaceDE w:val="0"/>
        <w:autoSpaceDN w:val="0"/>
        <w:spacing w:line="360" w:lineRule="auto"/>
        <w:textAlignment w:val="bottom"/>
        <w:rPr>
          <w:rFonts w:cs="Arial" w:asciiTheme="minorEastAsia" w:hAnsiTheme="minorEastAsia" w:eastAsiaTheme="minorEastAsia"/>
          <w:bCs/>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w:t>
      </w: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标准：评标严格按照招标文件的要求和条件进行。</w:t>
      </w:r>
    </w:p>
    <w:p>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评标过程保密</w:t>
      </w:r>
      <w:bookmarkEnd w:id="66"/>
    </w:p>
    <w:p>
      <w:pPr>
        <w:spacing w:line="360" w:lineRule="auto"/>
        <w:ind w:left="451" w:hanging="451" w:hangingChars="215"/>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有关投标文件的审查、澄清、评估和比较以及有关授予合同意向的一切情况均不得透露给任一供应商或与上述评标工作无关的人员；</w:t>
      </w:r>
    </w:p>
    <w:p>
      <w:pPr>
        <w:spacing w:line="360" w:lineRule="auto"/>
        <w:ind w:left="451" w:hanging="451" w:hangingChars="215"/>
        <w:rPr>
          <w:rFonts w:asciiTheme="minorEastAsia" w:hAnsiTheme="minorEastAsia" w:eastAsiaTheme="minorEastAsia"/>
          <w:b/>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在评标期间，供应商企图影响采购人的任何活动，将导致投标被拒绝，并承担相应的法律责任。</w:t>
      </w:r>
    </w:p>
    <w:p>
      <w:pPr>
        <w:spacing w:line="360" w:lineRule="auto"/>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F</w:t>
      </w:r>
      <w:r>
        <w:rPr>
          <w:rFonts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1"/>
          <w:szCs w:val="21"/>
          <w:highlight w:val="none"/>
          <w14:textFill>
            <w14:solidFill>
              <w14:schemeClr w14:val="tx1"/>
            </w14:solidFill>
          </w14:textFill>
        </w:rPr>
        <w:t xml:space="preserve"> 确定中标</w:t>
      </w:r>
    </w:p>
    <w:p>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7" w:name="_Toc98580417"/>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最终审查</w:t>
      </w:r>
      <w:bookmarkEnd w:id="67"/>
    </w:p>
    <w:p>
      <w:pPr>
        <w:spacing w:line="360" w:lineRule="auto"/>
        <w:ind w:left="504" w:leftChars="14" w:hanging="476" w:hangingChars="22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评标委员会按照招标文件确定的评标标准和方法，对投标文件进行评审，并提出书面评标报告，推荐中标候选人。最终审查的对象是招标项目的合格的供应商。 </w:t>
      </w:r>
    </w:p>
    <w:p>
      <w:pPr>
        <w:spacing w:line="360" w:lineRule="auto"/>
        <w:ind w:left="477" w:hanging="476" w:hangingChars="227"/>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最终审查的内容是对合格的供应商的产品进行产品性能、技术状况、生产条件、产品质量、财务状况、资格、信誉以及采购人认为有必要了解的其他问题作进一步的审查。  </w:t>
      </w:r>
    </w:p>
    <w:p>
      <w:pPr>
        <w:spacing w:line="360" w:lineRule="auto"/>
        <w:ind w:left="477" w:hanging="476" w:hangingChars="22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3 接受最终审查的合格的供应商，必须如实回答和受理采购人的询问或考查，并提供所需的有关资料。</w:t>
      </w:r>
    </w:p>
    <w:p>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4评标委员会从合格的供应商中评出中标人，并写出完整的评标报告。</w:t>
      </w:r>
    </w:p>
    <w:p>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8" w:name="_Toc98580418"/>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1"/>
          <w:szCs w:val="21"/>
          <w:highlight w:val="none"/>
          <w14:textFill>
            <w14:solidFill>
              <w14:schemeClr w14:val="tx1"/>
            </w14:solidFill>
          </w14:textFill>
        </w:rPr>
        <w:t>.中标通知</w:t>
      </w:r>
      <w:bookmarkEnd w:id="68"/>
    </w:p>
    <w:p>
      <w:pPr>
        <w:pStyle w:val="7"/>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1采购代理机构在中标供应商确定后2个工作日内，在发布招标公告媒体上公告中标结果，同时向中标供应商发出中标通知书，向未中标供应商发出未中标结果通知书，同时将中标结果通知未中标的供应商。</w:t>
      </w:r>
    </w:p>
    <w:p>
      <w:pPr>
        <w:pStyle w:val="7"/>
        <w:spacing w:line="360" w:lineRule="auto"/>
        <w:ind w:left="477" w:hanging="476" w:hangingChars="227"/>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2当中标人按第26条规定与买方签定合同后，采购人将向其他供应商发出招标结果通知，并在5个工作日内退还投标保证金。采购人对未中标的供应商不作落标原因的解释。</w:t>
      </w:r>
    </w:p>
    <w:p>
      <w:pPr>
        <w:pStyle w:val="7"/>
        <w:spacing w:line="360" w:lineRule="auto"/>
        <w:ind w:firstLine="0"/>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2</w:t>
      </w:r>
      <w:r>
        <w:rPr>
          <w:rFonts w:hint="eastAsia" w:asciiTheme="minorEastAsia" w:hAnsiTheme="minorEastAsia" w:eastAsiaTheme="minorEastAsia"/>
          <w:b/>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b/>
          <w:color w:val="000000" w:themeColor="text1"/>
          <w:sz w:val="21"/>
          <w:szCs w:val="21"/>
          <w:highlight w:val="none"/>
          <w14:textFill>
            <w14:solidFill>
              <w14:schemeClr w14:val="tx1"/>
            </w14:solidFill>
          </w14:textFill>
        </w:rPr>
        <w:t>.签定合同</w:t>
      </w:r>
    </w:p>
    <w:p>
      <w:pPr>
        <w:pStyle w:val="7"/>
        <w:spacing w:line="360" w:lineRule="auto"/>
        <w:ind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中标人应按中标通知书中规定的时间、地点与买方签定合同，否则按开标后撤回投标处理。</w:t>
      </w:r>
    </w:p>
    <w:p>
      <w:pPr>
        <w:pStyle w:val="7"/>
        <w:spacing w:line="360" w:lineRule="auto"/>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供货合同采用工商管理部门制定的标准格式合同。招标文件、中标人的投标文件及评标过程中有关澄清文件均应作为合同组成部分。</w:t>
      </w:r>
    </w:p>
    <w:p>
      <w:pPr>
        <w:spacing w:line="360" w:lineRule="auto"/>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2</w:t>
      </w:r>
      <w:r>
        <w:rPr>
          <w:rFonts w:hint="eastAsia" w:asciiTheme="minorEastAsia" w:hAnsiTheme="minorEastAsia" w:eastAsiaTheme="minorEastAsia"/>
          <w:b/>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b/>
          <w:color w:val="000000" w:themeColor="text1"/>
          <w:sz w:val="21"/>
          <w:szCs w:val="21"/>
          <w:highlight w:val="none"/>
          <w14:textFill>
            <w14:solidFill>
              <w14:schemeClr w14:val="tx1"/>
            </w14:solidFill>
          </w14:textFill>
        </w:rPr>
        <w:t>.数量变更</w:t>
      </w:r>
    </w:p>
    <w:p>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采购人有权根据项目实际需要部分变更数量和服务的内容。</w:t>
      </w:r>
    </w:p>
    <w:p>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69" w:name="_Toc98580419"/>
      <w:r>
        <w:rPr>
          <w:rFonts w:asciiTheme="minorEastAsia" w:hAnsiTheme="minorEastAsia" w:eastAsiaTheme="minorEastAsia"/>
          <w:color w:val="000000" w:themeColor="text1"/>
          <w:sz w:val="21"/>
          <w:szCs w:val="21"/>
          <w:highlight w:val="none"/>
          <w14:textFill>
            <w14:solidFill>
              <w14:schemeClr w14:val="tx1"/>
            </w14:solidFill>
          </w14:textFill>
        </w:rPr>
        <w:t>G</w:t>
      </w:r>
      <w:r>
        <w:rPr>
          <w:rFonts w:hint="eastAsia" w:asciiTheme="minorEastAsia" w:hAnsiTheme="minorEastAsia" w:eastAsiaTheme="minorEastAsia"/>
          <w:color w:val="000000" w:themeColor="text1"/>
          <w:sz w:val="21"/>
          <w:szCs w:val="21"/>
          <w:highlight w:val="none"/>
          <w14:textFill>
            <w14:solidFill>
              <w14:schemeClr w14:val="tx1"/>
            </w14:solidFill>
          </w14:textFill>
        </w:rPr>
        <w:t>中标服务费</w:t>
      </w:r>
      <w:bookmarkEnd w:id="69"/>
    </w:p>
    <w:p>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70" w:name="_Toc98580420"/>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1"/>
          <w:szCs w:val="21"/>
          <w:highlight w:val="none"/>
          <w14:textFill>
            <w14:solidFill>
              <w14:schemeClr w14:val="tx1"/>
            </w14:solidFill>
          </w14:textFill>
        </w:rPr>
        <w:t>.中标服务费</w:t>
      </w:r>
      <w:bookmarkEnd w:id="70"/>
    </w:p>
    <w:p>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1"/>
          <w:szCs w:val="21"/>
          <w:highlight w:val="none"/>
          <w14:textFill>
            <w14:solidFill>
              <w14:schemeClr w14:val="tx1"/>
            </w14:solidFill>
          </w14:textFill>
        </w:rPr>
        <w:t>.1中标人须按招标文件中标服务费收取规定的标准向代理机构缴纳中标服务费。</w:t>
      </w:r>
    </w:p>
    <w:p>
      <w:pPr>
        <w:spacing w:line="360" w:lineRule="auto"/>
        <w:ind w:left="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1"/>
          <w:szCs w:val="21"/>
          <w:highlight w:val="none"/>
          <w14:textFill>
            <w14:solidFill>
              <w14:schemeClr w14:val="tx1"/>
            </w14:solidFill>
          </w14:textFill>
        </w:rPr>
        <w:t>.2中标人在收到《中标通知书》后向招标机构一次性缴纳中标服务费。</w:t>
      </w:r>
    </w:p>
    <w:p>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1"/>
          <w:szCs w:val="21"/>
          <w:highlight w:val="none"/>
          <w14:textFill>
            <w14:solidFill>
              <w14:schemeClr w14:val="tx1"/>
            </w14:solidFill>
          </w14:textFill>
        </w:rPr>
        <w:t>.3 其他费用遵照国家、地方有关规定执行。</w:t>
      </w:r>
    </w:p>
    <w:p>
      <w:pPr>
        <w:rPr>
          <w:color w:val="000000" w:themeColor="text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br w:type="page"/>
      </w:r>
    </w:p>
    <w:p>
      <w:pPr>
        <w:rPr>
          <w:color w:val="000000" w:themeColor="text1"/>
          <w:highlight w:val="none"/>
          <w14:textFill>
            <w14:solidFill>
              <w14:schemeClr w14:val="tx1"/>
            </w14:solidFill>
          </w14:textFill>
        </w:rPr>
      </w:pPr>
    </w:p>
    <w:p>
      <w:pPr>
        <w:pStyle w:val="2"/>
        <w:spacing w:before="0" w:after="0" w:line="360" w:lineRule="auto"/>
        <w:jc w:val="center"/>
        <w:rPr>
          <w:color w:val="000000" w:themeColor="text1"/>
          <w:sz w:val="30"/>
          <w:szCs w:val="30"/>
          <w:highlight w:val="none"/>
          <w14:textFill>
            <w14:solidFill>
              <w14:schemeClr w14:val="tx1"/>
            </w14:solidFill>
          </w14:textFill>
        </w:rPr>
      </w:pPr>
      <w:r>
        <w:rPr>
          <w:rFonts w:hint="eastAsia"/>
          <w:color w:val="000000" w:themeColor="text1"/>
          <w:highlight w:val="none"/>
          <w14:textFill>
            <w14:solidFill>
              <w14:schemeClr w14:val="tx1"/>
            </w14:solidFill>
          </w14:textFill>
        </w:rPr>
        <w:t>第三部分  评标办法</w:t>
      </w:r>
      <w:bookmarkEnd w:id="39"/>
    </w:p>
    <w:p>
      <w:pPr>
        <w:spacing w:line="440" w:lineRule="exact"/>
        <w:jc w:val="center"/>
        <w:rPr>
          <w:b/>
          <w:bCs/>
          <w:sz w:val="21"/>
          <w:szCs w:val="21"/>
          <w:highlight w:val="none"/>
        </w:rPr>
      </w:pPr>
      <w:r>
        <w:rPr>
          <w:rFonts w:hint="eastAsia"/>
          <w:b/>
          <w:bCs/>
          <w:sz w:val="21"/>
          <w:szCs w:val="21"/>
          <w:highlight w:val="none"/>
        </w:rPr>
        <w:t>评标办法（本项目采用综合评分法）</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按照国家相关部门的规定，遵循公开、公平、公正和诚实信用的原则，结合本招标项目的实际情况，制定本招标项目评标办法。本次评标采用综合评分法。评标委员会对满足招标文件实质性要求的投标文件，按照本项目规定的评分标准进行打分，并按得分由高到低顺序推荐中标候选人，但投标报价低于其成本的除外。综合评分相等时，以投标报价低的优先；投标报价也相等的，以实施方案得分高的优先；实施方案得分也相等的，由采购人或其授权的评标委员会自行确定。</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p>
    <w:p>
      <w:pPr>
        <w:spacing w:line="44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一、评标程序</w:t>
      </w:r>
    </w:p>
    <w:p>
      <w:pPr>
        <w:spacing w:line="440" w:lineRule="exact"/>
        <w:ind w:firstLine="422" w:firstLineChars="200"/>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（一）组成评标委员会</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按照国家有关部委及省、市的相关规定，从专家库中随机抽取技术、经济等方面的专家共</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人组成评标委员会（以下简称“评委会”）。为保证评标工作的顺利进行，推荐一名评委担任评委会主任，负责评标全面工作。</w:t>
      </w:r>
    </w:p>
    <w:p>
      <w:pPr>
        <w:pStyle w:val="85"/>
        <w:spacing w:line="440" w:lineRule="exact"/>
        <w:ind w:firstLine="422" w:firstLineChars="200"/>
        <w:rPr>
          <w:rFonts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（二）评标工作</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评标本着客观公正、公平竞争、择优推荐、规范合法的原则进行。评标工作分为资格审查、符合性审查和详细评审三个步骤。</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1.资格审查。采购人或代理机构对各供应商的资格进行审查。资格审查合格的供应商方可进入符合性审查。</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2.符合性</w:t>
      </w:r>
      <w:bookmarkStart w:id="71" w:name="_Hlk82693296"/>
      <w:r>
        <w:rPr>
          <w:rFonts w:hint="eastAsia" w:ascii="宋体" w:hAnsi="宋体"/>
          <w:color w:val="000000" w:themeColor="text1"/>
          <w:sz w:val="21"/>
          <w:szCs w:val="21"/>
          <w:highlight w:val="none"/>
          <w14:textFill>
            <w14:solidFill>
              <w14:schemeClr w14:val="tx1"/>
            </w14:solidFill>
          </w14:textFill>
        </w:rPr>
        <w:t>审查</w:t>
      </w:r>
      <w:bookmarkEnd w:id="71"/>
      <w:r>
        <w:rPr>
          <w:rFonts w:hint="eastAsia" w:ascii="宋体" w:hAnsi="宋体"/>
          <w:color w:val="000000" w:themeColor="text1"/>
          <w:sz w:val="21"/>
          <w:szCs w:val="21"/>
          <w:highlight w:val="none"/>
          <w14:textFill>
            <w14:solidFill>
              <w14:schemeClr w14:val="tx1"/>
            </w14:solidFill>
          </w14:textFill>
        </w:rPr>
        <w:t>。评委会对供应商的投标文件进行符合性审查。符合性审查合格的供应商方可进入详细评审。</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3.详细评审。详细评审采用综合评分法。评委依据评标办法分别对各供应商的投标文件进行评审、赋分。如果通过资格审查和符合性审查的供应商不足三家，则采购人重新招标。</w:t>
      </w:r>
    </w:p>
    <w:p>
      <w:pPr>
        <w:spacing w:line="440" w:lineRule="exact"/>
        <w:ind w:firstLine="420" w:firstLineChars="200"/>
        <w:rPr>
          <w:rFonts w:ascii="宋体" w:hAnsi="宋体"/>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lang w:val="zh-CN"/>
          <w14:textFill>
            <w14:solidFill>
              <w14:schemeClr w14:val="tx1"/>
            </w14:solidFill>
          </w14:textFill>
        </w:rPr>
        <w:t>政府采购应当采购本国货物。按照财政部《政府采购进口产品管理办法》规定确需采购进口产品的，实行审核管理。经审核允许采购进口产品的，不得排斥符合要求的本国产品。在招标文件中未标明采购进口产品的，均为采购本国产品。供应商必须投标本国产品，投标进口产品的，投标无效。进口产品是指通过中国海关报关验放进入中国境内且产自关境外的产品。</w:t>
      </w:r>
    </w:p>
    <w:p>
      <w:pPr>
        <w:spacing w:line="440" w:lineRule="exact"/>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（四）询标（必要时）</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评标委员会对投标文件需要澄清的问题，采用集体询标方式进行。</w:t>
      </w:r>
    </w:p>
    <w:p>
      <w:pPr>
        <w:spacing w:line="440" w:lineRule="exact"/>
        <w:ind w:firstLine="422" w:firstLineChars="200"/>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（五）确定中标人</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评标委员会根据综合评审结果，按照综合得分由高到低的顺序，推荐中标候选供应商3名。</w:t>
      </w:r>
    </w:p>
    <w:p>
      <w:pPr>
        <w:spacing w:line="440" w:lineRule="exact"/>
        <w:ind w:firstLine="422" w:firstLineChars="200"/>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（六）评标报告</w:t>
      </w:r>
    </w:p>
    <w:p>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评标工作结束时，评标委员会将本项目综合评审结果向采购人提交书面评标报告，评标委员会对评标报告内容讨论通过后，在评标报告上签字，对评标结果予以确认。</w:t>
      </w:r>
      <w:r>
        <w:rPr>
          <w:rFonts w:ascii="宋体" w:hAnsi="宋体"/>
          <w:color w:val="000000" w:themeColor="text1"/>
          <w:sz w:val="21"/>
          <w:szCs w:val="21"/>
          <w:highlight w:val="none"/>
          <w14:textFill>
            <w14:solidFill>
              <w14:schemeClr w14:val="tx1"/>
            </w14:solidFill>
          </w14:textFill>
        </w:rPr>
        <w:br w:type="page"/>
      </w:r>
    </w:p>
    <w:p>
      <w:pPr>
        <w:spacing w:before="120" w:beforeLines="50" w:after="120" w:afterLines="50" w:line="40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二、评标办法</w:t>
      </w:r>
    </w:p>
    <w:p>
      <w:pP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（一）资格审查</w:t>
      </w:r>
    </w:p>
    <w:p>
      <w:pPr>
        <w:spacing w:line="400" w:lineRule="exact"/>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资格审查表</w:t>
      </w:r>
    </w:p>
    <w:tbl>
      <w:tblPr>
        <w:tblStyle w:val="43"/>
        <w:tblW w:w="5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277"/>
        <w:gridCol w:w="6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23" w:type="pct"/>
            <w:vAlign w:val="center"/>
          </w:tcPr>
          <w:p>
            <w:pPr>
              <w:autoSpaceDE w:val="0"/>
              <w:autoSpaceDN w:val="0"/>
              <w:adjustRightInd w:val="0"/>
              <w:jc w:val="center"/>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序号</w:t>
            </w:r>
          </w:p>
        </w:tc>
        <w:tc>
          <w:tcPr>
            <w:tcW w:w="1200" w:type="pct"/>
            <w:vAlign w:val="center"/>
          </w:tcPr>
          <w:p>
            <w:pPr>
              <w:autoSpaceDE w:val="0"/>
              <w:autoSpaceDN w:val="0"/>
              <w:adjustRightInd w:val="0"/>
              <w:jc w:val="center"/>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评审因素</w:t>
            </w:r>
          </w:p>
        </w:tc>
        <w:tc>
          <w:tcPr>
            <w:tcW w:w="3375" w:type="pct"/>
            <w:vAlign w:val="center"/>
          </w:tcPr>
          <w:p>
            <w:pPr>
              <w:autoSpaceDE w:val="0"/>
              <w:autoSpaceDN w:val="0"/>
              <w:adjustRightInd w:val="0"/>
              <w:jc w:val="center"/>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3" w:type="pct"/>
            <w:vAlign w:val="center"/>
          </w:tcPr>
          <w:p>
            <w:pPr>
              <w:autoSpaceDE w:val="0"/>
              <w:autoSpaceDN w:val="0"/>
              <w:adjustRightInd w:val="0"/>
              <w:jc w:val="center"/>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1</w:t>
            </w:r>
          </w:p>
        </w:tc>
        <w:tc>
          <w:tcPr>
            <w:tcW w:w="1200" w:type="pct"/>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企业营业执照</w:t>
            </w:r>
          </w:p>
        </w:tc>
        <w:tc>
          <w:tcPr>
            <w:tcW w:w="3375" w:type="pct"/>
            <w:vAlign w:val="center"/>
          </w:tcPr>
          <w:p>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供应商须是具有独立的法人资格的企业或其他组织，具有有效的营业执照，并在人员、设备、资金等方面具有相应的能力。</w:t>
            </w:r>
          </w:p>
          <w:p>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投标文件内附</w:t>
            </w:r>
            <w:r>
              <w:rPr>
                <w:rFonts w:asciiTheme="minorEastAsia" w:hAnsiTheme="minorEastAsia" w:eastAsiaTheme="minorEastAsia"/>
                <w:b/>
                <w:bCs/>
                <w:color w:val="000000" w:themeColor="text1"/>
                <w:sz w:val="21"/>
                <w:szCs w:val="21"/>
                <w:highlight w:val="none"/>
                <w14:textFill>
                  <w14:solidFill>
                    <w14:schemeClr w14:val="tx1"/>
                  </w14:solidFill>
                </w14:textFill>
              </w:rPr>
              <w:t>营业执照</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副本复印件加盖公章。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3" w:type="pct"/>
            <w:vAlign w:val="center"/>
          </w:tcPr>
          <w:p>
            <w:pPr>
              <w:autoSpaceDE w:val="0"/>
              <w:autoSpaceDN w:val="0"/>
              <w:adjustRightInd w:val="0"/>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2</w:t>
            </w:r>
          </w:p>
        </w:tc>
        <w:tc>
          <w:tcPr>
            <w:tcW w:w="1200" w:type="pct"/>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资格要求</w:t>
            </w:r>
          </w:p>
        </w:tc>
        <w:tc>
          <w:tcPr>
            <w:tcW w:w="3375" w:type="pct"/>
            <w:vAlign w:val="center"/>
          </w:tcPr>
          <w:p>
            <w:pPr>
              <w:spacing w:line="240" w:lineRule="atLeast"/>
              <w:jc w:val="both"/>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①供应商为生产企业的，从事第一类医疗器械生产的，应取得《第一类医疗器械生产备案凭证》；从事第二类、第三类医疗器械生产的，应取得《医疗器械生产许可证》或在有效期内的《医疗器械生产企业许可证》；</w:t>
            </w:r>
          </w:p>
          <w:p>
            <w:pPr>
              <w:spacing w:line="240" w:lineRule="atLeast"/>
              <w:jc w:val="both"/>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②供应商为经营企业的，从事第二类医疗器械经营的，应取得《第二类医疗器械经营备案凭证》或有效期内的《医疗器械经营企业许可证》；从事第三类医疗器械经营的，应取得《医疗器械经营许可证》或有效期内的《医疗器械经营企业许可证》；</w:t>
            </w:r>
          </w:p>
          <w:p>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③投标产品若纳入中华人民共和国医疗器械监督管理的，第一类医疗器械须具有备案凭证，第二、三类则应取得监督管理部门颁发相应的《中华人民共和国医疗器械注册证》及《医疗器械产品注册登记表》，若已办理两证合一则只需提供《医疗器械注册证》；</w:t>
            </w:r>
          </w:p>
          <w:p>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投标文件内附相关证书复印件加盖公章。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3" w:type="pct"/>
            <w:vAlign w:val="center"/>
          </w:tcPr>
          <w:p>
            <w:pPr>
              <w:autoSpaceDE w:val="0"/>
              <w:autoSpaceDN w:val="0"/>
              <w:adjustRightInd w:val="0"/>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3</w:t>
            </w:r>
          </w:p>
        </w:tc>
        <w:tc>
          <w:tcPr>
            <w:tcW w:w="1200" w:type="pct"/>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财务、纳税及社保</w:t>
            </w:r>
          </w:p>
        </w:tc>
        <w:tc>
          <w:tcPr>
            <w:tcW w:w="3375" w:type="pct"/>
            <w:vAlign w:val="center"/>
          </w:tcPr>
          <w:p>
            <w:pPr>
              <w:spacing w:line="240" w:lineRule="atLeast"/>
              <w:jc w:val="both"/>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w:t>
            </w:r>
          </w:p>
          <w:p>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投标文件内按招标文件格式要求</w:t>
            </w:r>
            <w:r>
              <w:rPr>
                <w:rFonts w:hint="eastAsia" w:asciiTheme="minorEastAsia" w:hAnsiTheme="minorEastAsia" w:eastAsiaTheme="minorEastAsia"/>
                <w:b/>
                <w:bCs/>
                <w:color w:val="000000" w:themeColor="text1"/>
                <w:sz w:val="21"/>
                <w:szCs w:val="21"/>
                <w:highlight w:val="none"/>
                <w:lang w:val="en-US" w:eastAsia="zh-CN"/>
                <w14:textFill>
                  <w14:solidFill>
                    <w14:schemeClr w14:val="tx1"/>
                  </w14:solidFill>
                </w14:textFill>
              </w:rPr>
              <w:t>附</w:t>
            </w: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反映其财务状况、依法缴纳税收和社会保障资金情况的资格条件承诺函。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3" w:type="pct"/>
            <w:vAlign w:val="center"/>
          </w:tcPr>
          <w:p>
            <w:pPr>
              <w:autoSpaceDE w:val="0"/>
              <w:autoSpaceDN w:val="0"/>
              <w:adjustRightInd w:val="0"/>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4</w:t>
            </w:r>
          </w:p>
        </w:tc>
        <w:tc>
          <w:tcPr>
            <w:tcW w:w="1200" w:type="pct"/>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信誉要求</w:t>
            </w:r>
          </w:p>
        </w:tc>
        <w:tc>
          <w:tcPr>
            <w:tcW w:w="3375" w:type="pct"/>
            <w:vAlign w:val="center"/>
          </w:tcPr>
          <w:p>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（1）拒绝列入政府取消投标资格记录期间的企业或个人投标；</w:t>
            </w:r>
          </w:p>
          <w:p>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参加政府采购活动前3年内在经营活动中没有重大违法记录；</w:t>
            </w:r>
          </w:p>
          <w:p>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供应商不得为“信用中国”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号）；</w:t>
            </w:r>
          </w:p>
          <w:p>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投标文件内（1）、（2）项附由法定代表人或其授权委托人签字并加盖公章的承诺书；（3）项附相关网站截图加盖公章。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3" w:type="pct"/>
            <w:vAlign w:val="center"/>
          </w:tcPr>
          <w:p>
            <w:pPr>
              <w:autoSpaceDE w:val="0"/>
              <w:autoSpaceDN w:val="0"/>
              <w:adjustRightInd w:val="0"/>
              <w:jc w:val="cente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5</w:t>
            </w:r>
          </w:p>
        </w:tc>
        <w:tc>
          <w:tcPr>
            <w:tcW w:w="1200" w:type="pct"/>
            <w:vAlign w:val="center"/>
          </w:tcPr>
          <w:p>
            <w:pPr>
              <w:autoSpaceDE w:val="0"/>
              <w:autoSpaceDN w:val="0"/>
              <w:adjustRightInd w:val="0"/>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控股、管理关系</w:t>
            </w:r>
          </w:p>
        </w:tc>
        <w:tc>
          <w:tcPr>
            <w:tcW w:w="3375" w:type="pct"/>
            <w:vAlign w:val="center"/>
          </w:tcPr>
          <w:p>
            <w:pPr>
              <w:autoSpaceDE w:val="0"/>
              <w:autoSpaceDN w:val="0"/>
              <w:adjustRightInd w:val="0"/>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autoSpaceDE w:val="0"/>
              <w:autoSpaceDN w:val="0"/>
              <w:adjustRightInd w:val="0"/>
              <w:spacing w:line="240" w:lineRule="atLeast"/>
              <w:jc w:val="both"/>
              <w:rPr>
                <w:rFonts w:cs="宋体" w:asciiTheme="minorEastAsia" w:hAnsiTheme="minorEastAsia" w:eastAsia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投标文件内附由法定代表人或其委托代理人签字并加盖公章的承诺书。</w:t>
            </w:r>
          </w:p>
        </w:tc>
      </w:tr>
    </w:tbl>
    <w:p>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注：</w:t>
      </w:r>
    </w:p>
    <w:p>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（1）上述内容中有一项不合格，则资格审查不合格，不进入符合性审查、详细评审；</w:t>
      </w:r>
    </w:p>
    <w:p>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（2）每项审查内容合格打“√”，不合格打“×”。评审结论写“合格”或“不合格”。不合格须注明原因；</w:t>
      </w:r>
    </w:p>
    <w:p>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（3）资格审查结束后，合格的供应商进入符合性审查。</w:t>
      </w:r>
    </w:p>
    <w:p>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val="zh-CN"/>
          <w14:textFill>
            <w14:solidFill>
              <w14:schemeClr w14:val="tx1"/>
            </w14:solidFill>
          </w14:textFill>
        </w:rPr>
        <w:t>）供应商所提供的所有证件均需在有效期内且注册单位名称与供应商的名称一致，如企业名称发生变更，需提供主管部门出具的变更证明材料。</w:t>
      </w:r>
    </w:p>
    <w:p>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lang w:val="zh-CN"/>
          <w14:textFill>
            <w14:solidFill>
              <w14:schemeClr w14:val="tx1"/>
            </w14:solidFill>
          </w14:textFill>
        </w:rPr>
        <w:t>）上述内容中如某一证件正在年检或换证，需年检或换证部门出具有效证明方可确认。</w:t>
      </w:r>
    </w:p>
    <w:p>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p>
    <w:p>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br w:type="page"/>
      </w:r>
    </w:p>
    <w:p>
      <w:pP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（二）符合性审查表</w:t>
      </w:r>
    </w:p>
    <w:p>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符合性审查表</w:t>
      </w:r>
    </w:p>
    <w:tbl>
      <w:tblPr>
        <w:tblStyle w:val="4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6" w:type="pct"/>
            <w:vMerge w:val="restart"/>
            <w:vAlign w:val="center"/>
          </w:tcPr>
          <w:p>
            <w:pPr>
              <w:autoSpaceDE w:val="0"/>
              <w:autoSpaceDN w:val="0"/>
              <w:adjustRightInd w:val="0"/>
              <w:spacing w:line="300" w:lineRule="auto"/>
              <w:jc w:val="center"/>
              <w:rPr>
                <w:rFonts w:cs="宋体" w:asciiTheme="minorEastAsia" w:hAnsiTheme="minorEastAsia" w:eastAsiaTheme="minorEastAsia"/>
                <w:bCs/>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1"/>
                <w:szCs w:val="21"/>
                <w:highlight w:val="none"/>
                <w:lang w:val="zh-CN"/>
                <w14:textFill>
                  <w14:solidFill>
                    <w14:schemeClr w14:val="tx1"/>
                  </w14:solidFill>
                </w14:textFill>
              </w:rPr>
              <w:t>序号</w:t>
            </w:r>
          </w:p>
        </w:tc>
        <w:tc>
          <w:tcPr>
            <w:tcW w:w="4503" w:type="pct"/>
            <w:vMerge w:val="restart"/>
            <w:vAlign w:val="center"/>
          </w:tcPr>
          <w:p>
            <w:pPr>
              <w:autoSpaceDE w:val="0"/>
              <w:autoSpaceDN w:val="0"/>
              <w:adjustRightInd w:val="0"/>
              <w:spacing w:line="300" w:lineRule="auto"/>
              <w:jc w:val="center"/>
              <w:rPr>
                <w:rFonts w:cs="宋体" w:asciiTheme="minorEastAsia" w:hAnsiTheme="minorEastAsia" w:eastAsiaTheme="minorEastAsia"/>
                <w:bCs/>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1"/>
                <w:szCs w:val="21"/>
                <w:highlight w:val="none"/>
                <w:lang w:val="zh-CN"/>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96" w:type="pct"/>
            <w:vMerge w:val="continue"/>
            <w:vAlign w:val="center"/>
          </w:tcPr>
          <w:p>
            <w:pPr>
              <w:autoSpaceDE w:val="0"/>
              <w:autoSpaceDN w:val="0"/>
              <w:adjustRightInd w:val="0"/>
              <w:spacing w:line="300" w:lineRule="auto"/>
              <w:jc w:val="center"/>
              <w:rPr>
                <w:rFonts w:cs="宋体" w:asciiTheme="minorEastAsia" w:hAnsiTheme="minorEastAsia" w:eastAsiaTheme="minorEastAsia"/>
                <w:bCs/>
                <w:color w:val="000000" w:themeColor="text1"/>
                <w:sz w:val="21"/>
                <w:szCs w:val="21"/>
                <w:highlight w:val="none"/>
                <w:lang w:val="zh-CN"/>
                <w14:textFill>
                  <w14:solidFill>
                    <w14:schemeClr w14:val="tx1"/>
                  </w14:solidFill>
                </w14:textFill>
              </w:rPr>
            </w:pPr>
          </w:p>
        </w:tc>
        <w:tc>
          <w:tcPr>
            <w:tcW w:w="4503" w:type="pct"/>
            <w:vMerge w:val="continue"/>
            <w:vAlign w:val="center"/>
          </w:tcPr>
          <w:p>
            <w:pPr>
              <w:autoSpaceDE w:val="0"/>
              <w:autoSpaceDN w:val="0"/>
              <w:adjustRightInd w:val="0"/>
              <w:spacing w:line="300" w:lineRule="auto"/>
              <w:jc w:val="center"/>
              <w:rPr>
                <w:rFonts w:cs="宋体" w:asciiTheme="minorEastAsia" w:hAnsiTheme="minorEastAsia" w:eastAsiaTheme="minorEastAsia"/>
                <w:bCs/>
                <w:color w:val="000000" w:themeColor="text1"/>
                <w:sz w:val="21"/>
                <w:szCs w:val="2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496" w:type="pct"/>
          </w:tcPr>
          <w:p>
            <w:pPr>
              <w:widowControl w:val="0"/>
              <w:adjustRightInd w:val="0"/>
              <w:snapToGrid w:val="0"/>
              <w:spacing w:line="520" w:lineRule="exact"/>
              <w:jc w:val="center"/>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1</w:t>
            </w:r>
          </w:p>
        </w:tc>
        <w:tc>
          <w:tcPr>
            <w:tcW w:w="4503" w:type="pct"/>
            <w:vAlign w:val="center"/>
          </w:tcPr>
          <w:p>
            <w:pPr>
              <w:widowControl w:val="0"/>
              <w:adjustRightInd w:val="0"/>
              <w:snapToGrid w:val="0"/>
              <w:spacing w:line="0" w:lineRule="atLeast"/>
              <w:jc w:val="both"/>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sz w:val="21"/>
                <w:szCs w:val="21"/>
                <w:highlight w:val="none"/>
              </w:rPr>
              <w:t>供应商名称与企业法人营业执照名称一致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496" w:type="pct"/>
            <w:vAlign w:val="center"/>
          </w:tcPr>
          <w:p>
            <w:pPr>
              <w:widowControl w:val="0"/>
              <w:adjustRightInd w:val="0"/>
              <w:snapToGrid w:val="0"/>
              <w:spacing w:line="0" w:lineRule="atLeast"/>
              <w:jc w:val="center"/>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2</w:t>
            </w:r>
          </w:p>
        </w:tc>
        <w:tc>
          <w:tcPr>
            <w:tcW w:w="4503" w:type="pct"/>
            <w:tcBorders>
              <w:bottom w:val="single" w:color="auto" w:sz="4" w:space="0"/>
            </w:tcBorders>
            <w:vAlign w:val="center"/>
          </w:tcPr>
          <w:p>
            <w:pPr>
              <w:widowControl w:val="0"/>
              <w:adjustRightInd w:val="0"/>
              <w:snapToGrid w:val="0"/>
              <w:spacing w:line="0" w:lineRule="atLeast"/>
              <w:jc w:val="both"/>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sz w:val="21"/>
                <w:szCs w:val="21"/>
                <w:highlight w:val="none"/>
              </w:rPr>
              <w:t>投标文件的签署及填写符合招标文件的要求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96" w:type="pct"/>
            <w:tcBorders>
              <w:bottom w:val="single" w:color="auto" w:sz="4" w:space="0"/>
            </w:tcBorders>
            <w:vAlign w:val="center"/>
          </w:tcPr>
          <w:p>
            <w:pPr>
              <w:widowControl w:val="0"/>
              <w:adjustRightInd w:val="0"/>
              <w:snapToGrid w:val="0"/>
              <w:spacing w:line="0" w:lineRule="atLeast"/>
              <w:jc w:val="center"/>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3</w:t>
            </w:r>
          </w:p>
        </w:tc>
        <w:tc>
          <w:tcPr>
            <w:tcW w:w="4503" w:type="pct"/>
            <w:tcBorders>
              <w:bottom w:val="single" w:color="auto" w:sz="4" w:space="0"/>
            </w:tcBorders>
            <w:vAlign w:val="center"/>
          </w:tcPr>
          <w:p>
            <w:pPr>
              <w:widowControl w:val="0"/>
              <w:adjustRightInd w:val="0"/>
              <w:snapToGrid w:val="0"/>
              <w:spacing w:line="0" w:lineRule="atLeast"/>
              <w:jc w:val="both"/>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sz w:val="21"/>
                <w:szCs w:val="21"/>
                <w:highlight w:val="none"/>
              </w:rPr>
              <w:t>投标有效期满足招标文件要求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96" w:type="pct"/>
            <w:vAlign w:val="center"/>
          </w:tcPr>
          <w:p>
            <w:pPr>
              <w:widowControl w:val="0"/>
              <w:adjustRightInd w:val="0"/>
              <w:snapToGrid w:val="0"/>
              <w:spacing w:line="0" w:lineRule="atLeast"/>
              <w:jc w:val="center"/>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4</w:t>
            </w:r>
          </w:p>
        </w:tc>
        <w:tc>
          <w:tcPr>
            <w:tcW w:w="4503" w:type="pct"/>
            <w:vAlign w:val="center"/>
          </w:tcPr>
          <w:p>
            <w:pPr>
              <w:widowControl w:val="0"/>
              <w:adjustRightInd w:val="0"/>
              <w:snapToGrid w:val="0"/>
              <w:spacing w:line="0" w:lineRule="atLeast"/>
              <w:jc w:val="both"/>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sz w:val="21"/>
                <w:szCs w:val="21"/>
                <w:highlight w:val="none"/>
              </w:rPr>
              <w:t>合同履行期限（交货期）满足招标文件要求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96" w:type="pct"/>
            <w:vAlign w:val="center"/>
          </w:tcPr>
          <w:p>
            <w:pPr>
              <w:widowControl w:val="0"/>
              <w:adjustRightInd w:val="0"/>
              <w:snapToGrid w:val="0"/>
              <w:spacing w:line="0" w:lineRule="atLeast"/>
              <w:jc w:val="center"/>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5</w:t>
            </w:r>
          </w:p>
        </w:tc>
        <w:tc>
          <w:tcPr>
            <w:tcW w:w="4503" w:type="pct"/>
            <w:vAlign w:val="center"/>
          </w:tcPr>
          <w:p>
            <w:pPr>
              <w:widowControl w:val="0"/>
              <w:adjustRightInd w:val="0"/>
              <w:snapToGrid w:val="0"/>
              <w:spacing w:line="0" w:lineRule="atLeast"/>
              <w:jc w:val="both"/>
              <w:textAlignment w:val="baseline"/>
              <w:rPr>
                <w:rFonts w:asciiTheme="minorEastAsia" w:hAnsiTheme="minorEastAsia" w:eastAsiaTheme="minorEastAsia"/>
                <w:bCs/>
                <w:snapToGrid w:val="0"/>
                <w:sz w:val="21"/>
                <w:szCs w:val="21"/>
                <w:highlight w:val="none"/>
              </w:rPr>
            </w:pPr>
            <w:r>
              <w:rPr>
                <w:rFonts w:hint="eastAsia" w:asciiTheme="minorEastAsia" w:hAnsiTheme="minorEastAsia" w:eastAsiaTheme="minorEastAsia"/>
                <w:bCs/>
                <w:snapToGrid w:val="0"/>
                <w:sz w:val="21"/>
                <w:szCs w:val="21"/>
                <w:highlight w:val="none"/>
              </w:rPr>
              <w:t>投标内容符合招标文件要求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96" w:type="pct"/>
            <w:vAlign w:val="center"/>
          </w:tcPr>
          <w:p>
            <w:pPr>
              <w:widowControl w:val="0"/>
              <w:adjustRightInd w:val="0"/>
              <w:snapToGrid w:val="0"/>
              <w:spacing w:line="0" w:lineRule="atLeast"/>
              <w:jc w:val="center"/>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6</w:t>
            </w:r>
          </w:p>
        </w:tc>
        <w:tc>
          <w:tcPr>
            <w:tcW w:w="4503" w:type="pct"/>
            <w:vAlign w:val="center"/>
          </w:tcPr>
          <w:p>
            <w:pPr>
              <w:widowControl w:val="0"/>
              <w:adjustRightInd w:val="0"/>
              <w:snapToGrid w:val="0"/>
              <w:spacing w:line="0" w:lineRule="atLeast"/>
              <w:jc w:val="both"/>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sz w:val="21"/>
                <w:szCs w:val="21"/>
                <w:highlight w:val="none"/>
              </w:rPr>
              <w:t>投标报价不超过最高限价，高于最高限价的将被否决，按废标处理。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96" w:type="pct"/>
            <w:vAlign w:val="center"/>
          </w:tcPr>
          <w:p>
            <w:pPr>
              <w:widowControl w:val="0"/>
              <w:adjustRightInd w:val="0"/>
              <w:snapToGrid w:val="0"/>
              <w:spacing w:line="0" w:lineRule="atLeast"/>
              <w:jc w:val="center"/>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7</w:t>
            </w:r>
          </w:p>
        </w:tc>
        <w:tc>
          <w:tcPr>
            <w:tcW w:w="4503" w:type="pct"/>
            <w:vAlign w:val="center"/>
          </w:tcPr>
          <w:p>
            <w:pPr>
              <w:widowControl w:val="0"/>
              <w:adjustRightInd w:val="0"/>
              <w:snapToGrid w:val="0"/>
              <w:spacing w:line="0" w:lineRule="atLeast"/>
              <w:jc w:val="both"/>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sz w:val="21"/>
                <w:szCs w:val="21"/>
                <w:highlight w:val="none"/>
              </w:rPr>
              <w:t>投标文件没有买方不能接受的条件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96" w:type="pct"/>
            <w:shd w:val="clear" w:color="auto" w:fill="auto"/>
            <w:vAlign w:val="center"/>
          </w:tcPr>
          <w:p>
            <w:pPr>
              <w:widowControl w:val="0"/>
              <w:adjustRightInd w:val="0"/>
              <w:snapToGrid w:val="0"/>
              <w:spacing w:line="0" w:lineRule="atLeast"/>
              <w:jc w:val="center"/>
              <w:textAlignment w:val="baseline"/>
              <w:rPr>
                <w:rFonts w:hint="eastAsia" w:cs="Times New Roman" w:asciiTheme="minorEastAsia" w:hAnsiTheme="minorEastAsia" w:eastAsiaTheme="minorEastAsia"/>
                <w:bCs/>
                <w:snapToGrid w:val="0"/>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8</w:t>
            </w:r>
          </w:p>
        </w:tc>
        <w:tc>
          <w:tcPr>
            <w:tcW w:w="4503" w:type="pct"/>
            <w:vAlign w:val="center"/>
          </w:tcPr>
          <w:p>
            <w:pPr>
              <w:widowControl w:val="0"/>
              <w:adjustRightInd w:val="0"/>
              <w:snapToGrid w:val="0"/>
              <w:spacing w:line="0" w:lineRule="atLeast"/>
              <w:jc w:val="both"/>
              <w:textAlignment w:val="baseline"/>
              <w:rPr>
                <w:rFonts w:hint="eastAsia" w:asciiTheme="minorEastAsia" w:hAnsiTheme="minorEastAsia" w:eastAsiaTheme="minorEastAsia"/>
                <w:bCs/>
                <w:snapToGrid w:val="0"/>
                <w:sz w:val="21"/>
                <w:szCs w:val="21"/>
                <w:highlight w:val="none"/>
              </w:rPr>
            </w:pPr>
            <w:r>
              <w:rPr>
                <w:rFonts w:hint="eastAsia" w:cs="Times New Roman" w:asciiTheme="minorEastAsia" w:hAnsiTheme="minorEastAsia" w:eastAsiaTheme="minorEastAsia"/>
                <w:bCs/>
                <w:snapToGrid w:val="0"/>
                <w:sz w:val="21"/>
                <w:szCs w:val="21"/>
                <w:highlight w:val="none"/>
                <w:lang w:val="en-US" w:eastAsia="zh-CN"/>
              </w:rPr>
              <w:t>投标文件满足采购需求中带“★”号的参数要求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96" w:type="pct"/>
            <w:shd w:val="clear" w:color="auto" w:fill="auto"/>
            <w:vAlign w:val="center"/>
          </w:tcPr>
          <w:p>
            <w:pPr>
              <w:widowControl w:val="0"/>
              <w:adjustRightInd w:val="0"/>
              <w:snapToGrid w:val="0"/>
              <w:spacing w:line="0" w:lineRule="atLeast"/>
              <w:jc w:val="center"/>
              <w:textAlignment w:val="baseline"/>
              <w:rPr>
                <w:rFonts w:hint="eastAsia" w:cs="Times New Roman" w:asciiTheme="minorEastAsia" w:hAnsiTheme="minorEastAsia" w:eastAsiaTheme="minorEastAsia"/>
                <w:bCs/>
                <w:snapToGrid w:val="0"/>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9</w:t>
            </w:r>
          </w:p>
        </w:tc>
        <w:tc>
          <w:tcPr>
            <w:tcW w:w="4503" w:type="pct"/>
            <w:shd w:val="clear" w:color="auto" w:fill="auto"/>
            <w:vAlign w:val="center"/>
          </w:tcPr>
          <w:p>
            <w:pPr>
              <w:widowControl w:val="0"/>
              <w:adjustRightInd w:val="0"/>
              <w:snapToGrid w:val="0"/>
              <w:spacing w:line="0" w:lineRule="atLeast"/>
              <w:jc w:val="both"/>
              <w:textAlignment w:val="baseline"/>
              <w:rPr>
                <w:rFonts w:hint="default" w:cs="Times New Roman" w:asciiTheme="minorEastAsia" w:hAnsiTheme="minorEastAsia" w:eastAsiaTheme="minorEastAsia"/>
                <w:bCs/>
                <w:snapToGrid w:val="0"/>
                <w:sz w:val="21"/>
                <w:szCs w:val="21"/>
                <w:highlight w:val="none"/>
                <w:lang w:val="en-US" w:eastAsia="zh-CN" w:bidi="ar-SA"/>
              </w:rPr>
            </w:pPr>
            <w:r>
              <w:rPr>
                <w:rFonts w:hint="eastAsia" w:asciiTheme="minorEastAsia" w:hAnsiTheme="minorEastAsia" w:eastAsiaTheme="minorEastAsia"/>
                <w:bCs/>
                <w:snapToGrid w:val="0"/>
                <w:sz w:val="21"/>
                <w:szCs w:val="21"/>
                <w:highlight w:val="none"/>
              </w:rPr>
              <w:t>投标</w:t>
            </w:r>
            <w:r>
              <w:rPr>
                <w:rFonts w:hint="eastAsia" w:asciiTheme="minorEastAsia" w:hAnsiTheme="minorEastAsia" w:eastAsiaTheme="minorEastAsia"/>
                <w:bCs/>
                <w:snapToGrid w:val="0"/>
                <w:sz w:val="21"/>
                <w:szCs w:val="21"/>
                <w:highlight w:val="none"/>
                <w:lang w:val="en-US" w:eastAsia="zh-CN"/>
              </w:rPr>
              <w:t>文件</w:t>
            </w:r>
            <w:r>
              <w:rPr>
                <w:rFonts w:hint="eastAsia" w:asciiTheme="minorEastAsia" w:hAnsiTheme="minorEastAsia" w:eastAsiaTheme="minorEastAsia"/>
                <w:bCs/>
                <w:snapToGrid w:val="0"/>
                <w:sz w:val="21"/>
                <w:szCs w:val="21"/>
                <w:highlight w:val="none"/>
              </w:rPr>
              <w:t>满足采购需求</w:t>
            </w:r>
            <w:r>
              <w:rPr>
                <w:rFonts w:hint="eastAsia" w:asciiTheme="minorEastAsia" w:hAnsiTheme="minorEastAsia" w:eastAsiaTheme="minorEastAsia"/>
                <w:bCs/>
                <w:snapToGrid w:val="0"/>
                <w:sz w:val="21"/>
                <w:szCs w:val="21"/>
                <w:highlight w:val="none"/>
                <w:lang w:val="en-US" w:eastAsia="zh-CN"/>
              </w:rPr>
              <w:t>标准</w:t>
            </w:r>
            <w:r>
              <w:rPr>
                <w:rFonts w:hint="eastAsia" w:asciiTheme="minorEastAsia" w:hAnsiTheme="minorEastAsia" w:eastAsiaTheme="minorEastAsia"/>
                <w:bCs/>
                <w:snapToGrid w:val="0"/>
                <w:sz w:val="21"/>
                <w:szCs w:val="21"/>
                <w:highlight w:val="none"/>
              </w:rPr>
              <w:t>，</w:t>
            </w:r>
            <w:r>
              <w:rPr>
                <w:rFonts w:hint="eastAsia" w:asciiTheme="minorEastAsia" w:hAnsiTheme="minorEastAsia" w:eastAsiaTheme="minorEastAsia"/>
                <w:bCs/>
                <w:snapToGrid w:val="0"/>
                <w:sz w:val="21"/>
                <w:szCs w:val="21"/>
                <w:highlight w:val="none"/>
                <w:lang w:val="en-US" w:eastAsia="zh-CN"/>
              </w:rPr>
              <w:t>普通条款负偏离总数不得超过14项，</w:t>
            </w:r>
            <w:r>
              <w:rPr>
                <w:rFonts w:hint="eastAsia" w:ascii="宋体" w:hAnsi="宋体" w:cs="宋体"/>
                <w:bCs/>
                <w:sz w:val="21"/>
                <w:szCs w:val="21"/>
                <w:highlight w:val="none"/>
              </w:rPr>
              <w:t>否则按废标处理</w:t>
            </w:r>
            <w:r>
              <w:rPr>
                <w:rFonts w:hint="eastAsia" w:ascii="宋体" w:hAnsi="宋体" w:cs="宋体"/>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96" w:type="pct"/>
            <w:shd w:val="clear" w:color="auto" w:fill="auto"/>
            <w:vAlign w:val="center"/>
          </w:tcPr>
          <w:p>
            <w:pPr>
              <w:widowControl w:val="0"/>
              <w:adjustRightInd w:val="0"/>
              <w:snapToGrid w:val="0"/>
              <w:spacing w:line="0" w:lineRule="atLeast"/>
              <w:jc w:val="center"/>
              <w:textAlignment w:val="baseline"/>
              <w:rPr>
                <w:rFonts w:hint="eastAsia" w:cs="Times New Roman" w:asciiTheme="minorEastAsia" w:hAnsiTheme="minorEastAsia" w:eastAsiaTheme="minorEastAsia"/>
                <w:bCs/>
                <w:snapToGrid w:val="0"/>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10</w:t>
            </w:r>
          </w:p>
        </w:tc>
        <w:tc>
          <w:tcPr>
            <w:tcW w:w="4503" w:type="pct"/>
            <w:shd w:val="clear" w:color="auto" w:fill="auto"/>
            <w:vAlign w:val="center"/>
          </w:tcPr>
          <w:p>
            <w:pPr>
              <w:widowControl w:val="0"/>
              <w:adjustRightInd w:val="0"/>
              <w:snapToGrid w:val="0"/>
              <w:spacing w:line="0" w:lineRule="atLeast"/>
              <w:jc w:val="both"/>
              <w:textAlignment w:val="baseline"/>
              <w:rPr>
                <w:rFonts w:asciiTheme="minorEastAsia" w:hAnsiTheme="minorEastAsia" w:eastAsiaTheme="minorEastAsia"/>
                <w:bCs/>
                <w:kern w:val="15"/>
                <w:sz w:val="21"/>
                <w:szCs w:val="21"/>
                <w:highlight w:val="none"/>
              </w:rPr>
            </w:pPr>
            <w:r>
              <w:rPr>
                <w:rFonts w:hint="eastAsia" w:asciiTheme="minorEastAsia" w:hAnsiTheme="minorEastAsia" w:eastAsiaTheme="minorEastAsia"/>
                <w:bCs/>
                <w:kern w:val="15"/>
                <w:sz w:val="21"/>
                <w:szCs w:val="21"/>
                <w:highlight w:val="none"/>
              </w:rPr>
              <w:t>违约责任：</w:t>
            </w:r>
            <w:r>
              <w:rPr>
                <w:rFonts w:hint="eastAsia" w:ascii="宋体" w:hAnsi="宋体" w:eastAsiaTheme="minorEastAsia"/>
                <w:bCs/>
                <w:kern w:val="15"/>
                <w:sz w:val="21"/>
                <w:szCs w:val="21"/>
                <w:highlight w:val="none"/>
                <w:lang w:eastAsia="zh-CN"/>
              </w:rPr>
              <w:t>如果供应商投标文件有任何造假或响应文件不实</w:t>
            </w:r>
            <w:r>
              <w:rPr>
                <w:rFonts w:hint="eastAsia" w:ascii="宋体" w:hAnsi="宋体"/>
                <w:bCs/>
                <w:kern w:val="15"/>
                <w:sz w:val="21"/>
                <w:szCs w:val="21"/>
                <w:highlight w:val="none"/>
              </w:rPr>
              <w:t>，即便不是主要参数，一经发现，取消中标结果，供应商按中标金额10%予以赔偿，以及赔偿采购人测算的所有设备的60天总收入。</w:t>
            </w:r>
          </w:p>
          <w:p>
            <w:pPr>
              <w:widowControl w:val="0"/>
              <w:adjustRightInd w:val="0"/>
              <w:snapToGrid w:val="0"/>
              <w:spacing w:line="0" w:lineRule="atLeast"/>
              <w:jc w:val="both"/>
              <w:textAlignment w:val="baseline"/>
              <w:rPr>
                <w:rFonts w:hint="default" w:cs="Times New Roman" w:asciiTheme="minorEastAsia" w:hAnsiTheme="minorEastAsia" w:eastAsiaTheme="minorEastAsia"/>
                <w:bCs/>
                <w:snapToGrid w:val="0"/>
                <w:sz w:val="21"/>
                <w:szCs w:val="21"/>
                <w:highlight w:val="none"/>
                <w:lang w:val="en-US" w:eastAsia="zh-CN" w:bidi="ar-SA"/>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投标文件内附由法定代表人或其委托代理人签字并加盖单位公章的书面声明。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96" w:type="pct"/>
            <w:shd w:val="clear" w:color="auto" w:fill="auto"/>
            <w:vAlign w:val="center"/>
          </w:tcPr>
          <w:p>
            <w:pPr>
              <w:widowControl w:val="0"/>
              <w:adjustRightInd w:val="0"/>
              <w:snapToGrid w:val="0"/>
              <w:spacing w:line="0" w:lineRule="atLeast"/>
              <w:jc w:val="center"/>
              <w:textAlignment w:val="baseline"/>
              <w:rPr>
                <w:rFonts w:hint="eastAsia" w:cs="Times New Roman" w:asciiTheme="minorEastAsia" w:hAnsiTheme="minorEastAsia" w:eastAsiaTheme="minorEastAsia"/>
                <w:bCs/>
                <w:snapToGrid w:val="0"/>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1</w:t>
            </w:r>
            <w:r>
              <w:rPr>
                <w:rFonts w:hint="eastAsia" w:asciiTheme="minorEastAsia" w:hAnsiTheme="minorEastAsia" w:eastAsiaTheme="minorEastAsia"/>
                <w:bCs/>
                <w:snapToGrid w:val="0"/>
                <w:color w:val="000000" w:themeColor="text1"/>
                <w:sz w:val="21"/>
                <w:szCs w:val="21"/>
                <w:highlight w:val="none"/>
                <w:lang w:val="en-US" w:eastAsia="zh-CN"/>
                <w14:textFill>
                  <w14:solidFill>
                    <w14:schemeClr w14:val="tx1"/>
                  </w14:solidFill>
                </w14:textFill>
              </w:rPr>
              <w:t>1</w:t>
            </w:r>
          </w:p>
        </w:tc>
        <w:tc>
          <w:tcPr>
            <w:tcW w:w="4503" w:type="pct"/>
            <w:shd w:val="clear" w:color="auto" w:fill="auto"/>
            <w:vAlign w:val="center"/>
          </w:tcPr>
          <w:p>
            <w:pPr>
              <w:widowControl w:val="0"/>
              <w:adjustRightInd w:val="0"/>
              <w:snapToGrid w:val="0"/>
              <w:spacing w:line="0" w:lineRule="atLeast"/>
              <w:jc w:val="both"/>
              <w:textAlignment w:val="baseline"/>
              <w:rPr>
                <w:rFonts w:ascii="宋体" w:hAnsi="宋体"/>
                <w:bCs/>
                <w:kern w:val="15"/>
                <w:sz w:val="21"/>
                <w:szCs w:val="21"/>
                <w:highlight w:val="none"/>
              </w:rPr>
            </w:pPr>
            <w:r>
              <w:rPr>
                <w:rFonts w:hint="eastAsia" w:ascii="宋体" w:hAnsi="宋体"/>
                <w:bCs/>
                <w:kern w:val="15"/>
                <w:sz w:val="21"/>
                <w:szCs w:val="21"/>
                <w:highlight w:val="none"/>
              </w:rPr>
              <w:t>如虚假响应或提供虚假证明材料，采购人及评标委员会有权追究其法律责任，并将违法情况上报主管部门，申请将其失信行为公示于信用中国网站（www.creditchina.gov.cn）和中国政府采购网（www.ccgp.gov.cn)。</w:t>
            </w:r>
          </w:p>
          <w:p>
            <w:pPr>
              <w:widowControl w:val="0"/>
              <w:adjustRightInd w:val="0"/>
              <w:snapToGrid w:val="0"/>
              <w:spacing w:line="0" w:lineRule="atLeast"/>
              <w:jc w:val="both"/>
              <w:textAlignment w:val="baseline"/>
              <w:rPr>
                <w:rFonts w:hint="eastAsia" w:ascii="宋体" w:hAnsi="宋体" w:eastAsia="宋体" w:cs="Times New Roman"/>
                <w:bCs/>
                <w:kern w:val="15"/>
                <w:sz w:val="21"/>
                <w:szCs w:val="21"/>
                <w:highlight w:val="none"/>
                <w:lang w:val="en-US" w:eastAsia="zh-CN" w:bidi="ar-SA"/>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投标文件内附由法定代表人或其委托代理人签字并加盖单位公章的承诺书。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96" w:type="pct"/>
            <w:shd w:val="clear" w:color="auto" w:fill="auto"/>
            <w:vAlign w:val="center"/>
          </w:tcPr>
          <w:p>
            <w:pPr>
              <w:widowControl w:val="0"/>
              <w:adjustRightInd w:val="0"/>
              <w:snapToGrid w:val="0"/>
              <w:spacing w:line="0" w:lineRule="atLeast"/>
              <w:jc w:val="center"/>
              <w:textAlignment w:val="baseline"/>
              <w:rPr>
                <w:rFonts w:hint="eastAsia" w:cs="Times New Roman" w:asciiTheme="minorEastAsia" w:hAnsiTheme="minorEastAsia" w:eastAsiaTheme="minorEastAsia"/>
                <w:bCs/>
                <w:snapToGrid w:val="0"/>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1</w:t>
            </w:r>
            <w:r>
              <w:rPr>
                <w:rFonts w:hint="eastAsia" w:asciiTheme="minorEastAsia" w:hAnsiTheme="minorEastAsia" w:eastAsiaTheme="minorEastAsia"/>
                <w:bCs/>
                <w:snapToGrid w:val="0"/>
                <w:color w:val="000000" w:themeColor="text1"/>
                <w:sz w:val="21"/>
                <w:szCs w:val="21"/>
                <w:highlight w:val="none"/>
                <w:lang w:val="en-US" w:eastAsia="zh-CN"/>
                <w14:textFill>
                  <w14:solidFill>
                    <w14:schemeClr w14:val="tx1"/>
                  </w14:solidFill>
                </w14:textFill>
              </w:rPr>
              <w:t>2</w:t>
            </w:r>
          </w:p>
        </w:tc>
        <w:tc>
          <w:tcPr>
            <w:tcW w:w="4503" w:type="pct"/>
            <w:shd w:val="clear" w:color="auto" w:fill="auto"/>
            <w:vAlign w:val="center"/>
          </w:tcPr>
          <w:p>
            <w:pPr>
              <w:widowControl w:val="0"/>
              <w:adjustRightInd w:val="0"/>
              <w:snapToGrid w:val="0"/>
              <w:spacing w:line="0" w:lineRule="atLeast"/>
              <w:jc w:val="both"/>
              <w:textAlignment w:val="baseline"/>
              <w:rPr>
                <w:rFonts w:cs="Times New Roman" w:asciiTheme="minorEastAsia" w:hAnsiTheme="minorEastAsia" w:eastAsiaTheme="minorEastAsia"/>
                <w:bCs/>
                <w:snapToGrid w:val="0"/>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bCs/>
                <w:snapToGrid w:val="0"/>
                <w:sz w:val="21"/>
                <w:szCs w:val="21"/>
                <w:highlight w:val="none"/>
              </w:rPr>
              <w:t>响应招标文件规定的全部实质性条款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96" w:type="pct"/>
            <w:shd w:val="clear" w:color="auto" w:fill="auto"/>
            <w:vAlign w:val="center"/>
          </w:tcPr>
          <w:p>
            <w:pPr>
              <w:widowControl w:val="0"/>
              <w:adjustRightInd w:val="0"/>
              <w:snapToGrid w:val="0"/>
              <w:spacing w:line="0" w:lineRule="atLeast"/>
              <w:jc w:val="center"/>
              <w:textAlignment w:val="baseline"/>
              <w:rPr>
                <w:rFonts w:hint="eastAsia" w:cs="Times New Roman" w:asciiTheme="minorEastAsia" w:hAnsiTheme="minorEastAsia" w:eastAsiaTheme="minorEastAsia"/>
                <w:bCs/>
                <w:snapToGrid w:val="0"/>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1</w:t>
            </w:r>
            <w:r>
              <w:rPr>
                <w:rFonts w:hint="eastAsia" w:asciiTheme="minorEastAsia" w:hAnsiTheme="minorEastAsia" w:eastAsiaTheme="minorEastAsia"/>
                <w:bCs/>
                <w:snapToGrid w:val="0"/>
                <w:color w:val="000000" w:themeColor="text1"/>
                <w:sz w:val="21"/>
                <w:szCs w:val="21"/>
                <w:highlight w:val="none"/>
                <w:lang w:val="en-US" w:eastAsia="zh-CN"/>
                <w14:textFill>
                  <w14:solidFill>
                    <w14:schemeClr w14:val="tx1"/>
                  </w14:solidFill>
                </w14:textFill>
              </w:rPr>
              <w:t>3</w:t>
            </w:r>
          </w:p>
        </w:tc>
        <w:tc>
          <w:tcPr>
            <w:tcW w:w="4503" w:type="pct"/>
            <w:shd w:val="clear" w:color="auto" w:fill="auto"/>
            <w:vAlign w:val="center"/>
          </w:tcPr>
          <w:p>
            <w:pPr>
              <w:widowControl w:val="0"/>
              <w:adjustRightInd w:val="0"/>
              <w:snapToGrid w:val="0"/>
              <w:spacing w:line="0" w:lineRule="atLeast"/>
              <w:jc w:val="both"/>
              <w:textAlignment w:val="baseline"/>
              <w:rPr>
                <w:rFonts w:cs="Times New Roman" w:asciiTheme="minorEastAsia" w:hAnsiTheme="minorEastAsia" w:eastAsiaTheme="minorEastAsia"/>
                <w:bCs/>
                <w:snapToGrid w:val="0"/>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bCs/>
                <w:snapToGrid w:val="0"/>
                <w:sz w:val="21"/>
                <w:szCs w:val="21"/>
                <w:highlight w:val="none"/>
              </w:rPr>
              <w:t>投标文件关键内容无不全、字迹模糊、无法辨认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96" w:type="pct"/>
            <w:shd w:val="clear" w:color="auto" w:fill="auto"/>
            <w:vAlign w:val="center"/>
          </w:tcPr>
          <w:p>
            <w:pPr>
              <w:widowControl w:val="0"/>
              <w:adjustRightInd w:val="0"/>
              <w:snapToGrid w:val="0"/>
              <w:spacing w:line="0" w:lineRule="atLeast"/>
              <w:jc w:val="center"/>
              <w:textAlignment w:val="baseline"/>
              <w:rPr>
                <w:rFonts w:hint="default" w:cs="Times New Roman" w:asciiTheme="minorEastAsia" w:hAnsiTheme="minorEastAsia" w:eastAsiaTheme="minorEastAsia"/>
                <w:bCs/>
                <w:snapToGrid w:val="0"/>
                <w:color w:val="000000" w:themeColor="text1"/>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bCs/>
                <w:snapToGrid w:val="0"/>
                <w:color w:val="000000" w:themeColor="text1"/>
                <w:sz w:val="21"/>
                <w:szCs w:val="21"/>
                <w:highlight w:val="none"/>
                <w:lang w:val="en-US" w:eastAsia="zh-CN" w:bidi="ar-SA"/>
                <w14:textFill>
                  <w14:solidFill>
                    <w14:schemeClr w14:val="tx1"/>
                  </w14:solidFill>
                </w14:textFill>
              </w:rPr>
              <w:t>14</w:t>
            </w:r>
          </w:p>
        </w:tc>
        <w:tc>
          <w:tcPr>
            <w:tcW w:w="4503" w:type="pct"/>
            <w:shd w:val="clear" w:color="auto" w:fill="auto"/>
            <w:vAlign w:val="center"/>
          </w:tcPr>
          <w:p>
            <w:pPr>
              <w:widowControl w:val="0"/>
              <w:adjustRightInd w:val="0"/>
              <w:snapToGrid w:val="0"/>
              <w:spacing w:line="0" w:lineRule="atLeast"/>
              <w:jc w:val="both"/>
              <w:textAlignment w:val="baseline"/>
              <w:rPr>
                <w:rFonts w:cs="Times New Roman" w:asciiTheme="minorEastAsia" w:hAnsiTheme="minorEastAsia" w:eastAsiaTheme="minorEastAsia"/>
                <w:bCs/>
                <w:snapToGrid w:val="0"/>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bCs/>
                <w:snapToGrid w:val="0"/>
                <w:sz w:val="21"/>
                <w:szCs w:val="21"/>
                <w:highlight w:val="none"/>
              </w:rPr>
              <w:t>供应商只有一个有效报价</w:t>
            </w:r>
          </w:p>
        </w:tc>
      </w:tr>
    </w:tbl>
    <w:p>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注：（1）供应商或其投标文件不符合上述情况之一的，则符合性审查不合格，不进入详细评审；</w:t>
      </w:r>
    </w:p>
    <w:p>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（2）每个评审项目合格打“√”，不合格打“×”。评审结论写“合格”或“不合格”。不合格须注明原因；</w:t>
      </w:r>
    </w:p>
    <w:p>
      <w:pPr>
        <w:spacing w:line="360" w:lineRule="auto"/>
        <w:ind w:firstLine="420" w:firstLineChars="200"/>
        <w:rPr>
          <w:rFonts w:ascii="宋体" w:hAnsi="宋体" w:cs="黑体"/>
          <w:b/>
          <w:color w:val="000000" w:themeColor="text1"/>
          <w:sz w:val="24"/>
          <w:szCs w:val="24"/>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（3）符合性审查结束后，合格的供应商进入详细评审</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val="zh-CN"/>
          <w14:textFill>
            <w14:solidFill>
              <w14:schemeClr w14:val="tx1"/>
            </w14:solidFill>
          </w14:textFill>
        </w:rPr>
        <w:t>）供应商所提供的所有证件均需在有效期内且注册单位名称与供应商的名称一致，如企业名称发生变更，需提供主管部门出具的变更证明材料。</w:t>
      </w:r>
    </w:p>
    <w:p>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lang w:val="zh-CN"/>
          <w14:textFill>
            <w14:solidFill>
              <w14:schemeClr w14:val="tx1"/>
            </w14:solidFill>
          </w14:textFill>
        </w:rPr>
        <w:t>）上述内容中如某一证件正在年检或换证，需年检或换证部门出具有效证明方可确认。</w:t>
      </w:r>
    </w:p>
    <w:p>
      <w:pPr>
        <w:spacing w:line="400" w:lineRule="exact"/>
        <w:rPr>
          <w:rFonts w:hint="eastAsia" w:ascii="宋体" w:hAnsi="宋体"/>
          <w:b/>
          <w:color w:val="000000" w:themeColor="text1"/>
          <w:sz w:val="24"/>
          <w:szCs w:val="24"/>
          <w:highlight w:val="none"/>
          <w14:textFill>
            <w14:solidFill>
              <w14:schemeClr w14:val="tx1"/>
            </w14:solidFill>
          </w14:textFill>
        </w:rPr>
      </w:pPr>
    </w:p>
    <w:p>
      <w:pPr>
        <w:spacing w:line="400" w:lineRule="exact"/>
        <w:rPr>
          <w:rFonts w:ascii="宋体" w:hAnsi="宋体" w:cs="黑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（三）详细评审                    </w:t>
      </w:r>
    </w:p>
    <w:p>
      <w:pPr>
        <w:pStyle w:val="23"/>
        <w:tabs>
          <w:tab w:val="left" w:pos="6840"/>
        </w:tabs>
        <w:ind w:right="-57"/>
        <w:jc w:val="center"/>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详细评审表</w:t>
      </w:r>
    </w:p>
    <w:tbl>
      <w:tblPr>
        <w:tblStyle w:val="43"/>
        <w:tblW w:w="49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7180"/>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2" w:type="pct"/>
            <w:vMerge w:val="restart"/>
            <w:vAlign w:val="center"/>
          </w:tcPr>
          <w:p>
            <w:pPr>
              <w:spacing w:line="35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评分因素</w:t>
            </w:r>
          </w:p>
        </w:tc>
        <w:tc>
          <w:tcPr>
            <w:tcW w:w="3844" w:type="pct"/>
            <w:vMerge w:val="restart"/>
            <w:vAlign w:val="center"/>
          </w:tcPr>
          <w:p>
            <w:pPr>
              <w:spacing w:line="35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评分标准</w:t>
            </w:r>
          </w:p>
        </w:tc>
        <w:tc>
          <w:tcPr>
            <w:tcW w:w="393" w:type="pct"/>
            <w:vMerge w:val="restart"/>
            <w:vAlign w:val="center"/>
          </w:tcPr>
          <w:p>
            <w:pPr>
              <w:spacing w:line="35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2" w:type="pct"/>
            <w:vMerge w:val="continue"/>
            <w:vAlign w:val="center"/>
          </w:tcPr>
          <w:p>
            <w:pPr>
              <w:spacing w:line="350" w:lineRule="exact"/>
              <w:rPr>
                <w:rFonts w:ascii="宋体" w:hAnsi="宋体" w:cs="宋体"/>
                <w:color w:val="000000" w:themeColor="text1"/>
                <w:sz w:val="21"/>
                <w:szCs w:val="21"/>
                <w:highlight w:val="none"/>
                <w14:textFill>
                  <w14:solidFill>
                    <w14:schemeClr w14:val="tx1"/>
                  </w14:solidFill>
                </w14:textFill>
              </w:rPr>
            </w:pPr>
          </w:p>
        </w:tc>
        <w:tc>
          <w:tcPr>
            <w:tcW w:w="3844" w:type="pct"/>
            <w:vMerge w:val="continue"/>
            <w:vAlign w:val="center"/>
          </w:tcPr>
          <w:p>
            <w:pPr>
              <w:spacing w:line="350" w:lineRule="exact"/>
              <w:rPr>
                <w:rFonts w:ascii="宋体" w:hAnsi="宋体" w:cs="宋体"/>
                <w:color w:val="000000" w:themeColor="text1"/>
                <w:sz w:val="21"/>
                <w:szCs w:val="21"/>
                <w:highlight w:val="none"/>
                <w14:textFill>
                  <w14:solidFill>
                    <w14:schemeClr w14:val="tx1"/>
                  </w14:solidFill>
                </w14:textFill>
              </w:rPr>
            </w:pPr>
          </w:p>
        </w:tc>
        <w:tc>
          <w:tcPr>
            <w:tcW w:w="393" w:type="pct"/>
            <w:vMerge w:val="continue"/>
            <w:vAlign w:val="center"/>
          </w:tcPr>
          <w:p>
            <w:pPr>
              <w:spacing w:line="350" w:lineRule="exact"/>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2" w:type="pct"/>
            <w:vMerge w:val="continue"/>
            <w:vAlign w:val="center"/>
          </w:tcPr>
          <w:p>
            <w:pPr>
              <w:spacing w:line="350" w:lineRule="exact"/>
              <w:rPr>
                <w:rFonts w:ascii="宋体" w:hAnsi="宋体" w:cs="宋体"/>
                <w:color w:val="000000" w:themeColor="text1"/>
                <w:sz w:val="21"/>
                <w:szCs w:val="21"/>
                <w:highlight w:val="none"/>
                <w14:textFill>
                  <w14:solidFill>
                    <w14:schemeClr w14:val="tx1"/>
                  </w14:solidFill>
                </w14:textFill>
              </w:rPr>
            </w:pPr>
          </w:p>
        </w:tc>
        <w:tc>
          <w:tcPr>
            <w:tcW w:w="3844" w:type="pct"/>
            <w:vMerge w:val="continue"/>
            <w:vAlign w:val="center"/>
          </w:tcPr>
          <w:p>
            <w:pPr>
              <w:spacing w:line="350" w:lineRule="exact"/>
              <w:rPr>
                <w:rFonts w:ascii="宋体" w:hAnsi="宋体" w:cs="宋体"/>
                <w:color w:val="000000" w:themeColor="text1"/>
                <w:sz w:val="21"/>
                <w:szCs w:val="21"/>
                <w:highlight w:val="none"/>
                <w14:textFill>
                  <w14:solidFill>
                    <w14:schemeClr w14:val="tx1"/>
                  </w14:solidFill>
                </w14:textFill>
              </w:rPr>
            </w:pPr>
          </w:p>
        </w:tc>
        <w:tc>
          <w:tcPr>
            <w:tcW w:w="393" w:type="pct"/>
            <w:vMerge w:val="continue"/>
            <w:vAlign w:val="center"/>
          </w:tcPr>
          <w:p>
            <w:pPr>
              <w:spacing w:line="350" w:lineRule="exact"/>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762" w:type="pct"/>
            <w:vAlign w:val="center"/>
          </w:tcPr>
          <w:p>
            <w:pPr>
              <w:spacing w:line="35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投标报价</w:t>
            </w:r>
          </w:p>
        </w:tc>
        <w:tc>
          <w:tcPr>
            <w:tcW w:w="3844" w:type="pct"/>
            <w:vAlign w:val="center"/>
          </w:tcPr>
          <w:p>
            <w:pPr>
              <w:spacing w:line="35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以满足招标文件要求且报价最低的价格为评标基准价，其价格分为满分30分，其他供应商的价格分按照下列公式计算：报价得分=（评标基准价/投标报价）×30，结果保留两位小数。</w:t>
            </w:r>
          </w:p>
          <w:p>
            <w:pPr>
              <w:spacing w:line="350" w:lineRule="exact"/>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注：</w:t>
            </w:r>
          </w:p>
          <w:p>
            <w:pPr>
              <w:spacing w:line="350" w:lineRule="exact"/>
              <w:rPr>
                <w:highlight w:val="none"/>
              </w:rPr>
            </w:pPr>
            <w:r>
              <w:rPr>
                <w:rFonts w:hint="eastAsia" w:ascii="宋体" w:hAnsi="宋体" w:cs="宋体"/>
                <w:b/>
                <w:bCs/>
                <w:color w:val="000000" w:themeColor="text1"/>
                <w:sz w:val="21"/>
                <w:szCs w:val="21"/>
                <w:highlight w:val="none"/>
                <w14:textFill>
                  <w14:solidFill>
                    <w14:schemeClr w14:val="tx1"/>
                  </w14:solidFill>
                </w14:textFill>
              </w:rPr>
              <w:t>根据《政府采购促进中小企业发展管理办法》（财库〔2020〕46号）、《关于进一步加大政府采购支持中小企业力度的通知》（财库〔2022〕19号）、《吉林省强化政府采购政策支持中小企业发展落实举措》（吉财采购〔2022〕478号）文件的规定，执行价格评审优惠的扶持政策，对小型和微型企业产品的价格给予10%的扣除，用扣除后的价格参与评审。</w:t>
            </w:r>
          </w:p>
        </w:tc>
        <w:tc>
          <w:tcPr>
            <w:tcW w:w="393" w:type="pct"/>
            <w:shd w:val="clear" w:color="auto" w:fill="auto"/>
            <w:vAlign w:val="center"/>
          </w:tcPr>
          <w:p>
            <w:pPr>
              <w:spacing w:line="35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2" w:type="pct"/>
            <w:vAlign w:val="center"/>
          </w:tcPr>
          <w:p>
            <w:pPr>
              <w:spacing w:line="35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企业业绩</w:t>
            </w:r>
          </w:p>
        </w:tc>
        <w:tc>
          <w:tcPr>
            <w:tcW w:w="3844" w:type="pct"/>
            <w:vAlign w:val="center"/>
          </w:tcPr>
          <w:p>
            <w:pPr>
              <w:spacing w:line="35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年至今完成过</w:t>
            </w:r>
            <w:r>
              <w:rPr>
                <w:rFonts w:hint="eastAsia" w:ascii="宋体" w:hAnsi="宋体" w:cs="宋体"/>
                <w:color w:val="000000" w:themeColor="text1"/>
                <w:sz w:val="21"/>
                <w:szCs w:val="21"/>
                <w:highlight w:val="none"/>
                <w:lang w:val="zh-CN"/>
                <w14:textFill>
                  <w14:solidFill>
                    <w14:schemeClr w14:val="tx1"/>
                  </w14:solidFill>
                </w14:textFill>
              </w:rPr>
              <w:t>类似业绩，每有</w:t>
            </w:r>
            <w:r>
              <w:rPr>
                <w:rFonts w:hint="eastAsia" w:ascii="宋体" w:hAnsi="宋体" w:cs="宋体"/>
                <w:color w:val="000000" w:themeColor="text1"/>
                <w:sz w:val="21"/>
                <w:szCs w:val="21"/>
                <w:highlight w:val="none"/>
                <w14:textFill>
                  <w14:solidFill>
                    <w14:schemeClr w14:val="tx1"/>
                  </w14:solidFill>
                </w14:textFill>
              </w:rPr>
              <w:t>一项得1分，最多得3分；</w:t>
            </w:r>
          </w:p>
          <w:p>
            <w:pPr>
              <w:spacing w:line="35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zh-CN"/>
                <w14:textFill>
                  <w14:solidFill>
                    <w14:schemeClr w14:val="tx1"/>
                  </w14:solidFill>
                </w14:textFill>
              </w:rPr>
              <w:t>投标文件内附</w:t>
            </w:r>
            <w:r>
              <w:rPr>
                <w:rFonts w:hint="eastAsia" w:ascii="宋体" w:hAnsi="宋体" w:cs="宋体"/>
                <w:b/>
                <w:bCs/>
                <w:color w:val="000000" w:themeColor="text1"/>
                <w:sz w:val="21"/>
                <w:szCs w:val="21"/>
                <w:highlight w:val="none"/>
                <w14:textFill>
                  <w14:solidFill>
                    <w14:schemeClr w14:val="tx1"/>
                  </w14:solidFill>
                </w14:textFill>
              </w:rPr>
              <w:t>中标通知书或合同协议书</w:t>
            </w:r>
            <w:r>
              <w:rPr>
                <w:rFonts w:hint="eastAsia" w:ascii="宋体" w:hAnsi="宋体" w:cs="宋体"/>
                <w:b/>
                <w:bCs/>
                <w:color w:val="000000" w:themeColor="text1"/>
                <w:sz w:val="21"/>
                <w:szCs w:val="21"/>
                <w:highlight w:val="none"/>
                <w:lang w:val="zh-CN"/>
                <w14:textFill>
                  <w14:solidFill>
                    <w14:schemeClr w14:val="tx1"/>
                  </w14:solidFill>
                </w14:textFill>
              </w:rPr>
              <w:t>复印件加盖公章（供应商可提供本单位的销售业绩或者设备厂家供货业绩）。</w:t>
            </w:r>
          </w:p>
        </w:tc>
        <w:tc>
          <w:tcPr>
            <w:tcW w:w="393" w:type="pct"/>
            <w:shd w:val="clear" w:color="auto" w:fill="auto"/>
            <w:vAlign w:val="center"/>
          </w:tcPr>
          <w:p>
            <w:pPr>
              <w:spacing w:line="35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762" w:type="pct"/>
            <w:vMerge w:val="restart"/>
            <w:vAlign w:val="center"/>
          </w:tcPr>
          <w:p>
            <w:pPr>
              <w:spacing w:line="35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技术参数响应情况</w:t>
            </w:r>
          </w:p>
        </w:tc>
        <w:tc>
          <w:tcPr>
            <w:tcW w:w="3844" w:type="pct"/>
            <w:vAlign w:val="center"/>
          </w:tcPr>
          <w:p>
            <w:pPr>
              <w:spacing w:line="300" w:lineRule="exact"/>
              <w:rPr>
                <w:rFonts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所投产品每有一项正偏离加</w:t>
            </w:r>
            <w:r>
              <w:rPr>
                <w:rFonts w:hint="eastAsia" w:ascii="宋体" w:hAnsi="宋体" w:cs="宋体"/>
                <w:sz w:val="21"/>
                <w:szCs w:val="21"/>
                <w:highlight w:val="none"/>
                <w:lang w:val="en-US" w:eastAsia="zh-CN"/>
              </w:rPr>
              <w:t>1</w:t>
            </w:r>
            <w:r>
              <w:rPr>
                <w:rFonts w:hint="eastAsia" w:ascii="宋体" w:hAnsi="宋体" w:cs="宋体"/>
                <w:sz w:val="21"/>
                <w:szCs w:val="21"/>
                <w:highlight w:val="none"/>
              </w:rPr>
              <w:t>分，满分</w:t>
            </w:r>
            <w:r>
              <w:rPr>
                <w:rFonts w:hint="eastAsia" w:ascii="宋体" w:hAnsi="宋体" w:cs="宋体"/>
                <w:sz w:val="21"/>
                <w:szCs w:val="21"/>
                <w:highlight w:val="none"/>
                <w:lang w:val="en-US" w:eastAsia="zh-CN"/>
              </w:rPr>
              <w:t>3</w:t>
            </w:r>
            <w:r>
              <w:rPr>
                <w:rFonts w:hint="eastAsia" w:ascii="宋体" w:hAnsi="宋体" w:cs="宋体"/>
                <w:sz w:val="21"/>
                <w:szCs w:val="21"/>
                <w:highlight w:val="none"/>
              </w:rPr>
              <w:t>分。</w:t>
            </w:r>
          </w:p>
          <w:p>
            <w:pPr>
              <w:spacing w:line="35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sz w:val="21"/>
                <w:szCs w:val="21"/>
                <w:highlight w:val="none"/>
              </w:rPr>
              <w:t>（</w:t>
            </w:r>
            <w:r>
              <w:rPr>
                <w:rFonts w:hint="eastAsia" w:ascii="宋体" w:hAnsi="宋体" w:cs="宋体"/>
                <w:b/>
                <w:bCs/>
                <w:sz w:val="21"/>
                <w:szCs w:val="21"/>
                <w:highlight w:val="none"/>
                <w:lang w:val="zh-CN"/>
              </w:rPr>
              <w:t>投标文件中附设备生产企业的满足技术参数证明文件（如</w:t>
            </w:r>
            <w:r>
              <w:rPr>
                <w:rFonts w:hint="eastAsia" w:ascii="宋体" w:hAnsi="宋体" w:cs="宋体"/>
                <w:b/>
                <w:bCs/>
                <w:sz w:val="21"/>
                <w:szCs w:val="21"/>
                <w:highlight w:val="none"/>
              </w:rPr>
              <w:t>操作手</w:t>
            </w:r>
            <w:r>
              <w:rPr>
                <w:rFonts w:hint="eastAsia" w:ascii="宋体" w:hAnsi="宋体" w:cs="宋体"/>
                <w:b/>
                <w:bCs/>
                <w:sz w:val="21"/>
                <w:szCs w:val="21"/>
                <w:highlight w:val="none"/>
                <w:lang w:val="zh-CN"/>
              </w:rPr>
              <w:t>册、产品检查报告、说明书（</w:t>
            </w:r>
            <w:r>
              <w:rPr>
                <w:rFonts w:hint="eastAsia" w:ascii="宋体" w:hAnsi="宋体" w:cs="宋体"/>
                <w:b/>
                <w:bCs/>
                <w:sz w:val="21"/>
                <w:szCs w:val="21"/>
                <w:highlight w:val="none"/>
              </w:rPr>
              <w:t>技术白皮书</w:t>
            </w:r>
            <w:r>
              <w:rPr>
                <w:rFonts w:hint="eastAsia" w:ascii="宋体" w:hAnsi="宋体" w:cs="宋体"/>
                <w:b/>
                <w:bCs/>
                <w:sz w:val="21"/>
                <w:szCs w:val="21"/>
                <w:highlight w:val="none"/>
                <w:lang w:val="zh-CN"/>
              </w:rPr>
              <w:t>）、</w:t>
            </w:r>
            <w:r>
              <w:rPr>
                <w:rFonts w:hint="eastAsia" w:ascii="宋体" w:hAnsi="宋体" w:cs="宋体"/>
                <w:b/>
                <w:bCs/>
                <w:sz w:val="21"/>
                <w:szCs w:val="21"/>
                <w:highlight w:val="none"/>
              </w:rPr>
              <w:t>宣传彩页</w:t>
            </w:r>
            <w:r>
              <w:rPr>
                <w:rFonts w:hint="eastAsia" w:ascii="宋体" w:hAnsi="宋体" w:cs="宋体"/>
                <w:b/>
                <w:bCs/>
                <w:sz w:val="21"/>
                <w:szCs w:val="21"/>
                <w:highlight w:val="none"/>
                <w:lang w:val="zh-CN"/>
              </w:rPr>
              <w:t>等能够显示参数符合的证明材料）并加盖供应商公章，如未提供不得分。</w:t>
            </w:r>
            <w:r>
              <w:rPr>
                <w:rFonts w:hint="eastAsia" w:ascii="宋体" w:hAnsi="宋体" w:cs="宋体"/>
                <w:b/>
                <w:bCs/>
                <w:sz w:val="21"/>
                <w:szCs w:val="21"/>
                <w:highlight w:val="none"/>
              </w:rPr>
              <w:t>投标文件中注明该项参数证明材料具体页码）</w:t>
            </w:r>
          </w:p>
        </w:tc>
        <w:tc>
          <w:tcPr>
            <w:tcW w:w="393" w:type="pct"/>
            <w:shd w:val="clear" w:color="auto" w:fill="auto"/>
            <w:vAlign w:val="center"/>
          </w:tcPr>
          <w:p>
            <w:pPr>
              <w:spacing w:line="350" w:lineRule="exact"/>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62" w:type="pct"/>
            <w:vMerge w:val="continue"/>
            <w:vAlign w:val="center"/>
          </w:tcPr>
          <w:p>
            <w:pPr>
              <w:spacing w:line="350" w:lineRule="exact"/>
              <w:jc w:val="center"/>
              <w:rPr>
                <w:rFonts w:ascii="宋体" w:hAnsi="宋体" w:cs="宋体"/>
                <w:color w:val="000000" w:themeColor="text1"/>
                <w:sz w:val="21"/>
                <w:szCs w:val="21"/>
                <w:highlight w:val="none"/>
                <w14:textFill>
                  <w14:solidFill>
                    <w14:schemeClr w14:val="tx1"/>
                  </w14:solidFill>
                </w14:textFill>
              </w:rPr>
            </w:pPr>
          </w:p>
        </w:tc>
        <w:tc>
          <w:tcPr>
            <w:tcW w:w="3844" w:type="pct"/>
            <w:vAlign w:val="center"/>
          </w:tcPr>
          <w:p>
            <w:pPr>
              <w:spacing w:line="350" w:lineRule="exact"/>
              <w:rPr>
                <w:highlight w:val="none"/>
              </w:rPr>
            </w:pPr>
            <w:r>
              <w:rPr>
                <w:rFonts w:hint="eastAsia" w:ascii="宋体" w:hAnsi="宋体" w:cs="宋体"/>
                <w:color w:val="000000" w:themeColor="text1"/>
                <w:sz w:val="21"/>
                <w:szCs w:val="21"/>
                <w:highlight w:val="none"/>
                <w14:textFill>
                  <w14:solidFill>
                    <w14:schemeClr w14:val="tx1"/>
                  </w14:solidFill>
                </w14:textFill>
              </w:rPr>
              <w:t>供应商所投产品，按照招标文件采购需求的标准，每有一项普通条款负偏离，扣</w:t>
            </w:r>
            <w:r>
              <w:rPr>
                <w:rFonts w:hint="eastAsia" w:ascii="宋体" w:hAnsi="宋体" w:cs="宋体"/>
                <w:color w:val="000000" w:themeColor="text1"/>
                <w:sz w:val="21"/>
                <w:szCs w:val="21"/>
                <w:highlight w:val="none"/>
                <w:lang w:val="en-US" w:eastAsia="zh-CN"/>
                <w14:textFill>
                  <w14:solidFill>
                    <w14:schemeClr w14:val="tx1"/>
                  </w14:solidFill>
                </w14:textFill>
              </w:rPr>
              <w:t>1.5</w:t>
            </w:r>
            <w:r>
              <w:rPr>
                <w:rFonts w:hint="eastAsia" w:ascii="宋体" w:hAnsi="宋体" w:cs="宋体"/>
                <w:color w:val="000000" w:themeColor="text1"/>
                <w:sz w:val="21"/>
                <w:szCs w:val="21"/>
                <w:highlight w:val="none"/>
                <w14:textFill>
                  <w14:solidFill>
                    <w14:schemeClr w14:val="tx1"/>
                  </w14:solidFill>
                </w14:textFill>
              </w:rPr>
              <w:t>分，满分</w:t>
            </w:r>
            <w:r>
              <w:rPr>
                <w:rFonts w:hint="eastAsia" w:ascii="宋体" w:hAnsi="宋体" w:cs="宋体"/>
                <w:color w:val="000000" w:themeColor="text1"/>
                <w:sz w:val="21"/>
                <w:szCs w:val="21"/>
                <w:highlight w:val="none"/>
                <w:lang w:val="en-US" w:eastAsia="zh-CN"/>
                <w14:textFill>
                  <w14:solidFill>
                    <w14:schemeClr w14:val="tx1"/>
                  </w14:solidFill>
                </w14:textFill>
              </w:rPr>
              <w:t>21</w:t>
            </w:r>
            <w:r>
              <w:rPr>
                <w:rFonts w:hint="eastAsia" w:ascii="宋体" w:hAnsi="宋体" w:cs="宋体"/>
                <w:color w:val="000000" w:themeColor="text1"/>
                <w:sz w:val="21"/>
                <w:szCs w:val="21"/>
                <w:highlight w:val="none"/>
                <w14:textFill>
                  <w14:solidFill>
                    <w14:schemeClr w14:val="tx1"/>
                  </w14:solidFill>
                </w14:textFill>
              </w:rPr>
              <w:t>分，扣完为止。</w:t>
            </w:r>
          </w:p>
        </w:tc>
        <w:tc>
          <w:tcPr>
            <w:tcW w:w="393" w:type="pct"/>
            <w:shd w:val="clear" w:color="auto" w:fill="auto"/>
            <w:vAlign w:val="center"/>
          </w:tcPr>
          <w:p>
            <w:pPr>
              <w:spacing w:line="35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62" w:type="pct"/>
            <w:vAlign w:val="center"/>
          </w:tcPr>
          <w:p>
            <w:pPr>
              <w:spacing w:line="35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设备安装调试方案</w:t>
            </w:r>
          </w:p>
        </w:tc>
        <w:tc>
          <w:tcPr>
            <w:tcW w:w="3844" w:type="pct"/>
            <w:vAlign w:val="center"/>
          </w:tcPr>
          <w:p>
            <w:pPr>
              <w:spacing w:line="32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针对本项目实际安装情况</w:t>
            </w:r>
            <w:r>
              <w:rPr>
                <w:rFonts w:hint="eastAsia" w:ascii="宋体" w:hAnsi="宋体" w:cs="宋体"/>
                <w:sz w:val="21"/>
                <w:szCs w:val="21"/>
                <w:highlight w:val="none"/>
              </w:rPr>
              <w:t>中要求包含</w:t>
            </w:r>
            <w:r>
              <w:rPr>
                <w:rFonts w:hint="eastAsia" w:ascii="宋体" w:hAnsi="宋体" w:cs="宋体"/>
                <w:sz w:val="21"/>
                <w:szCs w:val="21"/>
                <w:highlight w:val="none"/>
                <w:lang w:val="zh-CN"/>
              </w:rPr>
              <w:t>但不限于以下方面：</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20" w:lineRule="exact"/>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zh-CN"/>
                <w14:textFill>
                  <w14:solidFill>
                    <w14:schemeClr w14:val="tx1"/>
                  </w14:solidFill>
                </w14:textFill>
              </w:rPr>
              <w:t>安装方案；</w:t>
            </w:r>
          </w:p>
          <w:p>
            <w:pPr>
              <w:spacing w:line="320" w:lineRule="exact"/>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zh-CN"/>
                <w14:textFill>
                  <w14:solidFill>
                    <w14:schemeClr w14:val="tx1"/>
                  </w14:solidFill>
                </w14:textFill>
              </w:rPr>
              <w:t>调试方案；</w:t>
            </w:r>
          </w:p>
          <w:p>
            <w:pPr>
              <w:spacing w:line="32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设备</w:t>
            </w:r>
            <w:r>
              <w:rPr>
                <w:rFonts w:hint="eastAsia" w:ascii="宋体" w:hAnsi="宋体" w:cs="宋体"/>
                <w:color w:val="000000" w:themeColor="text1"/>
                <w:sz w:val="21"/>
                <w:szCs w:val="21"/>
                <w:highlight w:val="none"/>
                <w:lang w:val="zh-CN"/>
                <w14:textFill>
                  <w14:solidFill>
                    <w14:schemeClr w14:val="tx1"/>
                  </w14:solidFill>
                </w14:textFill>
              </w:rPr>
              <w:t>运行</w:t>
            </w:r>
            <w:r>
              <w:rPr>
                <w:rFonts w:hint="eastAsia" w:ascii="宋体" w:hAnsi="宋体" w:cs="宋体"/>
                <w:color w:val="000000" w:themeColor="text1"/>
                <w:sz w:val="21"/>
                <w:szCs w:val="21"/>
                <w:highlight w:val="none"/>
                <w14:textFill>
                  <w14:solidFill>
                    <w14:schemeClr w14:val="tx1"/>
                  </w14:solidFill>
                </w14:textFill>
              </w:rPr>
              <w:t>方案；</w:t>
            </w:r>
          </w:p>
          <w:p>
            <w:pPr>
              <w:spacing w:line="320" w:lineRule="exact"/>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4.设备</w:t>
            </w:r>
            <w:r>
              <w:rPr>
                <w:rFonts w:hint="eastAsia" w:ascii="宋体" w:hAnsi="宋体" w:cs="宋体"/>
                <w:color w:val="000000" w:themeColor="text1"/>
                <w:sz w:val="21"/>
                <w:szCs w:val="21"/>
                <w:highlight w:val="none"/>
                <w:lang w:val="zh-CN"/>
                <w14:textFill>
                  <w14:solidFill>
                    <w14:schemeClr w14:val="tx1"/>
                  </w14:solidFill>
                </w14:textFill>
              </w:rPr>
              <w:t>验收方案；</w:t>
            </w:r>
          </w:p>
          <w:p>
            <w:pPr>
              <w:spacing w:line="32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5.设备维修与保养方案等。</w:t>
            </w:r>
          </w:p>
          <w:p>
            <w:pPr>
              <w:spacing w:line="35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sz w:val="21"/>
                <w:szCs w:val="21"/>
                <w:highlight w:val="none"/>
                <w:lang w:val="en-US" w:eastAsia="zh-CN"/>
              </w:rPr>
              <w:t>对</w:t>
            </w:r>
            <w:r>
              <w:rPr>
                <w:rFonts w:hint="eastAsia" w:ascii="宋体" w:hAnsi="宋体" w:cs="宋体"/>
                <w:b/>
                <w:sz w:val="21"/>
                <w:szCs w:val="21"/>
                <w:highlight w:val="none"/>
                <w:lang w:val="zh-CN"/>
              </w:rPr>
              <w:t>以上</w:t>
            </w:r>
            <w:r>
              <w:rPr>
                <w:rFonts w:hint="eastAsia" w:ascii="宋体" w:hAnsi="宋体" w:cs="宋体"/>
                <w:b/>
                <w:sz w:val="21"/>
                <w:szCs w:val="21"/>
                <w:highlight w:val="none"/>
              </w:rPr>
              <w:t>5</w:t>
            </w:r>
            <w:r>
              <w:rPr>
                <w:rFonts w:hint="eastAsia" w:ascii="宋体" w:hAnsi="宋体" w:cs="宋体"/>
                <w:b/>
                <w:sz w:val="21"/>
                <w:szCs w:val="21"/>
                <w:highlight w:val="none"/>
                <w:lang w:val="zh-CN"/>
              </w:rPr>
              <w:t>项方案进行阐述，</w:t>
            </w:r>
            <w:r>
              <w:rPr>
                <w:rFonts w:hint="eastAsia" w:ascii="宋体" w:hAnsi="宋体" w:cs="宋体"/>
                <w:b/>
                <w:sz w:val="21"/>
                <w:szCs w:val="21"/>
                <w:highlight w:val="none"/>
                <w:lang w:val="en-US" w:eastAsia="zh-CN"/>
              </w:rPr>
              <w:t>每1小项方</w:t>
            </w:r>
            <w:r>
              <w:rPr>
                <w:rFonts w:hint="eastAsia" w:ascii="宋体" w:hAnsi="宋体" w:cs="宋体"/>
                <w:b/>
                <w:sz w:val="21"/>
                <w:szCs w:val="21"/>
                <w:highlight w:val="none"/>
                <w:lang w:val="zh-CN"/>
              </w:rPr>
              <w:t>案详细、完善、合理并完全满足采购需求，</w:t>
            </w:r>
            <w:r>
              <w:rPr>
                <w:rFonts w:hint="eastAsia" w:ascii="宋体" w:hAnsi="宋体" w:cs="宋体"/>
                <w:b/>
                <w:sz w:val="21"/>
                <w:szCs w:val="21"/>
                <w:highlight w:val="none"/>
                <w:lang w:val="en-US" w:eastAsia="zh-CN"/>
              </w:rPr>
              <w:t>得满分10分，每有1小项</w:t>
            </w:r>
            <w:r>
              <w:rPr>
                <w:rFonts w:hint="eastAsia" w:ascii="宋体" w:hAnsi="宋体" w:cs="宋体"/>
                <w:b/>
                <w:sz w:val="21"/>
                <w:szCs w:val="21"/>
                <w:highlight w:val="none"/>
              </w:rPr>
              <w:t>方案有缺失</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内容不完善，不能完全满采购需求的扣1</w:t>
            </w:r>
            <w:r>
              <w:rPr>
                <w:rFonts w:hint="eastAsia" w:ascii="宋体" w:hAnsi="宋体" w:cs="宋体"/>
                <w:b/>
                <w:sz w:val="21"/>
                <w:szCs w:val="21"/>
                <w:highlight w:val="none"/>
              </w:rPr>
              <w:t>分，具体</w:t>
            </w:r>
            <w:r>
              <w:rPr>
                <w:rFonts w:hint="eastAsia" w:ascii="宋体" w:hAnsi="宋体" w:cs="宋体"/>
                <w:b/>
                <w:sz w:val="21"/>
                <w:szCs w:val="21"/>
                <w:highlight w:val="none"/>
                <w:lang w:val="en-US" w:eastAsia="zh-CN"/>
              </w:rPr>
              <w:t>方案</w:t>
            </w:r>
            <w:r>
              <w:rPr>
                <w:rFonts w:hint="eastAsia" w:ascii="宋体" w:hAnsi="宋体" w:cs="宋体"/>
                <w:b/>
                <w:sz w:val="21"/>
                <w:szCs w:val="21"/>
                <w:highlight w:val="none"/>
              </w:rPr>
              <w:t>说明或</w:t>
            </w:r>
            <w:r>
              <w:rPr>
                <w:rFonts w:hint="eastAsia" w:ascii="宋体" w:hAnsi="宋体" w:cs="宋体"/>
                <w:b/>
                <w:sz w:val="21"/>
                <w:szCs w:val="21"/>
                <w:highlight w:val="none"/>
                <w:lang w:val="en-US" w:eastAsia="zh-CN"/>
              </w:rPr>
              <w:t>阐述</w:t>
            </w:r>
            <w:r>
              <w:rPr>
                <w:rFonts w:hint="eastAsia" w:ascii="宋体" w:hAnsi="宋体" w:cs="宋体"/>
                <w:b/>
                <w:sz w:val="21"/>
                <w:szCs w:val="21"/>
                <w:highlight w:val="none"/>
              </w:rPr>
              <w:t>内容与本项目无关的均视为不符合要求</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不得分。</w:t>
            </w:r>
          </w:p>
        </w:tc>
        <w:tc>
          <w:tcPr>
            <w:tcW w:w="393" w:type="pct"/>
            <w:shd w:val="clear" w:color="auto" w:fill="auto"/>
            <w:vAlign w:val="center"/>
          </w:tcPr>
          <w:p>
            <w:pPr>
              <w:spacing w:line="35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62" w:type="pct"/>
            <w:shd w:val="clear" w:color="auto" w:fill="auto"/>
            <w:vAlign w:val="center"/>
          </w:tcPr>
          <w:p>
            <w:pPr>
              <w:spacing w:line="320" w:lineRule="exact"/>
              <w:jc w:val="center"/>
              <w:rPr>
                <w:rFonts w:ascii="宋体" w:hAnsi="宋体" w:eastAsia="宋体" w:cs="宋体"/>
                <w:sz w:val="21"/>
                <w:szCs w:val="21"/>
                <w:highlight w:val="none"/>
                <w:lang w:val="en-US" w:eastAsia="zh-CN" w:bidi="ar-SA"/>
              </w:rPr>
            </w:pPr>
            <w:r>
              <w:rPr>
                <w:rFonts w:hint="eastAsia" w:ascii="宋体" w:hAnsi="宋体" w:cs="宋体"/>
                <w:sz w:val="21"/>
                <w:szCs w:val="21"/>
                <w:highlight w:val="none"/>
                <w:lang w:val="zh-CN"/>
              </w:rPr>
              <w:t>技术人员配置</w:t>
            </w:r>
            <w:r>
              <w:rPr>
                <w:rFonts w:hint="eastAsia" w:ascii="宋体" w:hAnsi="宋体" w:cs="宋体"/>
                <w:sz w:val="21"/>
                <w:szCs w:val="21"/>
                <w:highlight w:val="none"/>
              </w:rPr>
              <w:t>与管理</w:t>
            </w:r>
          </w:p>
        </w:tc>
        <w:tc>
          <w:tcPr>
            <w:tcW w:w="3844" w:type="pct"/>
            <w:shd w:val="clear" w:color="auto" w:fill="auto"/>
            <w:vAlign w:val="center"/>
          </w:tcPr>
          <w:p>
            <w:pPr>
              <w:spacing w:line="320" w:lineRule="exact"/>
              <w:rPr>
                <w:rFonts w:ascii="宋体" w:hAnsi="宋体" w:cs="宋体"/>
                <w:sz w:val="21"/>
                <w:szCs w:val="21"/>
                <w:highlight w:val="none"/>
                <w:lang w:val="zh-CN"/>
              </w:rPr>
            </w:pPr>
            <w:r>
              <w:rPr>
                <w:rFonts w:hint="eastAsia" w:ascii="宋体" w:hAnsi="宋体" w:cs="宋体"/>
                <w:sz w:val="21"/>
                <w:szCs w:val="21"/>
                <w:highlight w:val="none"/>
              </w:rPr>
              <w:t>供应商具有明确的</w:t>
            </w:r>
            <w:r>
              <w:rPr>
                <w:rFonts w:hint="eastAsia" w:ascii="宋体" w:hAnsi="宋体" w:cs="宋体"/>
                <w:sz w:val="21"/>
                <w:szCs w:val="21"/>
                <w:highlight w:val="none"/>
                <w:lang w:val="zh-CN"/>
              </w:rPr>
              <w:t>技术人员配置</w:t>
            </w:r>
            <w:r>
              <w:rPr>
                <w:rFonts w:hint="eastAsia" w:ascii="宋体" w:hAnsi="宋体" w:cs="宋体"/>
                <w:sz w:val="21"/>
                <w:szCs w:val="21"/>
                <w:highlight w:val="none"/>
              </w:rPr>
              <w:t>与管理</w:t>
            </w:r>
            <w:r>
              <w:rPr>
                <w:rFonts w:hint="eastAsia" w:ascii="宋体" w:hAnsi="宋体" w:cs="宋体"/>
                <w:sz w:val="21"/>
                <w:szCs w:val="21"/>
                <w:highlight w:val="none"/>
                <w:lang w:val="zh-CN"/>
              </w:rPr>
              <w:t>方案，</w:t>
            </w:r>
            <w:r>
              <w:rPr>
                <w:rFonts w:hint="eastAsia" w:ascii="宋体" w:hAnsi="宋体" w:cs="宋体"/>
                <w:sz w:val="21"/>
                <w:szCs w:val="21"/>
                <w:highlight w:val="none"/>
              </w:rPr>
              <w:t>要求包含</w:t>
            </w:r>
            <w:r>
              <w:rPr>
                <w:rFonts w:hint="eastAsia" w:ascii="宋体" w:hAnsi="宋体" w:cs="宋体"/>
                <w:sz w:val="21"/>
                <w:szCs w:val="21"/>
                <w:highlight w:val="none"/>
                <w:lang w:val="zh-CN"/>
              </w:rPr>
              <w:t>但不限于以下方面：</w:t>
            </w:r>
          </w:p>
          <w:p>
            <w:pPr>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1.项目组织构架；</w:t>
            </w:r>
          </w:p>
          <w:p>
            <w:pPr>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2.岗位分工及责任制度；</w:t>
            </w:r>
          </w:p>
          <w:p>
            <w:pPr>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3.日常管理制度和考核办法；</w:t>
            </w:r>
          </w:p>
          <w:p>
            <w:pPr>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4.拟投入人员的从业经验；</w:t>
            </w:r>
          </w:p>
          <w:p>
            <w:pPr>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5.拟组建的团队人员的数量、构成等。</w:t>
            </w:r>
          </w:p>
          <w:p>
            <w:pPr>
              <w:spacing w:line="320" w:lineRule="exact"/>
              <w:rPr>
                <w:rFonts w:ascii="宋体" w:hAnsi="宋体" w:eastAsia="宋体" w:cs="宋体"/>
                <w:sz w:val="21"/>
                <w:szCs w:val="21"/>
                <w:highlight w:val="none"/>
                <w:lang w:val="zh-CN" w:eastAsia="zh-CN" w:bidi="ar-SA"/>
              </w:rPr>
            </w:pPr>
            <w:r>
              <w:rPr>
                <w:rFonts w:hint="eastAsia" w:ascii="宋体" w:hAnsi="宋体" w:cs="宋体"/>
                <w:b/>
                <w:sz w:val="21"/>
                <w:szCs w:val="21"/>
                <w:highlight w:val="none"/>
                <w:lang w:val="en-US" w:eastAsia="zh-CN"/>
              </w:rPr>
              <w:t>对</w:t>
            </w:r>
            <w:r>
              <w:rPr>
                <w:rFonts w:hint="eastAsia" w:ascii="宋体" w:hAnsi="宋体" w:cs="宋体"/>
                <w:b/>
                <w:sz w:val="21"/>
                <w:szCs w:val="21"/>
                <w:highlight w:val="none"/>
                <w:lang w:val="zh-CN"/>
              </w:rPr>
              <w:t>以上</w:t>
            </w:r>
            <w:r>
              <w:rPr>
                <w:rFonts w:hint="eastAsia" w:ascii="宋体" w:hAnsi="宋体" w:cs="宋体"/>
                <w:b/>
                <w:sz w:val="21"/>
                <w:szCs w:val="21"/>
                <w:highlight w:val="none"/>
                <w:lang w:val="en-US" w:eastAsia="zh-CN"/>
              </w:rPr>
              <w:t>5</w:t>
            </w:r>
            <w:r>
              <w:rPr>
                <w:rFonts w:hint="eastAsia" w:ascii="宋体" w:hAnsi="宋体" w:cs="宋体"/>
                <w:b/>
                <w:sz w:val="21"/>
                <w:szCs w:val="21"/>
                <w:highlight w:val="none"/>
                <w:lang w:val="zh-CN"/>
              </w:rPr>
              <w:t>项方案进行阐述，</w:t>
            </w:r>
            <w:r>
              <w:rPr>
                <w:rFonts w:hint="eastAsia" w:ascii="宋体" w:hAnsi="宋体" w:cs="宋体"/>
                <w:b/>
                <w:sz w:val="21"/>
                <w:szCs w:val="21"/>
                <w:highlight w:val="none"/>
                <w:lang w:val="en-US" w:eastAsia="zh-CN"/>
              </w:rPr>
              <w:t>每1小项方</w:t>
            </w:r>
            <w:r>
              <w:rPr>
                <w:rFonts w:hint="eastAsia" w:ascii="宋体" w:hAnsi="宋体" w:cs="宋体"/>
                <w:b/>
                <w:sz w:val="21"/>
                <w:szCs w:val="21"/>
                <w:highlight w:val="none"/>
                <w:lang w:val="zh-CN"/>
              </w:rPr>
              <w:t>案详细、完善、合理并完全满足采购需求，</w:t>
            </w:r>
            <w:r>
              <w:rPr>
                <w:rFonts w:hint="eastAsia" w:ascii="宋体" w:hAnsi="宋体" w:cs="宋体"/>
                <w:b/>
                <w:sz w:val="21"/>
                <w:szCs w:val="21"/>
                <w:highlight w:val="none"/>
                <w:lang w:val="en-US" w:eastAsia="zh-CN"/>
              </w:rPr>
              <w:t>得满分10分，每有1小项</w:t>
            </w:r>
            <w:r>
              <w:rPr>
                <w:rFonts w:hint="eastAsia" w:ascii="宋体" w:hAnsi="宋体" w:cs="宋体"/>
                <w:b/>
                <w:sz w:val="21"/>
                <w:szCs w:val="21"/>
                <w:highlight w:val="none"/>
              </w:rPr>
              <w:t>方案有缺失</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内容不完善，不能完全满采购需求的扣1</w:t>
            </w:r>
            <w:r>
              <w:rPr>
                <w:rFonts w:hint="eastAsia" w:ascii="宋体" w:hAnsi="宋体" w:cs="宋体"/>
                <w:b/>
                <w:sz w:val="21"/>
                <w:szCs w:val="21"/>
                <w:highlight w:val="none"/>
              </w:rPr>
              <w:t>分，具体</w:t>
            </w:r>
            <w:r>
              <w:rPr>
                <w:rFonts w:hint="eastAsia" w:ascii="宋体" w:hAnsi="宋体" w:cs="宋体"/>
                <w:b/>
                <w:sz w:val="21"/>
                <w:szCs w:val="21"/>
                <w:highlight w:val="none"/>
                <w:lang w:val="en-US" w:eastAsia="zh-CN"/>
              </w:rPr>
              <w:t>方案</w:t>
            </w:r>
            <w:r>
              <w:rPr>
                <w:rFonts w:hint="eastAsia" w:ascii="宋体" w:hAnsi="宋体" w:cs="宋体"/>
                <w:b/>
                <w:sz w:val="21"/>
                <w:szCs w:val="21"/>
                <w:highlight w:val="none"/>
              </w:rPr>
              <w:t>说明或</w:t>
            </w:r>
            <w:r>
              <w:rPr>
                <w:rFonts w:hint="eastAsia" w:ascii="宋体" w:hAnsi="宋体" w:cs="宋体"/>
                <w:b/>
                <w:sz w:val="21"/>
                <w:szCs w:val="21"/>
                <w:highlight w:val="none"/>
                <w:lang w:val="en-US" w:eastAsia="zh-CN"/>
              </w:rPr>
              <w:t>阐述</w:t>
            </w:r>
            <w:r>
              <w:rPr>
                <w:rFonts w:hint="eastAsia" w:ascii="宋体" w:hAnsi="宋体" w:cs="宋体"/>
                <w:b/>
                <w:sz w:val="21"/>
                <w:szCs w:val="21"/>
                <w:highlight w:val="none"/>
              </w:rPr>
              <w:t>内容与本项目无关的均视为不符合要求</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不得分。</w:t>
            </w:r>
          </w:p>
        </w:tc>
        <w:tc>
          <w:tcPr>
            <w:tcW w:w="393" w:type="pct"/>
            <w:shd w:val="clear" w:color="auto" w:fill="auto"/>
            <w:vAlign w:val="center"/>
          </w:tcPr>
          <w:p>
            <w:pPr>
              <w:spacing w:line="35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62" w:type="pct"/>
            <w:shd w:val="clear" w:color="auto" w:fill="auto"/>
            <w:vAlign w:val="center"/>
          </w:tcPr>
          <w:p>
            <w:pPr>
              <w:spacing w:line="320" w:lineRule="exact"/>
              <w:jc w:val="center"/>
              <w:rPr>
                <w:rFonts w:ascii="宋体" w:hAnsi="宋体" w:cs="宋体"/>
                <w:sz w:val="21"/>
                <w:szCs w:val="21"/>
                <w:highlight w:val="none"/>
              </w:rPr>
            </w:pPr>
            <w:r>
              <w:rPr>
                <w:rFonts w:hint="eastAsia" w:ascii="宋体" w:hAnsi="宋体" w:cs="宋体"/>
                <w:sz w:val="21"/>
                <w:szCs w:val="21"/>
                <w:highlight w:val="none"/>
              </w:rPr>
              <w:t>运维服务方案</w:t>
            </w:r>
          </w:p>
          <w:p>
            <w:pPr>
              <w:pStyle w:val="19"/>
              <w:spacing w:line="320" w:lineRule="exact"/>
              <w:jc w:val="center"/>
              <w:rPr>
                <w:rFonts w:ascii="宋体" w:hAnsi="宋体" w:eastAsia="宋体" w:cs="宋体"/>
                <w:color w:val="000000" w:themeColor="text1"/>
                <w:sz w:val="21"/>
                <w:szCs w:val="21"/>
                <w:highlight w:val="none"/>
                <w:lang w:val="zh-CN" w:eastAsia="zh-CN" w:bidi="ar-SA"/>
                <w14:textFill>
                  <w14:solidFill>
                    <w14:schemeClr w14:val="tx1"/>
                  </w14:solidFill>
                </w14:textFill>
              </w:rPr>
            </w:pPr>
          </w:p>
        </w:tc>
        <w:tc>
          <w:tcPr>
            <w:tcW w:w="3844" w:type="pct"/>
            <w:shd w:val="clear" w:color="auto" w:fill="auto"/>
            <w:vAlign w:val="center"/>
          </w:tcPr>
          <w:p>
            <w:pPr>
              <w:spacing w:line="320" w:lineRule="exact"/>
              <w:rPr>
                <w:rFonts w:ascii="宋体" w:hAnsi="宋体" w:cs="宋体"/>
                <w:sz w:val="21"/>
                <w:szCs w:val="21"/>
                <w:highlight w:val="none"/>
                <w:lang w:val="zh-CN"/>
              </w:rPr>
            </w:pPr>
            <w:r>
              <w:rPr>
                <w:rFonts w:hint="eastAsia" w:ascii="宋体" w:hAnsi="宋体" w:cs="宋体"/>
                <w:sz w:val="21"/>
                <w:szCs w:val="21"/>
                <w:highlight w:val="none"/>
              </w:rPr>
              <w:t>供应商具有明确的运维服务方案，要求包含但不限于</w:t>
            </w:r>
            <w:r>
              <w:rPr>
                <w:rFonts w:hint="eastAsia" w:ascii="宋体" w:hAnsi="宋体" w:cs="宋体"/>
                <w:sz w:val="21"/>
                <w:szCs w:val="21"/>
                <w:highlight w:val="none"/>
                <w:lang w:val="zh-CN"/>
              </w:rPr>
              <w:t>以下方面：</w:t>
            </w:r>
          </w:p>
          <w:p>
            <w:pPr>
              <w:spacing w:line="320" w:lineRule="exact"/>
              <w:rPr>
                <w:rFonts w:ascii="宋体" w:hAnsi="宋体" w:cs="宋体"/>
                <w:sz w:val="21"/>
                <w:szCs w:val="21"/>
                <w:highlight w:val="none"/>
              </w:rPr>
            </w:pPr>
            <w:r>
              <w:rPr>
                <w:rFonts w:hint="eastAsia" w:ascii="宋体" w:hAnsi="宋体" w:cs="宋体"/>
                <w:sz w:val="21"/>
                <w:szCs w:val="21"/>
                <w:highlight w:val="none"/>
              </w:rPr>
              <w:t>1.运维服务内容；</w:t>
            </w:r>
          </w:p>
          <w:p>
            <w:pPr>
              <w:spacing w:line="320" w:lineRule="exact"/>
              <w:rPr>
                <w:rFonts w:ascii="宋体" w:hAnsi="宋体" w:cs="宋体"/>
                <w:sz w:val="21"/>
                <w:szCs w:val="21"/>
                <w:highlight w:val="none"/>
              </w:rPr>
            </w:pPr>
            <w:r>
              <w:rPr>
                <w:rFonts w:hint="eastAsia" w:ascii="宋体" w:hAnsi="宋体" w:cs="宋体"/>
                <w:sz w:val="21"/>
                <w:szCs w:val="21"/>
                <w:highlight w:val="none"/>
              </w:rPr>
              <w:t>2.运维管理体系；</w:t>
            </w:r>
          </w:p>
          <w:p>
            <w:pPr>
              <w:spacing w:line="320" w:lineRule="exact"/>
              <w:rPr>
                <w:rFonts w:ascii="宋体" w:hAnsi="宋体" w:cs="宋体"/>
                <w:sz w:val="21"/>
                <w:szCs w:val="21"/>
                <w:highlight w:val="none"/>
              </w:rPr>
            </w:pPr>
            <w:r>
              <w:rPr>
                <w:rFonts w:hint="eastAsia" w:ascii="宋体" w:hAnsi="宋体" w:cs="宋体"/>
                <w:sz w:val="21"/>
                <w:szCs w:val="21"/>
                <w:highlight w:val="none"/>
              </w:rPr>
              <w:t>3.运维服务保障措施</w:t>
            </w:r>
            <w:r>
              <w:rPr>
                <w:rFonts w:hint="eastAsia" w:ascii="宋体" w:hAnsi="宋体" w:cs="宋体"/>
                <w:sz w:val="21"/>
                <w:szCs w:val="21"/>
                <w:highlight w:val="none"/>
                <w:lang w:eastAsia="zh-CN"/>
              </w:rPr>
              <w:t>、</w:t>
            </w:r>
            <w:r>
              <w:rPr>
                <w:rFonts w:hint="eastAsia" w:ascii="宋体" w:hAnsi="宋体" w:cs="宋体"/>
                <w:sz w:val="21"/>
                <w:szCs w:val="21"/>
                <w:highlight w:val="none"/>
              </w:rPr>
              <w:t>运维服务流程等。</w:t>
            </w:r>
          </w:p>
          <w:p>
            <w:pPr>
              <w:spacing w:line="320" w:lineRule="exact"/>
              <w:rPr>
                <w:rFonts w:ascii="宋体" w:hAnsi="宋体" w:eastAsia="宋体" w:cs="宋体"/>
                <w:b/>
                <w:bCs/>
                <w:sz w:val="21"/>
                <w:szCs w:val="21"/>
                <w:highlight w:val="none"/>
                <w:lang w:val="en-US" w:eastAsia="zh-CN" w:bidi="ar-SA"/>
              </w:rPr>
            </w:pPr>
            <w:r>
              <w:rPr>
                <w:rFonts w:hint="eastAsia" w:ascii="宋体" w:hAnsi="宋体" w:cs="宋体"/>
                <w:b/>
                <w:sz w:val="21"/>
                <w:szCs w:val="21"/>
                <w:highlight w:val="none"/>
                <w:lang w:val="en-US" w:eastAsia="zh-CN"/>
              </w:rPr>
              <w:t>对</w:t>
            </w:r>
            <w:r>
              <w:rPr>
                <w:rFonts w:hint="eastAsia" w:ascii="宋体" w:hAnsi="宋体" w:cs="宋体"/>
                <w:b/>
                <w:sz w:val="21"/>
                <w:szCs w:val="21"/>
                <w:highlight w:val="none"/>
                <w:lang w:val="zh-CN"/>
              </w:rPr>
              <w:t>以上</w:t>
            </w:r>
            <w:r>
              <w:rPr>
                <w:rFonts w:hint="eastAsia" w:ascii="宋体" w:hAnsi="宋体" w:cs="宋体"/>
                <w:b/>
                <w:sz w:val="21"/>
                <w:szCs w:val="21"/>
                <w:highlight w:val="none"/>
                <w:lang w:val="en-US" w:eastAsia="zh-CN"/>
              </w:rPr>
              <w:t>3</w:t>
            </w:r>
            <w:r>
              <w:rPr>
                <w:rFonts w:hint="eastAsia" w:ascii="宋体" w:hAnsi="宋体" w:cs="宋体"/>
                <w:b/>
                <w:sz w:val="21"/>
                <w:szCs w:val="21"/>
                <w:highlight w:val="none"/>
                <w:lang w:val="zh-CN"/>
              </w:rPr>
              <w:t>项方案进行阐述，</w:t>
            </w:r>
            <w:r>
              <w:rPr>
                <w:rFonts w:hint="eastAsia" w:ascii="宋体" w:hAnsi="宋体" w:cs="宋体"/>
                <w:b/>
                <w:sz w:val="21"/>
                <w:szCs w:val="21"/>
                <w:highlight w:val="none"/>
                <w:lang w:val="en-US" w:eastAsia="zh-CN"/>
              </w:rPr>
              <w:t>每1小项方</w:t>
            </w:r>
            <w:r>
              <w:rPr>
                <w:rFonts w:hint="eastAsia" w:ascii="宋体" w:hAnsi="宋体" w:cs="宋体"/>
                <w:b/>
                <w:sz w:val="21"/>
                <w:szCs w:val="21"/>
                <w:highlight w:val="none"/>
                <w:lang w:val="zh-CN"/>
              </w:rPr>
              <w:t>案详细、完善、合理并完全满足采购需求，</w:t>
            </w:r>
            <w:r>
              <w:rPr>
                <w:rFonts w:hint="eastAsia" w:ascii="宋体" w:hAnsi="宋体" w:cs="宋体"/>
                <w:b/>
                <w:sz w:val="21"/>
                <w:szCs w:val="21"/>
                <w:highlight w:val="none"/>
                <w:lang w:val="en-US" w:eastAsia="zh-CN"/>
              </w:rPr>
              <w:t>得满分6分，每有1小项</w:t>
            </w:r>
            <w:r>
              <w:rPr>
                <w:rFonts w:hint="eastAsia" w:ascii="宋体" w:hAnsi="宋体" w:cs="宋体"/>
                <w:b/>
                <w:sz w:val="21"/>
                <w:szCs w:val="21"/>
                <w:highlight w:val="none"/>
              </w:rPr>
              <w:t>方案有缺失</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内容不完善，不能完全满采购需求的扣1</w:t>
            </w:r>
            <w:r>
              <w:rPr>
                <w:rFonts w:hint="eastAsia" w:ascii="宋体" w:hAnsi="宋体" w:cs="宋体"/>
                <w:b/>
                <w:sz w:val="21"/>
                <w:szCs w:val="21"/>
                <w:highlight w:val="none"/>
              </w:rPr>
              <w:t>分，具体</w:t>
            </w:r>
            <w:r>
              <w:rPr>
                <w:rFonts w:hint="eastAsia" w:ascii="宋体" w:hAnsi="宋体" w:cs="宋体"/>
                <w:b/>
                <w:sz w:val="21"/>
                <w:szCs w:val="21"/>
                <w:highlight w:val="none"/>
                <w:lang w:val="en-US" w:eastAsia="zh-CN"/>
              </w:rPr>
              <w:t>方案</w:t>
            </w:r>
            <w:r>
              <w:rPr>
                <w:rFonts w:hint="eastAsia" w:ascii="宋体" w:hAnsi="宋体" w:cs="宋体"/>
                <w:b/>
                <w:sz w:val="21"/>
                <w:szCs w:val="21"/>
                <w:highlight w:val="none"/>
              </w:rPr>
              <w:t>说明或</w:t>
            </w:r>
            <w:r>
              <w:rPr>
                <w:rFonts w:hint="eastAsia" w:ascii="宋体" w:hAnsi="宋体" w:cs="宋体"/>
                <w:b/>
                <w:sz w:val="21"/>
                <w:szCs w:val="21"/>
                <w:highlight w:val="none"/>
                <w:lang w:val="en-US" w:eastAsia="zh-CN"/>
              </w:rPr>
              <w:t>阐述</w:t>
            </w:r>
            <w:r>
              <w:rPr>
                <w:rFonts w:hint="eastAsia" w:ascii="宋体" w:hAnsi="宋体" w:cs="宋体"/>
                <w:b/>
                <w:sz w:val="21"/>
                <w:szCs w:val="21"/>
                <w:highlight w:val="none"/>
              </w:rPr>
              <w:t>内容与本项目无关的均视为不符合要求</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不得分。</w:t>
            </w:r>
          </w:p>
        </w:tc>
        <w:tc>
          <w:tcPr>
            <w:tcW w:w="393" w:type="pct"/>
            <w:shd w:val="clear" w:color="auto" w:fill="auto"/>
            <w:vAlign w:val="center"/>
          </w:tcPr>
          <w:p>
            <w:pPr>
              <w:spacing w:line="350" w:lineRule="exact"/>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62" w:type="pct"/>
            <w:shd w:val="clear" w:color="auto" w:fill="auto"/>
            <w:vAlign w:val="center"/>
          </w:tcPr>
          <w:p>
            <w:pPr>
              <w:spacing w:line="320" w:lineRule="exact"/>
              <w:jc w:val="center"/>
              <w:rPr>
                <w:rFonts w:ascii="宋体" w:hAnsi="宋体" w:cs="宋体"/>
                <w:kern w:val="2"/>
                <w:sz w:val="21"/>
                <w:szCs w:val="21"/>
                <w:highlight w:val="none"/>
              </w:rPr>
            </w:pPr>
            <w:r>
              <w:rPr>
                <w:rFonts w:hint="eastAsia" w:ascii="宋体" w:hAnsi="宋体" w:cs="宋体"/>
                <w:kern w:val="2"/>
                <w:sz w:val="21"/>
                <w:szCs w:val="21"/>
                <w:highlight w:val="none"/>
              </w:rPr>
              <w:t>应急方案</w:t>
            </w:r>
          </w:p>
          <w:p>
            <w:pPr>
              <w:pStyle w:val="19"/>
              <w:spacing w:line="320" w:lineRule="exact"/>
              <w:jc w:val="center"/>
              <w:rPr>
                <w:rFonts w:hint="eastAsia" w:ascii="Times New Roman" w:hAnsi="Times New Roman" w:eastAsia="宋体" w:cs="Times New Roman"/>
                <w:sz w:val="21"/>
                <w:szCs w:val="21"/>
                <w:highlight w:val="none"/>
                <w:lang w:val="en-US" w:eastAsia="zh-CN" w:bidi="ar-SA"/>
              </w:rPr>
            </w:pPr>
          </w:p>
        </w:tc>
        <w:tc>
          <w:tcPr>
            <w:tcW w:w="3844" w:type="pct"/>
            <w:shd w:val="clear" w:color="auto" w:fill="auto"/>
            <w:vAlign w:val="center"/>
          </w:tcPr>
          <w:p>
            <w:pPr>
              <w:spacing w:line="320" w:lineRule="exact"/>
              <w:rPr>
                <w:rFonts w:ascii="宋体" w:hAnsi="宋体" w:cs="宋体"/>
                <w:sz w:val="21"/>
                <w:szCs w:val="21"/>
                <w:highlight w:val="none"/>
                <w:lang w:val="zh-CN"/>
              </w:rPr>
            </w:pPr>
            <w:r>
              <w:rPr>
                <w:rFonts w:hint="eastAsia" w:ascii="宋体" w:hAnsi="宋体" w:cs="宋体"/>
                <w:sz w:val="21"/>
                <w:szCs w:val="21"/>
                <w:highlight w:val="none"/>
                <w:lang w:val="zh-CN"/>
              </w:rPr>
              <w:t>应急方案</w:t>
            </w:r>
            <w:r>
              <w:rPr>
                <w:rFonts w:hint="eastAsia" w:ascii="宋体" w:hAnsi="宋体" w:cs="宋体"/>
                <w:sz w:val="21"/>
                <w:szCs w:val="21"/>
                <w:highlight w:val="none"/>
              </w:rPr>
              <w:t>中要求包含</w:t>
            </w:r>
            <w:r>
              <w:rPr>
                <w:rFonts w:hint="eastAsia" w:ascii="宋体" w:hAnsi="宋体" w:cs="宋体"/>
                <w:sz w:val="21"/>
                <w:szCs w:val="21"/>
                <w:highlight w:val="none"/>
                <w:lang w:val="zh-CN"/>
              </w:rPr>
              <w:t>但不限于以下方面：</w:t>
            </w:r>
          </w:p>
          <w:p>
            <w:pPr>
              <w:spacing w:line="32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人身伤害应急处理；</w:t>
            </w:r>
          </w:p>
          <w:p>
            <w:pPr>
              <w:spacing w:line="32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2.设备事故应急处理；</w:t>
            </w:r>
          </w:p>
          <w:p>
            <w:pPr>
              <w:spacing w:line="32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.应急装备；</w:t>
            </w:r>
          </w:p>
          <w:p>
            <w:pPr>
              <w:spacing w:line="32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rPr>
              <w:t>物资保障</w:t>
            </w:r>
            <w:r>
              <w:rPr>
                <w:rFonts w:hint="eastAsia" w:ascii="宋体" w:hAnsi="宋体" w:eastAsia="宋体" w:cs="宋体"/>
                <w:sz w:val="21"/>
                <w:szCs w:val="21"/>
                <w:highlight w:val="none"/>
              </w:rPr>
              <w:t>措施</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val="zh-CN"/>
              </w:rPr>
              <w:t>应急预防措施等</w:t>
            </w:r>
          </w:p>
          <w:p>
            <w:pPr>
              <w:spacing w:line="320" w:lineRule="exact"/>
              <w:rPr>
                <w:rFonts w:hint="eastAsia" w:ascii="宋体" w:hAnsi="宋体" w:eastAsia="宋体" w:cs="宋体"/>
                <w:sz w:val="21"/>
                <w:szCs w:val="21"/>
                <w:highlight w:val="none"/>
                <w:lang w:val="zh-CN" w:eastAsia="zh-CN" w:bidi="ar-SA"/>
              </w:rPr>
            </w:pPr>
            <w:r>
              <w:rPr>
                <w:rFonts w:hint="eastAsia" w:ascii="宋体" w:hAnsi="宋体" w:cs="宋体"/>
                <w:b/>
                <w:sz w:val="21"/>
                <w:szCs w:val="21"/>
                <w:highlight w:val="none"/>
                <w:lang w:val="en-US" w:eastAsia="zh-CN"/>
              </w:rPr>
              <w:t>对</w:t>
            </w:r>
            <w:r>
              <w:rPr>
                <w:rFonts w:hint="eastAsia" w:ascii="宋体" w:hAnsi="宋体" w:cs="宋体"/>
                <w:b/>
                <w:sz w:val="21"/>
                <w:szCs w:val="21"/>
                <w:highlight w:val="none"/>
                <w:lang w:val="zh-CN"/>
              </w:rPr>
              <w:t>以上</w:t>
            </w:r>
            <w:r>
              <w:rPr>
                <w:rFonts w:hint="eastAsia" w:ascii="宋体" w:hAnsi="宋体" w:cs="宋体"/>
                <w:b/>
                <w:sz w:val="21"/>
                <w:szCs w:val="21"/>
                <w:highlight w:val="none"/>
                <w:lang w:val="en-US" w:eastAsia="zh-CN"/>
              </w:rPr>
              <w:t>4</w:t>
            </w:r>
            <w:r>
              <w:rPr>
                <w:rFonts w:hint="eastAsia" w:ascii="宋体" w:hAnsi="宋体" w:cs="宋体"/>
                <w:b/>
                <w:sz w:val="21"/>
                <w:szCs w:val="21"/>
                <w:highlight w:val="none"/>
                <w:lang w:val="zh-CN"/>
              </w:rPr>
              <w:t>项方案进行阐述，</w:t>
            </w:r>
            <w:r>
              <w:rPr>
                <w:rFonts w:hint="eastAsia" w:ascii="宋体" w:hAnsi="宋体" w:cs="宋体"/>
                <w:b/>
                <w:sz w:val="21"/>
                <w:szCs w:val="21"/>
                <w:highlight w:val="none"/>
                <w:lang w:val="en-US" w:eastAsia="zh-CN"/>
              </w:rPr>
              <w:t>每1小项方</w:t>
            </w:r>
            <w:r>
              <w:rPr>
                <w:rFonts w:hint="eastAsia" w:ascii="宋体" w:hAnsi="宋体" w:cs="宋体"/>
                <w:b/>
                <w:sz w:val="21"/>
                <w:szCs w:val="21"/>
                <w:highlight w:val="none"/>
                <w:lang w:val="zh-CN"/>
              </w:rPr>
              <w:t>案详细、完善、合理并完全满足采购需求，</w:t>
            </w:r>
            <w:r>
              <w:rPr>
                <w:rFonts w:hint="eastAsia" w:ascii="宋体" w:hAnsi="宋体" w:cs="宋体"/>
                <w:b/>
                <w:sz w:val="21"/>
                <w:szCs w:val="21"/>
                <w:highlight w:val="none"/>
                <w:lang w:val="en-US" w:eastAsia="zh-CN"/>
              </w:rPr>
              <w:t>得满分4分，每有1小项</w:t>
            </w:r>
            <w:r>
              <w:rPr>
                <w:rFonts w:hint="eastAsia" w:ascii="宋体" w:hAnsi="宋体" w:cs="宋体"/>
                <w:b/>
                <w:sz w:val="21"/>
                <w:szCs w:val="21"/>
                <w:highlight w:val="none"/>
              </w:rPr>
              <w:t>方案有缺失</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内容不完善，不能完全满采购需求的扣0.5</w:t>
            </w:r>
            <w:r>
              <w:rPr>
                <w:rFonts w:hint="eastAsia" w:ascii="宋体" w:hAnsi="宋体" w:cs="宋体"/>
                <w:b/>
                <w:sz w:val="21"/>
                <w:szCs w:val="21"/>
                <w:highlight w:val="none"/>
              </w:rPr>
              <w:t>分，具体</w:t>
            </w:r>
            <w:r>
              <w:rPr>
                <w:rFonts w:hint="eastAsia" w:ascii="宋体" w:hAnsi="宋体" w:cs="宋体"/>
                <w:b/>
                <w:sz w:val="21"/>
                <w:szCs w:val="21"/>
                <w:highlight w:val="none"/>
                <w:lang w:val="en-US" w:eastAsia="zh-CN"/>
              </w:rPr>
              <w:t>方案</w:t>
            </w:r>
            <w:r>
              <w:rPr>
                <w:rFonts w:hint="eastAsia" w:ascii="宋体" w:hAnsi="宋体" w:cs="宋体"/>
                <w:b/>
                <w:sz w:val="21"/>
                <w:szCs w:val="21"/>
                <w:highlight w:val="none"/>
              </w:rPr>
              <w:t>说明或</w:t>
            </w:r>
            <w:r>
              <w:rPr>
                <w:rFonts w:hint="eastAsia" w:ascii="宋体" w:hAnsi="宋体" w:cs="宋体"/>
                <w:b/>
                <w:sz w:val="21"/>
                <w:szCs w:val="21"/>
                <w:highlight w:val="none"/>
                <w:lang w:val="en-US" w:eastAsia="zh-CN"/>
              </w:rPr>
              <w:t>阐述</w:t>
            </w:r>
            <w:r>
              <w:rPr>
                <w:rFonts w:hint="eastAsia" w:ascii="宋体" w:hAnsi="宋体" w:cs="宋体"/>
                <w:b/>
                <w:sz w:val="21"/>
                <w:szCs w:val="21"/>
                <w:highlight w:val="none"/>
              </w:rPr>
              <w:t>内容与本项目无关的均视为不符合要求</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不得分。</w:t>
            </w:r>
          </w:p>
        </w:tc>
        <w:tc>
          <w:tcPr>
            <w:tcW w:w="393" w:type="pct"/>
            <w:shd w:val="clear" w:color="auto" w:fill="auto"/>
            <w:vAlign w:val="center"/>
          </w:tcPr>
          <w:p>
            <w:pPr>
              <w:spacing w:line="35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62" w:type="pct"/>
            <w:shd w:val="clear" w:color="auto" w:fill="auto"/>
            <w:vAlign w:val="center"/>
          </w:tcPr>
          <w:p>
            <w:pPr>
              <w:spacing w:line="350" w:lineRule="exact"/>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质量安全保证措施</w:t>
            </w:r>
          </w:p>
        </w:tc>
        <w:tc>
          <w:tcPr>
            <w:tcW w:w="3844" w:type="pct"/>
            <w:shd w:val="clear" w:color="auto" w:fill="auto"/>
            <w:vAlign w:val="center"/>
          </w:tcPr>
          <w:p>
            <w:pPr>
              <w:spacing w:line="320" w:lineRule="exact"/>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针对于本项目制定相应的产品质量保证措施方案，从产品的生产、运输、交付、使用、验收等方面为制做方案依据，</w:t>
            </w:r>
            <w:r>
              <w:rPr>
                <w:rFonts w:hint="eastAsia" w:ascii="宋体" w:hAnsi="宋体" w:cs="宋体"/>
                <w:sz w:val="21"/>
                <w:szCs w:val="21"/>
                <w:highlight w:val="none"/>
              </w:rPr>
              <w:t>要求包含</w:t>
            </w:r>
            <w:r>
              <w:rPr>
                <w:rFonts w:hint="eastAsia" w:ascii="宋体" w:hAnsi="宋体" w:cs="宋体"/>
                <w:sz w:val="21"/>
                <w:szCs w:val="21"/>
                <w:highlight w:val="none"/>
                <w:lang w:val="zh-CN"/>
              </w:rPr>
              <w:t>但不限于以下方面</w:t>
            </w:r>
            <w:r>
              <w:rPr>
                <w:rFonts w:hint="eastAsia" w:ascii="宋体" w:hAnsi="宋体" w:cs="宋体"/>
                <w:color w:val="000000" w:themeColor="text1"/>
                <w:sz w:val="21"/>
                <w:szCs w:val="21"/>
                <w:highlight w:val="none"/>
                <w:lang w:val="zh-CN"/>
                <w14:textFill>
                  <w14:solidFill>
                    <w14:schemeClr w14:val="tx1"/>
                  </w14:solidFill>
                </w14:textFill>
              </w:rPr>
              <w:t>：</w:t>
            </w:r>
          </w:p>
          <w:p>
            <w:pPr>
              <w:spacing w:line="320" w:lineRule="exac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zh-CN"/>
                <w14:textFill>
                  <w14:solidFill>
                    <w14:schemeClr w14:val="tx1"/>
                  </w14:solidFill>
                </w14:textFill>
              </w:rPr>
              <w:t>质量保障措施；</w:t>
            </w:r>
          </w:p>
          <w:p>
            <w:pPr>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质量目标、质量方针；</w:t>
            </w:r>
          </w:p>
          <w:p>
            <w:pPr>
              <w:spacing w:line="320" w:lineRule="exac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质量标准质量保证依据；</w:t>
            </w:r>
          </w:p>
          <w:p>
            <w:pPr>
              <w:spacing w:line="320" w:lineRule="exac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zh-CN"/>
                <w14:textFill>
                  <w14:solidFill>
                    <w14:schemeClr w14:val="tx1"/>
                  </w14:solidFill>
                </w14:textFill>
              </w:rPr>
              <w:t>质量保证原则。</w:t>
            </w:r>
          </w:p>
          <w:p>
            <w:pPr>
              <w:spacing w:line="350" w:lineRule="exact"/>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b/>
                <w:sz w:val="21"/>
                <w:szCs w:val="21"/>
                <w:highlight w:val="none"/>
                <w:lang w:val="en-US" w:eastAsia="zh-CN"/>
              </w:rPr>
              <w:t>对</w:t>
            </w:r>
            <w:r>
              <w:rPr>
                <w:rFonts w:hint="eastAsia" w:ascii="宋体" w:hAnsi="宋体" w:cs="宋体"/>
                <w:b/>
                <w:sz w:val="21"/>
                <w:szCs w:val="21"/>
                <w:highlight w:val="none"/>
                <w:lang w:val="zh-CN"/>
              </w:rPr>
              <w:t>以上</w:t>
            </w:r>
            <w:r>
              <w:rPr>
                <w:rFonts w:hint="eastAsia" w:ascii="宋体" w:hAnsi="宋体" w:cs="宋体"/>
                <w:b/>
                <w:sz w:val="21"/>
                <w:szCs w:val="21"/>
                <w:highlight w:val="none"/>
                <w:lang w:val="en-US" w:eastAsia="zh-CN"/>
              </w:rPr>
              <w:t>4</w:t>
            </w:r>
            <w:r>
              <w:rPr>
                <w:rFonts w:hint="eastAsia" w:ascii="宋体" w:hAnsi="宋体" w:cs="宋体"/>
                <w:b/>
                <w:sz w:val="21"/>
                <w:szCs w:val="21"/>
                <w:highlight w:val="none"/>
                <w:lang w:val="zh-CN"/>
              </w:rPr>
              <w:t>项方案进行阐述，</w:t>
            </w:r>
            <w:r>
              <w:rPr>
                <w:rFonts w:hint="eastAsia" w:ascii="宋体" w:hAnsi="宋体" w:cs="宋体"/>
                <w:b/>
                <w:sz w:val="21"/>
                <w:szCs w:val="21"/>
                <w:highlight w:val="none"/>
                <w:lang w:val="en-US" w:eastAsia="zh-CN"/>
              </w:rPr>
              <w:t>每1小项方</w:t>
            </w:r>
            <w:r>
              <w:rPr>
                <w:rFonts w:hint="eastAsia" w:ascii="宋体" w:hAnsi="宋体" w:cs="宋体"/>
                <w:b/>
                <w:sz w:val="21"/>
                <w:szCs w:val="21"/>
                <w:highlight w:val="none"/>
                <w:lang w:val="zh-CN"/>
              </w:rPr>
              <w:t>案详细、完善、合理并完全满足采购需求，</w:t>
            </w:r>
            <w:r>
              <w:rPr>
                <w:rFonts w:hint="eastAsia" w:ascii="宋体" w:hAnsi="宋体" w:cs="宋体"/>
                <w:b/>
                <w:sz w:val="21"/>
                <w:szCs w:val="21"/>
                <w:highlight w:val="none"/>
                <w:lang w:val="en-US" w:eastAsia="zh-CN"/>
              </w:rPr>
              <w:t>得满分4分，每有1小项</w:t>
            </w:r>
            <w:r>
              <w:rPr>
                <w:rFonts w:hint="eastAsia" w:ascii="宋体" w:hAnsi="宋体" w:cs="宋体"/>
                <w:b/>
                <w:sz w:val="21"/>
                <w:szCs w:val="21"/>
                <w:highlight w:val="none"/>
              </w:rPr>
              <w:t>方案有缺失</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内容不完善，不能完全满采购需求的扣0.5</w:t>
            </w:r>
            <w:r>
              <w:rPr>
                <w:rFonts w:hint="eastAsia" w:ascii="宋体" w:hAnsi="宋体" w:cs="宋体"/>
                <w:b/>
                <w:sz w:val="21"/>
                <w:szCs w:val="21"/>
                <w:highlight w:val="none"/>
              </w:rPr>
              <w:t>分，具体</w:t>
            </w:r>
            <w:r>
              <w:rPr>
                <w:rFonts w:hint="eastAsia" w:ascii="宋体" w:hAnsi="宋体" w:cs="宋体"/>
                <w:b/>
                <w:sz w:val="21"/>
                <w:szCs w:val="21"/>
                <w:highlight w:val="none"/>
                <w:lang w:val="en-US" w:eastAsia="zh-CN"/>
              </w:rPr>
              <w:t>方案</w:t>
            </w:r>
            <w:r>
              <w:rPr>
                <w:rFonts w:hint="eastAsia" w:ascii="宋体" w:hAnsi="宋体" w:cs="宋体"/>
                <w:b/>
                <w:sz w:val="21"/>
                <w:szCs w:val="21"/>
                <w:highlight w:val="none"/>
              </w:rPr>
              <w:t>说明或</w:t>
            </w:r>
            <w:r>
              <w:rPr>
                <w:rFonts w:hint="eastAsia" w:ascii="宋体" w:hAnsi="宋体" w:cs="宋体"/>
                <w:b/>
                <w:sz w:val="21"/>
                <w:szCs w:val="21"/>
                <w:highlight w:val="none"/>
                <w:lang w:val="en-US" w:eastAsia="zh-CN"/>
              </w:rPr>
              <w:t>阐述</w:t>
            </w:r>
            <w:r>
              <w:rPr>
                <w:rFonts w:hint="eastAsia" w:ascii="宋体" w:hAnsi="宋体" w:cs="宋体"/>
                <w:b/>
                <w:sz w:val="21"/>
                <w:szCs w:val="21"/>
                <w:highlight w:val="none"/>
              </w:rPr>
              <w:t>内容与本项目无关的均视为不符合要求</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不得分。</w:t>
            </w:r>
          </w:p>
        </w:tc>
        <w:tc>
          <w:tcPr>
            <w:tcW w:w="393" w:type="pct"/>
            <w:shd w:val="clear" w:color="auto" w:fill="auto"/>
            <w:vAlign w:val="center"/>
          </w:tcPr>
          <w:p>
            <w:pPr>
              <w:spacing w:line="350" w:lineRule="exact"/>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62" w:type="pct"/>
            <w:shd w:val="clear" w:color="auto" w:fill="auto"/>
            <w:vAlign w:val="center"/>
          </w:tcPr>
          <w:p>
            <w:pPr>
              <w:spacing w:line="350" w:lineRule="exact"/>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供货保证措施</w:t>
            </w:r>
          </w:p>
        </w:tc>
        <w:tc>
          <w:tcPr>
            <w:tcW w:w="3844" w:type="pct"/>
            <w:shd w:val="clear" w:color="auto" w:fill="auto"/>
            <w:vAlign w:val="center"/>
          </w:tcPr>
          <w:p>
            <w:pPr>
              <w:spacing w:line="32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供货保证措施</w:t>
            </w:r>
            <w:r>
              <w:rPr>
                <w:rFonts w:hint="eastAsia" w:ascii="宋体" w:hAnsi="宋体" w:cs="宋体"/>
                <w:sz w:val="21"/>
                <w:szCs w:val="21"/>
                <w:highlight w:val="none"/>
              </w:rPr>
              <w:t>中要求包含</w:t>
            </w:r>
            <w:r>
              <w:rPr>
                <w:rFonts w:hint="eastAsia" w:ascii="宋体" w:hAnsi="宋体" w:cs="宋体"/>
                <w:sz w:val="21"/>
                <w:szCs w:val="21"/>
                <w:highlight w:val="none"/>
                <w:lang w:val="zh-CN"/>
              </w:rPr>
              <w:t>但不限于以下方面：</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50" w:lineRule="exact"/>
              <w:rPr>
                <w:rFonts w:hint="eastAsia" w:ascii="宋体" w:hAnsi="宋体" w:cs="宋体"/>
                <w:b/>
                <w:sz w:val="21"/>
                <w:szCs w:val="21"/>
                <w:highlight w:val="none"/>
                <w:lang w:val="en-US" w:eastAsia="zh-CN"/>
              </w:rPr>
            </w:pPr>
            <w:r>
              <w:rPr>
                <w:rFonts w:hint="eastAsia" w:ascii="宋体" w:hAnsi="宋体" w:cs="宋体"/>
                <w:b/>
                <w:sz w:val="21"/>
                <w:szCs w:val="21"/>
                <w:highlight w:val="none"/>
                <w:lang w:val="en-US" w:eastAsia="zh-CN"/>
              </w:rPr>
              <w:t>1.供货计划、供货流程；</w:t>
            </w:r>
          </w:p>
          <w:p>
            <w:pPr>
              <w:spacing w:line="350" w:lineRule="exact"/>
              <w:rPr>
                <w:rFonts w:hint="eastAsia" w:ascii="宋体" w:hAnsi="宋体" w:cs="宋体"/>
                <w:b/>
                <w:sz w:val="21"/>
                <w:szCs w:val="21"/>
                <w:highlight w:val="none"/>
                <w:lang w:val="en-US" w:eastAsia="zh-CN"/>
              </w:rPr>
            </w:pPr>
            <w:r>
              <w:rPr>
                <w:rFonts w:hint="eastAsia" w:ascii="宋体" w:hAnsi="宋体" w:cs="宋体"/>
                <w:b/>
                <w:sz w:val="21"/>
                <w:szCs w:val="21"/>
                <w:highlight w:val="none"/>
                <w:lang w:val="en-US" w:eastAsia="zh-CN"/>
              </w:rPr>
              <w:t>2.时间安排、供货方式、运输方案；</w:t>
            </w:r>
          </w:p>
          <w:p>
            <w:pPr>
              <w:spacing w:line="350" w:lineRule="exact"/>
              <w:rPr>
                <w:rFonts w:hint="eastAsia" w:ascii="宋体" w:hAnsi="宋体" w:cs="宋体"/>
                <w:b/>
                <w:sz w:val="21"/>
                <w:szCs w:val="21"/>
                <w:highlight w:val="none"/>
                <w:lang w:val="en-US" w:eastAsia="zh-CN"/>
              </w:rPr>
            </w:pPr>
            <w:r>
              <w:rPr>
                <w:rFonts w:hint="eastAsia" w:ascii="宋体" w:hAnsi="宋体" w:cs="宋体"/>
                <w:b/>
                <w:sz w:val="21"/>
                <w:szCs w:val="21"/>
                <w:highlight w:val="none"/>
                <w:lang w:val="en-US" w:eastAsia="zh-CN"/>
              </w:rPr>
              <w:t>3.零配件供应、更换和扩充等。</w:t>
            </w:r>
          </w:p>
          <w:p>
            <w:pPr>
              <w:spacing w:line="350" w:lineRule="exact"/>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b/>
                <w:sz w:val="21"/>
                <w:szCs w:val="21"/>
                <w:highlight w:val="none"/>
                <w:lang w:val="en-US" w:eastAsia="zh-CN"/>
              </w:rPr>
              <w:t>对</w:t>
            </w:r>
            <w:r>
              <w:rPr>
                <w:rFonts w:hint="eastAsia" w:ascii="宋体" w:hAnsi="宋体" w:cs="宋体"/>
                <w:b/>
                <w:sz w:val="21"/>
                <w:szCs w:val="21"/>
                <w:highlight w:val="none"/>
                <w:lang w:val="zh-CN"/>
              </w:rPr>
              <w:t>以上</w:t>
            </w:r>
            <w:r>
              <w:rPr>
                <w:rFonts w:hint="eastAsia" w:ascii="宋体" w:hAnsi="宋体" w:cs="宋体"/>
                <w:b/>
                <w:sz w:val="21"/>
                <w:szCs w:val="21"/>
                <w:highlight w:val="none"/>
                <w:lang w:val="en-US" w:eastAsia="zh-CN"/>
              </w:rPr>
              <w:t>3</w:t>
            </w:r>
            <w:r>
              <w:rPr>
                <w:rFonts w:hint="eastAsia" w:ascii="宋体" w:hAnsi="宋体" w:cs="宋体"/>
                <w:b/>
                <w:sz w:val="21"/>
                <w:szCs w:val="21"/>
                <w:highlight w:val="none"/>
                <w:lang w:val="zh-CN"/>
              </w:rPr>
              <w:t>项方案进行阐述，</w:t>
            </w:r>
            <w:r>
              <w:rPr>
                <w:rFonts w:hint="eastAsia" w:ascii="宋体" w:hAnsi="宋体" w:cs="宋体"/>
                <w:b/>
                <w:sz w:val="21"/>
                <w:szCs w:val="21"/>
                <w:highlight w:val="none"/>
                <w:lang w:val="en-US" w:eastAsia="zh-CN"/>
              </w:rPr>
              <w:t>每1小项方</w:t>
            </w:r>
            <w:r>
              <w:rPr>
                <w:rFonts w:hint="eastAsia" w:ascii="宋体" w:hAnsi="宋体" w:cs="宋体"/>
                <w:b/>
                <w:sz w:val="21"/>
                <w:szCs w:val="21"/>
                <w:highlight w:val="none"/>
                <w:lang w:val="zh-CN"/>
              </w:rPr>
              <w:t>案详细、完善、合理并完全满足采购需求，</w:t>
            </w:r>
            <w:r>
              <w:rPr>
                <w:rFonts w:hint="eastAsia" w:ascii="宋体" w:hAnsi="宋体" w:cs="宋体"/>
                <w:b/>
                <w:sz w:val="21"/>
                <w:szCs w:val="21"/>
                <w:highlight w:val="none"/>
                <w:lang w:val="en-US" w:eastAsia="zh-CN"/>
              </w:rPr>
              <w:t>得满分3分，每有1小项</w:t>
            </w:r>
            <w:r>
              <w:rPr>
                <w:rFonts w:hint="eastAsia" w:ascii="宋体" w:hAnsi="宋体" w:cs="宋体"/>
                <w:b/>
                <w:sz w:val="21"/>
                <w:szCs w:val="21"/>
                <w:highlight w:val="none"/>
              </w:rPr>
              <w:t>方案有缺失</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内容不完善，不能完全满采购需求的扣0.5</w:t>
            </w:r>
            <w:r>
              <w:rPr>
                <w:rFonts w:hint="eastAsia" w:ascii="宋体" w:hAnsi="宋体" w:cs="宋体"/>
                <w:b/>
                <w:sz w:val="21"/>
                <w:szCs w:val="21"/>
                <w:highlight w:val="none"/>
              </w:rPr>
              <w:t>分，具体</w:t>
            </w:r>
            <w:r>
              <w:rPr>
                <w:rFonts w:hint="eastAsia" w:ascii="宋体" w:hAnsi="宋体" w:cs="宋体"/>
                <w:b/>
                <w:sz w:val="21"/>
                <w:szCs w:val="21"/>
                <w:highlight w:val="none"/>
                <w:lang w:val="en-US" w:eastAsia="zh-CN"/>
              </w:rPr>
              <w:t>方案</w:t>
            </w:r>
            <w:r>
              <w:rPr>
                <w:rFonts w:hint="eastAsia" w:ascii="宋体" w:hAnsi="宋体" w:cs="宋体"/>
                <w:b/>
                <w:sz w:val="21"/>
                <w:szCs w:val="21"/>
                <w:highlight w:val="none"/>
              </w:rPr>
              <w:t>说明或</w:t>
            </w:r>
            <w:r>
              <w:rPr>
                <w:rFonts w:hint="eastAsia" w:ascii="宋体" w:hAnsi="宋体" w:cs="宋体"/>
                <w:b/>
                <w:sz w:val="21"/>
                <w:szCs w:val="21"/>
                <w:highlight w:val="none"/>
                <w:lang w:val="en-US" w:eastAsia="zh-CN"/>
              </w:rPr>
              <w:t>阐述</w:t>
            </w:r>
            <w:r>
              <w:rPr>
                <w:rFonts w:hint="eastAsia" w:ascii="宋体" w:hAnsi="宋体" w:cs="宋体"/>
                <w:b/>
                <w:sz w:val="21"/>
                <w:szCs w:val="21"/>
                <w:highlight w:val="none"/>
              </w:rPr>
              <w:t>内容与本项目无关的均视为不符合要求</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不得分。</w:t>
            </w:r>
          </w:p>
        </w:tc>
        <w:tc>
          <w:tcPr>
            <w:tcW w:w="393" w:type="pct"/>
            <w:shd w:val="clear" w:color="auto" w:fill="auto"/>
            <w:vAlign w:val="center"/>
          </w:tcPr>
          <w:p>
            <w:pPr>
              <w:spacing w:line="350" w:lineRule="exact"/>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62" w:type="pct"/>
            <w:shd w:val="clear" w:color="auto" w:fill="auto"/>
            <w:vAlign w:val="center"/>
          </w:tcPr>
          <w:p>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售后服务方案</w:t>
            </w:r>
          </w:p>
          <w:p>
            <w:pPr>
              <w:pStyle w:val="19"/>
              <w:spacing w:line="320" w:lineRule="exact"/>
              <w:jc w:val="center"/>
              <w:rPr>
                <w:rFonts w:hint="eastAsia" w:ascii="Times New Roman" w:hAnsi="Times New Roman" w:eastAsia="宋体" w:cs="Times New Roman"/>
                <w:sz w:val="21"/>
                <w:szCs w:val="21"/>
                <w:highlight w:val="none"/>
                <w:lang w:val="en-US" w:eastAsia="zh-CN" w:bidi="ar-SA"/>
              </w:rPr>
            </w:pPr>
          </w:p>
        </w:tc>
        <w:tc>
          <w:tcPr>
            <w:tcW w:w="3844" w:type="pct"/>
            <w:shd w:val="clear" w:color="auto" w:fill="auto"/>
            <w:vAlign w:val="center"/>
          </w:tcPr>
          <w:p>
            <w:pPr>
              <w:spacing w:line="320" w:lineRule="exact"/>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售后服务方案至少包括以下内容：</w:t>
            </w:r>
          </w:p>
          <w:p>
            <w:pPr>
              <w:spacing w:line="320" w:lineRule="exact"/>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售后服务承诺体系；</w:t>
            </w:r>
          </w:p>
          <w:p>
            <w:pPr>
              <w:spacing w:line="320" w:lineRule="exact"/>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技术支持保障；</w:t>
            </w:r>
          </w:p>
          <w:p>
            <w:pPr>
              <w:spacing w:line="320" w:lineRule="exact"/>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退换货流程及售后服务响应时间；</w:t>
            </w:r>
          </w:p>
          <w:p>
            <w:pPr>
              <w:spacing w:line="320" w:lineRule="exact"/>
              <w:ind w:firstLine="308" w:firstLineChars="0"/>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b/>
                <w:sz w:val="21"/>
                <w:szCs w:val="21"/>
                <w:highlight w:val="none"/>
                <w:lang w:val="en-US" w:eastAsia="zh-CN"/>
              </w:rPr>
              <w:t>对</w:t>
            </w:r>
            <w:r>
              <w:rPr>
                <w:rFonts w:hint="eastAsia" w:ascii="宋体" w:hAnsi="宋体" w:cs="宋体"/>
                <w:b/>
                <w:sz w:val="21"/>
                <w:szCs w:val="21"/>
                <w:highlight w:val="none"/>
                <w:lang w:val="zh-CN"/>
              </w:rPr>
              <w:t>以上</w:t>
            </w:r>
            <w:r>
              <w:rPr>
                <w:rFonts w:hint="eastAsia" w:ascii="宋体" w:hAnsi="宋体" w:cs="宋体"/>
                <w:b/>
                <w:sz w:val="21"/>
                <w:szCs w:val="21"/>
                <w:highlight w:val="none"/>
                <w:lang w:val="en-US" w:eastAsia="zh-CN"/>
              </w:rPr>
              <w:t>3</w:t>
            </w:r>
            <w:r>
              <w:rPr>
                <w:rFonts w:hint="eastAsia" w:ascii="宋体" w:hAnsi="宋体" w:cs="宋体"/>
                <w:b/>
                <w:sz w:val="21"/>
                <w:szCs w:val="21"/>
                <w:highlight w:val="none"/>
                <w:lang w:val="zh-CN"/>
              </w:rPr>
              <w:t>项方案进行阐述，</w:t>
            </w:r>
            <w:r>
              <w:rPr>
                <w:rFonts w:hint="eastAsia" w:ascii="宋体" w:hAnsi="宋体" w:cs="宋体"/>
                <w:b/>
                <w:sz w:val="21"/>
                <w:szCs w:val="21"/>
                <w:highlight w:val="none"/>
                <w:lang w:val="en-US" w:eastAsia="zh-CN"/>
              </w:rPr>
              <w:t>每1小项方</w:t>
            </w:r>
            <w:r>
              <w:rPr>
                <w:rFonts w:hint="eastAsia" w:ascii="宋体" w:hAnsi="宋体" w:cs="宋体"/>
                <w:b/>
                <w:sz w:val="21"/>
                <w:szCs w:val="21"/>
                <w:highlight w:val="none"/>
                <w:lang w:val="zh-CN"/>
              </w:rPr>
              <w:t>案详细、完善、合理并完全满足采购需求，</w:t>
            </w:r>
            <w:r>
              <w:rPr>
                <w:rFonts w:hint="eastAsia" w:ascii="宋体" w:hAnsi="宋体" w:cs="宋体"/>
                <w:b/>
                <w:sz w:val="21"/>
                <w:szCs w:val="21"/>
                <w:highlight w:val="none"/>
                <w:lang w:val="en-US" w:eastAsia="zh-CN"/>
              </w:rPr>
              <w:t>得满分6分，每有1小项</w:t>
            </w:r>
            <w:r>
              <w:rPr>
                <w:rFonts w:hint="eastAsia" w:ascii="宋体" w:hAnsi="宋体" w:cs="宋体"/>
                <w:b/>
                <w:sz w:val="21"/>
                <w:szCs w:val="21"/>
                <w:highlight w:val="none"/>
              </w:rPr>
              <w:t>方案有缺失</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内容不完善，不能完全满采购需求的扣1</w:t>
            </w:r>
            <w:r>
              <w:rPr>
                <w:rFonts w:hint="eastAsia" w:ascii="宋体" w:hAnsi="宋体" w:cs="宋体"/>
                <w:b/>
                <w:sz w:val="21"/>
                <w:szCs w:val="21"/>
                <w:highlight w:val="none"/>
              </w:rPr>
              <w:t>分，具体</w:t>
            </w:r>
            <w:r>
              <w:rPr>
                <w:rFonts w:hint="eastAsia" w:ascii="宋体" w:hAnsi="宋体" w:cs="宋体"/>
                <w:b/>
                <w:sz w:val="21"/>
                <w:szCs w:val="21"/>
                <w:highlight w:val="none"/>
                <w:lang w:val="en-US" w:eastAsia="zh-CN"/>
              </w:rPr>
              <w:t>方案</w:t>
            </w:r>
            <w:r>
              <w:rPr>
                <w:rFonts w:hint="eastAsia" w:ascii="宋体" w:hAnsi="宋体" w:cs="宋体"/>
                <w:b/>
                <w:sz w:val="21"/>
                <w:szCs w:val="21"/>
                <w:highlight w:val="none"/>
              </w:rPr>
              <w:t>说明或</w:t>
            </w:r>
            <w:r>
              <w:rPr>
                <w:rFonts w:hint="eastAsia" w:ascii="宋体" w:hAnsi="宋体" w:cs="宋体"/>
                <w:b/>
                <w:sz w:val="21"/>
                <w:szCs w:val="21"/>
                <w:highlight w:val="none"/>
                <w:lang w:val="en-US" w:eastAsia="zh-CN"/>
              </w:rPr>
              <w:t>阐述</w:t>
            </w:r>
            <w:r>
              <w:rPr>
                <w:rFonts w:hint="eastAsia" w:ascii="宋体" w:hAnsi="宋体" w:cs="宋体"/>
                <w:b/>
                <w:sz w:val="21"/>
                <w:szCs w:val="21"/>
                <w:highlight w:val="none"/>
              </w:rPr>
              <w:t>内容与本项目无关的均视为不符合要求</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不得分。</w:t>
            </w:r>
          </w:p>
        </w:tc>
        <w:tc>
          <w:tcPr>
            <w:tcW w:w="393" w:type="pct"/>
            <w:shd w:val="clear" w:color="auto" w:fill="auto"/>
            <w:vAlign w:val="center"/>
          </w:tcPr>
          <w:p>
            <w:pPr>
              <w:spacing w:line="35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6</w:t>
            </w:r>
          </w:p>
        </w:tc>
      </w:tr>
    </w:tbl>
    <w:p>
      <w:pPr>
        <w:pStyle w:val="19"/>
        <w:rPr>
          <w:rFonts w:hint="eastAsia" w:ascii="宋体" w:hAnsi="宋体"/>
          <w:b/>
          <w:bCs/>
          <w:color w:val="000000" w:themeColor="text1"/>
          <w:sz w:val="24"/>
          <w:szCs w:val="24"/>
          <w:highlight w:val="none"/>
          <w14:textFill>
            <w14:solidFill>
              <w14:schemeClr w14:val="tx1"/>
            </w14:solidFill>
          </w14:textFill>
        </w:rPr>
      </w:pPr>
    </w:p>
    <w:p>
      <w:pPr>
        <w:pStyle w:val="19"/>
        <w:rPr>
          <w:rFonts w:hint="eastAsia" w:ascii="宋体" w:hAnsi="宋体"/>
          <w:b/>
          <w:bCs/>
          <w:color w:val="000000" w:themeColor="text1"/>
          <w:sz w:val="24"/>
          <w:szCs w:val="24"/>
          <w:highlight w:val="none"/>
          <w14:textFill>
            <w14:solidFill>
              <w14:schemeClr w14:val="tx1"/>
            </w14:solidFill>
          </w14:textFill>
        </w:rPr>
      </w:pPr>
    </w:p>
    <w:p>
      <w:pPr>
        <w:pStyle w:val="19"/>
        <w:rPr>
          <w:rFonts w:hint="eastAsia" w:ascii="宋体" w:hAnsi="宋体"/>
          <w:b/>
          <w:bCs/>
          <w:color w:val="000000" w:themeColor="text1"/>
          <w:sz w:val="24"/>
          <w:szCs w:val="24"/>
          <w:highlight w:val="none"/>
          <w14:textFill>
            <w14:solidFill>
              <w14:schemeClr w14:val="tx1"/>
            </w14:solidFill>
          </w14:textFill>
        </w:rPr>
      </w:pPr>
    </w:p>
    <w:p>
      <w:pPr>
        <w:autoSpaceDE w:val="0"/>
        <w:autoSpaceDN w:val="0"/>
        <w:adjustRightInd w:val="0"/>
        <w:spacing w:line="400" w:lineRule="exact"/>
        <w:jc w:val="center"/>
        <w:rPr>
          <w:rFonts w:hint="eastAsia" w:ascii="宋体" w:hAnsi="宋体" w:cs="宋体"/>
          <w:b/>
          <w:bCs/>
          <w:sz w:val="30"/>
          <w:szCs w:val="30"/>
          <w:highlight w:val="none"/>
        </w:rPr>
      </w:pPr>
    </w:p>
    <w:p>
      <w:pPr>
        <w:autoSpaceDE w:val="0"/>
        <w:autoSpaceDN w:val="0"/>
        <w:adjustRightInd w:val="0"/>
        <w:spacing w:line="400" w:lineRule="exact"/>
        <w:jc w:val="center"/>
        <w:rPr>
          <w:rFonts w:hint="eastAsia" w:ascii="宋体" w:hAnsi="宋体" w:cs="宋体"/>
          <w:b/>
          <w:bCs/>
          <w:sz w:val="30"/>
          <w:szCs w:val="30"/>
          <w:highlight w:val="none"/>
        </w:rPr>
      </w:pPr>
    </w:p>
    <w:p>
      <w:pPr>
        <w:autoSpaceDE w:val="0"/>
        <w:autoSpaceDN w:val="0"/>
        <w:adjustRightInd w:val="0"/>
        <w:spacing w:line="400" w:lineRule="exact"/>
        <w:jc w:val="center"/>
        <w:rPr>
          <w:rFonts w:hint="eastAsia" w:ascii="宋体" w:hAnsi="宋体" w:cs="宋体"/>
          <w:b/>
          <w:bCs/>
          <w:sz w:val="30"/>
          <w:szCs w:val="30"/>
          <w:highlight w:val="none"/>
        </w:rPr>
      </w:pPr>
    </w:p>
    <w:p>
      <w:pPr>
        <w:pStyle w:val="19"/>
        <w:rPr>
          <w:rFonts w:hint="eastAsia" w:ascii="宋体" w:hAnsi="宋体" w:cs="宋体"/>
          <w:b/>
          <w:bCs/>
          <w:sz w:val="30"/>
          <w:szCs w:val="30"/>
          <w:highlight w:val="none"/>
        </w:rPr>
      </w:pPr>
    </w:p>
    <w:p>
      <w:pPr>
        <w:pStyle w:val="19"/>
        <w:rPr>
          <w:rFonts w:hint="eastAsia" w:ascii="宋体" w:hAnsi="宋体" w:cs="宋体"/>
          <w:b/>
          <w:bCs/>
          <w:sz w:val="30"/>
          <w:szCs w:val="30"/>
          <w:highlight w:val="none"/>
        </w:rPr>
      </w:pPr>
    </w:p>
    <w:p>
      <w:pPr>
        <w:pStyle w:val="19"/>
        <w:rPr>
          <w:rFonts w:hint="eastAsia" w:ascii="宋体" w:hAnsi="宋体" w:cs="宋体"/>
          <w:b/>
          <w:bCs/>
          <w:sz w:val="30"/>
          <w:szCs w:val="30"/>
          <w:highlight w:val="none"/>
        </w:rPr>
      </w:pPr>
    </w:p>
    <w:p>
      <w:pPr>
        <w:pStyle w:val="19"/>
        <w:rPr>
          <w:rFonts w:hint="eastAsia" w:ascii="宋体" w:hAnsi="宋体" w:cs="宋体"/>
          <w:b/>
          <w:bCs/>
          <w:sz w:val="30"/>
          <w:szCs w:val="30"/>
          <w:highlight w:val="none"/>
        </w:rPr>
      </w:pPr>
    </w:p>
    <w:p>
      <w:pPr>
        <w:pStyle w:val="19"/>
        <w:rPr>
          <w:rFonts w:hint="eastAsia" w:ascii="宋体" w:hAnsi="宋体" w:cs="宋体"/>
          <w:b/>
          <w:bCs/>
          <w:sz w:val="30"/>
          <w:szCs w:val="30"/>
          <w:highlight w:val="none"/>
        </w:rPr>
      </w:pPr>
    </w:p>
    <w:p>
      <w:pPr>
        <w:pStyle w:val="19"/>
        <w:rPr>
          <w:rFonts w:hint="eastAsia" w:ascii="宋体" w:hAnsi="宋体" w:cs="宋体"/>
          <w:b/>
          <w:bCs/>
          <w:sz w:val="30"/>
          <w:szCs w:val="30"/>
          <w:highlight w:val="none"/>
        </w:rPr>
      </w:pPr>
    </w:p>
    <w:p>
      <w:pPr>
        <w:pStyle w:val="19"/>
        <w:rPr>
          <w:rFonts w:hint="eastAsia" w:ascii="宋体" w:hAnsi="宋体" w:cs="宋体"/>
          <w:b/>
          <w:bCs/>
          <w:sz w:val="30"/>
          <w:szCs w:val="30"/>
          <w:highlight w:val="none"/>
        </w:rPr>
      </w:pPr>
    </w:p>
    <w:p>
      <w:pPr>
        <w:pStyle w:val="19"/>
        <w:rPr>
          <w:rFonts w:hint="eastAsia" w:ascii="宋体" w:hAnsi="宋体" w:cs="宋体"/>
          <w:b/>
          <w:bCs/>
          <w:sz w:val="30"/>
          <w:szCs w:val="30"/>
          <w:highlight w:val="none"/>
        </w:rPr>
      </w:pPr>
    </w:p>
    <w:p>
      <w:pPr>
        <w:pStyle w:val="19"/>
        <w:rPr>
          <w:rFonts w:hint="eastAsia" w:ascii="宋体" w:hAnsi="宋体" w:cs="宋体"/>
          <w:b/>
          <w:bCs/>
          <w:sz w:val="30"/>
          <w:szCs w:val="30"/>
          <w:highlight w:val="none"/>
        </w:rPr>
      </w:pPr>
    </w:p>
    <w:p>
      <w:pPr>
        <w:pStyle w:val="19"/>
        <w:rPr>
          <w:rFonts w:hint="eastAsia" w:ascii="宋体" w:hAnsi="宋体" w:cs="宋体"/>
          <w:b/>
          <w:bCs/>
          <w:sz w:val="30"/>
          <w:szCs w:val="30"/>
          <w:highlight w:val="none"/>
        </w:rPr>
      </w:pPr>
    </w:p>
    <w:p>
      <w:pPr>
        <w:pStyle w:val="19"/>
        <w:rPr>
          <w:rFonts w:hint="eastAsia" w:ascii="宋体" w:hAnsi="宋体" w:cs="宋体"/>
          <w:b/>
          <w:bCs/>
          <w:sz w:val="30"/>
          <w:szCs w:val="30"/>
          <w:highlight w:val="none"/>
        </w:rPr>
      </w:pPr>
    </w:p>
    <w:p>
      <w:pPr>
        <w:pStyle w:val="19"/>
        <w:rPr>
          <w:rFonts w:hint="eastAsia" w:ascii="宋体" w:hAnsi="宋体" w:cs="宋体"/>
          <w:b/>
          <w:bCs/>
          <w:sz w:val="30"/>
          <w:szCs w:val="30"/>
          <w:highlight w:val="none"/>
        </w:rPr>
      </w:pPr>
    </w:p>
    <w:p>
      <w:pPr>
        <w:pStyle w:val="19"/>
        <w:rPr>
          <w:rFonts w:hint="eastAsia" w:ascii="宋体" w:hAnsi="宋体" w:cs="宋体"/>
          <w:b/>
          <w:bCs/>
          <w:sz w:val="30"/>
          <w:szCs w:val="30"/>
          <w:highlight w:val="none"/>
        </w:rPr>
      </w:pPr>
    </w:p>
    <w:p>
      <w:pPr>
        <w:pStyle w:val="19"/>
        <w:rPr>
          <w:rFonts w:hint="eastAsia" w:ascii="宋体" w:hAnsi="宋体" w:cs="宋体"/>
          <w:b/>
          <w:bCs/>
          <w:sz w:val="30"/>
          <w:szCs w:val="30"/>
          <w:highlight w:val="none"/>
        </w:rPr>
      </w:pPr>
    </w:p>
    <w:p>
      <w:pPr>
        <w:pStyle w:val="19"/>
        <w:rPr>
          <w:rFonts w:hint="eastAsia" w:ascii="宋体" w:hAnsi="宋体" w:cs="宋体"/>
          <w:b/>
          <w:bCs/>
          <w:sz w:val="30"/>
          <w:szCs w:val="30"/>
          <w:highlight w:val="none"/>
        </w:rPr>
      </w:pPr>
    </w:p>
    <w:p>
      <w:pPr>
        <w:pStyle w:val="19"/>
        <w:rPr>
          <w:rFonts w:hint="eastAsia" w:ascii="宋体" w:hAnsi="宋体" w:cs="宋体"/>
          <w:b/>
          <w:bCs/>
          <w:sz w:val="30"/>
          <w:szCs w:val="30"/>
          <w:highlight w:val="none"/>
        </w:rPr>
      </w:pPr>
      <w:bookmarkStart w:id="90" w:name="_GoBack"/>
      <w:bookmarkEnd w:id="90"/>
    </w:p>
    <w:p>
      <w:pPr>
        <w:autoSpaceDE w:val="0"/>
        <w:autoSpaceDN w:val="0"/>
        <w:adjustRightInd w:val="0"/>
        <w:spacing w:line="400" w:lineRule="exact"/>
        <w:jc w:val="center"/>
        <w:rPr>
          <w:rFonts w:hint="eastAsia" w:ascii="宋体" w:hAnsi="宋体" w:cs="宋体"/>
          <w:b/>
          <w:bCs/>
          <w:sz w:val="30"/>
          <w:szCs w:val="30"/>
          <w:highlight w:val="none"/>
        </w:rPr>
      </w:pPr>
    </w:p>
    <w:p>
      <w:pPr>
        <w:autoSpaceDE w:val="0"/>
        <w:autoSpaceDN w:val="0"/>
        <w:adjustRightInd w:val="0"/>
        <w:spacing w:line="400" w:lineRule="exact"/>
        <w:jc w:val="center"/>
        <w:rPr>
          <w:rFonts w:ascii="宋体" w:hAnsi="宋体" w:cs="宋体"/>
          <w:b/>
          <w:bCs/>
          <w:sz w:val="30"/>
          <w:szCs w:val="30"/>
          <w:highlight w:val="none"/>
        </w:rPr>
      </w:pPr>
      <w:r>
        <w:rPr>
          <w:rFonts w:hint="eastAsia" w:ascii="宋体" w:hAnsi="宋体" w:cs="宋体"/>
          <w:b/>
          <w:bCs/>
          <w:sz w:val="30"/>
          <w:szCs w:val="30"/>
          <w:highlight w:val="none"/>
        </w:rPr>
        <w:t>政府采购政策</w:t>
      </w:r>
    </w:p>
    <w:p>
      <w:pPr>
        <w:autoSpaceDE w:val="0"/>
        <w:autoSpaceDN w:val="0"/>
        <w:adjustRightInd w:val="0"/>
        <w:spacing w:line="400" w:lineRule="exact"/>
        <w:ind w:firstLine="422" w:firstLineChars="200"/>
        <w:rPr>
          <w:rFonts w:ascii="宋体" w:hAnsi="宋体" w:cs="宋体"/>
          <w:b/>
          <w:sz w:val="21"/>
          <w:szCs w:val="18"/>
          <w:highlight w:val="none"/>
        </w:rPr>
      </w:pPr>
    </w:p>
    <w:p>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(1)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w:t>
      </w:r>
    </w:p>
    <w:p>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 xml:space="preserve">(2)对财政部、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 </w:t>
      </w:r>
    </w:p>
    <w:p>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（4）投标产品同时列入上述多个清单的，将上述规定的价格扣除比例叠加后计算价格扣除。</w:t>
      </w:r>
    </w:p>
    <w:p>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（5）根据财库〔2020〕46 号文件规定，</w:t>
      </w:r>
      <w:r>
        <w:rPr>
          <w:rFonts w:hint="eastAsia" w:ascii="宋体" w:hAnsi="宋体" w:cs="宋体"/>
          <w:sz w:val="21"/>
          <w:szCs w:val="18"/>
          <w:highlight w:val="none"/>
          <w:lang w:val="zh-CN"/>
        </w:rPr>
        <w:t>《吉林省强化政府采购政策支持中小企业发展落实举措》（吉财采购【2022】478号）规定，</w:t>
      </w:r>
      <w:r>
        <w:rPr>
          <w:rFonts w:hint="eastAsia" w:ascii="宋体" w:hAnsi="宋体" w:cs="宋体"/>
          <w:sz w:val="21"/>
          <w:szCs w:val="18"/>
          <w:highlight w:val="none"/>
        </w:rPr>
        <w:t>对符合本办法规定的小微企业</w:t>
      </w:r>
      <w:r>
        <w:rPr>
          <w:rFonts w:hint="eastAsia" w:ascii="宋体" w:hAnsi="宋体" w:cs="宋体"/>
          <w:sz w:val="21"/>
          <w:szCs w:val="18"/>
          <w:highlight w:val="none"/>
          <w:lang w:val="zh-CN"/>
        </w:rPr>
        <w:t>产品的投标报价在计算报价得分时，按照该单位投标报价下浮</w:t>
      </w:r>
      <w:r>
        <w:rPr>
          <w:rFonts w:hint="eastAsia" w:ascii="宋体" w:hAnsi="宋体" w:cs="宋体"/>
          <w:sz w:val="21"/>
          <w:szCs w:val="18"/>
          <w:highlight w:val="none"/>
        </w:rPr>
        <w:t>10</w:t>
      </w:r>
      <w:r>
        <w:rPr>
          <w:rFonts w:hint="eastAsia" w:ascii="宋体" w:hAnsi="宋体" w:cs="宋体"/>
          <w:sz w:val="21"/>
          <w:szCs w:val="18"/>
          <w:highlight w:val="none"/>
          <w:lang w:val="zh-CN"/>
        </w:rPr>
        <w:t>%进入报价分计算（</w:t>
      </w:r>
      <w:r>
        <w:rPr>
          <w:rFonts w:hint="eastAsia" w:ascii="宋体" w:hAnsi="宋体" w:cs="宋体"/>
          <w:sz w:val="21"/>
          <w:szCs w:val="18"/>
          <w:highlight w:val="none"/>
        </w:rPr>
        <w:t>联合体按照〔2020〕46 号文件规定执行</w:t>
      </w:r>
      <w:r>
        <w:rPr>
          <w:rFonts w:hint="eastAsia" w:ascii="宋体" w:hAnsi="宋体" w:cs="宋体"/>
          <w:sz w:val="21"/>
          <w:szCs w:val="18"/>
          <w:highlight w:val="none"/>
          <w:lang w:val="zh-CN"/>
        </w:rPr>
        <w:t>）</w:t>
      </w:r>
      <w:r>
        <w:rPr>
          <w:rFonts w:hint="eastAsia" w:ascii="宋体" w:hAnsi="宋体" w:cs="宋体"/>
          <w:sz w:val="21"/>
          <w:szCs w:val="18"/>
          <w:highlight w:val="none"/>
        </w:rPr>
        <w:t>。</w:t>
      </w:r>
    </w:p>
    <w:p>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 xml:space="preserve">（6）监狱企业视同小型、微型企业，监狱企业投标的提供由省级以上监狱管理局、戒毒管理局(含新疆生产建设兵团)出具的属于监狱企业的证明文件，不再提供《中小微企业声明函》。 </w:t>
      </w:r>
    </w:p>
    <w:p>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 xml:space="preserve">（7）残疾人福利性单位视同小型、微型企业，残疾人福利性单位属于小型、微型企业的，不重复享受政策。符合条件的残疾人福利性单位在参加政府采购活动时，应当提供《残疾人福利性单位声明函》。 </w:t>
      </w:r>
    </w:p>
    <w:p>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（8）价格扣除的依据：第（1）至（3）条提供投标货物相关认证证书复印件加盖</w:t>
      </w:r>
      <w:r>
        <w:rPr>
          <w:rFonts w:hint="eastAsia" w:ascii="宋体" w:hAnsi="宋体" w:cs="宋体"/>
          <w:sz w:val="21"/>
          <w:szCs w:val="18"/>
          <w:highlight w:val="none"/>
          <w:lang w:eastAsia="zh-CN"/>
        </w:rPr>
        <w:t>供应商</w:t>
      </w:r>
      <w:r>
        <w:rPr>
          <w:rFonts w:hint="eastAsia" w:ascii="宋体" w:hAnsi="宋体" w:cs="宋体"/>
          <w:sz w:val="21"/>
          <w:szCs w:val="18"/>
          <w:highlight w:val="none"/>
        </w:rPr>
        <w:t>公章。第（5）条提供《中小企业声明函》。第（6）条提供监狱企业的证明文件。第（7）条提供《残疾人福利性单位声明函》。</w:t>
      </w:r>
    </w:p>
    <w:p>
      <w:pPr>
        <w:spacing w:line="400" w:lineRule="exact"/>
        <w:ind w:firstLine="420" w:firstLineChars="200"/>
        <w:rPr>
          <w:color w:val="000000" w:themeColor="text1"/>
          <w:highlight w:val="none"/>
          <w14:textFill>
            <w14:solidFill>
              <w14:schemeClr w14:val="tx1"/>
            </w14:solidFill>
          </w14:textFill>
        </w:rPr>
      </w:pPr>
      <w:r>
        <w:rPr>
          <w:rFonts w:hint="eastAsia" w:ascii="宋体" w:hAnsi="宋体" w:cs="宋体"/>
          <w:sz w:val="21"/>
          <w:szCs w:val="18"/>
          <w:highlight w:val="none"/>
        </w:rPr>
        <w:t>（9）</w:t>
      </w:r>
      <w:r>
        <w:rPr>
          <w:rFonts w:hint="eastAsia" w:ascii="宋体" w:hAnsi="宋体" w:cs="宋体"/>
          <w:b/>
          <w:bCs/>
          <w:sz w:val="21"/>
          <w:szCs w:val="18"/>
          <w:highlight w:val="none"/>
        </w:rPr>
        <w:t>本项目所属行业为工业</w:t>
      </w:r>
      <w:r>
        <w:rPr>
          <w:rFonts w:hint="eastAsia" w:ascii="宋体" w:hAnsi="宋体" w:cs="宋体"/>
          <w:sz w:val="21"/>
          <w:szCs w:val="18"/>
          <w:highlight w:val="none"/>
        </w:rPr>
        <w:t>。</w:t>
      </w:r>
      <w:r>
        <w:rPr>
          <w:rFonts w:hint="eastAsia"/>
          <w:color w:val="000000" w:themeColor="text1"/>
          <w:highlight w:val="none"/>
          <w14:textFill>
            <w14:solidFill>
              <w14:schemeClr w14:val="tx1"/>
            </w14:solidFill>
          </w14:textFill>
        </w:rPr>
        <w:br w:type="page"/>
      </w:r>
    </w:p>
    <w:p>
      <w:pPr>
        <w:rPr>
          <w:color w:val="000000" w:themeColor="text1"/>
          <w:highlight w:val="none"/>
          <w14:textFill>
            <w14:solidFill>
              <w14:schemeClr w14:val="tx1"/>
            </w14:solidFill>
          </w14:textFill>
        </w:rPr>
      </w:pPr>
    </w:p>
    <w:p>
      <w:pPr>
        <w:pStyle w:val="2"/>
        <w:spacing w:before="0" w:after="0" w:line="360" w:lineRule="auto"/>
        <w:jc w:val="center"/>
        <w:rPr>
          <w:color w:val="000000" w:themeColor="text1"/>
          <w:highlight w:val="none"/>
          <w14:textFill>
            <w14:solidFill>
              <w14:schemeClr w14:val="tx1"/>
            </w14:solidFill>
          </w14:textFill>
        </w:rPr>
      </w:pPr>
      <w:bookmarkStart w:id="72" w:name="_Toc55578495"/>
      <w:r>
        <w:rPr>
          <w:rFonts w:hint="eastAsia"/>
          <w:color w:val="000000" w:themeColor="text1"/>
          <w:highlight w:val="none"/>
          <w14:textFill>
            <w14:solidFill>
              <w14:schemeClr w14:val="tx1"/>
            </w14:solidFill>
          </w14:textFill>
        </w:rPr>
        <w:t>第四部分  采购需求</w:t>
      </w:r>
      <w:bookmarkEnd w:id="72"/>
    </w:p>
    <w:p>
      <w:pPr>
        <w:keepNext w:val="0"/>
        <w:keepLines w:val="0"/>
        <w:pageBreakBefore w:val="0"/>
        <w:widowControl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sz w:val="21"/>
          <w:szCs w:val="21"/>
          <w:highlight w:val="none"/>
          <w:lang w:eastAsia="zh-CN"/>
        </w:rPr>
      </w:pPr>
      <w:bookmarkStart w:id="73" w:name="_第五部分__"/>
      <w:bookmarkEnd w:id="73"/>
      <w:bookmarkStart w:id="74" w:name="_Toc55578496"/>
      <w:r>
        <w:rPr>
          <w:rFonts w:hint="eastAsia" w:ascii="宋体" w:hAnsi="宋体" w:eastAsia="宋体" w:cs="宋体"/>
          <w:color w:val="000000"/>
          <w:sz w:val="21"/>
          <w:szCs w:val="21"/>
          <w:highlight w:val="none"/>
        </w:rPr>
        <w:t>心电监护仪技术要求</w:t>
      </w:r>
      <w:r>
        <w:rPr>
          <w:rFonts w:hint="eastAsia" w:ascii="宋体" w:hAnsi="宋体" w:eastAsia="宋体" w:cs="宋体"/>
          <w:color w:val="000000"/>
          <w:sz w:val="21"/>
          <w:szCs w:val="21"/>
          <w:highlight w:val="none"/>
          <w:lang w:eastAsia="zh-CN"/>
        </w:rPr>
        <w:t>：</w:t>
      </w:r>
    </w:p>
    <w:tbl>
      <w:tblPr>
        <w:tblStyle w:val="43"/>
        <w:tblW w:w="9098" w:type="dxa"/>
        <w:tblInd w:w="0" w:type="dxa"/>
        <w:tblLayout w:type="fixed"/>
        <w:tblCellMar>
          <w:top w:w="0" w:type="dxa"/>
          <w:left w:w="108" w:type="dxa"/>
          <w:bottom w:w="0" w:type="dxa"/>
          <w:right w:w="108" w:type="dxa"/>
        </w:tblCellMar>
      </w:tblPr>
      <w:tblGrid>
        <w:gridCol w:w="719"/>
        <w:gridCol w:w="1163"/>
        <w:gridCol w:w="6402"/>
        <w:gridCol w:w="814"/>
      </w:tblGrid>
      <w:tr>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设备</w:t>
            </w:r>
            <w:r>
              <w:rPr>
                <w:rFonts w:hint="eastAsia" w:ascii="宋体" w:hAnsi="宋体" w:eastAsia="宋体" w:cs="宋体"/>
                <w:color w:val="000000"/>
                <w:sz w:val="21"/>
                <w:szCs w:val="21"/>
                <w:highlight w:val="none"/>
              </w:rPr>
              <w:t>名称</w:t>
            </w:r>
          </w:p>
        </w:tc>
        <w:tc>
          <w:tcPr>
            <w:tcW w:w="6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技术参数标准</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r>
      <w:tr>
        <w:tblPrEx>
          <w:tblCellMar>
            <w:top w:w="0" w:type="dxa"/>
            <w:left w:w="108" w:type="dxa"/>
            <w:bottom w:w="0" w:type="dxa"/>
            <w:right w:w="108" w:type="dxa"/>
          </w:tblCellMar>
        </w:tblPrEx>
        <w:trPr>
          <w:trHeight w:val="665"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心电监护仪</w:t>
            </w:r>
          </w:p>
        </w:tc>
        <w:tc>
          <w:tcPr>
            <w:tcW w:w="6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主要技术规格：</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1.便携一体式监护仪, 整机无风扇设计，降低环境噪音干扰。</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2.★≥10寸彩色液晶触摸屏，屏幕标配电容屏非电阻屏，分辨率≥1024*600，≥6通道波形显示</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3.标配锂电池，工作时间≥4小时</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4.主机防水等级≥IPX1，支持0.75米抗跌落</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5.监护仪主机工作温度环境范围：0~40°C。</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6.标准配置可监测心电，呼吸，无创血压，血氧饱和度，脉搏和体温，适用于成人、小儿和新生儿。</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7.★采用ECG多导同步分析专利技术，保证心电监护的优异性</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8.具备智能导联脱落监测功能，个别导联脱落的情况下仍能保持监护。</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9.提供QRS阈值调节功能，为避免R波幅度较低时误报停搏报警，以及某些高T波和高P被误识别为QRS波群</w:t>
            </w:r>
            <w:r>
              <w:rPr>
                <w:rFonts w:hint="eastAsia" w:ascii="宋体" w:hAnsi="宋体" w:cs="宋体"/>
                <w:b w:val="0"/>
                <w:bCs w:val="0"/>
                <w:kern w:val="0"/>
                <w:sz w:val="21"/>
                <w:szCs w:val="21"/>
                <w:highlight w:val="none"/>
                <w:lang w:val="en-US" w:eastAsia="zh-CN"/>
              </w:rPr>
              <w:t>。</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10.心率监测范围：成人10～300bpm，小儿/新生儿：10～350bpm</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11.提供SpO2和PR的实时监测，适用于成人，小儿和新生儿。来自SpO2的PR测量范围：20-300。</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12.采用抗干扰和弱灌注血氧专利技术保证血氧监护的优异性</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13.提供手动，自动，连续、序列和整点5种测量模式</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14.配置无创血压测量，适用于成人，小儿和新生儿。无创血压成人测量范围：收缩压25~290mmH。</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15.提供动态血压分析界面，包括平均血压、白天平均血压、夜间平均血压、最高血压、最低血压和正常血压比例等，直观快速了解过去24小时患者血压变化和分布情况。</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16.提供呼吸测量，适用于成人、小儿和新生儿。呼吸测量范围：1-200 rpm</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17.具有三级声光报警，参数报警级别可调。</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18.支持自主培训功能，通过动画与图文结合，对医护团队介绍监护仪常用功能</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19.★支持所有监测参数报警限一键自动设置功能，满足医护团队快速管理患者报警需求</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20.具有图形化技术报警指示功能，帮助医护团队快速识别报警来源。</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21.具备监护模式、待机模式，演示模式和夜间模式,可选隐私模式。</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22.支持格拉斯哥昏迷评分（GCS）功能</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23.动态趋势界面可支持统计1-24小时心律失常报警、参数超限报警信息，并对超限报警区间的波形进行高亮显示，帮助医护人员快速识别异常趋势信息。</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24.支持RJ45接口进行有线网络通信，和除颤监护仪一起联网通信到中心监护系统</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25.支持监护仪的系统日志向U盘设备的导出功能，日志包括：系统状态、异常和技术报警等，满足设备管理的日常维护需求。</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26.★主机集成附件收纳箱，支持将心电、血氧和无创血压等导联线附件进行收纳放置，方便监护仪设备的高效管理和转移。</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27.支持它床观察，可同时监视≥10它床的报警信息。</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28.配备台车。</w:t>
            </w:r>
          </w:p>
          <w:p>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bCs/>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29.配置原厂3套血压计袖带、3个血氧指夹</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48台</w:t>
            </w:r>
          </w:p>
        </w:tc>
      </w:tr>
    </w:tbl>
    <w:p>
      <w:pPr>
        <w:rPr>
          <w:rFonts w:hint="eastAsia" w:ascii="宋体" w:hAnsi="宋体" w:cs="宋体"/>
          <w:b/>
          <w:bCs/>
          <w:color w:val="000000"/>
          <w:sz w:val="24"/>
          <w:szCs w:val="24"/>
          <w:highlight w:val="none"/>
        </w:rPr>
      </w:pPr>
    </w:p>
    <w:p>
      <w:pPr>
        <w:rPr>
          <w:rFonts w:hint="eastAsia" w:ascii="宋体" w:hAnsi="宋体" w:cs="宋体"/>
          <w:b/>
          <w:bCs/>
          <w:color w:val="000000"/>
          <w:sz w:val="24"/>
          <w:szCs w:val="24"/>
          <w:highlight w:val="none"/>
        </w:rPr>
      </w:pPr>
    </w:p>
    <w:p>
      <w:pPr>
        <w:rPr>
          <w:rFonts w:hint="eastAsia" w:ascii="宋体" w:hAnsi="宋体" w:cs="宋体"/>
          <w:b/>
          <w:bCs/>
          <w:color w:val="000000"/>
          <w:sz w:val="24"/>
          <w:szCs w:val="24"/>
          <w:highlight w:val="none"/>
        </w:rPr>
      </w:pPr>
    </w:p>
    <w:p>
      <w:pPr>
        <w:rPr>
          <w:sz w:val="24"/>
          <w:szCs w:val="24"/>
          <w:highlight w:val="none"/>
        </w:rPr>
      </w:pPr>
      <w:r>
        <w:rPr>
          <w:rFonts w:hint="eastAsia" w:ascii="宋体" w:hAnsi="宋体" w:cs="宋体"/>
          <w:b/>
          <w:bCs/>
          <w:color w:val="000000"/>
          <w:sz w:val="24"/>
          <w:szCs w:val="24"/>
          <w:highlight w:val="none"/>
          <w:lang w:val="en-US" w:eastAsia="zh-CN"/>
        </w:rPr>
        <w:t>心电监护仪-</w:t>
      </w:r>
      <w:r>
        <w:rPr>
          <w:rFonts w:hint="eastAsia"/>
          <w:b/>
          <w:bCs/>
          <w:sz w:val="24"/>
          <w:szCs w:val="24"/>
          <w:highlight w:val="none"/>
        </w:rPr>
        <w:t>商务服务要求（包括但不限于以下内容）</w:t>
      </w:r>
    </w:p>
    <w:tbl>
      <w:tblPr>
        <w:tblStyle w:val="43"/>
        <w:tblW w:w="9459" w:type="dxa"/>
        <w:tblInd w:w="-12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67"/>
        <w:gridCol w:w="86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1" w:hRule="atLeast"/>
        </w:trPr>
        <w:tc>
          <w:tcPr>
            <w:tcW w:w="767" w:type="dxa"/>
            <w:shd w:val="clear" w:color="auto" w:fill="auto"/>
            <w:vAlign w:val="center"/>
          </w:tcPr>
          <w:p>
            <w:pPr>
              <w:keepNext w:val="0"/>
              <w:keepLines w:val="0"/>
              <w:pageBreakBefore w:val="0"/>
              <w:kinsoku/>
              <w:wordWrap/>
              <w:overflowPunct/>
              <w:topLinePunct w:val="0"/>
              <w:autoSpaceDN/>
              <w:bidi w:val="0"/>
              <w:spacing w:line="340" w:lineRule="exact"/>
              <w:jc w:val="both"/>
              <w:rPr>
                <w:rFonts w:hint="eastAsia" w:ascii="宋体" w:hAnsi="宋体" w:eastAsia="宋体" w:cs="宋体"/>
                <w:b/>
                <w:kern w:val="2"/>
                <w:sz w:val="21"/>
                <w:szCs w:val="21"/>
                <w:highlight w:val="none"/>
              </w:rPr>
            </w:pPr>
            <w:r>
              <w:rPr>
                <w:rFonts w:hint="eastAsia" w:ascii="宋体" w:hAnsi="宋体" w:eastAsia="宋体" w:cs="宋体"/>
                <w:b/>
                <w:sz w:val="21"/>
                <w:szCs w:val="21"/>
                <w:highlight w:val="none"/>
              </w:rPr>
              <w:t>序号</w:t>
            </w:r>
          </w:p>
        </w:tc>
        <w:tc>
          <w:tcPr>
            <w:tcW w:w="8692" w:type="dxa"/>
            <w:tcBorders>
              <w:right w:val="single" w:color="auto" w:sz="4" w:space="0"/>
            </w:tcBorders>
            <w:shd w:val="clear" w:color="auto" w:fill="auto"/>
            <w:vAlign w:val="center"/>
          </w:tcPr>
          <w:p>
            <w:pPr>
              <w:keepNext w:val="0"/>
              <w:keepLines w:val="0"/>
              <w:pageBreakBefore w:val="0"/>
              <w:kinsoku/>
              <w:wordWrap/>
              <w:overflowPunct/>
              <w:topLinePunct w:val="0"/>
              <w:autoSpaceDN/>
              <w:bidi w:val="0"/>
              <w:spacing w:line="340" w:lineRule="exact"/>
              <w:jc w:val="center"/>
              <w:rPr>
                <w:rFonts w:hint="eastAsia" w:ascii="宋体" w:hAnsi="宋体" w:eastAsia="宋体" w:cs="宋体"/>
                <w:b/>
                <w:kern w:val="2"/>
                <w:sz w:val="21"/>
                <w:szCs w:val="21"/>
                <w:highlight w:val="none"/>
              </w:rPr>
            </w:pPr>
            <w:r>
              <w:rPr>
                <w:rFonts w:hint="eastAsia" w:ascii="宋体" w:hAnsi="宋体" w:eastAsia="宋体" w:cs="宋体"/>
                <w:b/>
                <w:sz w:val="21"/>
                <w:szCs w:val="21"/>
                <w:highlight w:val="none"/>
              </w:rPr>
              <w:t>招标要求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7"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整机（含配件）原厂保修自安装验收合格次日起≥8年，设备过保后，厂家承诺免费上门，先维修后付款。第三方配置保修自安装验收合格次日起≥3年。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7"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8692" w:type="dxa"/>
            <w:tcBorders>
              <w:right w:val="single" w:color="auto" w:sz="4" w:space="0"/>
            </w:tcBorders>
            <w:vAlign w:val="center"/>
          </w:tcPr>
          <w:p>
            <w:pPr>
              <w:keepNext w:val="0"/>
              <w:keepLines w:val="0"/>
              <w:pageBreakBefore w:val="0"/>
              <w:widowControl w:val="0"/>
              <w:kinsoku/>
              <w:wordWrap/>
              <w:overflowPunct/>
              <w:topLinePunct w:val="0"/>
              <w:autoSpaceDN/>
              <w:bidi w:val="0"/>
              <w:adjustRightInd w:val="0"/>
              <w:snapToGrid w:val="0"/>
              <w:spacing w:line="340" w:lineRule="exact"/>
              <w:jc w:val="both"/>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维修响应时间≤2小时，24小时内上门维修（包括节假日），提供24小时维修电话，提供消耗品和保修期后常用零配件的供应价格与折扣。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6"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p>
        </w:tc>
        <w:tc>
          <w:tcPr>
            <w:tcW w:w="8692" w:type="dxa"/>
            <w:tcBorders>
              <w:right w:val="single" w:color="auto" w:sz="4" w:space="0"/>
            </w:tcBorders>
            <w:vAlign w:val="center"/>
          </w:tcPr>
          <w:p>
            <w:pPr>
              <w:keepNext w:val="0"/>
              <w:keepLines w:val="0"/>
              <w:pageBreakBefore w:val="0"/>
              <w:kinsoku/>
              <w:wordWrap/>
              <w:overflowPunct/>
              <w:topLinePunct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保修期内免费提供至少每年2次的上门维修保养服务。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2"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免费提供中文用户使用手册和维修手册各2套（电子版和纸质版各1套），操作规程电子版和塑封版各一份。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5</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详细列出功能软件和硬件，如不作特殊说明，则视同包含该型号产品厂方最新发布的所有功能软件和所有选配件。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6</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货物使用期限：自货物生产日期起，不少于5年；提供铭牌标识、照片或说明书相关页面复印件；货物无使用期限的，提供说明。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6"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货物生产日期：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7.1</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卖方提供的所有货物必须是全新未使用过的货物；货物生产日期（以产品标签、标识为准）：货物到达医院指定地点之日前6个月内（国产产品）。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64"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7.2</w:t>
            </w:r>
          </w:p>
        </w:tc>
        <w:tc>
          <w:tcPr>
            <w:tcW w:w="8692" w:type="dxa"/>
            <w:tcBorders>
              <w:right w:val="single" w:color="auto" w:sz="4" w:space="0"/>
            </w:tcBorders>
            <w:vAlign w:val="center"/>
          </w:tcPr>
          <w:p>
            <w:pPr>
              <w:keepNext w:val="0"/>
              <w:keepLines w:val="0"/>
              <w:pageBreakBefore w:val="0"/>
              <w:widowControl w:val="0"/>
              <w:kinsoku/>
              <w:wordWrap/>
              <w:overflowPunct/>
              <w:topLinePunct w:val="0"/>
              <w:autoSpaceDN/>
              <w:bidi w:val="0"/>
              <w:adjustRightInd w:val="0"/>
              <w:snapToGrid w:val="0"/>
              <w:spacing w:line="340" w:lineRule="exact"/>
              <w:jc w:val="both"/>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货物生产日期不满足合同要求的，则构成违约，卖方须向买方支付违约款。违约款金额=违约货物分项价格×货物生产日期违约超出时长/货物使用期限（①货物生产日期违约超出时长不足1个月的，按月计；②货物使用期限10年及以上的，按10年计；③货物未标注使用年限的，按5年计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cyan"/>
                <w:lang w:val="en-US" w:eastAsia="zh-CN"/>
              </w:rPr>
            </w:pPr>
            <w:r>
              <w:rPr>
                <w:rFonts w:hint="eastAsia" w:ascii="宋体" w:hAnsi="宋体" w:eastAsia="宋体" w:cs="宋体"/>
                <w:b w:val="0"/>
                <w:bCs w:val="0"/>
                <w:kern w:val="0"/>
                <w:sz w:val="21"/>
                <w:szCs w:val="21"/>
                <w:highlight w:val="cyan"/>
                <w:lang w:val="en-US" w:eastAsia="zh-CN"/>
              </w:rPr>
              <w:t>★</w:t>
            </w:r>
            <w:r>
              <w:rPr>
                <w:rFonts w:hint="eastAsia" w:ascii="宋体" w:hAnsi="宋体" w:eastAsia="宋体" w:cs="宋体"/>
                <w:bCs/>
                <w:sz w:val="21"/>
                <w:szCs w:val="21"/>
                <w:highlight w:val="cyan"/>
                <w:lang w:val="en-US" w:eastAsia="zh-CN"/>
              </w:rPr>
              <w:t>8</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cyan"/>
                <w:lang w:eastAsia="zh-CN"/>
              </w:rPr>
            </w:pPr>
            <w:r>
              <w:rPr>
                <w:rFonts w:hint="eastAsia" w:ascii="宋体" w:hAnsi="宋体" w:eastAsia="宋体" w:cs="宋体"/>
                <w:bCs/>
                <w:sz w:val="21"/>
                <w:szCs w:val="21"/>
                <w:highlight w:val="cyan"/>
                <w:lang w:eastAsia="zh-CN"/>
              </w:rPr>
              <w:t>其他要求：若设备有信息系统接口，则全部免费开放。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9</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提供所投设备的投标设备配套、总体质量性能说明并提供相关证明材料（如设备彩页；检测报告；原厂技术参数表；专利证明；系统功能截图等）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3"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10</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运行、维修成本：提供全保、人工保等各种保修方案及价格，设备配件价格，维修服务费，消耗品或易耗品的使用周期、价格等</w:t>
            </w:r>
          </w:p>
        </w:tc>
      </w:tr>
    </w:tbl>
    <w:p>
      <w:pPr>
        <w:rPr>
          <w:rFonts w:hint="eastAsia" w:eastAsia="宋体"/>
          <w:color w:val="000000" w:themeColor="text1"/>
          <w:highlight w:val="none"/>
          <w:lang w:eastAsia="zh-CN"/>
          <w14:textFill>
            <w14:solidFill>
              <w14:schemeClr w14:val="tx1"/>
            </w14:solidFill>
          </w14:textFill>
        </w:rPr>
      </w:pPr>
    </w:p>
    <w:p>
      <w:pPr>
        <w:rPr>
          <w:rFonts w:hint="eastAsia" w:eastAsia="宋体"/>
          <w:color w:val="000000" w:themeColor="text1"/>
          <w:highlight w:val="none"/>
          <w:lang w:eastAsia="zh-CN"/>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spacing w:before="0" w:after="0" w:line="360" w:lineRule="auto"/>
        <w:jc w:val="cente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sz w:val="21"/>
          <w:szCs w:val="21"/>
          <w:highlight w:val="none"/>
          <w:lang w:eastAsia="zh-CN"/>
        </w:rPr>
      </w:pPr>
      <w:r>
        <w:rPr>
          <w:rFonts w:hint="eastAsia" w:ascii="宋体" w:hAnsi="宋体"/>
          <w:color w:val="000000" w:themeColor="text1"/>
          <w:sz w:val="21"/>
          <w:szCs w:val="21"/>
          <w:highlight w:val="none"/>
          <w14:textFill>
            <w14:solidFill>
              <w14:schemeClr w14:val="tx1"/>
            </w14:solidFill>
          </w14:textFill>
        </w:rPr>
        <w:t>麻醉监护仪-1</w:t>
      </w:r>
      <w:r>
        <w:rPr>
          <w:rFonts w:hint="eastAsia" w:ascii="宋体" w:hAnsi="宋体" w:eastAsia="宋体" w:cs="宋体"/>
          <w:color w:val="000000"/>
          <w:sz w:val="21"/>
          <w:szCs w:val="21"/>
          <w:highlight w:val="none"/>
        </w:rPr>
        <w:t>技术要求</w:t>
      </w:r>
      <w:r>
        <w:rPr>
          <w:rFonts w:hint="eastAsia" w:ascii="宋体" w:hAnsi="宋体" w:eastAsia="宋体" w:cs="宋体"/>
          <w:color w:val="000000"/>
          <w:sz w:val="21"/>
          <w:szCs w:val="21"/>
          <w:highlight w:val="none"/>
          <w:lang w:eastAsia="zh-CN"/>
        </w:rPr>
        <w:t>：</w:t>
      </w:r>
    </w:p>
    <w:tbl>
      <w:tblPr>
        <w:tblStyle w:val="43"/>
        <w:tblW w:w="9098" w:type="dxa"/>
        <w:tblInd w:w="0" w:type="dxa"/>
        <w:tblLayout w:type="fixed"/>
        <w:tblCellMar>
          <w:top w:w="0" w:type="dxa"/>
          <w:left w:w="108" w:type="dxa"/>
          <w:bottom w:w="0" w:type="dxa"/>
          <w:right w:w="108" w:type="dxa"/>
        </w:tblCellMar>
      </w:tblPr>
      <w:tblGrid>
        <w:gridCol w:w="778"/>
        <w:gridCol w:w="1080"/>
        <w:gridCol w:w="6426"/>
        <w:gridCol w:w="814"/>
      </w:tblGrid>
      <w:tr>
        <w:tblPrEx>
          <w:tblCellMar>
            <w:top w:w="0" w:type="dxa"/>
            <w:left w:w="108" w:type="dxa"/>
            <w:bottom w:w="0" w:type="dxa"/>
            <w:right w:w="108" w:type="dxa"/>
          </w:tblCellMar>
        </w:tblPrEx>
        <w:trPr>
          <w:trHeight w:val="6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设备</w:t>
            </w:r>
            <w:r>
              <w:rPr>
                <w:rFonts w:hint="eastAsia" w:ascii="宋体" w:hAnsi="宋体" w:eastAsia="宋体" w:cs="宋体"/>
                <w:color w:val="000000"/>
                <w:sz w:val="21"/>
                <w:szCs w:val="21"/>
                <w:highlight w:val="none"/>
              </w:rPr>
              <w:t>名称</w:t>
            </w:r>
          </w:p>
        </w:tc>
        <w:tc>
          <w:tcPr>
            <w:tcW w:w="6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技术参数标准</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r>
      <w:tr>
        <w:tblPrEx>
          <w:tblCellMar>
            <w:top w:w="0" w:type="dxa"/>
            <w:left w:w="108" w:type="dxa"/>
            <w:bottom w:w="0" w:type="dxa"/>
            <w:right w:w="108" w:type="dxa"/>
          </w:tblCellMar>
        </w:tblPrEx>
        <w:trPr>
          <w:trHeight w:val="665"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lang w:eastAsia="zh-CN"/>
              </w:rPr>
            </w:pPr>
            <w:r>
              <w:rPr>
                <w:rFonts w:hint="eastAsia" w:ascii="宋体" w:hAnsi="宋体"/>
                <w:color w:val="000000" w:themeColor="text1"/>
                <w:sz w:val="21"/>
                <w:szCs w:val="21"/>
                <w:highlight w:val="none"/>
                <w:lang w:eastAsia="zh-CN"/>
                <w14:textFill>
                  <w14:solidFill>
                    <w14:schemeClr w14:val="tx1"/>
                  </w14:solidFill>
                </w14:textFill>
              </w:rPr>
              <w:t>麻醉监护仪-1</w:t>
            </w:r>
          </w:p>
        </w:tc>
        <w:tc>
          <w:tcPr>
            <w:tcW w:w="6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主要技术规格：</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1.模块化插件式床边监护仪，主机、显示屏和插件槽一体化设计，主机模块插槽数≥6个</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2.≥17.5英寸彩色电容触摸屏，高分辨率≥1920×1080像素，≥10通道显示，显示屏亮度自动调节，屏幕支持手势滑动操作</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3.可内置高能锂电池，提供≥2块锂电池，供电时间≥2小时 </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4.★配置≥4个USB接口，支持连接鼠标、键盘、条码扫描枪和遥控器等USB设备</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 xml:space="preserve">5.监护仪主机工作温度环境范围：0～40°C </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6.基本功能模块支持心电，呼吸，心率，无创血压，血氧饱和度，脉搏，双通道体温和双通道有创血压的同时监测（支持E7CO2）</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7.★基础功能模块基础上，标配转运监护仪，支持从监护仪拔出后作为一个独立的监护仪支持病人的无缝转移，插入监护仪模块插槽作为主机模块，具有独立操作显示屏，屏幕尺寸≥5英寸，内置锂电池供电≥4小时，无风扇设计</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8.转运监护仪可以实现插入监护仪主机的任意插槽</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9.ECG支持3/5导心电监测，可选配6/12导联心电监测</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10.支持室上性心动过速和SVCs/min等室上性心律失常分析</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11.心电支持≥2个分析导联实时动态同步分析，并非多个导联波形同屏显示及12导联静息分析</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 xml:space="preserve">12.提供ST段分析功能，适用于成人，小儿和新生儿，支持在专门的窗口中分组显示心脏前壁，下壁和侧壁的ST实时片段和参考片段 </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13.支持RR呼吸率测量，测量范围：1～200rpm</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14.QT和QTc实时监测参数测量范围：200～800 ms</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15.无创血压提供手动、自动间隔、连续、序列、整点五种测量模式</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16.NIBP 成人病人类型收缩压测量：25～290mmHg</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17.配置指套式血氧探头，支持浸泡清洁与消毒，防水等级IPX7</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18.提供双通道体温监测功能， 提供一个体表探头。</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19.提供有创血压监测模块电缆线一条。</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20.支持双通道有创压IBP监测，支持升级多达8通道有创压监测</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21.有创压适用于成人，小儿和新生儿，有创压测量范围：-50～350mmHg</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22.支持多道IBP波形叠加显示，满足临床对比查看和节约显示空间的需求</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23.标配旁流EtCO2监测模块，水槽要求易用快速更换</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24.标配肌松NMT模块，采用三轴加速度传感器技术</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25.标配麻醉深度BIS，支持双频指数（BIS），肌电活动（EMG）,抑制比（SR），频谱边缘频率（SEF）等参数的监测，实现患者麻醉深度的监测。</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26.★标配微创连续血流动力学监测模块，非无创电阻抗法，具有更好的监测准确性，可采用PiCCO或类似技术，实现CCO连续心排量、SVV每搏变异量等血液动力学监测参数，直观观察病人的变化情况</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27.标配RM模块，进行RM呼吸力学监测，提供≥15项呼吸力学参数指标，可监测包括： PIF峰值吸气流量，PEF峰值呼气流量， WOB病人呼吸功，NIF负吸入压力，RSBI浅呼吸指数</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28.标配AG监测模块，满足5种麻醉气体，笑气，CO2和O2的监测，提供MAC值的实时监测和显示。</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29.具有图形化报警指示功能，帮助医护团队快速识别报警来源</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30.具有报警升级功能，当参数报警经过一定的时间未被处理或伴发了其他报警，就会升级到更高一个级别</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31.具有特殊报警音，当监护仪在病人发生致命性参数报警时，发出特殊的报警音进行提示病人处于危急状态</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32.标配具备血流动力学，药物计算，氧合计算，通气计算和肾功能计算功能</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33.支持≥100小时趋势表和趋势图回顾，最小分辨率1分钟</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34.支持≥800条事件回顾。每条报警事件至少能够存储32秒三道相关波形</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35.具备≥40小时全息波形的存储与回顾功能</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36.支持≥100小时（分辨率1分钟）ST模板存储与回顾</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4台</w:t>
            </w:r>
          </w:p>
        </w:tc>
      </w:tr>
    </w:tbl>
    <w:p>
      <w:pPr>
        <w:rPr>
          <w:rFonts w:hint="eastAsia" w:ascii="宋体" w:hAnsi="宋体" w:cs="宋体"/>
          <w:b/>
          <w:bCs/>
          <w:color w:val="000000"/>
          <w:sz w:val="24"/>
          <w:szCs w:val="24"/>
          <w:highlight w:val="none"/>
        </w:rPr>
      </w:pPr>
    </w:p>
    <w:p>
      <w:pPr>
        <w:rPr>
          <w:rFonts w:hint="eastAsia" w:ascii="宋体" w:hAnsi="宋体" w:cs="宋体"/>
          <w:b/>
          <w:bCs/>
          <w:color w:val="000000"/>
          <w:sz w:val="24"/>
          <w:szCs w:val="24"/>
          <w:highlight w:val="none"/>
        </w:rPr>
      </w:pPr>
    </w:p>
    <w:p>
      <w:pPr>
        <w:rPr>
          <w:sz w:val="24"/>
          <w:szCs w:val="24"/>
          <w:highlight w:val="none"/>
        </w:rPr>
      </w:pPr>
      <w:r>
        <w:rPr>
          <w:rFonts w:hint="eastAsia" w:ascii="宋体" w:hAnsi="宋体" w:cs="宋体"/>
          <w:b/>
          <w:bCs/>
          <w:color w:val="000000"/>
          <w:sz w:val="24"/>
          <w:szCs w:val="24"/>
          <w:highlight w:val="none"/>
          <w:lang w:val="en-US" w:eastAsia="zh-CN"/>
        </w:rPr>
        <w:t>麻醉监护仪-1-</w:t>
      </w:r>
      <w:r>
        <w:rPr>
          <w:rFonts w:hint="eastAsia"/>
          <w:b/>
          <w:bCs/>
          <w:sz w:val="24"/>
          <w:szCs w:val="24"/>
          <w:highlight w:val="none"/>
        </w:rPr>
        <w:t>商务服务要求（包括但不限于以下内容）</w:t>
      </w:r>
    </w:p>
    <w:tbl>
      <w:tblPr>
        <w:tblStyle w:val="43"/>
        <w:tblW w:w="9459" w:type="dxa"/>
        <w:tblInd w:w="-12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67"/>
        <w:gridCol w:w="86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1" w:hRule="atLeast"/>
        </w:trPr>
        <w:tc>
          <w:tcPr>
            <w:tcW w:w="767" w:type="dxa"/>
            <w:shd w:val="clear" w:color="auto" w:fill="auto"/>
            <w:vAlign w:val="center"/>
          </w:tcPr>
          <w:p>
            <w:pPr>
              <w:keepNext w:val="0"/>
              <w:keepLines w:val="0"/>
              <w:pageBreakBefore w:val="0"/>
              <w:kinsoku/>
              <w:wordWrap/>
              <w:overflowPunct/>
              <w:topLinePunct w:val="0"/>
              <w:autoSpaceDN/>
              <w:bidi w:val="0"/>
              <w:spacing w:line="340" w:lineRule="exact"/>
              <w:jc w:val="both"/>
              <w:rPr>
                <w:rFonts w:hint="eastAsia" w:ascii="宋体" w:hAnsi="宋体" w:eastAsia="宋体" w:cs="宋体"/>
                <w:b/>
                <w:kern w:val="2"/>
                <w:sz w:val="21"/>
                <w:szCs w:val="21"/>
                <w:highlight w:val="none"/>
              </w:rPr>
            </w:pPr>
            <w:r>
              <w:rPr>
                <w:rFonts w:hint="eastAsia" w:ascii="宋体" w:hAnsi="宋体" w:eastAsia="宋体" w:cs="宋体"/>
                <w:b/>
                <w:sz w:val="21"/>
                <w:szCs w:val="21"/>
                <w:highlight w:val="none"/>
              </w:rPr>
              <w:t>序号</w:t>
            </w:r>
          </w:p>
        </w:tc>
        <w:tc>
          <w:tcPr>
            <w:tcW w:w="8692" w:type="dxa"/>
            <w:tcBorders>
              <w:right w:val="single" w:color="auto" w:sz="4" w:space="0"/>
            </w:tcBorders>
            <w:shd w:val="clear" w:color="auto" w:fill="auto"/>
            <w:vAlign w:val="center"/>
          </w:tcPr>
          <w:p>
            <w:pPr>
              <w:keepNext w:val="0"/>
              <w:keepLines w:val="0"/>
              <w:pageBreakBefore w:val="0"/>
              <w:kinsoku/>
              <w:wordWrap/>
              <w:overflowPunct/>
              <w:topLinePunct w:val="0"/>
              <w:autoSpaceDN/>
              <w:bidi w:val="0"/>
              <w:spacing w:line="340" w:lineRule="exact"/>
              <w:jc w:val="center"/>
              <w:rPr>
                <w:rFonts w:hint="eastAsia" w:ascii="宋体" w:hAnsi="宋体" w:eastAsia="宋体" w:cs="宋体"/>
                <w:b/>
                <w:kern w:val="2"/>
                <w:sz w:val="21"/>
                <w:szCs w:val="21"/>
                <w:highlight w:val="none"/>
              </w:rPr>
            </w:pPr>
            <w:r>
              <w:rPr>
                <w:rFonts w:hint="eastAsia" w:ascii="宋体" w:hAnsi="宋体" w:eastAsia="宋体" w:cs="宋体"/>
                <w:b/>
                <w:sz w:val="21"/>
                <w:szCs w:val="21"/>
                <w:highlight w:val="none"/>
              </w:rPr>
              <w:t>招标要求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7"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整机（含配件）原厂保修自安装验收合格次日起≥8年，设备过保后，厂家承诺免费上门，先维修后付款。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7"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8692" w:type="dxa"/>
            <w:tcBorders>
              <w:right w:val="single" w:color="auto" w:sz="4" w:space="0"/>
            </w:tcBorders>
            <w:vAlign w:val="center"/>
          </w:tcPr>
          <w:p>
            <w:pPr>
              <w:keepNext w:val="0"/>
              <w:keepLines w:val="0"/>
              <w:pageBreakBefore w:val="0"/>
              <w:widowControl w:val="0"/>
              <w:kinsoku/>
              <w:wordWrap/>
              <w:overflowPunct/>
              <w:topLinePunct w:val="0"/>
              <w:autoSpaceDN/>
              <w:bidi w:val="0"/>
              <w:adjustRightInd w:val="0"/>
              <w:snapToGrid w:val="0"/>
              <w:spacing w:line="340" w:lineRule="exact"/>
              <w:jc w:val="both"/>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维修响应时间≤2小时，24小时内上门维修（包括节假日），提供24小时维修电话，提供消耗品和保修期后常用零配件的供应价格与折扣。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6"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p>
        </w:tc>
        <w:tc>
          <w:tcPr>
            <w:tcW w:w="8692" w:type="dxa"/>
            <w:tcBorders>
              <w:right w:val="single" w:color="auto" w:sz="4" w:space="0"/>
            </w:tcBorders>
            <w:vAlign w:val="center"/>
          </w:tcPr>
          <w:p>
            <w:pPr>
              <w:keepNext w:val="0"/>
              <w:keepLines w:val="0"/>
              <w:pageBreakBefore w:val="0"/>
              <w:kinsoku/>
              <w:wordWrap/>
              <w:overflowPunct/>
              <w:topLinePunct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保修期内免费提供至少每年2次的上门维修保养服务。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2"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免费提供中文用户使用手册和维修手册各2套（电子版和纸质版各1套），操作规程电子版和塑封版各一份。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5</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详细列出功能软件和硬件，如不作特殊说明，则视同包含该型号产品厂方最新发布的所有功能软件和所有选配件。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6</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货物使用期限：自货物生产日期起，不少于5年；提供铭牌标识、照片或说明书相关页面复印件；货物无使用期限的，提供说明。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6"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货物生产日期：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7.1</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卖方提供的所有货物必须是全新未使用过的货物；货物生产日期（以产品标签、标识为准）：货物到达医院指定地点之日前6个月内（国产产品）。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64"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7.2</w:t>
            </w:r>
          </w:p>
        </w:tc>
        <w:tc>
          <w:tcPr>
            <w:tcW w:w="8692" w:type="dxa"/>
            <w:tcBorders>
              <w:right w:val="single" w:color="auto" w:sz="4" w:space="0"/>
            </w:tcBorders>
            <w:vAlign w:val="center"/>
          </w:tcPr>
          <w:p>
            <w:pPr>
              <w:keepNext w:val="0"/>
              <w:keepLines w:val="0"/>
              <w:pageBreakBefore w:val="0"/>
              <w:widowControl w:val="0"/>
              <w:kinsoku/>
              <w:wordWrap/>
              <w:overflowPunct/>
              <w:topLinePunct w:val="0"/>
              <w:autoSpaceDN/>
              <w:bidi w:val="0"/>
              <w:adjustRightInd w:val="0"/>
              <w:snapToGrid w:val="0"/>
              <w:spacing w:line="340" w:lineRule="exact"/>
              <w:jc w:val="both"/>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货物生产日期不满足合同要求的，则构成违约，卖方须向买方支付违约款。违约款金额=违约货物分项价格×货物生产日期违约超出时长/货物使用期限（①货物生产日期违约超出时长不足1个月的，按月计；②货物使用期限10年及以上的，按10年计；③货物未标注使用年限的，按5年计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 w:val="0"/>
                <w:bCs w:val="0"/>
                <w:kern w:val="0"/>
                <w:sz w:val="21"/>
                <w:szCs w:val="21"/>
                <w:highlight w:val="cyan"/>
                <w:lang w:val="en-US" w:eastAsia="zh-CN"/>
              </w:rPr>
              <w:t>★</w:t>
            </w:r>
            <w:r>
              <w:rPr>
                <w:rFonts w:hint="eastAsia" w:ascii="宋体" w:hAnsi="宋体" w:eastAsia="宋体" w:cs="宋体"/>
                <w:bCs/>
                <w:sz w:val="21"/>
                <w:szCs w:val="21"/>
                <w:highlight w:val="none"/>
                <w:lang w:val="en-US" w:eastAsia="zh-CN"/>
              </w:rPr>
              <w:t>8</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其他要求：若设备有信息系统接口，则全部免费开放。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9</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提供所投设备的投标设备配套、总体质量性能说明并提供相关证明材料（如设备彩页；检测报告；原厂技术参数表；专利证明；系统功能截图等）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3"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10</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运行、维修成本：提供全保、人工保等各种保修方案及价格，设备配件价格，维修服务费，消耗品或易耗品的使用周期、价格等</w:t>
            </w:r>
          </w:p>
        </w:tc>
      </w:tr>
    </w:tbl>
    <w:p>
      <w:pPr>
        <w:pStyle w:val="2"/>
        <w:spacing w:before="0" w:after="0" w:line="360" w:lineRule="auto"/>
        <w:jc w:val="cente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sz w:val="21"/>
          <w:szCs w:val="21"/>
          <w:highlight w:val="none"/>
          <w:lang w:eastAsia="zh-CN"/>
        </w:rPr>
      </w:pPr>
      <w:r>
        <w:rPr>
          <w:rFonts w:hint="eastAsia" w:ascii="宋体" w:hAnsi="宋体"/>
          <w:color w:val="000000" w:themeColor="text1"/>
          <w:sz w:val="21"/>
          <w:szCs w:val="21"/>
          <w:highlight w:val="none"/>
          <w14:textFill>
            <w14:solidFill>
              <w14:schemeClr w14:val="tx1"/>
            </w14:solidFill>
          </w14:textFill>
        </w:rPr>
        <w:t>麻醉监护仪-</w:t>
      </w:r>
      <w:r>
        <w:rPr>
          <w:rFonts w:hint="eastAsia" w:ascii="宋体" w:hAnsi="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sz w:val="21"/>
          <w:szCs w:val="21"/>
          <w:highlight w:val="none"/>
        </w:rPr>
        <w:t>技术要求</w:t>
      </w:r>
      <w:r>
        <w:rPr>
          <w:rFonts w:hint="eastAsia" w:ascii="宋体" w:hAnsi="宋体" w:eastAsia="宋体" w:cs="宋体"/>
          <w:color w:val="000000"/>
          <w:sz w:val="21"/>
          <w:szCs w:val="21"/>
          <w:highlight w:val="none"/>
          <w:lang w:eastAsia="zh-CN"/>
        </w:rPr>
        <w:t>：</w:t>
      </w:r>
    </w:p>
    <w:tbl>
      <w:tblPr>
        <w:tblStyle w:val="43"/>
        <w:tblW w:w="9098" w:type="dxa"/>
        <w:tblInd w:w="0" w:type="dxa"/>
        <w:tblLayout w:type="fixed"/>
        <w:tblCellMar>
          <w:top w:w="0" w:type="dxa"/>
          <w:left w:w="108" w:type="dxa"/>
          <w:bottom w:w="0" w:type="dxa"/>
          <w:right w:w="108" w:type="dxa"/>
        </w:tblCellMar>
      </w:tblPr>
      <w:tblGrid>
        <w:gridCol w:w="778"/>
        <w:gridCol w:w="1080"/>
        <w:gridCol w:w="6426"/>
        <w:gridCol w:w="814"/>
      </w:tblGrid>
      <w:tr>
        <w:tblPrEx>
          <w:tblCellMar>
            <w:top w:w="0" w:type="dxa"/>
            <w:left w:w="108" w:type="dxa"/>
            <w:bottom w:w="0" w:type="dxa"/>
            <w:right w:w="108" w:type="dxa"/>
          </w:tblCellMar>
        </w:tblPrEx>
        <w:trPr>
          <w:trHeight w:val="6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设备</w:t>
            </w:r>
            <w:r>
              <w:rPr>
                <w:rFonts w:hint="eastAsia" w:ascii="宋体" w:hAnsi="宋体" w:eastAsia="宋体" w:cs="宋体"/>
                <w:color w:val="000000"/>
                <w:sz w:val="21"/>
                <w:szCs w:val="21"/>
                <w:highlight w:val="none"/>
              </w:rPr>
              <w:t>名称</w:t>
            </w:r>
          </w:p>
        </w:tc>
        <w:tc>
          <w:tcPr>
            <w:tcW w:w="6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技术参数标准</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r>
      <w:tr>
        <w:tblPrEx>
          <w:tblCellMar>
            <w:top w:w="0" w:type="dxa"/>
            <w:left w:w="108" w:type="dxa"/>
            <w:bottom w:w="0" w:type="dxa"/>
            <w:right w:w="108" w:type="dxa"/>
          </w:tblCellMar>
        </w:tblPrEx>
        <w:trPr>
          <w:trHeight w:val="665"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lang w:eastAsia="zh-CN"/>
              </w:rPr>
            </w:pPr>
            <w:r>
              <w:rPr>
                <w:rFonts w:hint="eastAsia" w:ascii="宋体" w:hAnsi="宋体"/>
                <w:color w:val="000000" w:themeColor="text1"/>
                <w:sz w:val="21"/>
                <w:szCs w:val="21"/>
                <w:highlight w:val="none"/>
                <w:lang w:eastAsia="zh-CN"/>
                <w14:textFill>
                  <w14:solidFill>
                    <w14:schemeClr w14:val="tx1"/>
                  </w14:solidFill>
                </w14:textFill>
              </w:rPr>
              <w:t>麻醉监护仪-</w:t>
            </w:r>
            <w:r>
              <w:rPr>
                <w:rFonts w:hint="eastAsia" w:ascii="宋体" w:hAnsi="宋体"/>
                <w:color w:val="000000" w:themeColor="text1"/>
                <w:sz w:val="21"/>
                <w:szCs w:val="21"/>
                <w:highlight w:val="none"/>
                <w:lang w:val="en-US" w:eastAsia="zh-CN"/>
                <w14:textFill>
                  <w14:solidFill>
                    <w14:schemeClr w14:val="tx1"/>
                  </w14:solidFill>
                </w14:textFill>
              </w:rPr>
              <w:t>2</w:t>
            </w:r>
            <w:r>
              <w:rPr>
                <w:rFonts w:hint="eastAsia" w:ascii="宋体" w:hAnsi="宋体" w:cs="宋体"/>
                <w:b/>
                <w:bCs/>
                <w:color w:val="000000"/>
                <w:sz w:val="21"/>
                <w:szCs w:val="21"/>
                <w:highlight w:val="none"/>
                <w:lang w:val="en-US" w:eastAsia="zh-CN"/>
              </w:rPr>
              <w:t>（核心产品）</w:t>
            </w:r>
          </w:p>
        </w:tc>
        <w:tc>
          <w:tcPr>
            <w:tcW w:w="6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主要技术规格：</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1.模块化插件式床边监护仪，主机、显示屏和插件槽一体化设计，主机模块插槽数≥6个</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2.★≥17.5英寸彩色电容触摸屏，高分辨率≥1920×1080像素，≥10通道显示，显示屏亮度自动调节，屏幕支持手势滑动操作</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3.内置高能锂电池，提供≥2块高能锂电池，供电时间≥2小时 </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4.★配置≥4个USB接口，支持连接鼠标、键盘、条码扫描枪和遥控器等USB设备</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 xml:space="preserve">5.监护仪主机工作温度环境范围：0～40°C </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6.基本功能模块支持心电，呼吸，心率，无创血压，血氧饱和度，脉搏，双通道体温和双通道有创血压的同时监测</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7.ECG支持3/5导心电监测，可选配6/12导联心电监测</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8.★支持室上性心动过速和SVCs/min等室上性心律失常分析</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9.心电支持≥2个分析导联实时动态同步分析，并非多个导联波形同屏显示及12导联静息分析</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 xml:space="preserve">10.提供ST段分析功能，适用于成人，小儿和新生儿，支持在专门的窗口中分组显示心脏前壁，下壁和侧壁的ST实时片段和参考片段 </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11.支持RR呼吸率测量，测量范围：1～200rpm</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12.QT和QTc实时监测参数测量范围：200～800 ms</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13.无创血压提供手动、自动间隔、连续、序列、整点五种测量模式</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14.NIBP 成人病人类型收缩压测量：25～290mmHg</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15.配置指套式血氧探头，支持浸泡清洁与消毒，防水等级IPX7</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16.提供双通道体温监测功能， 提供一个体表探头。</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17.提供有创血压监测模块电缆线一条。</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18.具备双通道有创压IBP监测，支持升级多达8通道有创压监测</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19.有创压适用于成人，小儿和新生儿，有创压测量范围：-50～350mmHg</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20.具备多道IBP波形叠加显示，满足临床对比查看和节约显示空间的需求</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21.具备图形化报警指示功能，帮助医护团队快速识别报警来源</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22.具备特殊报警音，当监护仪在病人发生致命性参数报警时，发出特殊的报警音进行提示病人处于危急状态</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23.标配具备血流动力学，药物计算，氧合计算，通气计算和肾功能计算功能</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24.支持≥100小时趋势表和趋势图回顾，最小分辨率1分钟</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25.支持≥800条事件回顾。每条报警事件至少能够存储32秒三道相关波形</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26.具备≥40小时全息波形的存储与回顾功能</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27.支持≥100小时（分辨率1分钟）ST模板存储与回顾</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 xml:space="preserve"> 8台</w:t>
            </w:r>
          </w:p>
        </w:tc>
      </w:tr>
    </w:tbl>
    <w:p>
      <w:pPr>
        <w:rPr>
          <w:rFonts w:hint="eastAsia" w:ascii="宋体" w:hAnsi="宋体" w:cs="宋体"/>
          <w:b/>
          <w:bCs/>
          <w:color w:val="000000"/>
          <w:sz w:val="24"/>
          <w:szCs w:val="24"/>
          <w:highlight w:val="none"/>
        </w:rPr>
      </w:pPr>
    </w:p>
    <w:p>
      <w:pPr>
        <w:rPr>
          <w:rFonts w:hint="eastAsia" w:ascii="宋体" w:hAnsi="宋体" w:cs="宋体"/>
          <w:b/>
          <w:bCs/>
          <w:color w:val="000000"/>
          <w:sz w:val="24"/>
          <w:szCs w:val="24"/>
          <w:highlight w:val="none"/>
        </w:rPr>
      </w:pPr>
    </w:p>
    <w:p>
      <w:pPr>
        <w:rPr>
          <w:rFonts w:hint="eastAsia" w:ascii="宋体" w:hAnsi="宋体" w:cs="宋体"/>
          <w:b/>
          <w:bCs/>
          <w:color w:val="000000"/>
          <w:sz w:val="24"/>
          <w:szCs w:val="24"/>
          <w:highlight w:val="none"/>
        </w:rPr>
      </w:pPr>
    </w:p>
    <w:p>
      <w:pPr>
        <w:rPr>
          <w:rFonts w:hint="eastAsia" w:ascii="宋体" w:hAnsi="宋体" w:cs="宋体"/>
          <w:b/>
          <w:bCs/>
          <w:color w:val="000000"/>
          <w:sz w:val="24"/>
          <w:szCs w:val="24"/>
          <w:highlight w:val="none"/>
        </w:rPr>
      </w:pPr>
    </w:p>
    <w:p>
      <w:pPr>
        <w:rPr>
          <w:sz w:val="24"/>
          <w:szCs w:val="24"/>
          <w:highlight w:val="none"/>
        </w:rPr>
      </w:pPr>
      <w:r>
        <w:rPr>
          <w:rFonts w:hint="eastAsia" w:ascii="宋体" w:hAnsi="宋体" w:cs="宋体"/>
          <w:b/>
          <w:bCs/>
          <w:color w:val="000000"/>
          <w:sz w:val="24"/>
          <w:szCs w:val="24"/>
          <w:highlight w:val="none"/>
          <w:lang w:val="en-US" w:eastAsia="zh-CN"/>
        </w:rPr>
        <w:t>麻醉监护仪-2-</w:t>
      </w:r>
      <w:r>
        <w:rPr>
          <w:rFonts w:hint="eastAsia"/>
          <w:b/>
          <w:bCs/>
          <w:sz w:val="24"/>
          <w:szCs w:val="24"/>
          <w:highlight w:val="none"/>
        </w:rPr>
        <w:t>商务服务要求（包括但不限于以下内容）</w:t>
      </w:r>
    </w:p>
    <w:tbl>
      <w:tblPr>
        <w:tblStyle w:val="43"/>
        <w:tblW w:w="9459" w:type="dxa"/>
        <w:tblInd w:w="-12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67"/>
        <w:gridCol w:w="86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1" w:hRule="atLeast"/>
        </w:trPr>
        <w:tc>
          <w:tcPr>
            <w:tcW w:w="767" w:type="dxa"/>
            <w:shd w:val="clear" w:color="auto" w:fill="auto"/>
            <w:vAlign w:val="center"/>
          </w:tcPr>
          <w:p>
            <w:pPr>
              <w:keepNext w:val="0"/>
              <w:keepLines w:val="0"/>
              <w:pageBreakBefore w:val="0"/>
              <w:kinsoku/>
              <w:wordWrap/>
              <w:overflowPunct/>
              <w:topLinePunct w:val="0"/>
              <w:autoSpaceDN/>
              <w:bidi w:val="0"/>
              <w:spacing w:line="340" w:lineRule="exact"/>
              <w:jc w:val="both"/>
              <w:rPr>
                <w:rFonts w:hint="eastAsia" w:ascii="宋体" w:hAnsi="宋体" w:eastAsia="宋体" w:cs="宋体"/>
                <w:b/>
                <w:kern w:val="2"/>
                <w:sz w:val="21"/>
                <w:szCs w:val="21"/>
                <w:highlight w:val="none"/>
              </w:rPr>
            </w:pPr>
            <w:r>
              <w:rPr>
                <w:rFonts w:hint="eastAsia" w:ascii="宋体" w:hAnsi="宋体" w:eastAsia="宋体" w:cs="宋体"/>
                <w:b/>
                <w:sz w:val="21"/>
                <w:szCs w:val="21"/>
                <w:highlight w:val="none"/>
              </w:rPr>
              <w:t>序号</w:t>
            </w:r>
          </w:p>
        </w:tc>
        <w:tc>
          <w:tcPr>
            <w:tcW w:w="8692" w:type="dxa"/>
            <w:tcBorders>
              <w:right w:val="single" w:color="auto" w:sz="4" w:space="0"/>
            </w:tcBorders>
            <w:shd w:val="clear" w:color="auto" w:fill="auto"/>
            <w:vAlign w:val="center"/>
          </w:tcPr>
          <w:p>
            <w:pPr>
              <w:keepNext w:val="0"/>
              <w:keepLines w:val="0"/>
              <w:pageBreakBefore w:val="0"/>
              <w:kinsoku/>
              <w:wordWrap/>
              <w:overflowPunct/>
              <w:topLinePunct w:val="0"/>
              <w:autoSpaceDN/>
              <w:bidi w:val="0"/>
              <w:spacing w:line="340" w:lineRule="exact"/>
              <w:jc w:val="center"/>
              <w:rPr>
                <w:rFonts w:hint="eastAsia" w:ascii="宋体" w:hAnsi="宋体" w:eastAsia="宋体" w:cs="宋体"/>
                <w:b/>
                <w:kern w:val="2"/>
                <w:sz w:val="21"/>
                <w:szCs w:val="21"/>
                <w:highlight w:val="none"/>
              </w:rPr>
            </w:pPr>
            <w:r>
              <w:rPr>
                <w:rFonts w:hint="eastAsia" w:ascii="宋体" w:hAnsi="宋体" w:eastAsia="宋体" w:cs="宋体"/>
                <w:b/>
                <w:sz w:val="21"/>
                <w:szCs w:val="21"/>
                <w:highlight w:val="none"/>
              </w:rPr>
              <w:t>招标要求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7"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整机（含配件）原厂保修自安装验收合格次日起≥8年，设备过保后，厂家承诺免费上门，先维修后付款。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7"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8692" w:type="dxa"/>
            <w:tcBorders>
              <w:right w:val="single" w:color="auto" w:sz="4" w:space="0"/>
            </w:tcBorders>
            <w:vAlign w:val="center"/>
          </w:tcPr>
          <w:p>
            <w:pPr>
              <w:keepNext w:val="0"/>
              <w:keepLines w:val="0"/>
              <w:pageBreakBefore w:val="0"/>
              <w:widowControl w:val="0"/>
              <w:kinsoku/>
              <w:wordWrap/>
              <w:overflowPunct/>
              <w:topLinePunct w:val="0"/>
              <w:autoSpaceDN/>
              <w:bidi w:val="0"/>
              <w:adjustRightInd w:val="0"/>
              <w:snapToGrid w:val="0"/>
              <w:spacing w:line="340" w:lineRule="exact"/>
              <w:jc w:val="both"/>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维修响应时间≤2小时，24小时内上门维修（包括节假日），提供24小时维修电话，提供消耗品和保修期后常用零配件的供应价格与折扣。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6"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p>
        </w:tc>
        <w:tc>
          <w:tcPr>
            <w:tcW w:w="8692" w:type="dxa"/>
            <w:tcBorders>
              <w:right w:val="single" w:color="auto" w:sz="4" w:space="0"/>
            </w:tcBorders>
            <w:vAlign w:val="center"/>
          </w:tcPr>
          <w:p>
            <w:pPr>
              <w:keepNext w:val="0"/>
              <w:keepLines w:val="0"/>
              <w:pageBreakBefore w:val="0"/>
              <w:kinsoku/>
              <w:wordWrap/>
              <w:overflowPunct/>
              <w:topLinePunct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保修期内免费提供至少每年2次的上门维修保养服务。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2"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免费提供中文用户使用手册和维修手册各2套（电子版和纸质版各1套），操作规程电子版和塑封版各一份。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5</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详细列出功能软件和硬件，如不作特殊说明，则视同包含该型号产品厂方最新发布的所有功能软件和所有选配件。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6</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货物使用期限：自货物生产日期起，不少于5年；提供铭牌标识、照片或说明书相关页面复印件；货物无使用期限的，提供说明。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6"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货物生产日期：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7.1</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卖方提供的所有货物必须是全新未使用过的货物；货物生产日期（以产品标签、标识为准）：货物到达医院指定地点之日前6个月内（国产产品）。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64"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7.2</w:t>
            </w:r>
          </w:p>
        </w:tc>
        <w:tc>
          <w:tcPr>
            <w:tcW w:w="8692" w:type="dxa"/>
            <w:tcBorders>
              <w:right w:val="single" w:color="auto" w:sz="4" w:space="0"/>
            </w:tcBorders>
            <w:vAlign w:val="center"/>
          </w:tcPr>
          <w:p>
            <w:pPr>
              <w:keepNext w:val="0"/>
              <w:keepLines w:val="0"/>
              <w:pageBreakBefore w:val="0"/>
              <w:widowControl w:val="0"/>
              <w:kinsoku/>
              <w:wordWrap/>
              <w:overflowPunct/>
              <w:topLinePunct w:val="0"/>
              <w:autoSpaceDN/>
              <w:bidi w:val="0"/>
              <w:adjustRightInd w:val="0"/>
              <w:snapToGrid w:val="0"/>
              <w:spacing w:line="340" w:lineRule="exact"/>
              <w:jc w:val="both"/>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货物生产日期不满足合同要求的，则构成违约，卖方须向买方支付违约款。违约款金额=违约货物分项价格×货物生产日期违约超出时长/货物使用期限（①货物生产日期违约超出时长不足1个月的，按月计；②货物使用期限10年及以上的，按10年计；③货物未标注使用年限的，按5年计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 w:val="0"/>
                <w:bCs w:val="0"/>
                <w:kern w:val="0"/>
                <w:sz w:val="21"/>
                <w:szCs w:val="21"/>
                <w:highlight w:val="cyan"/>
                <w:lang w:val="en-US" w:eastAsia="zh-CN"/>
              </w:rPr>
              <w:t>★</w:t>
            </w:r>
            <w:r>
              <w:rPr>
                <w:rFonts w:hint="eastAsia" w:ascii="宋体" w:hAnsi="宋体" w:eastAsia="宋体" w:cs="宋体"/>
                <w:bCs/>
                <w:sz w:val="21"/>
                <w:szCs w:val="21"/>
                <w:highlight w:val="none"/>
                <w:lang w:val="en-US" w:eastAsia="zh-CN"/>
              </w:rPr>
              <w:t>8</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其他要求：若设备有信息系统接口，则全部免费开放。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9</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提供所投设备的投标设备配套、总体质量性能说明并提供相关证明材料（如设备彩页；检测报告；原厂技术参数表；专利证明；系统功能截图等）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3"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10</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 xml:space="preserve"> 运行、维修成本：提供全保、人工保等各种保修方案及价格，设备配件价格，维修服务费，消耗品或易耗品的使用周期、价格等</w:t>
            </w:r>
          </w:p>
        </w:tc>
      </w:tr>
    </w:tbl>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sz w:val="21"/>
          <w:szCs w:val="21"/>
          <w:highlight w:val="none"/>
          <w:lang w:eastAsia="zh-CN"/>
        </w:rPr>
      </w:pPr>
      <w:r>
        <w:rPr>
          <w:rFonts w:hint="eastAsia" w:ascii="宋体" w:hAnsi="宋体"/>
          <w:color w:val="000000" w:themeColor="text1"/>
          <w:sz w:val="21"/>
          <w:szCs w:val="21"/>
          <w:highlight w:val="none"/>
          <w:lang w:val="en-US" w:eastAsia="zh-CN"/>
          <w14:textFill>
            <w14:solidFill>
              <w14:schemeClr w14:val="tx1"/>
            </w14:solidFill>
          </w14:textFill>
        </w:rPr>
        <w:t>中心监护系统</w:t>
      </w:r>
      <w:r>
        <w:rPr>
          <w:rFonts w:hint="eastAsia" w:ascii="宋体" w:hAnsi="宋体" w:eastAsia="宋体" w:cs="宋体"/>
          <w:color w:val="000000"/>
          <w:sz w:val="21"/>
          <w:szCs w:val="21"/>
          <w:highlight w:val="none"/>
        </w:rPr>
        <w:t>技术要求</w:t>
      </w:r>
      <w:r>
        <w:rPr>
          <w:rFonts w:hint="eastAsia" w:ascii="宋体" w:hAnsi="宋体" w:eastAsia="宋体" w:cs="宋体"/>
          <w:color w:val="000000"/>
          <w:sz w:val="21"/>
          <w:szCs w:val="21"/>
          <w:highlight w:val="none"/>
          <w:lang w:eastAsia="zh-CN"/>
        </w:rPr>
        <w:t>：</w:t>
      </w:r>
    </w:p>
    <w:tbl>
      <w:tblPr>
        <w:tblStyle w:val="43"/>
        <w:tblW w:w="9098" w:type="dxa"/>
        <w:tblInd w:w="0" w:type="dxa"/>
        <w:tblLayout w:type="fixed"/>
        <w:tblCellMar>
          <w:top w:w="0" w:type="dxa"/>
          <w:left w:w="108" w:type="dxa"/>
          <w:bottom w:w="0" w:type="dxa"/>
          <w:right w:w="108" w:type="dxa"/>
        </w:tblCellMar>
      </w:tblPr>
      <w:tblGrid>
        <w:gridCol w:w="778"/>
        <w:gridCol w:w="1080"/>
        <w:gridCol w:w="6426"/>
        <w:gridCol w:w="814"/>
      </w:tblGrid>
      <w:tr>
        <w:tblPrEx>
          <w:tblCellMar>
            <w:top w:w="0" w:type="dxa"/>
            <w:left w:w="108" w:type="dxa"/>
            <w:bottom w:w="0" w:type="dxa"/>
            <w:right w:w="108" w:type="dxa"/>
          </w:tblCellMar>
        </w:tblPrEx>
        <w:trPr>
          <w:trHeight w:val="6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设备</w:t>
            </w:r>
            <w:r>
              <w:rPr>
                <w:rFonts w:hint="eastAsia" w:ascii="宋体" w:hAnsi="宋体" w:eastAsia="宋体" w:cs="宋体"/>
                <w:color w:val="000000"/>
                <w:sz w:val="21"/>
                <w:szCs w:val="21"/>
                <w:highlight w:val="none"/>
              </w:rPr>
              <w:t>名称</w:t>
            </w:r>
          </w:p>
        </w:tc>
        <w:tc>
          <w:tcPr>
            <w:tcW w:w="6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技术参数标准</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r>
      <w:tr>
        <w:tblPrEx>
          <w:tblCellMar>
            <w:top w:w="0" w:type="dxa"/>
            <w:left w:w="108" w:type="dxa"/>
            <w:bottom w:w="0" w:type="dxa"/>
            <w:right w:w="108" w:type="dxa"/>
          </w:tblCellMar>
        </w:tblPrEx>
        <w:trPr>
          <w:trHeight w:val="665"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lang w:eastAsia="zh-CN"/>
              </w:rPr>
            </w:pPr>
            <w:r>
              <w:rPr>
                <w:rFonts w:hint="eastAsia" w:ascii="宋体" w:hAnsi="宋体"/>
                <w:color w:val="000000" w:themeColor="text1"/>
                <w:sz w:val="21"/>
                <w:szCs w:val="21"/>
                <w:highlight w:val="none"/>
                <w:lang w:eastAsia="zh-CN"/>
                <w14:textFill>
                  <w14:solidFill>
                    <w14:schemeClr w14:val="tx1"/>
                  </w14:solidFill>
                </w14:textFill>
              </w:rPr>
              <w:t>中心监护系统</w:t>
            </w:r>
          </w:p>
        </w:tc>
        <w:tc>
          <w:tcPr>
            <w:tcW w:w="6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主要技术规格：</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1.中心监护系统支持监护仪集中监护。</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2.中央站具备双硬盘数据冗余功能。</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3.中央站主机采用1U工控机，可放置于机柜中。</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4.支持Windows Server 2008、Windows Server 2012、Windows Server 2016、Windows Server 2019操作系统。</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5.中心监护系统支持有线、无线、遥测多元化的组网方式</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6.中心监护系统能够兼容该厂家品牌下所有的监护仪及遥测产品，除颤（MED）产品，包括早期（10年以内）提供的产品，可显示相关产品所监测的参数及波形</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7.支持升级工作站或类似功能的产品，可远程连接至中央站上，同时查看全院病床的病人数据，并支持报警。</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8.工作站支持独立操作，不影响中央站正常操作，实时观察功能及病人数据回顾</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 xml:space="preserve">9.工作站支持选取中央站上全部或者部分病人进行监护 </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10.支持控制监护仪启动/停止NIBP测量，可以控制监护仪报警暂停/复位，调整报警开关/级别/上下限</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11.支持集中显示所有连接的监护设备的使用率情况，支持统计和输出设备在各科室内的使用率情况</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12.★数据断网续传功能，保证数据不会丢失</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13.具备至少240小时趋势数据存储，具备至少240小时全息波形数据存储，具备至少240小时ST片段数据存储，支持至少3000条事件存储，可以存储报警事件发生时刻的参数和报警前后16秒波形。</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14.具备报警记录/打印功能，能够自动在报警触发时进行与报警相关的波形和测量值的记录/打印。</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 xml:space="preserve"> 1台</w:t>
            </w:r>
          </w:p>
        </w:tc>
      </w:tr>
    </w:tbl>
    <w:p>
      <w:pPr>
        <w:rPr>
          <w:rFonts w:hint="eastAsia" w:ascii="宋体" w:hAnsi="宋体" w:cs="宋体"/>
          <w:b/>
          <w:bCs/>
          <w:color w:val="000000"/>
          <w:sz w:val="24"/>
          <w:szCs w:val="24"/>
          <w:highlight w:val="none"/>
        </w:rPr>
      </w:pPr>
    </w:p>
    <w:p>
      <w:pPr>
        <w:rPr>
          <w:sz w:val="24"/>
          <w:szCs w:val="24"/>
          <w:highlight w:val="none"/>
        </w:rPr>
      </w:pPr>
      <w:r>
        <w:rPr>
          <w:rFonts w:hint="eastAsia" w:ascii="宋体" w:hAnsi="宋体" w:cs="宋体"/>
          <w:b/>
          <w:bCs/>
          <w:color w:val="000000"/>
          <w:sz w:val="24"/>
          <w:szCs w:val="24"/>
          <w:highlight w:val="none"/>
          <w:lang w:val="en-US" w:eastAsia="zh-CN"/>
        </w:rPr>
        <w:t>中心监护系统-</w:t>
      </w:r>
      <w:r>
        <w:rPr>
          <w:rFonts w:hint="eastAsia"/>
          <w:b/>
          <w:bCs/>
          <w:sz w:val="24"/>
          <w:szCs w:val="24"/>
          <w:highlight w:val="none"/>
        </w:rPr>
        <w:t>商务服务要求（包括但不限于以下内容）</w:t>
      </w:r>
    </w:p>
    <w:tbl>
      <w:tblPr>
        <w:tblStyle w:val="43"/>
        <w:tblW w:w="9459" w:type="dxa"/>
        <w:tblInd w:w="-12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67"/>
        <w:gridCol w:w="86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1" w:hRule="atLeast"/>
        </w:trPr>
        <w:tc>
          <w:tcPr>
            <w:tcW w:w="767" w:type="dxa"/>
            <w:shd w:val="clear" w:color="auto" w:fill="auto"/>
            <w:vAlign w:val="center"/>
          </w:tcPr>
          <w:p>
            <w:pPr>
              <w:keepNext w:val="0"/>
              <w:keepLines w:val="0"/>
              <w:pageBreakBefore w:val="0"/>
              <w:kinsoku/>
              <w:wordWrap/>
              <w:overflowPunct/>
              <w:topLinePunct w:val="0"/>
              <w:autoSpaceDN/>
              <w:bidi w:val="0"/>
              <w:spacing w:line="340" w:lineRule="exact"/>
              <w:jc w:val="both"/>
              <w:rPr>
                <w:rFonts w:hint="eastAsia" w:ascii="宋体" w:hAnsi="宋体" w:eastAsia="宋体" w:cs="宋体"/>
                <w:b/>
                <w:kern w:val="2"/>
                <w:sz w:val="21"/>
                <w:szCs w:val="21"/>
                <w:highlight w:val="none"/>
              </w:rPr>
            </w:pPr>
            <w:r>
              <w:rPr>
                <w:rFonts w:hint="eastAsia" w:ascii="宋体" w:hAnsi="宋体" w:eastAsia="宋体" w:cs="宋体"/>
                <w:b/>
                <w:sz w:val="21"/>
                <w:szCs w:val="21"/>
                <w:highlight w:val="none"/>
              </w:rPr>
              <w:t>序号</w:t>
            </w:r>
          </w:p>
        </w:tc>
        <w:tc>
          <w:tcPr>
            <w:tcW w:w="8692" w:type="dxa"/>
            <w:tcBorders>
              <w:right w:val="single" w:color="auto" w:sz="4" w:space="0"/>
            </w:tcBorders>
            <w:shd w:val="clear" w:color="auto" w:fill="auto"/>
            <w:vAlign w:val="center"/>
          </w:tcPr>
          <w:p>
            <w:pPr>
              <w:keepNext w:val="0"/>
              <w:keepLines w:val="0"/>
              <w:pageBreakBefore w:val="0"/>
              <w:kinsoku/>
              <w:wordWrap/>
              <w:overflowPunct/>
              <w:topLinePunct w:val="0"/>
              <w:autoSpaceDN/>
              <w:bidi w:val="0"/>
              <w:spacing w:line="340" w:lineRule="exact"/>
              <w:jc w:val="center"/>
              <w:rPr>
                <w:rFonts w:hint="eastAsia" w:ascii="宋体" w:hAnsi="宋体" w:eastAsia="宋体" w:cs="宋体"/>
                <w:b/>
                <w:kern w:val="2"/>
                <w:sz w:val="21"/>
                <w:szCs w:val="21"/>
                <w:highlight w:val="none"/>
              </w:rPr>
            </w:pPr>
            <w:r>
              <w:rPr>
                <w:rFonts w:hint="eastAsia" w:ascii="宋体" w:hAnsi="宋体" w:eastAsia="宋体" w:cs="宋体"/>
                <w:b/>
                <w:sz w:val="21"/>
                <w:szCs w:val="21"/>
                <w:highlight w:val="none"/>
              </w:rPr>
              <w:t>招标要求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7"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整机（含配件）原厂保修自安装验收合格次日起≥3年，设备过保后，厂家承诺免费上门，先维修后付款。第三方配置保修自安装验收合格次日起≥3年。设备出保后，维保价格不高于成交价的6.5%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7"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8692" w:type="dxa"/>
            <w:tcBorders>
              <w:right w:val="single" w:color="auto" w:sz="4" w:space="0"/>
            </w:tcBorders>
            <w:vAlign w:val="center"/>
          </w:tcPr>
          <w:p>
            <w:pPr>
              <w:keepNext w:val="0"/>
              <w:keepLines w:val="0"/>
              <w:pageBreakBefore w:val="0"/>
              <w:widowControl w:val="0"/>
              <w:kinsoku/>
              <w:wordWrap/>
              <w:overflowPunct/>
              <w:topLinePunct w:val="0"/>
              <w:autoSpaceDN/>
              <w:bidi w:val="0"/>
              <w:adjustRightInd w:val="0"/>
              <w:snapToGrid w:val="0"/>
              <w:spacing w:line="340" w:lineRule="exact"/>
              <w:jc w:val="both"/>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维修响应时间≤2小时，24小时内上门维修（包括节假日），提供24小时维修电话，提供消耗品和保修期后常用零配件的供应价格与折扣。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6"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p>
        </w:tc>
        <w:tc>
          <w:tcPr>
            <w:tcW w:w="8692" w:type="dxa"/>
            <w:tcBorders>
              <w:right w:val="single" w:color="auto" w:sz="4" w:space="0"/>
            </w:tcBorders>
            <w:vAlign w:val="center"/>
          </w:tcPr>
          <w:p>
            <w:pPr>
              <w:keepNext w:val="0"/>
              <w:keepLines w:val="0"/>
              <w:pageBreakBefore w:val="0"/>
              <w:kinsoku/>
              <w:wordWrap/>
              <w:overflowPunct/>
              <w:topLinePunct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保修期内免费提供至少每年2次的上门维修保养服务。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2"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免费提供中文用户使用手册和维修手册各2套（电子版和纸质版各1套），操作规程电子版和塑封版各一份。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5</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详细列出功能软件和硬件，如不作特殊说明，则视同包含该型号产品厂方最新发布的所有功能软件和所有选配件。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6</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货物使用期限：自货物生产日期起，不少于5年；提供铭牌标识、照片或说明书相关页面复印件；货物无使用期限的，提供说明。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6"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货物生产日期：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7.1</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卖方提供的所有货物必须是全新未使用过的货物；货物生产日期（以产品标签、标识为准）：货物到达医院指定地点之日前6个月内（国产产品）。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64"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7.2</w:t>
            </w:r>
          </w:p>
        </w:tc>
        <w:tc>
          <w:tcPr>
            <w:tcW w:w="8692" w:type="dxa"/>
            <w:tcBorders>
              <w:right w:val="single" w:color="auto" w:sz="4" w:space="0"/>
            </w:tcBorders>
            <w:vAlign w:val="center"/>
          </w:tcPr>
          <w:p>
            <w:pPr>
              <w:keepNext w:val="0"/>
              <w:keepLines w:val="0"/>
              <w:pageBreakBefore w:val="0"/>
              <w:widowControl w:val="0"/>
              <w:kinsoku/>
              <w:wordWrap/>
              <w:overflowPunct/>
              <w:topLinePunct w:val="0"/>
              <w:autoSpaceDN/>
              <w:bidi w:val="0"/>
              <w:adjustRightInd w:val="0"/>
              <w:snapToGrid w:val="0"/>
              <w:spacing w:line="340" w:lineRule="exact"/>
              <w:jc w:val="both"/>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货物生产日期不满足合同要求的，则构成违约，卖方须向买方支付违约款。违约款金额=违约货物分项价格×货物生产日期违约超出时长/货物使用期限（①货物生产日期违约超出时长不足1个月的，按月计；②货物使用期限10年及以上的，按10年计；③货物未标注使用年限的，按5年计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 w:val="0"/>
                <w:bCs w:val="0"/>
                <w:kern w:val="0"/>
                <w:sz w:val="21"/>
                <w:szCs w:val="21"/>
                <w:highlight w:val="cyan"/>
                <w:lang w:val="en-US" w:eastAsia="zh-CN"/>
              </w:rPr>
              <w:t>★</w:t>
            </w:r>
            <w:r>
              <w:rPr>
                <w:rFonts w:hint="eastAsia" w:ascii="宋体" w:hAnsi="宋体" w:eastAsia="宋体" w:cs="宋体"/>
                <w:bCs/>
                <w:sz w:val="21"/>
                <w:szCs w:val="21"/>
                <w:highlight w:val="none"/>
                <w:lang w:val="en-US" w:eastAsia="zh-CN"/>
              </w:rPr>
              <w:t>8</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其他要求：若设备有信息系统接口，则全部免费开放。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9</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提供所投设备的投标设备配套、总体质量性能说明并提供相关证明材料（如设备彩页；检测报告；原厂技术参数表；专利证明；系统功能截图等）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3"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10</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运行、维修成本：提供全保、人工保等各种保修方案及价格，设备配件价格，维修服务费，消耗品或易耗品的使用周期、价格等</w:t>
            </w:r>
          </w:p>
        </w:tc>
      </w:tr>
    </w:tbl>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sz w:val="21"/>
          <w:szCs w:val="21"/>
          <w:highlight w:val="none"/>
          <w:lang w:eastAsia="zh-CN"/>
        </w:rPr>
      </w:pPr>
      <w:r>
        <w:rPr>
          <w:rFonts w:hint="eastAsia" w:ascii="宋体" w:hAnsi="宋体"/>
          <w:color w:val="000000" w:themeColor="text1"/>
          <w:sz w:val="21"/>
          <w:szCs w:val="21"/>
          <w:highlight w:val="none"/>
          <w:lang w:val="en-US" w:eastAsia="zh-CN"/>
          <w14:textFill>
            <w14:solidFill>
              <w14:schemeClr w14:val="tx1"/>
            </w14:solidFill>
          </w14:textFill>
        </w:rPr>
        <w:t>多功能监护仪-1</w:t>
      </w:r>
      <w:r>
        <w:rPr>
          <w:rFonts w:hint="eastAsia" w:ascii="宋体" w:hAnsi="宋体" w:eastAsia="宋体" w:cs="宋体"/>
          <w:color w:val="000000"/>
          <w:sz w:val="21"/>
          <w:szCs w:val="21"/>
          <w:highlight w:val="none"/>
        </w:rPr>
        <w:t>技术要求</w:t>
      </w:r>
      <w:r>
        <w:rPr>
          <w:rFonts w:hint="eastAsia" w:ascii="宋体" w:hAnsi="宋体" w:eastAsia="宋体" w:cs="宋体"/>
          <w:color w:val="000000"/>
          <w:sz w:val="21"/>
          <w:szCs w:val="21"/>
          <w:highlight w:val="none"/>
          <w:lang w:eastAsia="zh-CN"/>
        </w:rPr>
        <w:t>：</w:t>
      </w:r>
    </w:p>
    <w:tbl>
      <w:tblPr>
        <w:tblStyle w:val="43"/>
        <w:tblW w:w="9098" w:type="dxa"/>
        <w:tblInd w:w="0" w:type="dxa"/>
        <w:tblLayout w:type="fixed"/>
        <w:tblCellMar>
          <w:top w:w="0" w:type="dxa"/>
          <w:left w:w="108" w:type="dxa"/>
          <w:bottom w:w="0" w:type="dxa"/>
          <w:right w:w="108" w:type="dxa"/>
        </w:tblCellMar>
      </w:tblPr>
      <w:tblGrid>
        <w:gridCol w:w="778"/>
        <w:gridCol w:w="1080"/>
        <w:gridCol w:w="6426"/>
        <w:gridCol w:w="814"/>
      </w:tblGrid>
      <w:tr>
        <w:tblPrEx>
          <w:tblCellMar>
            <w:top w:w="0" w:type="dxa"/>
            <w:left w:w="108" w:type="dxa"/>
            <w:bottom w:w="0" w:type="dxa"/>
            <w:right w:w="108" w:type="dxa"/>
          </w:tblCellMar>
        </w:tblPrEx>
        <w:trPr>
          <w:trHeight w:val="6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设备</w:t>
            </w:r>
            <w:r>
              <w:rPr>
                <w:rFonts w:hint="eastAsia" w:ascii="宋体" w:hAnsi="宋体" w:eastAsia="宋体" w:cs="宋体"/>
                <w:color w:val="000000"/>
                <w:sz w:val="21"/>
                <w:szCs w:val="21"/>
                <w:highlight w:val="none"/>
              </w:rPr>
              <w:t>名称</w:t>
            </w:r>
          </w:p>
        </w:tc>
        <w:tc>
          <w:tcPr>
            <w:tcW w:w="6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技术参数标准</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r>
      <w:tr>
        <w:tblPrEx>
          <w:tblCellMar>
            <w:top w:w="0" w:type="dxa"/>
            <w:left w:w="108" w:type="dxa"/>
            <w:bottom w:w="0" w:type="dxa"/>
            <w:right w:w="108" w:type="dxa"/>
          </w:tblCellMar>
        </w:tblPrEx>
        <w:trPr>
          <w:trHeight w:val="665"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lang w:eastAsia="zh-CN"/>
              </w:rPr>
            </w:pPr>
            <w:r>
              <w:rPr>
                <w:rFonts w:hint="eastAsia" w:ascii="宋体" w:hAnsi="宋体"/>
                <w:color w:val="000000" w:themeColor="text1"/>
                <w:sz w:val="21"/>
                <w:szCs w:val="21"/>
                <w:highlight w:val="none"/>
                <w:lang w:val="en-US" w:eastAsia="zh-CN"/>
                <w14:textFill>
                  <w14:solidFill>
                    <w14:schemeClr w14:val="tx1"/>
                  </w14:solidFill>
                </w14:textFill>
              </w:rPr>
              <w:t>多功能监护仪-1</w:t>
            </w:r>
          </w:p>
        </w:tc>
        <w:tc>
          <w:tcPr>
            <w:tcW w:w="6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主要技术规格：</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1.★模块化插件式床边监护仪，主机、显示屏和插件槽一体化设计，主机模块插槽数≥5个</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2.≥15英寸彩色电容触摸屏，高分辨率≥1920×1080像素，≥8通道显示，显示屏亮度自动调节</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3.可内置高能锂电池，供电时间≥2小时</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4.★配置≥4个USB接口，支持连接鼠标、键盘、条码扫描枪和遥控器等USB设备</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5.监护仪主机工作温度环境范围：0~40°C</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6.基本功能模块支持心电，呼吸，心率，无创血压，血氧饱和度，脉搏，双通道体温和双通道有创血压的同时监测</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7.ECG支持3/5导心电监测，可选配6/12导联心电监测</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8.★支持室上性心动过速和SVCs/min等室上性心律失常分析</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9.心电支持≥2个分析导联实时动态同步分析，并非多个导联波形同屏显示及12导联静息分析</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 xml:space="preserve">10.提供ST段分析功能，适用于成人，小儿和新生儿，支持在专门的窗口中分组显示心脏前壁，下壁和侧壁的ST实时片段和参考片段 </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11.支持RR呼吸率测量，测量范围：1～200rpm</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12.QT和QTc实时监测参数测量范围：200～800 ms</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13.无创血压提供手动、自动间隔、连续、序列、整点五种测量模式</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14.NIBP 成人病人类型收缩压测量：25～290mmHg</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15.配置指套式血氧探头，支持浸泡清洁与消毒，防水等级IPX7</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16.支持双通道有创压IBP监测，支持升级多达6通道有创压监测</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17.有创压适用于成人，小儿和新生儿，有创压测量范围：-50～350mmHg</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18.支持IBP波形叠加显示，满足临床对比查看和节约显示空间的需求</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19.提供双通道体温监测功能， 提供一个体表探头。</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20.提供有创血压监测模块电缆线一条。</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21.具有图形化报警指示功能，帮助医护团队快速识别报警来源</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22.具有特殊报警音，当监护仪在病人发生致命性参数报警时，发出特殊的报警音进行提示病人处于危急状态</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23.标配具备血流动力学，药物计算，氧合计算，通气计算和肾功能计算功能</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24.支持≥100小时趋势表和趋势图回顾，最小分辨率1分钟</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25.★支持≥800条事件回顾。每条报警事件至少能够存储32秒三道相关波形</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26.具备≥40小时全息波形的存储与回顾功能</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27.支持≥100小时（分辨率1分钟）ST模板存储与回顾</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 xml:space="preserve"> 6台</w:t>
            </w:r>
          </w:p>
        </w:tc>
      </w:tr>
    </w:tbl>
    <w:p>
      <w:pPr>
        <w:rPr>
          <w:rFonts w:hint="eastAsia" w:ascii="宋体" w:hAnsi="宋体" w:cs="宋体"/>
          <w:b/>
          <w:bCs/>
          <w:color w:val="000000"/>
          <w:sz w:val="24"/>
          <w:szCs w:val="24"/>
          <w:highlight w:val="none"/>
        </w:rPr>
      </w:pPr>
    </w:p>
    <w:p>
      <w:pPr>
        <w:rPr>
          <w:rFonts w:hint="eastAsia" w:ascii="宋体" w:hAnsi="宋体" w:cs="宋体"/>
          <w:b/>
          <w:bCs/>
          <w:color w:val="000000"/>
          <w:sz w:val="24"/>
          <w:szCs w:val="24"/>
          <w:highlight w:val="none"/>
          <w:lang w:val="en-US" w:eastAsia="zh-CN"/>
        </w:rPr>
      </w:pPr>
    </w:p>
    <w:p>
      <w:pPr>
        <w:rPr>
          <w:rFonts w:hint="eastAsia" w:ascii="宋体" w:hAnsi="宋体" w:cs="宋体"/>
          <w:b/>
          <w:bCs/>
          <w:color w:val="000000"/>
          <w:sz w:val="24"/>
          <w:szCs w:val="24"/>
          <w:highlight w:val="none"/>
          <w:lang w:val="en-US" w:eastAsia="zh-CN"/>
        </w:rPr>
      </w:pPr>
    </w:p>
    <w:p>
      <w:pPr>
        <w:rPr>
          <w:rFonts w:hint="eastAsia" w:ascii="宋体" w:hAnsi="宋体" w:cs="宋体"/>
          <w:b/>
          <w:bCs/>
          <w:color w:val="000000"/>
          <w:sz w:val="24"/>
          <w:szCs w:val="24"/>
          <w:highlight w:val="none"/>
          <w:lang w:val="en-US" w:eastAsia="zh-CN"/>
        </w:rPr>
      </w:pPr>
    </w:p>
    <w:p>
      <w:pPr>
        <w:rPr>
          <w:sz w:val="24"/>
          <w:szCs w:val="24"/>
          <w:highlight w:val="none"/>
        </w:rPr>
      </w:pPr>
      <w:r>
        <w:rPr>
          <w:rFonts w:hint="eastAsia" w:ascii="宋体" w:hAnsi="宋体" w:cs="宋体"/>
          <w:b/>
          <w:bCs/>
          <w:color w:val="000000"/>
          <w:sz w:val="24"/>
          <w:szCs w:val="24"/>
          <w:highlight w:val="none"/>
          <w:lang w:val="en-US" w:eastAsia="zh-CN"/>
        </w:rPr>
        <w:t>多功能监护仪-1</w:t>
      </w:r>
      <w:r>
        <w:rPr>
          <w:rFonts w:hint="eastAsia"/>
          <w:b/>
          <w:bCs/>
          <w:sz w:val="24"/>
          <w:szCs w:val="24"/>
          <w:highlight w:val="none"/>
        </w:rPr>
        <w:t>商务服务要求（包括但不限于以下内容）</w:t>
      </w:r>
    </w:p>
    <w:tbl>
      <w:tblPr>
        <w:tblStyle w:val="43"/>
        <w:tblW w:w="9459" w:type="dxa"/>
        <w:tblInd w:w="-12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67"/>
        <w:gridCol w:w="86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1" w:hRule="atLeast"/>
        </w:trPr>
        <w:tc>
          <w:tcPr>
            <w:tcW w:w="767" w:type="dxa"/>
            <w:shd w:val="clear" w:color="auto" w:fill="auto"/>
            <w:vAlign w:val="center"/>
          </w:tcPr>
          <w:p>
            <w:pPr>
              <w:keepNext w:val="0"/>
              <w:keepLines w:val="0"/>
              <w:pageBreakBefore w:val="0"/>
              <w:kinsoku/>
              <w:wordWrap/>
              <w:overflowPunct/>
              <w:topLinePunct w:val="0"/>
              <w:autoSpaceDN/>
              <w:bidi w:val="0"/>
              <w:spacing w:line="340" w:lineRule="exact"/>
              <w:jc w:val="both"/>
              <w:rPr>
                <w:rFonts w:hint="eastAsia" w:ascii="宋体" w:hAnsi="宋体" w:eastAsia="宋体" w:cs="宋体"/>
                <w:b/>
                <w:kern w:val="2"/>
                <w:sz w:val="21"/>
                <w:szCs w:val="21"/>
                <w:highlight w:val="none"/>
              </w:rPr>
            </w:pPr>
            <w:r>
              <w:rPr>
                <w:rFonts w:hint="eastAsia" w:ascii="宋体" w:hAnsi="宋体" w:eastAsia="宋体" w:cs="宋体"/>
                <w:b/>
                <w:sz w:val="21"/>
                <w:szCs w:val="21"/>
                <w:highlight w:val="none"/>
              </w:rPr>
              <w:t>序号</w:t>
            </w:r>
          </w:p>
        </w:tc>
        <w:tc>
          <w:tcPr>
            <w:tcW w:w="8692" w:type="dxa"/>
            <w:tcBorders>
              <w:right w:val="single" w:color="auto" w:sz="4" w:space="0"/>
            </w:tcBorders>
            <w:shd w:val="clear" w:color="auto" w:fill="auto"/>
            <w:vAlign w:val="center"/>
          </w:tcPr>
          <w:p>
            <w:pPr>
              <w:keepNext w:val="0"/>
              <w:keepLines w:val="0"/>
              <w:pageBreakBefore w:val="0"/>
              <w:kinsoku/>
              <w:wordWrap/>
              <w:overflowPunct/>
              <w:topLinePunct w:val="0"/>
              <w:autoSpaceDN/>
              <w:bidi w:val="0"/>
              <w:spacing w:line="340" w:lineRule="exact"/>
              <w:jc w:val="center"/>
              <w:rPr>
                <w:rFonts w:hint="eastAsia" w:ascii="宋体" w:hAnsi="宋体" w:eastAsia="宋体" w:cs="宋体"/>
                <w:b/>
                <w:kern w:val="2"/>
                <w:sz w:val="21"/>
                <w:szCs w:val="21"/>
                <w:highlight w:val="none"/>
              </w:rPr>
            </w:pPr>
            <w:r>
              <w:rPr>
                <w:rFonts w:hint="eastAsia" w:ascii="宋体" w:hAnsi="宋体" w:eastAsia="宋体" w:cs="宋体"/>
                <w:b/>
                <w:sz w:val="21"/>
                <w:szCs w:val="21"/>
                <w:highlight w:val="none"/>
              </w:rPr>
              <w:t>招标要求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7"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整机（含配件）原厂保修自安装验收合格次日起≥8年，设备过保后，厂家承诺免费上门，先维修后付款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7"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8692" w:type="dxa"/>
            <w:tcBorders>
              <w:right w:val="single" w:color="auto" w:sz="4" w:space="0"/>
            </w:tcBorders>
            <w:vAlign w:val="center"/>
          </w:tcPr>
          <w:p>
            <w:pPr>
              <w:keepNext w:val="0"/>
              <w:keepLines w:val="0"/>
              <w:pageBreakBefore w:val="0"/>
              <w:widowControl w:val="0"/>
              <w:kinsoku/>
              <w:wordWrap/>
              <w:overflowPunct/>
              <w:topLinePunct w:val="0"/>
              <w:autoSpaceDN/>
              <w:bidi w:val="0"/>
              <w:adjustRightInd w:val="0"/>
              <w:snapToGrid w:val="0"/>
              <w:spacing w:line="340" w:lineRule="exact"/>
              <w:jc w:val="both"/>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维修响应时间≤2小时，24小时内上门维修（包括节假日），提供24小时维修电话，提供消耗品和保修期后常用零配件的供应价格与折扣。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6"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p>
        </w:tc>
        <w:tc>
          <w:tcPr>
            <w:tcW w:w="8692" w:type="dxa"/>
            <w:tcBorders>
              <w:right w:val="single" w:color="auto" w:sz="4" w:space="0"/>
            </w:tcBorders>
            <w:vAlign w:val="center"/>
          </w:tcPr>
          <w:p>
            <w:pPr>
              <w:keepNext w:val="0"/>
              <w:keepLines w:val="0"/>
              <w:pageBreakBefore w:val="0"/>
              <w:kinsoku/>
              <w:wordWrap/>
              <w:overflowPunct/>
              <w:topLinePunct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保修期内免费提供至少每年2次的上门维修保养服务。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2"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免费提供中文用户使用手册和维修手册各2套（电子版和纸质版各1套），操作规程电子版和塑封版各一份。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5</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详细列出功能软件和硬件，如不作特殊说明，则视同包含该型号产品厂方最新发布的所有功能软件和所有选配件。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6</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货物使用期限：自货物生产日期起，不少于5年；提供铭牌标识、照片或说明书相关页面复印件；货物无使用期限的，提供说明。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6"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货物生产日期：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7.1</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卖方提供的所有货物必须是全新未使用过的货物；货物生产日期（以产品标签、标识为准）：货物到达医院指定地点之日前6个月内（国产产品）。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64"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7.2</w:t>
            </w:r>
          </w:p>
        </w:tc>
        <w:tc>
          <w:tcPr>
            <w:tcW w:w="8692" w:type="dxa"/>
            <w:tcBorders>
              <w:right w:val="single" w:color="auto" w:sz="4" w:space="0"/>
            </w:tcBorders>
            <w:vAlign w:val="center"/>
          </w:tcPr>
          <w:p>
            <w:pPr>
              <w:keepNext w:val="0"/>
              <w:keepLines w:val="0"/>
              <w:pageBreakBefore w:val="0"/>
              <w:widowControl w:val="0"/>
              <w:kinsoku/>
              <w:wordWrap/>
              <w:overflowPunct/>
              <w:topLinePunct w:val="0"/>
              <w:autoSpaceDN/>
              <w:bidi w:val="0"/>
              <w:adjustRightInd w:val="0"/>
              <w:snapToGrid w:val="0"/>
              <w:spacing w:line="340" w:lineRule="exact"/>
              <w:jc w:val="both"/>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货物生产日期不满足合同要求的，则构成违约，卖方须向买方支付违约款。违约款金额=违约货物分项价格×货物生产日期违约超出时长/货物使用期限（①货物生产日期违约超出时长不足1个月的，按月计；②货物使用期限10年及以上的，按10年计；③货物未标注使用年限的，按5年计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 w:val="0"/>
                <w:bCs w:val="0"/>
                <w:kern w:val="0"/>
                <w:sz w:val="21"/>
                <w:szCs w:val="21"/>
                <w:highlight w:val="cyan"/>
                <w:lang w:val="en-US" w:eastAsia="zh-CN"/>
              </w:rPr>
              <w:t>★</w:t>
            </w:r>
            <w:r>
              <w:rPr>
                <w:rFonts w:hint="eastAsia" w:ascii="宋体" w:hAnsi="宋体" w:eastAsia="宋体" w:cs="宋体"/>
                <w:bCs/>
                <w:sz w:val="21"/>
                <w:szCs w:val="21"/>
                <w:highlight w:val="none"/>
                <w:lang w:val="en-US" w:eastAsia="zh-CN"/>
              </w:rPr>
              <w:t>8</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其他要求：若设备有信息系统接口，则全部免费开放。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9</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提供所投设备的投标设备配套、总体质量性能说明并提供相关证明材料（如设备彩页；检测报告；原厂技术参数表；专利证明；系统功能截图等）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3"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10</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运行、维修成本：提供全保、人工保等各种保修方案及价格，设备配件价格，维修服务费，消耗品或易耗品的使用周期、价格等</w:t>
            </w:r>
          </w:p>
        </w:tc>
      </w:tr>
    </w:tbl>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sz w:val="21"/>
          <w:szCs w:val="21"/>
          <w:highlight w:val="none"/>
          <w:lang w:eastAsia="zh-CN"/>
        </w:rPr>
      </w:pPr>
      <w:r>
        <w:rPr>
          <w:rFonts w:hint="eastAsia" w:ascii="宋体" w:hAnsi="宋体"/>
          <w:color w:val="000000" w:themeColor="text1"/>
          <w:sz w:val="21"/>
          <w:szCs w:val="21"/>
          <w:highlight w:val="none"/>
          <w:lang w:val="en-US" w:eastAsia="zh-CN"/>
          <w14:textFill>
            <w14:solidFill>
              <w14:schemeClr w14:val="tx1"/>
            </w14:solidFill>
          </w14:textFill>
        </w:rPr>
        <w:t>高端多功能监护仪-2</w:t>
      </w:r>
      <w:r>
        <w:rPr>
          <w:rFonts w:hint="eastAsia" w:ascii="宋体" w:hAnsi="宋体" w:eastAsia="宋体" w:cs="宋体"/>
          <w:color w:val="000000"/>
          <w:sz w:val="21"/>
          <w:szCs w:val="21"/>
          <w:highlight w:val="none"/>
        </w:rPr>
        <w:t>技术要求</w:t>
      </w:r>
      <w:r>
        <w:rPr>
          <w:rFonts w:hint="eastAsia" w:ascii="宋体" w:hAnsi="宋体" w:eastAsia="宋体" w:cs="宋体"/>
          <w:color w:val="000000"/>
          <w:sz w:val="21"/>
          <w:szCs w:val="21"/>
          <w:highlight w:val="none"/>
          <w:lang w:eastAsia="zh-CN"/>
        </w:rPr>
        <w:t>：</w:t>
      </w:r>
    </w:p>
    <w:tbl>
      <w:tblPr>
        <w:tblStyle w:val="43"/>
        <w:tblW w:w="9098" w:type="dxa"/>
        <w:tblInd w:w="0" w:type="dxa"/>
        <w:tblLayout w:type="fixed"/>
        <w:tblCellMar>
          <w:top w:w="0" w:type="dxa"/>
          <w:left w:w="108" w:type="dxa"/>
          <w:bottom w:w="0" w:type="dxa"/>
          <w:right w:w="108" w:type="dxa"/>
        </w:tblCellMar>
      </w:tblPr>
      <w:tblGrid>
        <w:gridCol w:w="778"/>
        <w:gridCol w:w="1080"/>
        <w:gridCol w:w="6426"/>
        <w:gridCol w:w="814"/>
      </w:tblGrid>
      <w:tr>
        <w:tblPrEx>
          <w:tblCellMar>
            <w:top w:w="0" w:type="dxa"/>
            <w:left w:w="108" w:type="dxa"/>
            <w:bottom w:w="0" w:type="dxa"/>
            <w:right w:w="108" w:type="dxa"/>
          </w:tblCellMar>
        </w:tblPrEx>
        <w:trPr>
          <w:trHeight w:val="90"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设备</w:t>
            </w:r>
            <w:r>
              <w:rPr>
                <w:rFonts w:hint="eastAsia" w:ascii="宋体" w:hAnsi="宋体" w:eastAsia="宋体" w:cs="宋体"/>
                <w:color w:val="000000"/>
                <w:sz w:val="21"/>
                <w:szCs w:val="21"/>
                <w:highlight w:val="none"/>
              </w:rPr>
              <w:t>名称</w:t>
            </w:r>
          </w:p>
        </w:tc>
        <w:tc>
          <w:tcPr>
            <w:tcW w:w="6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技术参数标准</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r>
      <w:tr>
        <w:tblPrEx>
          <w:tblCellMar>
            <w:top w:w="0" w:type="dxa"/>
            <w:left w:w="108" w:type="dxa"/>
            <w:bottom w:w="0" w:type="dxa"/>
            <w:right w:w="108" w:type="dxa"/>
          </w:tblCellMar>
        </w:tblPrEx>
        <w:trPr>
          <w:trHeight w:val="303"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lang w:eastAsia="zh-CN"/>
              </w:rPr>
            </w:pPr>
            <w:r>
              <w:rPr>
                <w:rFonts w:hint="eastAsia" w:ascii="宋体" w:hAnsi="宋体"/>
                <w:color w:val="000000" w:themeColor="text1"/>
                <w:sz w:val="21"/>
                <w:szCs w:val="21"/>
                <w:highlight w:val="none"/>
                <w:lang w:val="en-US" w:eastAsia="zh-CN"/>
                <w14:textFill>
                  <w14:solidFill>
                    <w14:schemeClr w14:val="tx1"/>
                  </w14:solidFill>
                </w14:textFill>
              </w:rPr>
              <w:t>高端多功能监护仪-2</w:t>
            </w:r>
          </w:p>
        </w:tc>
        <w:tc>
          <w:tcPr>
            <w:tcW w:w="6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主要技术规格：</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1.★模块化插件式床边监护仪，主机、显示屏和插件槽一体化设计，主机模块插槽数≥5个</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2.≥15英寸彩色电容触摸屏，高分辨率≥1920×1080像素，≥8通道显示，显示屏亮度自动调节</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3.可内置高能锂电池，供电时间≥2小时</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4.★配置≥4个USB接口，支持连接鼠标、键盘、条码扫描枪和遥控器等USB设备</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 xml:space="preserve">5.监护仪主机工作温度环境范围：0～40°C </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6.基本功能模块支持心电，呼吸，心率，无创血压，血氧饱和度，脉搏，双通道体温，双通道有创血压的同时监测</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7.ECG支持3/5导心电监测，可选配6/12导联心电监测</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 xml:space="preserve">8.★支持室上性心动过速和SVCs/min等室上性心律失常分析 </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9.心电支持≥2个分析导联实时动态同步分析，并非多个导联波形同屏显示及12导联静息分析</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 xml:space="preserve">10.提供ST段分析功能，适用于成人，小儿和新生儿，支持在专门的窗口中分组显示心脏前壁，下壁和侧壁的ST实时片段和参考片段 </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11.支持RR呼吸率测量，测量范围：1～200rpm</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12.QT和QTc实时监测参数测量范围：200～800 ms</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13.无创血压提供手动、自动间隔、连续、序列、整点五种测量模式</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14.NIBP 成人病人类型收缩压测量：25～290mmHg</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15.配置指套式血氧探头，支持浸泡清洁与消毒，防水等级IPX7</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16.提供双通道体温监测功能， 提供一个体表探头。</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17.提供有创血压监测模块电缆线一条。</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18.支持双通道有创压IBP监测，支持升级多达6通道有创压监测</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19.有创压适用于成人，小儿和新生儿，有创压测量范围：-50～350mmHg</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20.支持IBP波形叠加显示，满足临床对比查看和节约显示空间的需求</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21.标配旁流EtCO2监测模块</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22.具有图形化报警指示功能，帮助医护团队快速识别报警来源</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23.具有报警升级功能，当参数报警经过一定的时间未被处理或伴发了其他报警，就会升级到更高一个级别</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24.具有特殊报警音，当监护仪在病人发生致命性参数报警时，发出特殊的报警音进行提示病人处于危急状态</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25.标配具备血流动力学，药物计算，氧合计算，通气计算和肾功能计算功能</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26.支持≥100小时趋势表和趋势图回顾，最小分辨率1分钟</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27.★支持≥800条事件回顾。每条报警事件至少能够存储32秒三道相关波形</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28.具备≥40小时全息波形的存储与回顾功能</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29.支持≥100小时（分辨率1分钟）ST模板存储与回顾</w:t>
            </w:r>
          </w:p>
          <w:p>
            <w:pPr>
              <w:pStyle w:val="91"/>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30.每4台高端多功能监护仪标配1个麻醉深度BIS模块，麻醉深度BIS支持双频指数（BIS），肌电活动（EMG）,抑制比（SR），频谱边缘频率（SEF）等参数的监测，实现患者麻醉深度的监测。</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4台</w:t>
            </w:r>
          </w:p>
        </w:tc>
      </w:tr>
    </w:tbl>
    <w:p>
      <w:pPr>
        <w:rPr>
          <w:rFonts w:hint="eastAsia" w:ascii="宋体" w:hAnsi="宋体" w:cs="宋体"/>
          <w:b/>
          <w:bCs/>
          <w:color w:val="000000"/>
          <w:sz w:val="24"/>
          <w:szCs w:val="24"/>
          <w:highlight w:val="none"/>
        </w:rPr>
      </w:pPr>
    </w:p>
    <w:p>
      <w:pPr>
        <w:rPr>
          <w:sz w:val="24"/>
          <w:szCs w:val="24"/>
          <w:highlight w:val="none"/>
        </w:rPr>
      </w:pPr>
      <w:r>
        <w:rPr>
          <w:rFonts w:hint="eastAsia" w:ascii="宋体" w:hAnsi="宋体" w:cs="宋体"/>
          <w:b/>
          <w:bCs/>
          <w:color w:val="000000"/>
          <w:sz w:val="24"/>
          <w:szCs w:val="24"/>
          <w:highlight w:val="none"/>
          <w:lang w:val="en-US" w:eastAsia="zh-CN"/>
        </w:rPr>
        <w:t>高端多功能监护仪-2</w:t>
      </w:r>
      <w:r>
        <w:rPr>
          <w:rFonts w:hint="eastAsia"/>
          <w:b/>
          <w:bCs/>
          <w:sz w:val="24"/>
          <w:szCs w:val="24"/>
          <w:highlight w:val="none"/>
        </w:rPr>
        <w:t>商务服务要求（包括但不限于以下内容）</w:t>
      </w:r>
    </w:p>
    <w:tbl>
      <w:tblPr>
        <w:tblStyle w:val="43"/>
        <w:tblW w:w="9459" w:type="dxa"/>
        <w:tblInd w:w="-12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67"/>
        <w:gridCol w:w="86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1" w:hRule="atLeast"/>
        </w:trPr>
        <w:tc>
          <w:tcPr>
            <w:tcW w:w="767" w:type="dxa"/>
            <w:shd w:val="clear" w:color="auto" w:fill="auto"/>
            <w:vAlign w:val="center"/>
          </w:tcPr>
          <w:p>
            <w:pPr>
              <w:keepNext w:val="0"/>
              <w:keepLines w:val="0"/>
              <w:pageBreakBefore w:val="0"/>
              <w:kinsoku/>
              <w:wordWrap/>
              <w:overflowPunct/>
              <w:topLinePunct w:val="0"/>
              <w:autoSpaceDN/>
              <w:bidi w:val="0"/>
              <w:spacing w:line="340" w:lineRule="exact"/>
              <w:jc w:val="both"/>
              <w:rPr>
                <w:rFonts w:hint="eastAsia" w:ascii="宋体" w:hAnsi="宋体" w:eastAsia="宋体" w:cs="宋体"/>
                <w:b/>
                <w:kern w:val="2"/>
                <w:sz w:val="21"/>
                <w:szCs w:val="21"/>
                <w:highlight w:val="none"/>
              </w:rPr>
            </w:pPr>
            <w:r>
              <w:rPr>
                <w:rFonts w:hint="eastAsia" w:ascii="宋体" w:hAnsi="宋体" w:eastAsia="宋体" w:cs="宋体"/>
                <w:b/>
                <w:sz w:val="21"/>
                <w:szCs w:val="21"/>
                <w:highlight w:val="none"/>
              </w:rPr>
              <w:t>序号</w:t>
            </w:r>
          </w:p>
        </w:tc>
        <w:tc>
          <w:tcPr>
            <w:tcW w:w="8692" w:type="dxa"/>
            <w:tcBorders>
              <w:right w:val="single" w:color="auto" w:sz="4" w:space="0"/>
            </w:tcBorders>
            <w:shd w:val="clear" w:color="auto" w:fill="auto"/>
            <w:vAlign w:val="center"/>
          </w:tcPr>
          <w:p>
            <w:pPr>
              <w:keepNext w:val="0"/>
              <w:keepLines w:val="0"/>
              <w:pageBreakBefore w:val="0"/>
              <w:kinsoku/>
              <w:wordWrap/>
              <w:overflowPunct/>
              <w:topLinePunct w:val="0"/>
              <w:autoSpaceDN/>
              <w:bidi w:val="0"/>
              <w:spacing w:line="340" w:lineRule="exact"/>
              <w:jc w:val="center"/>
              <w:rPr>
                <w:rFonts w:hint="eastAsia" w:ascii="宋体" w:hAnsi="宋体" w:eastAsia="宋体" w:cs="宋体"/>
                <w:b/>
                <w:kern w:val="2"/>
                <w:sz w:val="21"/>
                <w:szCs w:val="21"/>
                <w:highlight w:val="none"/>
              </w:rPr>
            </w:pPr>
            <w:r>
              <w:rPr>
                <w:rFonts w:hint="eastAsia" w:ascii="宋体" w:hAnsi="宋体" w:eastAsia="宋体" w:cs="宋体"/>
                <w:b/>
                <w:sz w:val="21"/>
                <w:szCs w:val="21"/>
                <w:highlight w:val="none"/>
              </w:rPr>
              <w:t>招标要求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7"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整机（含配件）原厂保修自安装验收合格次日起≥8年，设备过保后，厂家承诺免费上门，先维修后付款。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7"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8692" w:type="dxa"/>
            <w:tcBorders>
              <w:right w:val="single" w:color="auto" w:sz="4" w:space="0"/>
            </w:tcBorders>
            <w:vAlign w:val="center"/>
          </w:tcPr>
          <w:p>
            <w:pPr>
              <w:keepNext w:val="0"/>
              <w:keepLines w:val="0"/>
              <w:pageBreakBefore w:val="0"/>
              <w:widowControl w:val="0"/>
              <w:kinsoku/>
              <w:wordWrap/>
              <w:overflowPunct/>
              <w:topLinePunct w:val="0"/>
              <w:autoSpaceDN/>
              <w:bidi w:val="0"/>
              <w:adjustRightInd w:val="0"/>
              <w:snapToGrid w:val="0"/>
              <w:spacing w:line="340" w:lineRule="exact"/>
              <w:jc w:val="both"/>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维修响应时间≤2小时，24小时内上门维修（包括节假日），提供24小时维修电话，提供消耗品和保修期后常用零配件的供应价格与折扣。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6"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p>
        </w:tc>
        <w:tc>
          <w:tcPr>
            <w:tcW w:w="8692" w:type="dxa"/>
            <w:tcBorders>
              <w:right w:val="single" w:color="auto" w:sz="4" w:space="0"/>
            </w:tcBorders>
            <w:vAlign w:val="center"/>
          </w:tcPr>
          <w:p>
            <w:pPr>
              <w:keepNext w:val="0"/>
              <w:keepLines w:val="0"/>
              <w:pageBreakBefore w:val="0"/>
              <w:kinsoku/>
              <w:wordWrap/>
              <w:overflowPunct/>
              <w:topLinePunct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保修期内免费提供至少每年2次的上门维修保养服务。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2"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免费提供中文用户使用手册和维修手册各2套（电子版和纸质版各1套），操作规程电子版和塑封版各一份。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5</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详细列出功能软件和硬件，如不作特殊说明，则视同包含该型号产品厂方最新发布的所有功能软件和所有选配件。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6</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货物使用期限：自货物生产日期起，不少于5年；提供铭牌标识、照片或说明书相关页面复印件；货物无使用期限的，提供说明。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6"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货物生产日期：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7.1</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卖方提供的所有货物必须是全新未使用过的货物；货物生产日期（以产品标签、标识为准）：货物到达医院指定地点之日前6个月内（国产产品）。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64"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7.2</w:t>
            </w:r>
          </w:p>
        </w:tc>
        <w:tc>
          <w:tcPr>
            <w:tcW w:w="8692" w:type="dxa"/>
            <w:tcBorders>
              <w:right w:val="single" w:color="auto" w:sz="4" w:space="0"/>
            </w:tcBorders>
            <w:vAlign w:val="center"/>
          </w:tcPr>
          <w:p>
            <w:pPr>
              <w:keepNext w:val="0"/>
              <w:keepLines w:val="0"/>
              <w:pageBreakBefore w:val="0"/>
              <w:widowControl w:val="0"/>
              <w:kinsoku/>
              <w:wordWrap/>
              <w:overflowPunct/>
              <w:topLinePunct w:val="0"/>
              <w:autoSpaceDN/>
              <w:bidi w:val="0"/>
              <w:adjustRightInd w:val="0"/>
              <w:snapToGrid w:val="0"/>
              <w:spacing w:line="340" w:lineRule="exact"/>
              <w:jc w:val="both"/>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货物生产日期不满足合同要求的，则构成违约，卖方须向买方支付违约款。违约款金额=违约货物分项价格×货物生产日期违约超出时长/货物使用期限（①货物生产日期违约超出时长不足1个月的，按月计；②货物使用期限10年及以上的，按10年计；③货物未标注使用年限的，按5年计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 w:val="0"/>
                <w:bCs w:val="0"/>
                <w:kern w:val="0"/>
                <w:sz w:val="21"/>
                <w:szCs w:val="21"/>
                <w:highlight w:val="cyan"/>
                <w:lang w:val="en-US" w:eastAsia="zh-CN"/>
              </w:rPr>
              <w:t>★</w:t>
            </w:r>
            <w:r>
              <w:rPr>
                <w:rFonts w:hint="eastAsia" w:ascii="宋体" w:hAnsi="宋体" w:eastAsia="宋体" w:cs="宋体"/>
                <w:bCs/>
                <w:sz w:val="21"/>
                <w:szCs w:val="21"/>
                <w:highlight w:val="none"/>
                <w:lang w:val="en-US" w:eastAsia="zh-CN"/>
              </w:rPr>
              <w:t>8</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 xml:space="preserve"> 其他要求：若设备有信息系统接口，则全部免费开放。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9</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提供所投设备的投标设备配套、总体质量性能说明并提供相关证明材料（如设备彩页；检测报告；原厂技术参数表；专利证明；系统功能截图等）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3" w:hRule="atLeast"/>
        </w:trPr>
        <w:tc>
          <w:tcPr>
            <w:tcW w:w="767" w:type="dxa"/>
            <w:vAlign w:val="center"/>
          </w:tcPr>
          <w:p>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10</w:t>
            </w:r>
          </w:p>
        </w:tc>
        <w:tc>
          <w:tcPr>
            <w:tcW w:w="8692" w:type="dxa"/>
            <w:tcBorders>
              <w:right w:val="single" w:color="auto" w:sz="4" w:space="0"/>
            </w:tcBorders>
            <w:vAlign w:val="center"/>
          </w:tcPr>
          <w:p>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运行、维修成本：提供全保、人工保等各种保修方案及价格，设备配件价格，维修服务费，消耗品或易耗品的使用周期、价格等</w:t>
            </w:r>
          </w:p>
        </w:tc>
      </w:tr>
    </w:tbl>
    <w:p>
      <w:pPr>
        <w:rPr>
          <w:rFonts w:hint="eastAsia"/>
          <w:color w:val="000000" w:themeColor="text1"/>
          <w:highlight w:val="none"/>
          <w14:textFill>
            <w14:solidFill>
              <w14:schemeClr w14:val="tx1"/>
            </w14:solidFill>
          </w14:textFill>
        </w:rPr>
      </w:pPr>
    </w:p>
    <w:p>
      <w:pPr>
        <w:pStyle w:val="2"/>
        <w:spacing w:before="0" w:after="0" w:line="360" w:lineRule="auto"/>
        <w:jc w:val="center"/>
        <w:rPr>
          <w:rFonts w:hint="eastAsia"/>
          <w:color w:val="000000" w:themeColor="text1"/>
          <w:highlight w:val="none"/>
          <w14:textFill>
            <w14:solidFill>
              <w14:schemeClr w14:val="tx1"/>
            </w14:solidFill>
          </w14:textFill>
        </w:rPr>
      </w:pPr>
    </w:p>
    <w:p>
      <w:pPr>
        <w:pStyle w:val="2"/>
        <w:spacing w:before="0" w:after="0" w:line="360" w:lineRule="auto"/>
        <w:jc w:val="center"/>
        <w:rPr>
          <w:rFonts w:hint="eastAsia"/>
          <w:color w:val="000000" w:themeColor="text1"/>
          <w:highlight w:val="none"/>
          <w14:textFill>
            <w14:solidFill>
              <w14:schemeClr w14:val="tx1"/>
            </w14:solidFill>
          </w14:textFill>
        </w:rPr>
      </w:pPr>
    </w:p>
    <w:p>
      <w:pPr>
        <w:pStyle w:val="2"/>
        <w:spacing w:before="0" w:after="0"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第五部分  合同条款</w:t>
      </w:r>
      <w:bookmarkEnd w:id="74"/>
    </w:p>
    <w:p>
      <w:pPr>
        <w:pStyle w:val="17"/>
        <w:spacing w:after="0"/>
        <w:ind w:firstLine="884"/>
        <w:jc w:val="center"/>
        <w:rPr>
          <w:rFonts w:hint="eastAsia" w:ascii="宋体" w:hAnsi="宋体" w:cs="宋体"/>
          <w:b/>
          <w:bCs/>
          <w:spacing w:val="-20"/>
          <w:kern w:val="44"/>
          <w:sz w:val="28"/>
          <w:szCs w:val="28"/>
          <w:highlight w:val="none"/>
        </w:rPr>
      </w:pPr>
    </w:p>
    <w:p>
      <w:pPr>
        <w:pStyle w:val="17"/>
        <w:spacing w:after="0"/>
        <w:ind w:firstLine="884"/>
        <w:jc w:val="center"/>
        <w:rPr>
          <w:rFonts w:hint="eastAsia" w:ascii="宋体" w:hAnsi="宋体" w:cs="宋体"/>
          <w:b/>
          <w:bCs/>
          <w:spacing w:val="-20"/>
          <w:kern w:val="44"/>
          <w:sz w:val="28"/>
          <w:szCs w:val="28"/>
          <w:highlight w:val="none"/>
        </w:rPr>
      </w:pPr>
      <w:r>
        <w:rPr>
          <w:rFonts w:hint="eastAsia" w:ascii="宋体" w:hAnsi="宋体" w:cs="宋体"/>
          <w:b/>
          <w:bCs/>
          <w:spacing w:val="-20"/>
          <w:kern w:val="44"/>
          <w:sz w:val="28"/>
          <w:szCs w:val="28"/>
          <w:highlight w:val="none"/>
        </w:rPr>
        <w:t>政府采购货物买卖合同</w:t>
      </w:r>
    </w:p>
    <w:p>
      <w:pPr>
        <w:pStyle w:val="17"/>
        <w:spacing w:after="0"/>
        <w:ind w:firstLine="884"/>
        <w:jc w:val="center"/>
        <w:rPr>
          <w:rFonts w:hint="eastAsia" w:ascii="宋体" w:hAnsi="宋体" w:cs="宋体"/>
          <w:b/>
          <w:bCs/>
          <w:spacing w:val="-20"/>
          <w:kern w:val="44"/>
          <w:sz w:val="28"/>
          <w:szCs w:val="28"/>
          <w:highlight w:val="none"/>
        </w:rPr>
      </w:pPr>
      <w:r>
        <w:rPr>
          <w:rFonts w:hint="eastAsia" w:ascii="宋体" w:hAnsi="宋体" w:cs="宋体"/>
          <w:b/>
          <w:bCs/>
          <w:spacing w:val="-20"/>
          <w:kern w:val="44"/>
          <w:sz w:val="28"/>
          <w:szCs w:val="28"/>
          <w:highlight w:val="none"/>
        </w:rPr>
        <w:t>（试行）</w:t>
      </w:r>
    </w:p>
    <w:p>
      <w:pPr>
        <w:ind w:firstLine="342"/>
        <w:rPr>
          <w:rFonts w:hint="eastAsia" w:ascii="宋体" w:hAnsi="宋体" w:cs="宋体"/>
          <w:b/>
          <w:bCs/>
          <w:spacing w:val="-20"/>
          <w:kern w:val="44"/>
          <w:sz w:val="21"/>
          <w:szCs w:val="21"/>
          <w:highlight w:val="none"/>
        </w:rPr>
      </w:pPr>
    </w:p>
    <w:p>
      <w:pPr>
        <w:ind w:firstLine="342"/>
        <w:rPr>
          <w:rFonts w:hint="eastAsia" w:ascii="宋体" w:hAnsi="宋体" w:cs="宋体"/>
          <w:b/>
          <w:bCs/>
          <w:spacing w:val="-20"/>
          <w:kern w:val="44"/>
          <w:sz w:val="21"/>
          <w:szCs w:val="21"/>
          <w:highlight w:val="none"/>
        </w:rPr>
      </w:pPr>
    </w:p>
    <w:p>
      <w:pPr>
        <w:ind w:firstLine="342"/>
        <w:rPr>
          <w:rFonts w:hint="eastAsia" w:ascii="宋体" w:hAnsi="宋体" w:cs="宋体"/>
          <w:b/>
          <w:bCs/>
          <w:spacing w:val="-20"/>
          <w:kern w:val="44"/>
          <w:sz w:val="21"/>
          <w:szCs w:val="21"/>
          <w:highlight w:val="none"/>
        </w:rPr>
      </w:pPr>
    </w:p>
    <w:p>
      <w:pPr>
        <w:spacing w:line="360" w:lineRule="auto"/>
        <w:ind w:left="400" w:leftChars="200" w:firstLine="420"/>
        <w:rPr>
          <w:rFonts w:hint="eastAsia" w:ascii="宋体" w:hAnsi="宋体" w:cs="宋体"/>
          <w:sz w:val="21"/>
          <w:szCs w:val="21"/>
          <w:highlight w:val="none"/>
        </w:rPr>
      </w:pPr>
      <w:r>
        <w:rPr>
          <w:rFonts w:hint="eastAsia" w:ascii="宋体" w:hAnsi="宋体" w:cs="宋体"/>
          <w:sz w:val="21"/>
          <w:szCs w:val="21"/>
          <w:highlight w:val="none"/>
        </w:rPr>
        <w:t>项目名称：</w:t>
      </w:r>
      <w:r>
        <w:rPr>
          <w:rFonts w:hint="eastAsia" w:ascii="宋体" w:hAnsi="宋体" w:cs="宋体"/>
          <w:sz w:val="21"/>
          <w:szCs w:val="21"/>
          <w:highlight w:val="none"/>
          <w:u w:val="single"/>
        </w:rPr>
        <w:t xml:space="preserve">                             </w:t>
      </w:r>
    </w:p>
    <w:p>
      <w:pPr>
        <w:spacing w:line="360" w:lineRule="auto"/>
        <w:ind w:left="400" w:leftChars="200" w:firstLine="420"/>
        <w:rPr>
          <w:rFonts w:hint="eastAsia" w:ascii="宋体" w:hAnsi="宋体" w:cs="宋体"/>
          <w:sz w:val="21"/>
          <w:szCs w:val="21"/>
          <w:highlight w:val="none"/>
          <w:u w:val="single"/>
        </w:rPr>
      </w:pPr>
      <w:r>
        <w:rPr>
          <w:rFonts w:hint="eastAsia" w:ascii="宋体" w:hAnsi="宋体" w:cs="宋体"/>
          <w:sz w:val="21"/>
          <w:szCs w:val="21"/>
          <w:highlight w:val="none"/>
        </w:rPr>
        <w:t>合同编号：</w:t>
      </w:r>
      <w:r>
        <w:rPr>
          <w:rFonts w:hint="eastAsia" w:ascii="宋体" w:hAnsi="宋体" w:cs="宋体"/>
          <w:sz w:val="21"/>
          <w:szCs w:val="21"/>
          <w:highlight w:val="none"/>
          <w:u w:val="single"/>
        </w:rPr>
        <w:t xml:space="preserve">                             </w:t>
      </w:r>
    </w:p>
    <w:p>
      <w:pPr>
        <w:spacing w:line="360" w:lineRule="auto"/>
        <w:ind w:left="400" w:leftChars="200" w:firstLine="420"/>
        <w:rPr>
          <w:rFonts w:hint="eastAsia" w:ascii="宋体" w:hAnsi="宋体" w:cs="宋体"/>
          <w:sz w:val="21"/>
          <w:szCs w:val="21"/>
          <w:highlight w:val="none"/>
        </w:rPr>
      </w:pPr>
      <w:r>
        <w:rPr>
          <w:rFonts w:hint="eastAsia" w:ascii="宋体" w:hAnsi="宋体" w:cs="宋体"/>
          <w:sz w:val="21"/>
          <w:szCs w:val="21"/>
          <w:highlight w:val="none"/>
        </w:rPr>
        <w:t>甲    方：</w:t>
      </w:r>
      <w:r>
        <w:rPr>
          <w:rFonts w:hint="eastAsia" w:ascii="宋体" w:hAnsi="宋体" w:cs="宋体"/>
          <w:sz w:val="21"/>
          <w:szCs w:val="21"/>
          <w:highlight w:val="none"/>
          <w:u w:val="single"/>
        </w:rPr>
        <w:t xml:space="preserve">                             </w:t>
      </w:r>
    </w:p>
    <w:p>
      <w:pPr>
        <w:spacing w:line="360" w:lineRule="auto"/>
        <w:ind w:left="400" w:leftChars="200" w:firstLine="420"/>
        <w:rPr>
          <w:rFonts w:hint="eastAsia" w:ascii="宋体" w:hAnsi="宋体" w:cs="宋体"/>
          <w:sz w:val="21"/>
          <w:szCs w:val="21"/>
          <w:highlight w:val="none"/>
          <w:u w:val="single"/>
        </w:rPr>
      </w:pPr>
      <w:r>
        <w:rPr>
          <w:rFonts w:hint="eastAsia" w:ascii="宋体" w:hAnsi="宋体" w:cs="宋体"/>
          <w:sz w:val="21"/>
          <w:szCs w:val="21"/>
          <w:highlight w:val="none"/>
        </w:rPr>
        <w:t>乙    方：</w:t>
      </w:r>
      <w:r>
        <w:rPr>
          <w:rFonts w:hint="eastAsia" w:ascii="宋体" w:hAnsi="宋体" w:cs="宋体"/>
          <w:sz w:val="21"/>
          <w:szCs w:val="21"/>
          <w:highlight w:val="none"/>
          <w:u w:val="single"/>
        </w:rPr>
        <w:t xml:space="preserve">                             </w:t>
      </w:r>
    </w:p>
    <w:p>
      <w:pPr>
        <w:spacing w:line="360" w:lineRule="auto"/>
        <w:ind w:left="400" w:leftChars="200" w:firstLine="420"/>
        <w:rPr>
          <w:rFonts w:hint="eastAsia" w:ascii="宋体" w:hAnsi="宋体" w:cs="宋体"/>
          <w:sz w:val="21"/>
          <w:szCs w:val="21"/>
          <w:highlight w:val="none"/>
        </w:rPr>
      </w:pPr>
      <w:r>
        <w:rPr>
          <w:rFonts w:hint="eastAsia" w:ascii="宋体" w:hAnsi="宋体" w:cs="宋体"/>
          <w:sz w:val="21"/>
          <w:szCs w:val="21"/>
          <w:highlight w:val="none"/>
        </w:rPr>
        <w:t>签订时间：</w:t>
      </w:r>
      <w:r>
        <w:rPr>
          <w:rFonts w:hint="eastAsia" w:ascii="宋体" w:hAnsi="宋体" w:cs="宋体"/>
          <w:sz w:val="21"/>
          <w:szCs w:val="21"/>
          <w:highlight w:val="none"/>
          <w:u w:val="single"/>
        </w:rPr>
        <w:t xml:space="preserve">                             </w:t>
      </w:r>
    </w:p>
    <w:p>
      <w:pPr>
        <w:ind w:firstLine="420"/>
        <w:rPr>
          <w:rFonts w:hint="eastAsia" w:ascii="宋体" w:hAnsi="宋体" w:cs="宋体"/>
          <w:sz w:val="21"/>
          <w:szCs w:val="21"/>
          <w:highlight w:val="none"/>
        </w:rPr>
      </w:pPr>
    </w:p>
    <w:p>
      <w:pPr>
        <w:ind w:firstLine="420"/>
        <w:rPr>
          <w:rFonts w:hint="eastAsia" w:ascii="宋体" w:hAnsi="宋体" w:cs="宋体"/>
          <w:sz w:val="21"/>
          <w:szCs w:val="21"/>
          <w:highlight w:val="none"/>
        </w:rPr>
      </w:pPr>
      <w:r>
        <w:rPr>
          <w:rFonts w:hint="eastAsia" w:ascii="宋体" w:hAnsi="宋体" w:cs="宋体"/>
          <w:sz w:val="21"/>
          <w:szCs w:val="21"/>
          <w:highlight w:val="none"/>
        </w:rPr>
        <w:br w:type="page"/>
      </w:r>
    </w:p>
    <w:p>
      <w:pPr>
        <w:ind w:firstLine="420"/>
        <w:jc w:val="center"/>
        <w:rPr>
          <w:rFonts w:hint="eastAsia" w:ascii="宋体" w:hAnsi="宋体" w:cs="宋体"/>
          <w:sz w:val="21"/>
          <w:szCs w:val="21"/>
          <w:highlight w:val="none"/>
        </w:rPr>
      </w:pPr>
      <w:r>
        <w:rPr>
          <w:rFonts w:hint="eastAsia" w:ascii="宋体" w:hAnsi="宋体" w:cs="宋体"/>
          <w:sz w:val="21"/>
          <w:szCs w:val="21"/>
          <w:highlight w:val="none"/>
        </w:rPr>
        <w:t>使 用 说 明</w:t>
      </w:r>
    </w:p>
    <w:p>
      <w:pPr>
        <w:ind w:firstLine="420" w:firstLineChars="200"/>
        <w:rPr>
          <w:rFonts w:hint="eastAsia" w:ascii="宋体" w:hAnsi="宋体" w:cs="宋体"/>
          <w:sz w:val="21"/>
          <w:szCs w:val="21"/>
          <w:highlight w:val="none"/>
        </w:rPr>
      </w:pPr>
    </w:p>
    <w:p>
      <w:pPr>
        <w:ind w:firstLine="420" w:firstLineChars="200"/>
        <w:rPr>
          <w:rFonts w:hint="eastAsia" w:ascii="宋体" w:hAnsi="宋体" w:cs="宋体"/>
          <w:sz w:val="21"/>
          <w:szCs w:val="21"/>
          <w:highlight w:val="none"/>
        </w:rPr>
      </w:pPr>
      <w:r>
        <w:rPr>
          <w:rFonts w:hint="eastAsia" w:ascii="宋体" w:hAnsi="宋体" w:cs="宋体"/>
          <w:sz w:val="21"/>
          <w:szCs w:val="21"/>
          <w:highlight w:val="none"/>
        </w:rPr>
        <w:t>1.本合同标准文本适用于购买现成货物的采购项目，不包括需要供应商定制开发、创新研发的货物采购项目。</w:t>
      </w:r>
    </w:p>
    <w:p>
      <w:pPr>
        <w:ind w:firstLine="420"/>
        <w:rPr>
          <w:rFonts w:hint="eastAsia" w:ascii="宋体" w:hAnsi="宋体" w:cs="宋体"/>
          <w:sz w:val="21"/>
          <w:szCs w:val="21"/>
          <w:highlight w:val="none"/>
        </w:rPr>
      </w:pPr>
      <w:r>
        <w:rPr>
          <w:rFonts w:hint="eastAsia" w:ascii="宋体" w:hAnsi="宋体" w:cs="宋体"/>
          <w:sz w:val="21"/>
          <w:szCs w:val="21"/>
          <w:highlight w:val="none"/>
        </w:rPr>
        <w:t xml:space="preserve">   2.本合同标准文本为政府采购货物买卖合同编制提供参考，可以结合采购项目具体情况，对文本作必要的调整修订后使用。</w:t>
      </w:r>
    </w:p>
    <w:p>
      <w:pPr>
        <w:ind w:firstLine="420" w:firstLineChars="200"/>
        <w:rPr>
          <w:rFonts w:hint="eastAsia" w:ascii="宋体" w:hAnsi="宋体" w:cs="宋体"/>
          <w:sz w:val="21"/>
          <w:szCs w:val="21"/>
          <w:highlight w:val="none"/>
        </w:rPr>
      </w:pPr>
      <w:r>
        <w:rPr>
          <w:rFonts w:hint="eastAsia" w:ascii="宋体" w:hAnsi="宋体" w:cs="宋体"/>
          <w:sz w:val="21"/>
          <w:szCs w:val="21"/>
          <w:highlight w:val="none"/>
        </w:rPr>
        <w:t>3.本合同标准文本各条款中，如涉及填写多家供应商、制造商，多种采购标的、分包主要内容等信息的，可根据采购项目具体情况添加信息项。</w:t>
      </w:r>
    </w:p>
    <w:p>
      <w:pPr>
        <w:ind w:firstLine="420" w:firstLineChars="200"/>
        <w:jc w:val="both"/>
        <w:rPr>
          <w:rFonts w:hint="eastAsia" w:ascii="宋体" w:hAnsi="宋体" w:cs="宋体"/>
          <w:sz w:val="21"/>
          <w:szCs w:val="21"/>
          <w:highlight w:val="none"/>
        </w:rPr>
        <w:sectPr>
          <w:footerReference r:id="rId6" w:type="default"/>
          <w:pgSz w:w="11906" w:h="16838"/>
          <w:pgMar w:top="1304" w:right="1304" w:bottom="1304" w:left="1417" w:header="851" w:footer="992" w:gutter="0"/>
          <w:pgNumType w:fmt="decimal" w:start="1"/>
          <w:cols w:space="720" w:num="1"/>
          <w:docGrid w:type="lines" w:linePitch="312" w:charSpace="0"/>
        </w:sectPr>
      </w:pPr>
    </w:p>
    <w:p>
      <w:pPr>
        <w:pStyle w:val="3"/>
        <w:adjustRightInd w:val="0"/>
        <w:snapToGrid w:val="0"/>
        <w:spacing w:line="400" w:lineRule="exact"/>
        <w:ind w:firstLine="420"/>
        <w:jc w:val="center"/>
        <w:rPr>
          <w:rFonts w:hint="eastAsia" w:ascii="黑体" w:hAnsi="华文中宋"/>
          <w:b w:val="0"/>
          <w:sz w:val="21"/>
          <w:szCs w:val="21"/>
          <w:highlight w:val="none"/>
        </w:rPr>
      </w:pPr>
      <w:bookmarkStart w:id="75" w:name="_Toc22209"/>
      <w:r>
        <w:rPr>
          <w:rFonts w:hint="eastAsia" w:ascii="黑体" w:hAnsi="黑体"/>
          <w:b w:val="0"/>
          <w:sz w:val="21"/>
          <w:szCs w:val="21"/>
          <w:highlight w:val="none"/>
        </w:rPr>
        <w:t xml:space="preserve">第一节 </w:t>
      </w:r>
      <w:r>
        <w:rPr>
          <w:rFonts w:hint="eastAsia" w:ascii="黑体" w:hAnsi="华文中宋"/>
          <w:b w:val="0"/>
          <w:sz w:val="21"/>
          <w:szCs w:val="21"/>
          <w:highlight w:val="none"/>
        </w:rPr>
        <w:t>政府采购合同协议书</w:t>
      </w:r>
      <w:bookmarkEnd w:id="75"/>
    </w:p>
    <w:p>
      <w:pPr>
        <w:pStyle w:val="3"/>
        <w:adjustRightInd w:val="0"/>
        <w:snapToGrid w:val="0"/>
        <w:spacing w:line="400" w:lineRule="exact"/>
        <w:ind w:firstLine="420"/>
        <w:jc w:val="center"/>
        <w:rPr>
          <w:rFonts w:hint="eastAsia" w:ascii="黑体" w:hAnsi="华文中宋"/>
          <w:b w:val="0"/>
          <w:sz w:val="21"/>
          <w:szCs w:val="21"/>
          <w:highlight w:val="none"/>
        </w:rPr>
      </w:pPr>
    </w:p>
    <w:p>
      <w:pPr>
        <w:adjustRightInd w:val="0"/>
        <w:snapToGrid w:val="0"/>
        <w:spacing w:line="400" w:lineRule="exact"/>
        <w:ind w:firstLine="420"/>
        <w:rPr>
          <w:rFonts w:hint="eastAsia" w:ascii="宋体" w:hAnsi="宋体"/>
          <w:sz w:val="21"/>
          <w:szCs w:val="21"/>
          <w:highlight w:val="none"/>
        </w:rPr>
      </w:pPr>
      <w:r>
        <w:rPr>
          <w:rFonts w:hint="eastAsia" w:ascii="宋体" w:hAnsi="宋体"/>
          <w:sz w:val="21"/>
          <w:szCs w:val="21"/>
          <w:highlight w:val="none"/>
        </w:rPr>
        <w:t>甲方（全称）：</w:t>
      </w:r>
      <w:r>
        <w:rPr>
          <w:rFonts w:hint="eastAsia" w:ascii="宋体" w:hAnsi="宋体"/>
          <w:sz w:val="21"/>
          <w:szCs w:val="21"/>
          <w:highlight w:val="none"/>
          <w:u w:val="single"/>
        </w:rPr>
        <w:t xml:space="preserve">                        </w:t>
      </w:r>
      <w:r>
        <w:rPr>
          <w:rFonts w:hint="eastAsia" w:ascii="宋体" w:hAnsi="宋体"/>
          <w:sz w:val="21"/>
          <w:szCs w:val="21"/>
          <w:highlight w:val="none"/>
        </w:rPr>
        <w:t>（采购人、受采购人委托签订合同的单位或采购</w:t>
      </w:r>
      <w:r>
        <w:rPr>
          <w:rFonts w:hint="eastAsia" w:ascii="宋体" w:hAnsi="宋体"/>
          <w:sz w:val="21"/>
          <w:szCs w:val="21"/>
          <w:highlight w:val="none"/>
        </w:rPr>
        <w:tab/>
      </w:r>
      <w:r>
        <w:rPr>
          <w:rFonts w:hint="eastAsia" w:ascii="宋体" w:hAnsi="宋体"/>
          <w:sz w:val="21"/>
          <w:szCs w:val="21"/>
          <w:highlight w:val="none"/>
        </w:rPr>
        <w:t xml:space="preserve">                                   文件约定的合同甲方）</w:t>
      </w:r>
    </w:p>
    <w:p>
      <w:pPr>
        <w:adjustRightInd w:val="0"/>
        <w:snapToGrid w:val="0"/>
        <w:spacing w:line="400" w:lineRule="exact"/>
        <w:ind w:firstLine="420"/>
        <w:rPr>
          <w:rFonts w:hint="eastAsia" w:ascii="宋体" w:hAnsi="宋体"/>
          <w:sz w:val="21"/>
          <w:szCs w:val="21"/>
          <w:highlight w:val="none"/>
        </w:rPr>
      </w:pPr>
      <w:r>
        <w:rPr>
          <w:rFonts w:hint="eastAsia" w:ascii="宋体" w:hAnsi="宋体"/>
          <w:sz w:val="21"/>
          <w:szCs w:val="21"/>
          <w:highlight w:val="none"/>
        </w:rPr>
        <w:t>乙方1（全称）：</w:t>
      </w:r>
      <w:r>
        <w:rPr>
          <w:rFonts w:hint="eastAsia" w:ascii="宋体" w:hAnsi="宋体"/>
          <w:sz w:val="21"/>
          <w:szCs w:val="21"/>
          <w:highlight w:val="none"/>
          <w:u w:val="single"/>
        </w:rPr>
        <w:t xml:space="preserve">                       </w:t>
      </w:r>
      <w:r>
        <w:rPr>
          <w:rFonts w:hint="eastAsia" w:ascii="宋体" w:hAnsi="宋体"/>
          <w:sz w:val="21"/>
          <w:szCs w:val="21"/>
          <w:highlight w:val="none"/>
        </w:rPr>
        <w:t>（供应商）</w:t>
      </w:r>
    </w:p>
    <w:p>
      <w:pPr>
        <w:adjustRightInd w:val="0"/>
        <w:snapToGrid w:val="0"/>
        <w:spacing w:line="400" w:lineRule="exact"/>
        <w:ind w:firstLine="420"/>
        <w:rPr>
          <w:rFonts w:hint="eastAsia" w:ascii="宋体" w:hAnsi="宋体"/>
          <w:sz w:val="21"/>
          <w:szCs w:val="21"/>
          <w:highlight w:val="none"/>
        </w:rPr>
      </w:pPr>
      <w:r>
        <w:rPr>
          <w:rFonts w:hint="eastAsia" w:ascii="宋体" w:hAnsi="宋体"/>
          <w:sz w:val="21"/>
          <w:szCs w:val="21"/>
          <w:highlight w:val="none"/>
        </w:rPr>
        <w:t>乙方2（全称）：</w:t>
      </w:r>
      <w:r>
        <w:rPr>
          <w:rFonts w:hint="eastAsia" w:ascii="宋体" w:hAnsi="宋体"/>
          <w:sz w:val="21"/>
          <w:szCs w:val="21"/>
          <w:highlight w:val="none"/>
          <w:u w:val="single"/>
        </w:rPr>
        <w:t xml:space="preserve">                        </w:t>
      </w:r>
      <w:r>
        <w:rPr>
          <w:rFonts w:hint="eastAsia" w:ascii="宋体" w:hAnsi="宋体"/>
          <w:sz w:val="21"/>
          <w:szCs w:val="21"/>
          <w:highlight w:val="none"/>
        </w:rPr>
        <w:t>（联合体成员供应商或其他合同主体）（如有）</w:t>
      </w:r>
    </w:p>
    <w:p>
      <w:pPr>
        <w:adjustRightInd w:val="0"/>
        <w:snapToGrid w:val="0"/>
        <w:spacing w:line="400" w:lineRule="exact"/>
        <w:ind w:firstLine="420"/>
        <w:rPr>
          <w:rFonts w:hint="eastAsia" w:ascii="宋体" w:hAnsi="宋体"/>
          <w:sz w:val="21"/>
          <w:szCs w:val="21"/>
          <w:highlight w:val="none"/>
        </w:rPr>
      </w:pPr>
      <w:r>
        <w:rPr>
          <w:rFonts w:hint="eastAsia"/>
          <w:sz w:val="21"/>
          <w:szCs w:val="21"/>
          <w:highlight w:val="none"/>
        </w:rPr>
        <w:t>乙方</w:t>
      </w:r>
      <w:r>
        <w:rPr>
          <w:rFonts w:hint="eastAsia" w:ascii="宋体" w:hAnsi="宋体"/>
          <w:sz w:val="21"/>
          <w:szCs w:val="21"/>
          <w:highlight w:val="none"/>
        </w:rPr>
        <w:t>3</w:t>
      </w:r>
      <w:r>
        <w:rPr>
          <w:rFonts w:hint="eastAsia"/>
          <w:sz w:val="21"/>
          <w:szCs w:val="21"/>
          <w:highlight w:val="none"/>
        </w:rPr>
        <w:t>（全称）</w:t>
      </w:r>
      <w:r>
        <w:rPr>
          <w:rFonts w:hint="eastAsia" w:ascii="宋体" w:hAnsi="宋体"/>
          <w:sz w:val="21"/>
          <w:szCs w:val="21"/>
          <w:highlight w:val="none"/>
          <w:u w:val="single"/>
        </w:rPr>
        <w:t xml:space="preserve">                          </w:t>
      </w:r>
      <w:r>
        <w:rPr>
          <w:rFonts w:hint="eastAsia" w:ascii="宋体" w:hAnsi="宋体"/>
          <w:sz w:val="21"/>
          <w:szCs w:val="21"/>
          <w:highlight w:val="none"/>
        </w:rPr>
        <w:t>（联合体成员供应商或其他合同主体）（如有）</w:t>
      </w:r>
    </w:p>
    <w:p>
      <w:pPr>
        <w:spacing w:line="400" w:lineRule="exact"/>
        <w:ind w:firstLine="420"/>
        <w:rPr>
          <w:sz w:val="21"/>
          <w:szCs w:val="21"/>
          <w:highlight w:val="none"/>
        </w:rPr>
      </w:pPr>
    </w:p>
    <w:p>
      <w:pPr>
        <w:pStyle w:val="18"/>
        <w:adjustRightInd w:val="0"/>
        <w:snapToGrid w:val="0"/>
        <w:spacing w:after="0" w:line="400" w:lineRule="exact"/>
        <w:ind w:left="0" w:leftChars="0" w:firstLine="420" w:firstLineChars="200"/>
        <w:rPr>
          <w:rFonts w:hint="eastAsia" w:ascii="宋体" w:hAnsi="宋体"/>
          <w:sz w:val="21"/>
          <w:szCs w:val="21"/>
          <w:highlight w:val="none"/>
        </w:rPr>
      </w:pPr>
      <w:r>
        <w:rPr>
          <w:rFonts w:hint="eastAsia" w:ascii="宋体" w:hAnsi="宋体"/>
          <w:sz w:val="21"/>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5"/>
        </w:numPr>
        <w:adjustRightInd w:val="0"/>
        <w:snapToGrid w:val="0"/>
        <w:spacing w:line="400" w:lineRule="exact"/>
        <w:ind w:firstLine="422" w:firstLineChars="200"/>
        <w:rPr>
          <w:rFonts w:hint="eastAsia" w:ascii="宋体" w:hAnsi="宋体"/>
          <w:b/>
          <w:sz w:val="21"/>
          <w:szCs w:val="21"/>
          <w:highlight w:val="none"/>
        </w:rPr>
      </w:pPr>
      <w:r>
        <w:rPr>
          <w:rFonts w:hint="eastAsia" w:ascii="宋体" w:hAnsi="宋体"/>
          <w:b/>
          <w:sz w:val="21"/>
          <w:szCs w:val="21"/>
          <w:highlight w:val="none"/>
        </w:rPr>
        <w:t>项目信息</w:t>
      </w:r>
    </w:p>
    <w:p>
      <w:pPr>
        <w:pStyle w:val="18"/>
        <w:numPr>
          <w:ilvl w:val="0"/>
          <w:numId w:val="6"/>
        </w:numPr>
        <w:adjustRightInd w:val="0"/>
        <w:snapToGrid w:val="0"/>
        <w:spacing w:after="0" w:line="400" w:lineRule="exact"/>
        <w:ind w:left="0" w:leftChars="0" w:firstLine="420" w:firstLineChars="200"/>
        <w:rPr>
          <w:rFonts w:hint="eastAsia" w:ascii="宋体" w:hAnsi="宋体"/>
          <w:sz w:val="21"/>
          <w:szCs w:val="21"/>
          <w:highlight w:val="none"/>
          <w:u w:val="single"/>
        </w:rPr>
      </w:pPr>
      <w:r>
        <w:rPr>
          <w:rFonts w:hint="eastAsia" w:ascii="宋体" w:hAnsi="宋体"/>
          <w:sz w:val="21"/>
          <w:szCs w:val="21"/>
          <w:highlight w:val="none"/>
        </w:rPr>
        <w:t>采购项目名称：</w:t>
      </w:r>
      <w:r>
        <w:rPr>
          <w:rFonts w:ascii="宋体" w:hAnsi="宋体"/>
          <w:sz w:val="21"/>
          <w:szCs w:val="21"/>
          <w:highlight w:val="none"/>
          <w:u w:val="single"/>
        </w:rPr>
        <w:t xml:space="preserve">                                          </w:t>
      </w:r>
    </w:p>
    <w:p>
      <w:pPr>
        <w:pStyle w:val="18"/>
        <w:numPr>
          <w:ilvl w:val="0"/>
          <w:numId w:val="0"/>
        </w:numPr>
        <w:tabs>
          <w:tab w:val="left" w:pos="999"/>
        </w:tabs>
        <w:adjustRightInd w:val="0"/>
        <w:snapToGrid w:val="0"/>
        <w:spacing w:after="0" w:line="400" w:lineRule="exact"/>
        <w:rPr>
          <w:rFonts w:hint="eastAsia" w:ascii="宋体" w:hAnsi="宋体"/>
          <w:sz w:val="21"/>
          <w:szCs w:val="21"/>
          <w:highlight w:val="none"/>
        </w:rPr>
      </w:pPr>
      <w:r>
        <w:rPr>
          <w:rFonts w:hint="eastAsia" w:ascii="宋体" w:hAnsi="宋体"/>
          <w:sz w:val="21"/>
          <w:szCs w:val="21"/>
          <w:highlight w:val="none"/>
        </w:rPr>
        <w:t xml:space="preserve">         采购项目编号：</w:t>
      </w:r>
      <w:r>
        <w:rPr>
          <w:rFonts w:ascii="宋体" w:hAnsi="宋体"/>
          <w:sz w:val="21"/>
          <w:szCs w:val="21"/>
          <w:highlight w:val="none"/>
          <w:u w:val="single"/>
        </w:rPr>
        <w:t xml:space="preserve">                                          </w:t>
      </w:r>
    </w:p>
    <w:p>
      <w:pPr>
        <w:pStyle w:val="18"/>
        <w:adjustRightInd w:val="0"/>
        <w:snapToGrid w:val="0"/>
        <w:spacing w:after="0" w:line="400" w:lineRule="exact"/>
        <w:ind w:left="0" w:leftChars="0" w:firstLine="420" w:firstLineChars="200"/>
        <w:rPr>
          <w:rFonts w:hint="eastAsia" w:ascii="宋体" w:hAnsi="宋体"/>
          <w:sz w:val="21"/>
          <w:szCs w:val="21"/>
          <w:highlight w:val="none"/>
        </w:rPr>
      </w:pPr>
      <w:r>
        <w:rPr>
          <w:rFonts w:hint="eastAsia" w:ascii="宋体" w:hAnsi="宋体"/>
          <w:sz w:val="21"/>
          <w:szCs w:val="21"/>
          <w:highlight w:val="none"/>
        </w:rPr>
        <w:t>（2）采购计划编号：</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 xml:space="preserve"> </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（3）项目内容：</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 xml:space="preserve">     采购标的及数量（台/套</w:t>
      </w:r>
      <w:r>
        <w:rPr>
          <w:rFonts w:ascii="宋体" w:hAnsi="宋体"/>
          <w:sz w:val="21"/>
          <w:szCs w:val="21"/>
          <w:highlight w:val="none"/>
          <w:lang w:val="en"/>
        </w:rPr>
        <w:t>/</w:t>
      </w:r>
      <w:r>
        <w:rPr>
          <w:rFonts w:hint="eastAsia" w:ascii="宋体" w:hAnsi="宋体"/>
          <w:sz w:val="21"/>
          <w:szCs w:val="21"/>
          <w:highlight w:val="none"/>
          <w:lang w:val="en"/>
        </w:rPr>
        <w:t>个</w:t>
      </w:r>
      <w:r>
        <w:rPr>
          <w:rFonts w:ascii="宋体" w:hAnsi="宋体"/>
          <w:sz w:val="21"/>
          <w:szCs w:val="21"/>
          <w:highlight w:val="none"/>
          <w:lang w:val="en"/>
        </w:rPr>
        <w:t>/</w:t>
      </w:r>
      <w:r>
        <w:rPr>
          <w:rFonts w:hint="eastAsia" w:ascii="宋体" w:hAnsi="宋体"/>
          <w:sz w:val="21"/>
          <w:szCs w:val="21"/>
          <w:highlight w:val="none"/>
          <w:lang w:val="en"/>
        </w:rPr>
        <w:t>架</w:t>
      </w:r>
      <w:r>
        <w:rPr>
          <w:rFonts w:ascii="宋体" w:hAnsi="宋体"/>
          <w:sz w:val="21"/>
          <w:szCs w:val="21"/>
          <w:highlight w:val="none"/>
          <w:lang w:val="en"/>
        </w:rPr>
        <w:t>/</w:t>
      </w:r>
      <w:r>
        <w:rPr>
          <w:rFonts w:hint="eastAsia" w:ascii="宋体" w:hAnsi="宋体"/>
          <w:sz w:val="21"/>
          <w:szCs w:val="21"/>
          <w:highlight w:val="none"/>
          <w:lang w:val="en"/>
        </w:rPr>
        <w:t>组等</w:t>
      </w:r>
      <w:r>
        <w:rPr>
          <w:rFonts w:hint="eastAsia" w:ascii="宋体" w:hAnsi="宋体"/>
          <w:sz w:val="21"/>
          <w:szCs w:val="21"/>
          <w:highlight w:val="none"/>
        </w:rPr>
        <w:t>）：</w:t>
      </w:r>
      <w:r>
        <w:rPr>
          <w:rFonts w:hint="eastAsia" w:ascii="宋体" w:hAnsi="宋体"/>
          <w:sz w:val="21"/>
          <w:szCs w:val="21"/>
          <w:highlight w:val="none"/>
          <w:u w:val="single"/>
        </w:rPr>
        <w:t xml:space="preserve">                       </w:t>
      </w:r>
      <w:r>
        <w:rPr>
          <w:rFonts w:hint="eastAsia" w:ascii="宋体" w:hAnsi="宋体"/>
          <w:sz w:val="21"/>
          <w:szCs w:val="21"/>
          <w:highlight w:val="none"/>
        </w:rPr>
        <w:t xml:space="preserve">          </w:t>
      </w:r>
    </w:p>
    <w:p>
      <w:pPr>
        <w:numPr>
          <w:ilvl w:val="0"/>
          <w:numId w:val="0"/>
        </w:numPr>
        <w:adjustRightInd w:val="0"/>
        <w:snapToGrid w:val="0"/>
        <w:spacing w:line="400" w:lineRule="exact"/>
        <w:ind w:firstLine="420" w:firstLineChars="200"/>
        <w:rPr>
          <w:rFonts w:hint="eastAsia" w:ascii="宋体" w:hAnsi="宋体" w:cs="宋体"/>
          <w:sz w:val="21"/>
          <w:szCs w:val="21"/>
          <w:highlight w:val="none"/>
          <w:lang w:val="en"/>
        </w:rPr>
      </w:pPr>
      <w:r>
        <w:rPr>
          <w:rFonts w:hint="eastAsia" w:ascii="宋体" w:hAnsi="宋体"/>
          <w:sz w:val="21"/>
          <w:szCs w:val="21"/>
          <w:highlight w:val="none"/>
        </w:rPr>
        <w:t xml:space="preserve">     </w:t>
      </w:r>
      <w:r>
        <w:rPr>
          <w:rFonts w:hint="eastAsia" w:ascii="宋体" w:hAnsi="宋体" w:cs="宋体"/>
          <w:sz w:val="21"/>
          <w:szCs w:val="21"/>
          <w:highlight w:val="none"/>
        </w:rPr>
        <w:t>品牌：</w:t>
      </w:r>
      <w:r>
        <w:rPr>
          <w:rFonts w:hint="eastAsia" w:ascii="宋体" w:hAnsi="宋体" w:cs="宋体"/>
          <w:sz w:val="21"/>
          <w:szCs w:val="21"/>
          <w:highlight w:val="none"/>
          <w:u w:val="single"/>
        </w:rPr>
        <w:t xml:space="preserve">      </w:t>
      </w:r>
      <w:r>
        <w:rPr>
          <w:rFonts w:ascii="宋体" w:hAnsi="宋体" w:cs="宋体"/>
          <w:sz w:val="21"/>
          <w:szCs w:val="21"/>
          <w:highlight w:val="none"/>
          <w:u w:val="single"/>
          <w:lang w:val="en"/>
        </w:rPr>
        <w:t xml:space="preserve">   </w:t>
      </w:r>
      <w:r>
        <w:rPr>
          <w:rFonts w:hint="eastAsia" w:ascii="宋体" w:hAnsi="宋体" w:cs="宋体"/>
          <w:sz w:val="21"/>
          <w:szCs w:val="21"/>
          <w:highlight w:val="none"/>
          <w:u w:val="single"/>
        </w:rPr>
        <w:t xml:space="preserve">    </w:t>
      </w:r>
      <w:r>
        <w:rPr>
          <w:rFonts w:ascii="宋体" w:hAnsi="宋体" w:cs="宋体"/>
          <w:sz w:val="21"/>
          <w:szCs w:val="21"/>
          <w:highlight w:val="none"/>
          <w:u w:val="single"/>
          <w:lang w:val="en"/>
        </w:rPr>
        <w:t xml:space="preserve"> </w:t>
      </w:r>
      <w:r>
        <w:rPr>
          <w:rFonts w:hint="eastAsia" w:ascii="宋体" w:hAnsi="宋体" w:cs="宋体"/>
          <w:sz w:val="21"/>
          <w:szCs w:val="21"/>
          <w:highlight w:val="none"/>
          <w:u w:val="single"/>
        </w:rPr>
        <w:t xml:space="preserve"> </w:t>
      </w:r>
      <w:r>
        <w:rPr>
          <w:rFonts w:ascii="宋体" w:hAnsi="宋体" w:cs="宋体"/>
          <w:sz w:val="21"/>
          <w:szCs w:val="21"/>
          <w:highlight w:val="none"/>
          <w:lang w:val="en"/>
        </w:rPr>
        <w:t xml:space="preserve">     </w:t>
      </w:r>
      <w:r>
        <w:rPr>
          <w:rFonts w:hint="eastAsia" w:ascii="宋体" w:hAnsi="宋体" w:cs="宋体"/>
          <w:sz w:val="21"/>
          <w:szCs w:val="21"/>
          <w:highlight w:val="none"/>
        </w:rPr>
        <w:t>规格型号：</w:t>
      </w:r>
      <w:r>
        <w:rPr>
          <w:rFonts w:hint="eastAsia" w:ascii="宋体" w:hAnsi="宋体" w:cs="宋体"/>
          <w:sz w:val="21"/>
          <w:szCs w:val="21"/>
          <w:highlight w:val="none"/>
          <w:u w:val="single"/>
        </w:rPr>
        <w:t xml:space="preserve">   </w:t>
      </w:r>
      <w:r>
        <w:rPr>
          <w:rFonts w:ascii="宋体" w:hAnsi="宋体" w:cs="宋体"/>
          <w:sz w:val="21"/>
          <w:szCs w:val="21"/>
          <w:highlight w:val="none"/>
          <w:u w:val="single"/>
          <w:lang w:val="en"/>
        </w:rPr>
        <w:t xml:space="preserve">  </w:t>
      </w:r>
      <w:r>
        <w:rPr>
          <w:rFonts w:hint="eastAsia" w:ascii="宋体" w:hAnsi="宋体" w:cs="宋体"/>
          <w:sz w:val="21"/>
          <w:szCs w:val="21"/>
          <w:highlight w:val="none"/>
          <w:u w:val="single"/>
        </w:rPr>
        <w:t xml:space="preserve">       </w:t>
      </w:r>
      <w:r>
        <w:rPr>
          <w:rFonts w:ascii="宋体" w:hAnsi="宋体" w:cs="宋体"/>
          <w:sz w:val="21"/>
          <w:szCs w:val="21"/>
          <w:highlight w:val="none"/>
          <w:u w:val="single"/>
          <w:lang w:val="en"/>
        </w:rPr>
        <w:t xml:space="preserve">   </w:t>
      </w:r>
    </w:p>
    <w:p>
      <w:pPr>
        <w:adjustRightInd w:val="0"/>
        <w:snapToGrid w:val="0"/>
        <w:spacing w:line="400" w:lineRule="exact"/>
        <w:ind w:firstLine="945" w:firstLineChars="450"/>
        <w:rPr>
          <w:rFonts w:hint="eastAsia" w:ascii="宋体" w:hAnsi="宋体"/>
          <w:sz w:val="21"/>
          <w:szCs w:val="21"/>
          <w:highlight w:val="none"/>
          <w:u w:val="single"/>
        </w:rPr>
      </w:pPr>
      <w:r>
        <w:rPr>
          <w:rFonts w:hint="eastAsia" w:ascii="宋体" w:hAnsi="宋体"/>
          <w:sz w:val="21"/>
          <w:szCs w:val="21"/>
          <w:highlight w:val="none"/>
        </w:rPr>
        <w:t>采购标的的技术要求、商务要求具体见附件。</w:t>
      </w:r>
    </w:p>
    <w:p>
      <w:pPr>
        <w:numPr>
          <w:ilvl w:val="0"/>
          <w:numId w:val="0"/>
        </w:numPr>
        <w:adjustRightInd w:val="0"/>
        <w:snapToGrid w:val="0"/>
        <w:spacing w:line="400" w:lineRule="exact"/>
        <w:ind w:firstLine="945" w:firstLineChars="450"/>
        <w:rPr>
          <w:rFonts w:hint="eastAsia" w:ascii="宋体" w:hAnsi="宋体" w:cs="宋体"/>
          <w:sz w:val="21"/>
          <w:szCs w:val="21"/>
          <w:highlight w:val="none"/>
        </w:rPr>
      </w:pPr>
      <w:r>
        <w:rPr>
          <w:rFonts w:hint="eastAsia" w:ascii="汉仪书宋二S" w:hAnsi="汉仪书宋二S" w:eastAsia="汉仪书宋二S" w:cs="汉仪书宋二S"/>
          <w:sz w:val="21"/>
          <w:szCs w:val="21"/>
          <w:highlight w:val="none"/>
        </w:rPr>
        <w:t>①</w:t>
      </w:r>
      <w:r>
        <w:rPr>
          <w:rFonts w:hint="eastAsia" w:ascii="宋体" w:hAnsi="宋体" w:cs="宋体"/>
          <w:sz w:val="21"/>
          <w:szCs w:val="21"/>
          <w:highlight w:val="none"/>
        </w:rPr>
        <w:t>涉及信息类产品，请填写该产品关键部件的品牌、型号：</w:t>
      </w:r>
    </w:p>
    <w:p>
      <w:pPr>
        <w:numPr>
          <w:ilvl w:val="0"/>
          <w:numId w:val="0"/>
        </w:numPr>
        <w:adjustRightInd w:val="0"/>
        <w:snapToGrid w:val="0"/>
        <w:spacing w:line="400" w:lineRule="exact"/>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 xml:space="preserve">     标的名称：</w:t>
      </w:r>
      <w:r>
        <w:rPr>
          <w:rFonts w:hint="eastAsia" w:ascii="宋体" w:hAnsi="宋体" w:cs="宋体"/>
          <w:sz w:val="21"/>
          <w:szCs w:val="21"/>
          <w:highlight w:val="none"/>
          <w:u w:val="single"/>
        </w:rPr>
        <w:t xml:space="preserve">      </w:t>
      </w:r>
      <w:r>
        <w:rPr>
          <w:rFonts w:ascii="宋体" w:hAnsi="宋体" w:cs="宋体"/>
          <w:sz w:val="21"/>
          <w:szCs w:val="21"/>
          <w:highlight w:val="none"/>
          <w:u w:val="single"/>
          <w:lang w:val="en"/>
        </w:rPr>
        <w:t xml:space="preserve">               </w:t>
      </w:r>
      <w:r>
        <w:rPr>
          <w:rFonts w:hint="eastAsia" w:ascii="宋体" w:hAnsi="宋体" w:cs="宋体"/>
          <w:sz w:val="21"/>
          <w:szCs w:val="21"/>
          <w:highlight w:val="none"/>
          <w:u w:val="single"/>
        </w:rPr>
        <w:t xml:space="preserve">    </w:t>
      </w:r>
    </w:p>
    <w:p>
      <w:pPr>
        <w:numPr>
          <w:ilvl w:val="0"/>
          <w:numId w:val="0"/>
        </w:numPr>
        <w:adjustRightInd w:val="0"/>
        <w:snapToGrid w:val="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 xml:space="preserve">     关键部件：</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品牌：</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型号：</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pPr>
        <w:pStyle w:val="188"/>
        <w:ind w:firstLine="42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kern w:val="2"/>
          <w:sz w:val="21"/>
          <w:highlight w:val="none"/>
        </w:rPr>
        <w:t>关键部件</w:t>
      </w:r>
      <w:r>
        <w:rPr>
          <w:rFonts w:hint="eastAsia" w:ascii="宋体" w:hAnsi="宋体" w:eastAsia="宋体" w:cs="宋体"/>
          <w:sz w:val="21"/>
          <w:highlight w:val="none"/>
        </w:rPr>
        <w:t>：</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品牌：</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型号：</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w:t>
      </w:r>
    </w:p>
    <w:p>
      <w:pPr>
        <w:pStyle w:val="188"/>
        <w:ind w:firstLine="420"/>
        <w:rPr>
          <w:rFonts w:hint="eastAsia" w:ascii="宋体" w:hAnsi="宋体" w:eastAsia="宋体" w:cs="宋体"/>
          <w:sz w:val="21"/>
          <w:highlight w:val="none"/>
        </w:rPr>
      </w:pPr>
      <w:r>
        <w:rPr>
          <w:rFonts w:hint="eastAsia" w:ascii="宋体" w:hAnsi="宋体" w:eastAsia="宋体" w:cs="宋体"/>
          <w:sz w:val="21"/>
          <w:highlight w:val="none"/>
        </w:rPr>
        <w:t xml:space="preserve">     关键部件：</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品牌：</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型号：</w:t>
      </w:r>
      <w:r>
        <w:rPr>
          <w:rFonts w:hint="eastAsia" w:ascii="宋体" w:hAnsi="宋体" w:eastAsia="宋体" w:cs="宋体"/>
          <w:sz w:val="21"/>
          <w:highlight w:val="none"/>
          <w:u w:val="single"/>
        </w:rPr>
        <w:t xml:space="preserve">       </w:t>
      </w:r>
    </w:p>
    <w:p>
      <w:pPr>
        <w:pStyle w:val="188"/>
        <w:numPr>
          <w:ilvl w:val="0"/>
          <w:numId w:val="0"/>
        </w:numPr>
        <w:snapToGrid w:val="0"/>
        <w:rPr>
          <w:rFonts w:hint="eastAsia" w:ascii="宋体" w:hAnsi="宋体" w:eastAsia="宋体" w:cs="宋体"/>
          <w:sz w:val="21"/>
          <w:highlight w:val="none"/>
        </w:rPr>
      </w:pPr>
      <w:r>
        <w:rPr>
          <w:rFonts w:hint="eastAsia" w:ascii="宋体" w:hAnsi="宋体" w:eastAsia="宋体" w:cs="宋体"/>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pPr>
        <w:pStyle w:val="188"/>
        <w:numPr>
          <w:ilvl w:val="0"/>
          <w:numId w:val="0"/>
        </w:numPr>
        <w:snapToGrid w:val="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hint="eastAsia" w:ascii="汉仪书宋二S" w:hAnsi="汉仪书宋二S" w:eastAsia="汉仪书宋二S" w:cs="汉仪书宋二S"/>
          <w:sz w:val="21"/>
          <w:highlight w:val="none"/>
        </w:rPr>
        <w:t>②</w:t>
      </w:r>
      <w:r>
        <w:rPr>
          <w:rFonts w:hint="eastAsia" w:ascii="宋体" w:hAnsi="宋体" w:eastAsia="宋体" w:cs="宋体"/>
          <w:sz w:val="21"/>
          <w:highlight w:val="none"/>
        </w:rPr>
        <w:t>涉及车辆采购，请填写是否属于新能源汽车：</w:t>
      </w:r>
    </w:p>
    <w:p>
      <w:pPr>
        <w:pStyle w:val="188"/>
        <w:numPr>
          <w:ilvl w:val="0"/>
          <w:numId w:val="0"/>
        </w:numPr>
        <w:snapToGrid w:val="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sz w:val="21"/>
          <w:highlight w:val="none"/>
        </w:rPr>
        <w:sym w:font="Wingdings" w:char="00A8"/>
      </w:r>
      <w:r>
        <w:rPr>
          <w:rFonts w:hint="eastAsia" w:ascii="宋体" w:hAnsi="宋体" w:eastAsia="宋体" w:cs="宋体"/>
          <w:sz w:val="21"/>
          <w:highlight w:val="none"/>
        </w:rPr>
        <w:t>是，《政府采购品目分类目录》底级品目名称：</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数量：</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金额：</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w:t>
      </w:r>
    </w:p>
    <w:p>
      <w:pPr>
        <w:pStyle w:val="188"/>
        <w:numPr>
          <w:ilvl w:val="0"/>
          <w:numId w:val="0"/>
        </w:numPr>
        <w:snapToGrid w:val="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sz w:val="21"/>
          <w:highlight w:val="none"/>
        </w:rPr>
        <w:sym w:font="Wingdings" w:char="00A8"/>
      </w:r>
      <w:r>
        <w:rPr>
          <w:rFonts w:hint="eastAsia" w:ascii="宋体" w:hAnsi="宋体" w:eastAsia="宋体" w:cs="宋体"/>
          <w:sz w:val="21"/>
          <w:highlight w:val="none"/>
        </w:rPr>
        <w:t>否</w:t>
      </w:r>
    </w:p>
    <w:p>
      <w:pPr>
        <w:pStyle w:val="188"/>
        <w:numPr>
          <w:ilvl w:val="0"/>
          <w:numId w:val="0"/>
        </w:numPr>
        <w:snapToGrid w:val="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ascii="宋体" w:hAnsi="宋体" w:eastAsia="宋体" w:cs="宋体"/>
          <w:sz w:val="21"/>
          <w:highlight w:val="none"/>
          <w:lang w:val="en"/>
        </w:rPr>
        <w:t>4</w:t>
      </w:r>
      <w:r>
        <w:rPr>
          <w:rFonts w:hint="eastAsia" w:ascii="宋体" w:hAnsi="宋体" w:eastAsia="宋体" w:cs="宋体"/>
          <w:sz w:val="21"/>
          <w:highlight w:val="none"/>
        </w:rPr>
        <w:t>）政府采购组织形式：</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政府集中采购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部门集中采购  </w:t>
      </w:r>
      <w:r>
        <w:rPr>
          <w:rFonts w:hint="eastAsia" w:ascii="宋体" w:hAnsi="宋体" w:eastAsia="宋体" w:cs="宋体"/>
          <w:sz w:val="21"/>
          <w:highlight w:val="none"/>
        </w:rPr>
        <w:sym w:font="Wingdings" w:char="00A8"/>
      </w:r>
      <w:r>
        <w:rPr>
          <w:rFonts w:hint="eastAsia" w:ascii="宋体" w:hAnsi="宋体" w:eastAsia="宋体" w:cs="宋体"/>
          <w:sz w:val="21"/>
          <w:highlight w:val="none"/>
        </w:rPr>
        <w:t>分散采购</w:t>
      </w:r>
    </w:p>
    <w:p>
      <w:pPr>
        <w:pStyle w:val="188"/>
        <w:numPr>
          <w:ilvl w:val="0"/>
          <w:numId w:val="0"/>
        </w:numPr>
        <w:snapToGrid w:val="0"/>
        <w:ind w:firstLine="420"/>
        <w:rPr>
          <w:rFonts w:hint="eastAsia" w:ascii="宋体" w:hAnsi="宋体" w:eastAsia="宋体" w:cs="宋体"/>
          <w:sz w:val="21"/>
          <w:highlight w:val="none"/>
        </w:rPr>
      </w:pPr>
      <w:r>
        <w:rPr>
          <w:rFonts w:hint="eastAsia" w:ascii="宋体" w:hAnsi="宋体" w:eastAsia="宋体" w:cs="宋体"/>
          <w:sz w:val="21"/>
          <w:highlight w:val="none"/>
        </w:rPr>
        <w:t>（</w:t>
      </w:r>
      <w:r>
        <w:rPr>
          <w:rFonts w:ascii="宋体" w:hAnsi="宋体" w:eastAsia="宋体" w:cs="宋体"/>
          <w:sz w:val="21"/>
          <w:highlight w:val="none"/>
          <w:lang w:val="en"/>
        </w:rPr>
        <w:t>5</w:t>
      </w:r>
      <w:r>
        <w:rPr>
          <w:rFonts w:hint="eastAsia" w:ascii="宋体" w:hAnsi="宋体" w:eastAsia="宋体" w:cs="宋体"/>
          <w:sz w:val="21"/>
          <w:highlight w:val="none"/>
        </w:rPr>
        <w:t>）政府采购方式：</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公开招标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邀请招标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竞争性谈判 </w:t>
      </w:r>
      <w:r>
        <w:rPr>
          <w:rFonts w:hint="eastAsia" w:ascii="宋体" w:hAnsi="宋体" w:eastAsia="宋体" w:cs="宋体"/>
          <w:sz w:val="21"/>
          <w:highlight w:val="none"/>
        </w:rPr>
        <w:sym w:font="Wingdings" w:char="00A8"/>
      </w:r>
      <w:r>
        <w:rPr>
          <w:rFonts w:hint="eastAsia" w:ascii="宋体" w:hAnsi="宋体" w:eastAsia="宋体" w:cs="宋体"/>
          <w:sz w:val="21"/>
          <w:highlight w:val="none"/>
        </w:rPr>
        <w:t>竞争性磋商</w:t>
      </w:r>
    </w:p>
    <w:p>
      <w:pPr>
        <w:pStyle w:val="188"/>
        <w:numPr>
          <w:ilvl w:val="0"/>
          <w:numId w:val="0"/>
        </w:numPr>
        <w:snapToGrid w:val="0"/>
        <w:ind w:firstLine="420"/>
        <w:rPr>
          <w:rFonts w:hint="eastAsia" w:ascii="宋体" w:hAnsi="宋体" w:eastAsia="宋体" w:cs="宋体"/>
          <w:sz w:val="21"/>
          <w:highlight w:val="none"/>
          <w:u w:val="single"/>
        </w:rPr>
      </w:pPr>
      <w:r>
        <w:rPr>
          <w:rFonts w:hint="eastAsia" w:ascii="宋体" w:hAnsi="宋体" w:cs="宋体"/>
          <w:sz w:val="21"/>
          <w:highlight w:val="none"/>
        </w:rPr>
        <w:t xml:space="preserve">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询价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单一来源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框架协议 </w:t>
      </w:r>
      <w:r>
        <w:rPr>
          <w:rFonts w:hint="eastAsia" w:ascii="宋体" w:hAnsi="宋体" w:eastAsia="宋体" w:cs="宋体"/>
          <w:sz w:val="21"/>
          <w:highlight w:val="none"/>
        </w:rPr>
        <w:sym w:font="Wingdings" w:char="00A8"/>
      </w:r>
      <w:r>
        <w:rPr>
          <w:rFonts w:hint="eastAsia" w:ascii="宋体" w:hAnsi="宋体" w:eastAsia="宋体" w:cs="宋体"/>
          <w:sz w:val="21"/>
          <w:highlight w:val="none"/>
        </w:rPr>
        <w:t>其他：</w:t>
      </w:r>
      <w:r>
        <w:rPr>
          <w:rFonts w:hint="eastAsia" w:ascii="宋体" w:hAnsi="宋体" w:eastAsia="宋体" w:cs="宋体"/>
          <w:sz w:val="21"/>
          <w:highlight w:val="none"/>
          <w:u w:val="single"/>
        </w:rPr>
        <w:t xml:space="preserve">          </w:t>
      </w:r>
    </w:p>
    <w:p>
      <w:pPr>
        <w:pStyle w:val="188"/>
        <w:numPr>
          <w:ilvl w:val="0"/>
          <w:numId w:val="0"/>
        </w:numPr>
        <w:snapToGrid w:val="0"/>
        <w:ind w:firstLine="420"/>
        <w:rPr>
          <w:rFonts w:hint="eastAsia" w:ascii="宋体" w:hAnsi="宋体" w:eastAsia="宋体" w:cs="宋体"/>
          <w:sz w:val="21"/>
          <w:highlight w:val="none"/>
        </w:rPr>
      </w:pPr>
      <w:r>
        <w:rPr>
          <w:rFonts w:hint="eastAsia" w:ascii="宋体" w:hAnsi="宋体" w:eastAsia="宋体" w:cs="宋体"/>
          <w:sz w:val="21"/>
          <w:highlight w:val="none"/>
        </w:rPr>
        <w:t>（注：在框架协议采购的第二阶段，可选择使用该合同文本）</w:t>
      </w:r>
    </w:p>
    <w:p>
      <w:pPr>
        <w:pStyle w:val="188"/>
        <w:numPr>
          <w:ilvl w:val="0"/>
          <w:numId w:val="0"/>
        </w:numPr>
        <w:snapToGrid w:val="0"/>
        <w:ind w:firstLine="210" w:firstLineChars="100"/>
        <w:rPr>
          <w:rFonts w:hint="eastAsia" w:ascii="宋体" w:hAnsi="宋体" w:eastAsia="宋体" w:cs="Times New Roman"/>
          <w:kern w:val="2"/>
          <w:sz w:val="21"/>
          <w:highlight w:val="none"/>
        </w:rPr>
      </w:pPr>
      <w:r>
        <w:rPr>
          <w:rFonts w:hint="eastAsia" w:ascii="宋体" w:hAnsi="宋体"/>
          <w:sz w:val="21"/>
          <w:highlight w:val="none"/>
        </w:rPr>
        <w:t xml:space="preserve"> （</w:t>
      </w:r>
      <w:r>
        <w:rPr>
          <w:rFonts w:ascii="宋体" w:hAnsi="宋体"/>
          <w:sz w:val="21"/>
          <w:highlight w:val="none"/>
          <w:lang w:val="en"/>
        </w:rPr>
        <w:t>6</w:t>
      </w:r>
      <w:r>
        <w:rPr>
          <w:rFonts w:hint="eastAsia" w:ascii="宋体" w:hAnsi="宋体"/>
          <w:sz w:val="21"/>
          <w:highlight w:val="none"/>
        </w:rPr>
        <w:t>）</w:t>
      </w:r>
      <w:r>
        <w:rPr>
          <w:rFonts w:hint="eastAsia" w:ascii="宋体" w:hAnsi="宋体" w:eastAsia="宋体" w:cs="Times New Roman"/>
          <w:kern w:val="2"/>
          <w:sz w:val="21"/>
          <w:highlight w:val="none"/>
        </w:rPr>
        <w:t>中标（成交）采购标的制造商是否为中小企业：</w:t>
      </w:r>
      <w:r>
        <w:rPr>
          <w:rFonts w:hint="eastAsia" w:ascii="宋体" w:hAnsi="宋体" w:eastAsia="宋体" w:cs="Times New Roman"/>
          <w:kern w:val="2"/>
          <w:sz w:val="21"/>
          <w:highlight w:val="none"/>
        </w:rPr>
        <w:sym w:font="Wingdings" w:char="00A8"/>
      </w:r>
      <w:r>
        <w:rPr>
          <w:rFonts w:hint="eastAsia" w:ascii="宋体" w:hAnsi="宋体" w:eastAsia="宋体" w:cs="Times New Roman"/>
          <w:kern w:val="2"/>
          <w:sz w:val="21"/>
          <w:highlight w:val="none"/>
        </w:rPr>
        <w:t xml:space="preserve">是      </w:t>
      </w:r>
      <w:r>
        <w:rPr>
          <w:rFonts w:hint="eastAsia" w:ascii="宋体" w:hAnsi="宋体" w:eastAsia="宋体" w:cs="Times New Roman"/>
          <w:kern w:val="2"/>
          <w:sz w:val="21"/>
          <w:highlight w:val="none"/>
        </w:rPr>
        <w:sym w:font="Wingdings" w:char="00A8"/>
      </w:r>
      <w:r>
        <w:rPr>
          <w:rFonts w:hint="eastAsia" w:ascii="宋体" w:hAnsi="宋体" w:eastAsia="宋体" w:cs="Times New Roman"/>
          <w:kern w:val="2"/>
          <w:sz w:val="21"/>
          <w:highlight w:val="none"/>
        </w:rPr>
        <w:t>否</w:t>
      </w:r>
    </w:p>
    <w:p>
      <w:pPr>
        <w:numPr>
          <w:ilvl w:val="0"/>
          <w:numId w:val="0"/>
        </w:numPr>
        <w:adjustRightInd w:val="0"/>
        <w:snapToGrid w:val="0"/>
        <w:spacing w:line="400" w:lineRule="exact"/>
        <w:rPr>
          <w:rFonts w:hint="eastAsia" w:ascii="宋体" w:hAnsi="宋体"/>
          <w:iCs/>
          <w:sz w:val="21"/>
          <w:szCs w:val="21"/>
          <w:highlight w:val="none"/>
        </w:rPr>
      </w:pPr>
      <w:r>
        <w:rPr>
          <w:rFonts w:hint="eastAsia" w:ascii="宋体" w:hAnsi="宋体"/>
          <w:sz w:val="21"/>
          <w:szCs w:val="21"/>
          <w:highlight w:val="none"/>
        </w:rPr>
        <w:t xml:space="preserve">         本合同是否为专门面向中小企业的采购合同（中小企业预留合同）：</w:t>
      </w:r>
      <w:r>
        <w:rPr>
          <w:rFonts w:hint="eastAsia" w:ascii="宋体" w:hAnsi="宋体"/>
          <w:iCs/>
          <w:sz w:val="21"/>
          <w:szCs w:val="21"/>
          <w:highlight w:val="none"/>
        </w:rPr>
        <w:sym w:font="Wingdings" w:char="00A8"/>
      </w:r>
      <w:r>
        <w:rPr>
          <w:rFonts w:hint="eastAsia" w:ascii="宋体" w:hAnsi="宋体"/>
          <w:iCs/>
          <w:sz w:val="21"/>
          <w:szCs w:val="21"/>
          <w:highlight w:val="none"/>
        </w:rPr>
        <w:t xml:space="preserve">是    </w:t>
      </w:r>
      <w:r>
        <w:rPr>
          <w:rFonts w:hint="eastAsia" w:ascii="宋体" w:hAnsi="宋体"/>
          <w:iCs/>
          <w:sz w:val="21"/>
          <w:szCs w:val="21"/>
          <w:highlight w:val="none"/>
        </w:rPr>
        <w:sym w:font="Wingdings" w:char="00A8"/>
      </w:r>
      <w:r>
        <w:rPr>
          <w:rFonts w:hint="eastAsia" w:ascii="宋体" w:hAnsi="宋体"/>
          <w:iCs/>
          <w:sz w:val="21"/>
          <w:szCs w:val="21"/>
          <w:highlight w:val="none"/>
        </w:rPr>
        <w:t>否</w:t>
      </w:r>
    </w:p>
    <w:p>
      <w:pPr>
        <w:numPr>
          <w:ilvl w:val="0"/>
          <w:numId w:val="0"/>
        </w:numPr>
        <w:adjustRightInd w:val="0"/>
        <w:snapToGrid w:val="0"/>
        <w:spacing w:line="400" w:lineRule="exact"/>
        <w:rPr>
          <w:rFonts w:hint="eastAsia" w:ascii="宋体" w:hAnsi="宋体"/>
          <w:iCs/>
          <w:sz w:val="21"/>
          <w:szCs w:val="21"/>
          <w:highlight w:val="none"/>
        </w:rPr>
      </w:pPr>
      <w:r>
        <w:rPr>
          <w:rFonts w:hint="eastAsia"/>
          <w:sz w:val="21"/>
          <w:szCs w:val="21"/>
          <w:highlight w:val="none"/>
        </w:rPr>
        <w:t xml:space="preserve">         若本项目不专门面向中小企业采购，是否给予小微企业评审优惠：</w:t>
      </w:r>
      <w:r>
        <w:rPr>
          <w:rFonts w:hint="eastAsia" w:ascii="宋体" w:hAnsi="宋体"/>
          <w:iCs/>
          <w:sz w:val="21"/>
          <w:szCs w:val="21"/>
          <w:highlight w:val="none"/>
        </w:rPr>
        <w:sym w:font="Wingdings" w:char="00A8"/>
      </w:r>
      <w:r>
        <w:rPr>
          <w:rFonts w:hint="eastAsia" w:ascii="宋体" w:hAnsi="宋体"/>
          <w:iCs/>
          <w:sz w:val="21"/>
          <w:szCs w:val="21"/>
          <w:highlight w:val="none"/>
        </w:rPr>
        <w:t xml:space="preserve">是   </w:t>
      </w:r>
      <w:r>
        <w:rPr>
          <w:rFonts w:hint="eastAsia" w:ascii="宋体" w:hAnsi="宋体"/>
          <w:iCs/>
          <w:sz w:val="21"/>
          <w:szCs w:val="21"/>
          <w:highlight w:val="none"/>
        </w:rPr>
        <w:sym w:font="Wingdings" w:char="00A8"/>
      </w:r>
      <w:r>
        <w:rPr>
          <w:rFonts w:hint="eastAsia" w:ascii="宋体" w:hAnsi="宋体"/>
          <w:iCs/>
          <w:sz w:val="21"/>
          <w:szCs w:val="21"/>
          <w:highlight w:val="none"/>
        </w:rPr>
        <w:t>否</w:t>
      </w:r>
    </w:p>
    <w:p>
      <w:pPr>
        <w:numPr>
          <w:ilvl w:val="0"/>
          <w:numId w:val="0"/>
        </w:numPr>
        <w:adjustRightInd w:val="0"/>
        <w:snapToGrid w:val="0"/>
        <w:spacing w:line="400" w:lineRule="exact"/>
        <w:rPr>
          <w:rFonts w:hint="eastAsia" w:ascii="宋体" w:hAnsi="宋体"/>
          <w:iCs/>
          <w:sz w:val="21"/>
          <w:szCs w:val="21"/>
          <w:highlight w:val="none"/>
        </w:rPr>
      </w:pPr>
      <w:r>
        <w:rPr>
          <w:rFonts w:hint="eastAsia"/>
          <w:sz w:val="21"/>
          <w:szCs w:val="21"/>
          <w:highlight w:val="none"/>
        </w:rPr>
        <w:t xml:space="preserve">         中标（成交）采购标的制造商是否为残疾人福利性单位：</w:t>
      </w:r>
      <w:r>
        <w:rPr>
          <w:rFonts w:hint="eastAsia" w:ascii="宋体" w:hAnsi="宋体"/>
          <w:iCs/>
          <w:sz w:val="21"/>
          <w:szCs w:val="21"/>
          <w:highlight w:val="none"/>
        </w:rPr>
        <w:sym w:font="Wingdings" w:char="00A8"/>
      </w:r>
      <w:r>
        <w:rPr>
          <w:rFonts w:hint="eastAsia" w:ascii="宋体" w:hAnsi="宋体"/>
          <w:iCs/>
          <w:sz w:val="21"/>
          <w:szCs w:val="21"/>
          <w:highlight w:val="none"/>
        </w:rPr>
        <w:t xml:space="preserve">是   </w:t>
      </w:r>
      <w:r>
        <w:rPr>
          <w:rFonts w:hint="eastAsia" w:ascii="宋体" w:hAnsi="宋体"/>
          <w:iCs/>
          <w:sz w:val="21"/>
          <w:szCs w:val="21"/>
          <w:highlight w:val="none"/>
        </w:rPr>
        <w:sym w:font="Wingdings" w:char="00A8"/>
      </w:r>
      <w:r>
        <w:rPr>
          <w:rFonts w:hint="eastAsia" w:ascii="宋体" w:hAnsi="宋体"/>
          <w:iCs/>
          <w:sz w:val="21"/>
          <w:szCs w:val="21"/>
          <w:highlight w:val="none"/>
        </w:rPr>
        <w:t>否</w:t>
      </w:r>
    </w:p>
    <w:p>
      <w:pPr>
        <w:snapToGrid w:val="0"/>
        <w:spacing w:line="400" w:lineRule="exact"/>
        <w:ind w:firstLine="420"/>
        <w:rPr>
          <w:sz w:val="21"/>
          <w:szCs w:val="21"/>
          <w:highlight w:val="none"/>
        </w:rPr>
      </w:pPr>
      <w:r>
        <w:rPr>
          <w:rFonts w:hint="eastAsia"/>
          <w:sz w:val="21"/>
          <w:szCs w:val="21"/>
          <w:highlight w:val="none"/>
        </w:rPr>
        <w:t xml:space="preserve">         中标（成交）采购标的制造商是否为监狱企业：</w:t>
      </w:r>
      <w:r>
        <w:rPr>
          <w:rFonts w:hint="eastAsia" w:ascii="宋体" w:hAnsi="宋体"/>
          <w:iCs/>
          <w:sz w:val="21"/>
          <w:szCs w:val="21"/>
          <w:highlight w:val="none"/>
        </w:rPr>
        <w:sym w:font="Wingdings" w:char="00A8"/>
      </w:r>
      <w:r>
        <w:rPr>
          <w:rFonts w:hint="eastAsia" w:ascii="宋体" w:hAnsi="宋体"/>
          <w:iCs/>
          <w:sz w:val="21"/>
          <w:szCs w:val="21"/>
          <w:highlight w:val="none"/>
        </w:rPr>
        <w:t xml:space="preserve">是       </w:t>
      </w:r>
      <w:r>
        <w:rPr>
          <w:rFonts w:hint="eastAsia" w:ascii="宋体" w:hAnsi="宋体"/>
          <w:iCs/>
          <w:sz w:val="21"/>
          <w:szCs w:val="21"/>
          <w:highlight w:val="none"/>
        </w:rPr>
        <w:sym w:font="Wingdings" w:char="00A8"/>
      </w:r>
      <w:r>
        <w:rPr>
          <w:rFonts w:hint="eastAsia" w:ascii="宋体" w:hAnsi="宋体"/>
          <w:iCs/>
          <w:sz w:val="21"/>
          <w:szCs w:val="21"/>
          <w:highlight w:val="none"/>
        </w:rPr>
        <w:t>否</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lang w:val="en"/>
        </w:rPr>
        <w:t>7</w:t>
      </w:r>
      <w:r>
        <w:rPr>
          <w:rFonts w:hint="eastAsia" w:ascii="宋体" w:hAnsi="宋体"/>
          <w:sz w:val="21"/>
          <w:szCs w:val="21"/>
          <w:highlight w:val="none"/>
        </w:rPr>
        <w:t>）合同是否分包：</w:t>
      </w:r>
      <w:r>
        <w:rPr>
          <w:rFonts w:hint="eastAsia" w:ascii="宋体" w:hAnsi="宋体"/>
          <w:iCs/>
          <w:sz w:val="21"/>
          <w:szCs w:val="21"/>
          <w:highlight w:val="none"/>
        </w:rPr>
        <w:sym w:font="Wingdings" w:char="00A8"/>
      </w:r>
      <w:r>
        <w:rPr>
          <w:rFonts w:hint="eastAsia" w:ascii="宋体" w:hAnsi="宋体"/>
          <w:iCs/>
          <w:sz w:val="21"/>
          <w:szCs w:val="21"/>
          <w:highlight w:val="none"/>
        </w:rPr>
        <w:t xml:space="preserve">是       </w:t>
      </w:r>
      <w:r>
        <w:rPr>
          <w:rFonts w:hint="eastAsia" w:ascii="宋体" w:hAnsi="宋体"/>
          <w:iCs/>
          <w:sz w:val="21"/>
          <w:szCs w:val="21"/>
          <w:highlight w:val="none"/>
        </w:rPr>
        <w:sym w:font="Wingdings" w:char="00A8"/>
      </w:r>
      <w:r>
        <w:rPr>
          <w:rFonts w:hint="eastAsia" w:ascii="宋体" w:hAnsi="宋体"/>
          <w:iCs/>
          <w:sz w:val="21"/>
          <w:szCs w:val="21"/>
          <w:highlight w:val="none"/>
        </w:rPr>
        <w:t>否</w:t>
      </w:r>
    </w:p>
    <w:p>
      <w:pPr>
        <w:adjustRightInd w:val="0"/>
        <w:snapToGrid w:val="0"/>
        <w:spacing w:line="400" w:lineRule="exact"/>
        <w:ind w:firstLine="840" w:firstLineChars="400"/>
        <w:rPr>
          <w:rFonts w:hint="eastAsia" w:ascii="宋体" w:hAnsi="宋体"/>
          <w:sz w:val="21"/>
          <w:szCs w:val="21"/>
          <w:highlight w:val="none"/>
          <w:u w:val="single"/>
        </w:rPr>
      </w:pPr>
      <w:r>
        <w:rPr>
          <w:rFonts w:hint="eastAsia" w:ascii="宋体" w:hAnsi="宋体"/>
          <w:sz w:val="21"/>
          <w:szCs w:val="21"/>
          <w:highlight w:val="none"/>
        </w:rPr>
        <w:t xml:space="preserve"> 分包主要内容：</w:t>
      </w:r>
      <w:r>
        <w:rPr>
          <w:rFonts w:hint="eastAsia" w:ascii="宋体" w:hAnsi="宋体"/>
          <w:sz w:val="21"/>
          <w:szCs w:val="21"/>
          <w:highlight w:val="none"/>
          <w:u w:val="single"/>
        </w:rPr>
        <w:t xml:space="preserve">                                            </w:t>
      </w:r>
    </w:p>
    <w:p>
      <w:pPr>
        <w:adjustRightInd w:val="0"/>
        <w:snapToGrid w:val="0"/>
        <w:spacing w:line="400" w:lineRule="exact"/>
        <w:ind w:firstLine="840" w:firstLineChars="400"/>
        <w:rPr>
          <w:rFonts w:hint="eastAsia" w:ascii="宋体" w:hAnsi="宋体"/>
          <w:sz w:val="21"/>
          <w:szCs w:val="21"/>
          <w:highlight w:val="none"/>
        </w:rPr>
      </w:pPr>
      <w:r>
        <w:rPr>
          <w:rFonts w:hint="eastAsia" w:ascii="宋体" w:hAnsi="宋体"/>
          <w:sz w:val="21"/>
          <w:szCs w:val="21"/>
          <w:highlight w:val="none"/>
        </w:rPr>
        <w:t xml:space="preserve"> 分包供应商/制造商名称（如供应商和制造商不同，请分别填写）：</w:t>
      </w:r>
    </w:p>
    <w:p>
      <w:pPr>
        <w:adjustRightInd w:val="0"/>
        <w:snapToGrid w:val="0"/>
        <w:spacing w:line="400" w:lineRule="exact"/>
        <w:ind w:firstLine="840" w:firstLineChars="400"/>
        <w:rPr>
          <w:rFonts w:hint="eastAsia" w:ascii="宋体" w:hAnsi="宋体"/>
          <w:sz w:val="21"/>
          <w:szCs w:val="21"/>
          <w:highlight w:val="none"/>
          <w:u w:val="single"/>
        </w:rPr>
      </w:pPr>
      <w:r>
        <w:rPr>
          <w:rFonts w:hint="eastAsia" w:ascii="宋体" w:hAnsi="宋体"/>
          <w:sz w:val="21"/>
          <w:szCs w:val="21"/>
          <w:highlight w:val="none"/>
        </w:rPr>
        <w:t xml:space="preserve"> </w:t>
      </w:r>
      <w:r>
        <w:rPr>
          <w:rFonts w:hint="eastAsia" w:ascii="宋体" w:hAnsi="宋体"/>
          <w:sz w:val="21"/>
          <w:szCs w:val="21"/>
          <w:highlight w:val="none"/>
          <w:u w:val="single"/>
        </w:rPr>
        <w:t xml:space="preserve">                                                          </w:t>
      </w:r>
    </w:p>
    <w:p>
      <w:pPr>
        <w:adjustRightInd w:val="0"/>
        <w:snapToGrid w:val="0"/>
        <w:spacing w:line="400" w:lineRule="exact"/>
        <w:ind w:firstLine="840" w:firstLineChars="400"/>
        <w:rPr>
          <w:rFonts w:hint="eastAsia" w:ascii="宋体" w:hAnsi="宋体"/>
          <w:sz w:val="21"/>
          <w:szCs w:val="21"/>
          <w:highlight w:val="none"/>
        </w:rPr>
      </w:pPr>
      <w:r>
        <w:rPr>
          <w:rFonts w:hint="eastAsia" w:ascii="宋体" w:hAnsi="宋体"/>
          <w:sz w:val="21"/>
          <w:szCs w:val="21"/>
          <w:highlight w:val="none"/>
        </w:rPr>
        <w:t xml:space="preserve"> 分包供应商/制造商类型（如果供应商和制造商不同，只填写制造商类型）：</w:t>
      </w:r>
    </w:p>
    <w:p>
      <w:pPr>
        <w:adjustRightInd w:val="0"/>
        <w:snapToGrid w:val="0"/>
        <w:spacing w:line="400" w:lineRule="exact"/>
        <w:ind w:firstLine="840" w:firstLineChars="400"/>
        <w:rPr>
          <w:rFonts w:hint="eastAsia" w:ascii="宋体" w:hAnsi="宋体"/>
          <w:iCs/>
          <w:sz w:val="21"/>
          <w:szCs w:val="21"/>
          <w:highlight w:val="none"/>
        </w:rPr>
      </w:pPr>
      <w:r>
        <w:rPr>
          <w:rFonts w:hint="eastAsia" w:ascii="宋体" w:hAnsi="宋体"/>
          <w:iCs/>
          <w:sz w:val="21"/>
          <w:szCs w:val="21"/>
          <w:highlight w:val="none"/>
        </w:rPr>
        <w:t xml:space="preserve"> </w:t>
      </w:r>
      <w:r>
        <w:rPr>
          <w:rFonts w:hint="eastAsia" w:ascii="宋体" w:hAnsi="宋体"/>
          <w:iCs/>
          <w:sz w:val="21"/>
          <w:szCs w:val="21"/>
          <w:highlight w:val="none"/>
        </w:rPr>
        <w:sym w:font="Wingdings" w:char="00A8"/>
      </w:r>
      <w:r>
        <w:rPr>
          <w:rFonts w:hint="eastAsia" w:ascii="宋体" w:hAnsi="宋体"/>
          <w:iCs/>
          <w:sz w:val="21"/>
          <w:szCs w:val="21"/>
          <w:highlight w:val="none"/>
        </w:rPr>
        <w:t xml:space="preserve">大型企业  </w:t>
      </w:r>
      <w:r>
        <w:rPr>
          <w:rFonts w:hint="eastAsia" w:ascii="宋体" w:hAnsi="宋体"/>
          <w:iCs/>
          <w:sz w:val="21"/>
          <w:szCs w:val="21"/>
          <w:highlight w:val="none"/>
        </w:rPr>
        <w:sym w:font="Wingdings" w:char="00A8"/>
      </w:r>
      <w:r>
        <w:rPr>
          <w:rFonts w:hint="eastAsia" w:ascii="宋体" w:hAnsi="宋体"/>
          <w:iCs/>
          <w:sz w:val="21"/>
          <w:szCs w:val="21"/>
          <w:highlight w:val="none"/>
        </w:rPr>
        <w:t xml:space="preserve">中型企业  </w:t>
      </w:r>
      <w:r>
        <w:rPr>
          <w:rFonts w:hint="eastAsia" w:ascii="宋体" w:hAnsi="宋体"/>
          <w:iCs/>
          <w:sz w:val="21"/>
          <w:szCs w:val="21"/>
          <w:highlight w:val="none"/>
        </w:rPr>
        <w:sym w:font="Wingdings" w:char="00A8"/>
      </w:r>
      <w:r>
        <w:rPr>
          <w:rFonts w:hint="eastAsia" w:ascii="宋体" w:hAnsi="宋体"/>
          <w:iCs/>
          <w:sz w:val="21"/>
          <w:szCs w:val="21"/>
          <w:highlight w:val="none"/>
        </w:rPr>
        <w:t xml:space="preserve">小微型企业  </w:t>
      </w:r>
    </w:p>
    <w:p>
      <w:pPr>
        <w:adjustRightInd w:val="0"/>
        <w:snapToGrid w:val="0"/>
        <w:spacing w:line="400" w:lineRule="exact"/>
        <w:ind w:firstLine="840" w:firstLineChars="400"/>
        <w:rPr>
          <w:rFonts w:eastAsia="华文楷体"/>
          <w:sz w:val="21"/>
          <w:szCs w:val="21"/>
          <w:highlight w:val="none"/>
        </w:rPr>
      </w:pPr>
      <w:r>
        <w:rPr>
          <w:rFonts w:hint="eastAsia" w:ascii="宋体" w:hAnsi="宋体"/>
          <w:iCs/>
          <w:sz w:val="21"/>
          <w:szCs w:val="21"/>
          <w:highlight w:val="none"/>
        </w:rPr>
        <w:t xml:space="preserve"> </w:t>
      </w:r>
      <w:r>
        <w:rPr>
          <w:rFonts w:hint="eastAsia" w:ascii="宋体" w:hAnsi="宋体"/>
          <w:iCs/>
          <w:sz w:val="21"/>
          <w:szCs w:val="21"/>
          <w:highlight w:val="none"/>
        </w:rPr>
        <w:sym w:font="Wingdings" w:char="00A8"/>
      </w:r>
      <w:r>
        <w:rPr>
          <w:rFonts w:hint="eastAsia" w:ascii="宋体" w:hAnsi="宋体"/>
          <w:iCs/>
          <w:sz w:val="21"/>
          <w:szCs w:val="21"/>
          <w:highlight w:val="none"/>
        </w:rPr>
        <w:t xml:space="preserve">残疾人福利性单位 </w:t>
      </w:r>
      <w:r>
        <w:rPr>
          <w:rFonts w:hint="eastAsia" w:ascii="宋体" w:hAnsi="宋体"/>
          <w:iCs/>
          <w:sz w:val="21"/>
          <w:szCs w:val="21"/>
          <w:highlight w:val="none"/>
        </w:rPr>
        <w:sym w:font="Wingdings" w:char="00A8"/>
      </w:r>
      <w:r>
        <w:rPr>
          <w:rFonts w:hint="eastAsia" w:ascii="宋体" w:hAnsi="宋体"/>
          <w:iCs/>
          <w:sz w:val="21"/>
          <w:szCs w:val="21"/>
          <w:highlight w:val="none"/>
        </w:rPr>
        <w:t xml:space="preserve">监狱企业 </w:t>
      </w:r>
      <w:r>
        <w:rPr>
          <w:rFonts w:hint="eastAsia" w:ascii="宋体" w:hAnsi="宋体"/>
          <w:iCs/>
          <w:sz w:val="21"/>
          <w:szCs w:val="21"/>
          <w:highlight w:val="none"/>
        </w:rPr>
        <w:sym w:font="Wingdings" w:char="00A8"/>
      </w:r>
      <w:r>
        <w:rPr>
          <w:rFonts w:hint="eastAsia" w:ascii="宋体" w:hAnsi="宋体"/>
          <w:iCs/>
          <w:sz w:val="21"/>
          <w:szCs w:val="21"/>
          <w:highlight w:val="none"/>
        </w:rPr>
        <w:t>其他</w:t>
      </w:r>
    </w:p>
    <w:p>
      <w:pPr>
        <w:numPr>
          <w:ilvl w:val="0"/>
          <w:numId w:val="0"/>
        </w:numPr>
        <w:adjustRightInd w:val="0"/>
        <w:snapToGrid w:val="0"/>
        <w:spacing w:line="400" w:lineRule="exact"/>
        <w:rPr>
          <w:rFonts w:hint="eastAsia" w:ascii="宋体" w:hAnsi="宋体" w:cs="宋体"/>
          <w:iCs/>
          <w:sz w:val="21"/>
          <w:szCs w:val="21"/>
          <w:highlight w:val="none"/>
        </w:rPr>
      </w:pPr>
      <w:r>
        <w:rPr>
          <w:rFonts w:hint="eastAsia" w:ascii="宋体" w:hAnsi="宋体"/>
          <w:sz w:val="21"/>
          <w:szCs w:val="21"/>
          <w:highlight w:val="none"/>
        </w:rPr>
        <w:t xml:space="preserve">    </w:t>
      </w:r>
      <w:r>
        <w:rPr>
          <w:rFonts w:hint="eastAsia" w:ascii="宋体" w:hAnsi="宋体" w:cs="宋体"/>
          <w:sz w:val="21"/>
          <w:szCs w:val="21"/>
          <w:highlight w:val="none"/>
        </w:rPr>
        <w:t>（</w:t>
      </w:r>
      <w:r>
        <w:rPr>
          <w:rFonts w:ascii="宋体" w:hAnsi="宋体" w:cs="宋体"/>
          <w:sz w:val="21"/>
          <w:szCs w:val="21"/>
          <w:highlight w:val="none"/>
          <w:lang w:val="en"/>
        </w:rPr>
        <w:t>8</w:t>
      </w:r>
      <w:r>
        <w:rPr>
          <w:rFonts w:hint="eastAsia" w:ascii="宋体" w:hAnsi="宋体" w:cs="宋体"/>
          <w:sz w:val="21"/>
          <w:szCs w:val="21"/>
          <w:highlight w:val="none"/>
        </w:rPr>
        <w:t>）中标（成交）供应商是否为外商投资企业：</w:t>
      </w:r>
      <w:r>
        <w:rPr>
          <w:rFonts w:hint="eastAsia" w:ascii="宋体" w:hAnsi="宋体" w:cs="宋体"/>
          <w:iCs/>
          <w:sz w:val="21"/>
          <w:szCs w:val="21"/>
          <w:highlight w:val="none"/>
        </w:rPr>
        <w:sym w:font="Wingdings" w:char="00A8"/>
      </w:r>
      <w:r>
        <w:rPr>
          <w:rFonts w:hint="eastAsia" w:ascii="宋体" w:hAnsi="宋体" w:cs="宋体"/>
          <w:iCs/>
          <w:sz w:val="21"/>
          <w:szCs w:val="21"/>
          <w:highlight w:val="none"/>
        </w:rPr>
        <w:t xml:space="preserve">是       </w:t>
      </w:r>
      <w:r>
        <w:rPr>
          <w:rFonts w:hint="eastAsia" w:ascii="宋体" w:hAnsi="宋体" w:cs="宋体"/>
          <w:iCs/>
          <w:sz w:val="21"/>
          <w:szCs w:val="21"/>
          <w:highlight w:val="none"/>
        </w:rPr>
        <w:sym w:font="Wingdings" w:char="00A8"/>
      </w:r>
      <w:r>
        <w:rPr>
          <w:rFonts w:hint="eastAsia" w:ascii="宋体" w:hAnsi="宋体" w:cs="宋体"/>
          <w:iCs/>
          <w:sz w:val="21"/>
          <w:szCs w:val="21"/>
          <w:highlight w:val="none"/>
        </w:rPr>
        <w:t>否</w:t>
      </w:r>
    </w:p>
    <w:p>
      <w:pPr>
        <w:pStyle w:val="188"/>
        <w:tabs>
          <w:tab w:val="left" w:pos="1340"/>
        </w:tabs>
        <w:ind w:firstLine="420"/>
        <w:rPr>
          <w:rFonts w:hint="eastAsia" w:ascii="宋体" w:hAnsi="宋体" w:eastAsia="宋体" w:cs="宋体"/>
          <w:sz w:val="21"/>
          <w:highlight w:val="none"/>
          <w:u w:val="single"/>
        </w:rPr>
      </w:pPr>
      <w:r>
        <w:rPr>
          <w:rFonts w:hint="eastAsia" w:ascii="宋体" w:hAnsi="宋体" w:eastAsia="宋体" w:cs="宋体"/>
          <w:sz w:val="21"/>
          <w:highlight w:val="none"/>
        </w:rPr>
        <w:t xml:space="preserve">     外商投资企业类型：</w:t>
      </w:r>
      <w:r>
        <w:rPr>
          <w:rFonts w:hint="eastAsia" w:ascii="宋体" w:hAnsi="宋体" w:eastAsia="宋体" w:cs="宋体"/>
          <w:iCs/>
          <w:sz w:val="21"/>
          <w:highlight w:val="none"/>
        </w:rPr>
        <w:sym w:font="Wingdings" w:char="00A8"/>
      </w:r>
      <w:r>
        <w:rPr>
          <w:rFonts w:hint="eastAsia" w:ascii="宋体" w:hAnsi="宋体" w:eastAsia="宋体" w:cs="宋体"/>
          <w:sz w:val="21"/>
          <w:highlight w:val="none"/>
        </w:rPr>
        <w:t xml:space="preserve">全部由外国投资者投资  </w:t>
      </w:r>
      <w:r>
        <w:rPr>
          <w:rFonts w:hint="eastAsia" w:ascii="宋体" w:hAnsi="宋体" w:eastAsia="宋体" w:cs="宋体"/>
          <w:iCs/>
          <w:sz w:val="21"/>
          <w:highlight w:val="none"/>
        </w:rPr>
        <w:sym w:font="Wingdings" w:char="00A8"/>
      </w:r>
      <w:r>
        <w:rPr>
          <w:rFonts w:hint="eastAsia" w:ascii="宋体" w:hAnsi="宋体" w:eastAsia="宋体" w:cs="宋体"/>
          <w:iCs/>
          <w:sz w:val="21"/>
          <w:highlight w:val="none"/>
        </w:rPr>
        <w:t>部分由外国投资者投资</w:t>
      </w:r>
    </w:p>
    <w:p>
      <w:pPr>
        <w:numPr>
          <w:ilvl w:val="0"/>
          <w:numId w:val="0"/>
        </w:numPr>
        <w:adjustRightInd w:val="0"/>
        <w:snapToGrid w:val="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w:t>
      </w:r>
      <w:r>
        <w:rPr>
          <w:rFonts w:ascii="宋体" w:hAnsi="宋体" w:cs="宋体"/>
          <w:sz w:val="21"/>
          <w:szCs w:val="21"/>
          <w:highlight w:val="none"/>
          <w:lang w:val="en"/>
        </w:rPr>
        <w:t>9</w:t>
      </w:r>
      <w:r>
        <w:rPr>
          <w:rFonts w:hint="eastAsia" w:ascii="宋体" w:hAnsi="宋体" w:cs="宋体"/>
          <w:sz w:val="21"/>
          <w:szCs w:val="21"/>
          <w:highlight w:val="none"/>
        </w:rPr>
        <w:t>）是否涉及进口产品：</w:t>
      </w:r>
    </w:p>
    <w:p>
      <w:pPr>
        <w:numPr>
          <w:ilvl w:val="0"/>
          <w:numId w:val="0"/>
        </w:numPr>
        <w:adjustRightInd w:val="0"/>
        <w:snapToGrid w:val="0"/>
        <w:spacing w:line="400" w:lineRule="exact"/>
        <w:ind w:firstLine="840" w:firstLineChars="400"/>
        <w:rPr>
          <w:rFonts w:hint="eastAsia" w:ascii="宋体" w:hAnsi="宋体" w:cs="宋体"/>
          <w:sz w:val="21"/>
          <w:szCs w:val="21"/>
          <w:highlight w:val="none"/>
          <w:u w:val="single"/>
        </w:rPr>
      </w:pPr>
      <w:r>
        <w:rPr>
          <w:rFonts w:hint="eastAsia" w:ascii="宋体" w:hAnsi="宋体" w:cs="宋体"/>
          <w:sz w:val="21"/>
          <w:szCs w:val="21"/>
          <w:highlight w:val="none"/>
        </w:rPr>
        <w:t xml:space="preserve"> </w:t>
      </w:r>
      <w:r>
        <w:rPr>
          <w:rFonts w:hint="eastAsia" w:ascii="宋体" w:hAnsi="宋体" w:cs="宋体"/>
          <w:sz w:val="21"/>
          <w:szCs w:val="21"/>
          <w:highlight w:val="none"/>
        </w:rPr>
        <w:sym w:font="Wingdings" w:char="00A8"/>
      </w:r>
      <w:r>
        <w:rPr>
          <w:rFonts w:hint="eastAsia" w:ascii="宋体" w:hAnsi="宋体" w:cs="宋体"/>
          <w:sz w:val="21"/>
          <w:szCs w:val="21"/>
          <w:highlight w:val="none"/>
        </w:rPr>
        <w:t>是，《政府采购品目分类目录》底级品目名称：</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金额：</w:t>
      </w:r>
      <w:r>
        <w:rPr>
          <w:rFonts w:hint="eastAsia" w:ascii="宋体" w:hAnsi="宋体" w:cs="宋体"/>
          <w:sz w:val="21"/>
          <w:szCs w:val="21"/>
          <w:highlight w:val="none"/>
          <w:u w:val="single"/>
        </w:rPr>
        <w:t xml:space="preserve">        </w:t>
      </w:r>
    </w:p>
    <w:p>
      <w:pPr>
        <w:numPr>
          <w:ilvl w:val="0"/>
          <w:numId w:val="0"/>
        </w:numPr>
        <w:adjustRightInd w:val="0"/>
        <w:snapToGrid w:val="0"/>
        <w:spacing w:line="400" w:lineRule="exact"/>
        <w:ind w:firstLine="840" w:firstLineChars="400"/>
        <w:rPr>
          <w:rFonts w:hint="eastAsia" w:ascii="宋体" w:hAnsi="宋体"/>
          <w:sz w:val="21"/>
          <w:szCs w:val="21"/>
          <w:highlight w:val="none"/>
        </w:rPr>
      </w:pPr>
      <w:r>
        <w:rPr>
          <w:rFonts w:hint="eastAsia" w:ascii="宋体" w:hAnsi="宋体" w:cs="宋体"/>
          <w:sz w:val="21"/>
          <w:szCs w:val="21"/>
          <w:highlight w:val="none"/>
        </w:rPr>
        <w:t xml:space="preserve">        国别：</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品牌：</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规格型号：</w:t>
      </w:r>
      <w:r>
        <w:rPr>
          <w:rFonts w:hint="eastAsia" w:ascii="宋体" w:hAnsi="宋体" w:cs="宋体"/>
          <w:sz w:val="21"/>
          <w:szCs w:val="21"/>
          <w:highlight w:val="none"/>
          <w:u w:val="single"/>
        </w:rPr>
        <w:t xml:space="preserve">        </w:t>
      </w:r>
      <w:r>
        <w:rPr>
          <w:rFonts w:hint="eastAsia" w:ascii="宋体" w:hAnsi="宋体"/>
          <w:sz w:val="21"/>
          <w:szCs w:val="21"/>
          <w:highlight w:val="none"/>
        </w:rPr>
        <w:t xml:space="preserve">      </w:t>
      </w:r>
    </w:p>
    <w:p>
      <w:pPr>
        <w:adjustRightInd w:val="0"/>
        <w:snapToGrid w:val="0"/>
        <w:spacing w:line="400" w:lineRule="exact"/>
        <w:ind w:firstLine="840" w:firstLineChars="400"/>
        <w:rPr>
          <w:rFonts w:hint="eastAsia" w:ascii="宋体" w:hAnsi="宋体"/>
          <w:sz w:val="21"/>
          <w:szCs w:val="21"/>
          <w:highlight w:val="none"/>
        </w:rPr>
      </w:pPr>
      <w:r>
        <w:rPr>
          <w:rFonts w:hint="eastAsia" w:ascii="宋体" w:hAnsi="宋体"/>
          <w:sz w:val="21"/>
          <w:szCs w:val="21"/>
          <w:highlight w:val="none"/>
        </w:rPr>
        <w:t xml:space="preserve"> </w:t>
      </w:r>
      <w:r>
        <w:rPr>
          <w:rFonts w:hint="eastAsia" w:ascii="宋体" w:hAnsi="宋体"/>
          <w:sz w:val="21"/>
          <w:szCs w:val="21"/>
          <w:highlight w:val="none"/>
        </w:rPr>
        <w:sym w:font="Wingdings" w:char="00A8"/>
      </w:r>
      <w:r>
        <w:rPr>
          <w:rFonts w:hint="eastAsia" w:ascii="宋体" w:hAnsi="宋体"/>
          <w:sz w:val="21"/>
          <w:szCs w:val="21"/>
          <w:highlight w:val="none"/>
        </w:rPr>
        <w:t>否</w:t>
      </w:r>
    </w:p>
    <w:p>
      <w:pPr>
        <w:numPr>
          <w:ilvl w:val="0"/>
          <w:numId w:val="0"/>
        </w:numPr>
        <w:tabs>
          <w:tab w:val="left" w:pos="740"/>
        </w:tabs>
        <w:adjustRightInd w:val="0"/>
        <w:snapToGrid w:val="0"/>
        <w:spacing w:line="400" w:lineRule="exact"/>
        <w:rPr>
          <w:rFonts w:hint="eastAsia" w:ascii="宋体" w:hAnsi="宋体"/>
          <w:sz w:val="21"/>
          <w:szCs w:val="21"/>
          <w:highlight w:val="none"/>
        </w:rPr>
      </w:pPr>
      <w:r>
        <w:rPr>
          <w:rFonts w:hint="eastAsia" w:ascii="宋体" w:hAnsi="宋体"/>
          <w:sz w:val="21"/>
          <w:szCs w:val="21"/>
          <w:highlight w:val="none"/>
        </w:rPr>
        <w:t xml:space="preserve">    （1</w:t>
      </w:r>
      <w:r>
        <w:rPr>
          <w:rFonts w:ascii="宋体" w:hAnsi="宋体"/>
          <w:sz w:val="21"/>
          <w:szCs w:val="21"/>
          <w:highlight w:val="none"/>
          <w:lang w:val="en"/>
        </w:rPr>
        <w:t>0</w:t>
      </w:r>
      <w:r>
        <w:rPr>
          <w:rFonts w:hint="eastAsia" w:ascii="宋体" w:hAnsi="宋体"/>
          <w:sz w:val="21"/>
          <w:szCs w:val="21"/>
          <w:highlight w:val="none"/>
        </w:rPr>
        <w:t>）是否涉及节能产品：</w:t>
      </w:r>
    </w:p>
    <w:p>
      <w:pPr>
        <w:numPr>
          <w:ilvl w:val="0"/>
          <w:numId w:val="0"/>
        </w:numPr>
        <w:tabs>
          <w:tab w:val="left" w:pos="740"/>
        </w:tabs>
        <w:adjustRightInd w:val="0"/>
        <w:snapToGrid w:val="0"/>
        <w:spacing w:line="400" w:lineRule="exact"/>
        <w:rPr>
          <w:rFonts w:hint="eastAsia" w:ascii="宋体" w:hAnsi="宋体"/>
          <w:iCs/>
          <w:sz w:val="21"/>
          <w:szCs w:val="21"/>
          <w:highlight w:val="none"/>
        </w:rPr>
      </w:pPr>
      <w:r>
        <w:rPr>
          <w:rFonts w:hint="eastAsia" w:ascii="宋体" w:hAnsi="宋体"/>
          <w:sz w:val="21"/>
          <w:szCs w:val="21"/>
          <w:highlight w:val="none"/>
        </w:rPr>
        <w:t xml:space="preserve">         </w:t>
      </w:r>
      <w:r>
        <w:rPr>
          <w:rFonts w:hint="eastAsia" w:ascii="宋体" w:hAnsi="宋体"/>
          <w:sz w:val="21"/>
          <w:szCs w:val="21"/>
          <w:highlight w:val="none"/>
        </w:rPr>
        <w:sym w:font="Wingdings" w:char="00A8"/>
      </w:r>
      <w:r>
        <w:rPr>
          <w:rFonts w:hint="eastAsia" w:ascii="宋体" w:hAnsi="宋体"/>
          <w:sz w:val="21"/>
          <w:szCs w:val="21"/>
          <w:highlight w:val="none"/>
        </w:rPr>
        <w:t>是，《节能产品政府采购品目清单》的底级品目名称：</w:t>
      </w:r>
      <w:r>
        <w:rPr>
          <w:rFonts w:hint="eastAsia" w:ascii="宋体" w:hAnsi="宋体"/>
          <w:sz w:val="21"/>
          <w:szCs w:val="21"/>
          <w:highlight w:val="none"/>
          <w:u w:val="single"/>
        </w:rPr>
        <w:t xml:space="preserve">         </w:t>
      </w:r>
      <w:r>
        <w:rPr>
          <w:rFonts w:hint="eastAsia" w:ascii="宋体" w:hAnsi="宋体"/>
          <w:iCs/>
          <w:sz w:val="21"/>
          <w:szCs w:val="21"/>
          <w:highlight w:val="none"/>
        </w:rPr>
        <w:t xml:space="preserve">     </w:t>
      </w:r>
    </w:p>
    <w:p>
      <w:pPr>
        <w:numPr>
          <w:ilvl w:val="0"/>
          <w:numId w:val="0"/>
        </w:numPr>
        <w:tabs>
          <w:tab w:val="left" w:pos="740"/>
        </w:tabs>
        <w:adjustRightInd w:val="0"/>
        <w:snapToGrid w:val="0"/>
        <w:spacing w:line="400" w:lineRule="exact"/>
        <w:rPr>
          <w:rFonts w:hint="eastAsia" w:ascii="宋体" w:hAnsi="宋体"/>
          <w:iCs/>
          <w:sz w:val="21"/>
          <w:szCs w:val="21"/>
          <w:highlight w:val="none"/>
        </w:rPr>
      </w:pPr>
      <w:r>
        <w:rPr>
          <w:rFonts w:hint="eastAsia" w:ascii="宋体" w:hAnsi="宋体"/>
          <w:iCs/>
          <w:sz w:val="21"/>
          <w:szCs w:val="21"/>
          <w:highlight w:val="none"/>
        </w:rPr>
        <w:t xml:space="preserve">                </w:t>
      </w:r>
      <w:r>
        <w:rPr>
          <w:rFonts w:hint="eastAsia" w:ascii="宋体" w:hAnsi="宋体"/>
          <w:iCs/>
          <w:sz w:val="21"/>
          <w:szCs w:val="21"/>
          <w:highlight w:val="none"/>
        </w:rPr>
        <w:sym w:font="Wingdings" w:char="00A8"/>
      </w:r>
      <w:r>
        <w:rPr>
          <w:rFonts w:hint="eastAsia" w:ascii="宋体" w:hAnsi="宋体"/>
          <w:iCs/>
          <w:sz w:val="21"/>
          <w:szCs w:val="21"/>
          <w:highlight w:val="none"/>
        </w:rPr>
        <w:t xml:space="preserve">强制采购       </w:t>
      </w:r>
      <w:r>
        <w:rPr>
          <w:rFonts w:hint="eastAsia" w:ascii="宋体" w:hAnsi="宋体"/>
          <w:iCs/>
          <w:sz w:val="21"/>
          <w:szCs w:val="21"/>
          <w:highlight w:val="none"/>
        </w:rPr>
        <w:sym w:font="Wingdings" w:char="00A8"/>
      </w:r>
      <w:r>
        <w:rPr>
          <w:rFonts w:hint="eastAsia" w:ascii="宋体" w:hAnsi="宋体"/>
          <w:iCs/>
          <w:sz w:val="21"/>
          <w:szCs w:val="21"/>
          <w:highlight w:val="none"/>
        </w:rPr>
        <w:t xml:space="preserve">优先采购    </w:t>
      </w:r>
    </w:p>
    <w:p>
      <w:pPr>
        <w:numPr>
          <w:ilvl w:val="0"/>
          <w:numId w:val="0"/>
        </w:numPr>
        <w:tabs>
          <w:tab w:val="left" w:pos="740"/>
        </w:tabs>
        <w:adjustRightInd w:val="0"/>
        <w:snapToGrid w:val="0"/>
        <w:spacing w:line="400" w:lineRule="exact"/>
        <w:rPr>
          <w:rFonts w:hint="eastAsia" w:ascii="宋体" w:hAnsi="宋体"/>
          <w:sz w:val="21"/>
          <w:szCs w:val="21"/>
          <w:highlight w:val="none"/>
        </w:rPr>
      </w:pPr>
      <w:r>
        <w:rPr>
          <w:rFonts w:hint="eastAsia" w:ascii="宋体" w:hAnsi="宋体"/>
          <w:iCs/>
          <w:sz w:val="21"/>
          <w:szCs w:val="21"/>
          <w:highlight w:val="none"/>
        </w:rPr>
        <w:t xml:space="preserve">         </w:t>
      </w:r>
      <w:r>
        <w:rPr>
          <w:rFonts w:hint="eastAsia" w:ascii="宋体" w:hAnsi="宋体"/>
          <w:sz w:val="21"/>
          <w:szCs w:val="21"/>
          <w:highlight w:val="none"/>
        </w:rPr>
        <w:sym w:font="Wingdings" w:char="00A8"/>
      </w:r>
      <w:r>
        <w:rPr>
          <w:rFonts w:hint="eastAsia" w:ascii="宋体" w:hAnsi="宋体"/>
          <w:sz w:val="21"/>
          <w:szCs w:val="21"/>
          <w:highlight w:val="none"/>
        </w:rPr>
        <w:t>否</w:t>
      </w:r>
    </w:p>
    <w:p>
      <w:pPr>
        <w:numPr>
          <w:ilvl w:val="0"/>
          <w:numId w:val="0"/>
        </w:numPr>
        <w:tabs>
          <w:tab w:val="left" w:pos="740"/>
        </w:tabs>
        <w:adjustRightInd w:val="0"/>
        <w:snapToGrid w:val="0"/>
        <w:spacing w:line="400" w:lineRule="exact"/>
        <w:rPr>
          <w:rFonts w:hint="eastAsia" w:ascii="宋体" w:hAnsi="宋体"/>
          <w:sz w:val="21"/>
          <w:szCs w:val="21"/>
          <w:highlight w:val="none"/>
        </w:rPr>
      </w:pPr>
      <w:r>
        <w:rPr>
          <w:rFonts w:hint="eastAsia" w:ascii="宋体" w:hAnsi="宋体"/>
          <w:sz w:val="21"/>
          <w:szCs w:val="21"/>
          <w:highlight w:val="none"/>
        </w:rPr>
        <w:t xml:space="preserve">          是否涉及环境标志产品：</w:t>
      </w:r>
    </w:p>
    <w:p>
      <w:pPr>
        <w:numPr>
          <w:ilvl w:val="0"/>
          <w:numId w:val="0"/>
        </w:numPr>
        <w:tabs>
          <w:tab w:val="left" w:pos="740"/>
        </w:tabs>
        <w:adjustRightInd w:val="0"/>
        <w:snapToGrid w:val="0"/>
        <w:spacing w:line="400" w:lineRule="exact"/>
        <w:rPr>
          <w:rFonts w:hint="eastAsia" w:ascii="宋体" w:hAnsi="宋体"/>
          <w:sz w:val="21"/>
          <w:szCs w:val="21"/>
          <w:highlight w:val="none"/>
        </w:rPr>
      </w:pPr>
      <w:r>
        <w:rPr>
          <w:rFonts w:hint="eastAsia" w:ascii="宋体" w:hAnsi="宋体"/>
          <w:sz w:val="21"/>
          <w:szCs w:val="21"/>
          <w:highlight w:val="none"/>
        </w:rPr>
        <w:t xml:space="preserve">         </w:t>
      </w:r>
      <w:r>
        <w:rPr>
          <w:rFonts w:hint="eastAsia" w:ascii="宋体" w:hAnsi="宋体"/>
          <w:sz w:val="21"/>
          <w:szCs w:val="21"/>
          <w:highlight w:val="none"/>
        </w:rPr>
        <w:sym w:font="Wingdings" w:char="00A8"/>
      </w:r>
      <w:r>
        <w:rPr>
          <w:rFonts w:hint="eastAsia" w:ascii="宋体" w:hAnsi="宋体"/>
          <w:sz w:val="21"/>
          <w:szCs w:val="21"/>
          <w:highlight w:val="none"/>
        </w:rPr>
        <w:t>是，《环境标志产品政府采购品目清单》的底级品目名称：</w:t>
      </w:r>
      <w:r>
        <w:rPr>
          <w:rFonts w:hint="eastAsia" w:ascii="宋体" w:hAnsi="宋体"/>
          <w:sz w:val="21"/>
          <w:szCs w:val="21"/>
          <w:highlight w:val="none"/>
          <w:u w:val="single"/>
        </w:rPr>
        <w:t xml:space="preserve">         </w:t>
      </w:r>
      <w:r>
        <w:rPr>
          <w:rFonts w:hint="eastAsia" w:ascii="宋体" w:hAnsi="宋体"/>
          <w:iCs/>
          <w:sz w:val="21"/>
          <w:szCs w:val="21"/>
          <w:highlight w:val="none"/>
        </w:rPr>
        <w:t xml:space="preserve"> </w:t>
      </w:r>
    </w:p>
    <w:p>
      <w:pPr>
        <w:numPr>
          <w:ilvl w:val="0"/>
          <w:numId w:val="0"/>
        </w:numPr>
        <w:tabs>
          <w:tab w:val="left" w:pos="740"/>
        </w:tabs>
        <w:adjustRightInd w:val="0"/>
        <w:snapToGrid w:val="0"/>
        <w:spacing w:line="400" w:lineRule="exact"/>
        <w:rPr>
          <w:rFonts w:hint="eastAsia" w:ascii="宋体" w:hAnsi="宋体"/>
          <w:iCs/>
          <w:sz w:val="21"/>
          <w:szCs w:val="21"/>
          <w:highlight w:val="none"/>
        </w:rPr>
      </w:pPr>
      <w:r>
        <w:rPr>
          <w:rFonts w:hint="eastAsia" w:ascii="宋体" w:hAnsi="宋体"/>
          <w:iCs/>
          <w:sz w:val="21"/>
          <w:szCs w:val="21"/>
          <w:highlight w:val="none"/>
        </w:rPr>
        <w:t xml:space="preserve">                </w:t>
      </w:r>
      <w:r>
        <w:rPr>
          <w:rFonts w:hint="eastAsia" w:ascii="宋体" w:hAnsi="宋体"/>
          <w:iCs/>
          <w:sz w:val="21"/>
          <w:szCs w:val="21"/>
          <w:highlight w:val="none"/>
        </w:rPr>
        <w:sym w:font="Wingdings" w:char="00A8"/>
      </w:r>
      <w:r>
        <w:rPr>
          <w:rFonts w:hint="eastAsia" w:ascii="宋体" w:hAnsi="宋体"/>
          <w:iCs/>
          <w:sz w:val="21"/>
          <w:szCs w:val="21"/>
          <w:highlight w:val="none"/>
        </w:rPr>
        <w:t xml:space="preserve">强制采购       </w:t>
      </w:r>
      <w:r>
        <w:rPr>
          <w:rFonts w:hint="eastAsia" w:ascii="宋体" w:hAnsi="宋体"/>
          <w:iCs/>
          <w:sz w:val="21"/>
          <w:szCs w:val="21"/>
          <w:highlight w:val="none"/>
        </w:rPr>
        <w:sym w:font="Wingdings" w:char="00A8"/>
      </w:r>
      <w:r>
        <w:rPr>
          <w:rFonts w:hint="eastAsia" w:ascii="宋体" w:hAnsi="宋体"/>
          <w:iCs/>
          <w:sz w:val="21"/>
          <w:szCs w:val="21"/>
          <w:highlight w:val="none"/>
        </w:rPr>
        <w:t xml:space="preserve">优先采购    </w:t>
      </w:r>
    </w:p>
    <w:p>
      <w:pPr>
        <w:numPr>
          <w:ilvl w:val="0"/>
          <w:numId w:val="0"/>
        </w:numPr>
        <w:tabs>
          <w:tab w:val="left" w:pos="740"/>
        </w:tabs>
        <w:adjustRightInd w:val="0"/>
        <w:snapToGrid w:val="0"/>
        <w:spacing w:line="400" w:lineRule="exact"/>
        <w:rPr>
          <w:rFonts w:hint="eastAsia" w:ascii="宋体" w:hAnsi="宋体"/>
          <w:sz w:val="21"/>
          <w:szCs w:val="21"/>
          <w:highlight w:val="none"/>
        </w:rPr>
      </w:pPr>
      <w:r>
        <w:rPr>
          <w:rFonts w:hint="eastAsia" w:ascii="宋体" w:hAnsi="宋体"/>
          <w:iCs/>
          <w:sz w:val="21"/>
          <w:szCs w:val="21"/>
          <w:highlight w:val="none"/>
        </w:rPr>
        <w:t xml:space="preserve">         </w:t>
      </w:r>
      <w:r>
        <w:rPr>
          <w:rFonts w:hint="eastAsia" w:ascii="宋体" w:hAnsi="宋体"/>
          <w:sz w:val="21"/>
          <w:szCs w:val="21"/>
          <w:highlight w:val="none"/>
        </w:rPr>
        <w:sym w:font="Wingdings" w:char="00A8"/>
      </w:r>
      <w:r>
        <w:rPr>
          <w:rFonts w:hint="eastAsia" w:ascii="宋体" w:hAnsi="宋体"/>
          <w:sz w:val="21"/>
          <w:szCs w:val="21"/>
          <w:highlight w:val="none"/>
        </w:rPr>
        <w:t>否</w:t>
      </w:r>
    </w:p>
    <w:p>
      <w:pPr>
        <w:pStyle w:val="188"/>
        <w:numPr>
          <w:ilvl w:val="0"/>
          <w:numId w:val="0"/>
        </w:numPr>
        <w:snapToGrid w:val="0"/>
        <w:rPr>
          <w:rFonts w:hint="eastAsia" w:ascii="宋体" w:hAnsi="宋体" w:eastAsia="宋体" w:cs="Times New Roman"/>
          <w:kern w:val="2"/>
          <w:sz w:val="21"/>
          <w:highlight w:val="none"/>
        </w:rPr>
      </w:pPr>
      <w:r>
        <w:rPr>
          <w:rFonts w:hint="eastAsia" w:ascii="宋体" w:hAnsi="宋体"/>
          <w:sz w:val="21"/>
          <w:highlight w:val="none"/>
        </w:rPr>
        <w:t xml:space="preserve">          </w:t>
      </w:r>
      <w:r>
        <w:rPr>
          <w:rFonts w:hint="eastAsia" w:ascii="宋体" w:hAnsi="宋体" w:eastAsia="宋体" w:cs="Times New Roman"/>
          <w:kern w:val="2"/>
          <w:sz w:val="21"/>
          <w:highlight w:val="none"/>
        </w:rPr>
        <w:t xml:space="preserve">是否涉及绿色产品： </w:t>
      </w:r>
    </w:p>
    <w:p>
      <w:pPr>
        <w:pStyle w:val="188"/>
        <w:ind w:firstLine="420" w:firstLineChars="0"/>
        <w:rPr>
          <w:rFonts w:hint="eastAsia" w:ascii="宋体" w:hAnsi="宋体" w:eastAsia="宋体"/>
          <w:sz w:val="21"/>
          <w:highlight w:val="none"/>
          <w:u w:val="single"/>
        </w:rPr>
      </w:pPr>
      <w:r>
        <w:rPr>
          <w:rFonts w:hint="eastAsia" w:ascii="宋体" w:hAnsi="宋体" w:eastAsia="宋体" w:cs="Times New Roman"/>
          <w:kern w:val="2"/>
          <w:sz w:val="21"/>
          <w:highlight w:val="none"/>
        </w:rPr>
        <w:t xml:space="preserve">     </w:t>
      </w:r>
      <w:r>
        <w:rPr>
          <w:rFonts w:hint="eastAsia" w:ascii="宋体" w:hAnsi="宋体" w:eastAsia="宋体" w:cs="Times New Roman"/>
          <w:kern w:val="2"/>
          <w:sz w:val="21"/>
          <w:highlight w:val="none"/>
        </w:rPr>
        <w:sym w:font="Wingdings" w:char="00A8"/>
      </w:r>
      <w:r>
        <w:rPr>
          <w:rFonts w:hint="eastAsia" w:ascii="宋体" w:hAnsi="宋体" w:eastAsia="宋体" w:cs="Times New Roman"/>
          <w:kern w:val="2"/>
          <w:sz w:val="21"/>
          <w:highlight w:val="none"/>
        </w:rPr>
        <w:t>是，绿色产品政府采购相关政策确定的底级品目名称：</w:t>
      </w:r>
      <w:r>
        <w:rPr>
          <w:rFonts w:hint="eastAsia" w:ascii="宋体" w:hAnsi="宋体" w:eastAsia="宋体"/>
          <w:sz w:val="21"/>
          <w:highlight w:val="none"/>
          <w:u w:val="single"/>
        </w:rPr>
        <w:t xml:space="preserve">         </w:t>
      </w:r>
    </w:p>
    <w:p>
      <w:pPr>
        <w:numPr>
          <w:ilvl w:val="0"/>
          <w:numId w:val="0"/>
        </w:numPr>
        <w:tabs>
          <w:tab w:val="left" w:pos="740"/>
        </w:tabs>
        <w:adjustRightInd w:val="0"/>
        <w:snapToGrid w:val="0"/>
        <w:spacing w:line="400" w:lineRule="exact"/>
        <w:rPr>
          <w:rFonts w:hint="eastAsia" w:ascii="宋体" w:hAnsi="宋体"/>
          <w:iCs/>
          <w:sz w:val="21"/>
          <w:szCs w:val="21"/>
          <w:highlight w:val="none"/>
        </w:rPr>
      </w:pPr>
      <w:r>
        <w:rPr>
          <w:rFonts w:hint="eastAsia" w:ascii="宋体" w:hAnsi="宋体"/>
          <w:iCs/>
          <w:sz w:val="21"/>
          <w:szCs w:val="21"/>
          <w:highlight w:val="none"/>
        </w:rPr>
        <w:t xml:space="preserve">                </w:t>
      </w:r>
      <w:r>
        <w:rPr>
          <w:rFonts w:hint="eastAsia" w:ascii="宋体" w:hAnsi="宋体"/>
          <w:iCs/>
          <w:sz w:val="21"/>
          <w:szCs w:val="21"/>
          <w:highlight w:val="none"/>
        </w:rPr>
        <w:sym w:font="Wingdings" w:char="00A8"/>
      </w:r>
      <w:r>
        <w:rPr>
          <w:rFonts w:hint="eastAsia" w:ascii="宋体" w:hAnsi="宋体"/>
          <w:iCs/>
          <w:sz w:val="21"/>
          <w:szCs w:val="21"/>
          <w:highlight w:val="none"/>
        </w:rPr>
        <w:t xml:space="preserve">强制采购       </w:t>
      </w:r>
      <w:r>
        <w:rPr>
          <w:rFonts w:hint="eastAsia" w:ascii="宋体" w:hAnsi="宋体"/>
          <w:iCs/>
          <w:sz w:val="21"/>
          <w:szCs w:val="21"/>
          <w:highlight w:val="none"/>
        </w:rPr>
        <w:sym w:font="Wingdings" w:char="00A8"/>
      </w:r>
      <w:r>
        <w:rPr>
          <w:rFonts w:hint="eastAsia" w:ascii="宋体" w:hAnsi="宋体"/>
          <w:iCs/>
          <w:sz w:val="21"/>
          <w:szCs w:val="21"/>
          <w:highlight w:val="none"/>
        </w:rPr>
        <w:t xml:space="preserve">优先采购    </w:t>
      </w:r>
    </w:p>
    <w:p>
      <w:pPr>
        <w:pStyle w:val="188"/>
        <w:ind w:firstLine="420" w:firstLineChars="0"/>
        <w:rPr>
          <w:rFonts w:hint="eastAsia" w:ascii="宋体" w:hAnsi="宋体"/>
          <w:sz w:val="21"/>
          <w:highlight w:val="none"/>
        </w:rPr>
      </w:pPr>
      <w:r>
        <w:rPr>
          <w:rFonts w:hint="eastAsia" w:ascii="宋体" w:hAnsi="宋体" w:eastAsia="宋体" w:cs="Times New Roman"/>
          <w:kern w:val="2"/>
          <w:sz w:val="21"/>
          <w:highlight w:val="none"/>
        </w:rPr>
        <w:t xml:space="preserve">     </w:t>
      </w:r>
      <w:r>
        <w:rPr>
          <w:rFonts w:hint="eastAsia" w:ascii="宋体" w:hAnsi="宋体" w:eastAsia="宋体" w:cs="Times New Roman"/>
          <w:kern w:val="2"/>
          <w:sz w:val="21"/>
          <w:highlight w:val="none"/>
        </w:rPr>
        <w:sym w:font="Wingdings" w:char="00A8"/>
      </w:r>
      <w:r>
        <w:rPr>
          <w:rFonts w:hint="eastAsia" w:ascii="宋体" w:hAnsi="宋体" w:eastAsia="宋体" w:cs="Times New Roman"/>
          <w:kern w:val="2"/>
          <w:sz w:val="21"/>
          <w:highlight w:val="none"/>
        </w:rPr>
        <w:t>否</w:t>
      </w:r>
    </w:p>
    <w:p>
      <w:pPr>
        <w:numPr>
          <w:ilvl w:val="0"/>
          <w:numId w:val="0"/>
        </w:numPr>
        <w:adjustRightInd w:val="0"/>
        <w:snapToGrid w:val="0"/>
        <w:spacing w:line="400" w:lineRule="exact"/>
        <w:rPr>
          <w:rFonts w:hint="eastAsia" w:ascii="宋体" w:hAnsi="宋体"/>
          <w:sz w:val="21"/>
          <w:szCs w:val="21"/>
          <w:highlight w:val="none"/>
        </w:rPr>
      </w:pPr>
      <w:r>
        <w:rPr>
          <w:rFonts w:hint="eastAsia" w:ascii="宋体" w:hAnsi="宋体"/>
          <w:sz w:val="21"/>
          <w:szCs w:val="21"/>
          <w:highlight w:val="none"/>
        </w:rPr>
        <w:t xml:space="preserve">    （1</w:t>
      </w:r>
      <w:r>
        <w:rPr>
          <w:rFonts w:ascii="宋体" w:hAnsi="宋体"/>
          <w:sz w:val="21"/>
          <w:szCs w:val="21"/>
          <w:highlight w:val="none"/>
          <w:lang w:val="en"/>
        </w:rPr>
        <w:t>1</w:t>
      </w:r>
      <w:r>
        <w:rPr>
          <w:rFonts w:hint="eastAsia" w:ascii="宋体" w:hAnsi="宋体"/>
          <w:sz w:val="21"/>
          <w:szCs w:val="21"/>
          <w:highlight w:val="none"/>
        </w:rPr>
        <w:t>）涉及商品包装和快递包装的，是否参考《商品包装政府采购需求标准（试行）》、《快递包装政府采购需求标准（试行）》明确产品及相关快递服务的具体包装要求：</w:t>
      </w:r>
    </w:p>
    <w:p>
      <w:pPr>
        <w:numPr>
          <w:ilvl w:val="0"/>
          <w:numId w:val="0"/>
        </w:numPr>
        <w:adjustRightInd w:val="0"/>
        <w:snapToGrid w:val="0"/>
        <w:spacing w:line="400" w:lineRule="exact"/>
        <w:ind w:firstLine="840" w:firstLineChars="400"/>
        <w:rPr>
          <w:rFonts w:hint="eastAsia" w:ascii="宋体" w:hAnsi="宋体"/>
          <w:sz w:val="21"/>
          <w:szCs w:val="21"/>
          <w:highlight w:val="none"/>
        </w:rPr>
      </w:pPr>
      <w:r>
        <w:rPr>
          <w:rFonts w:hint="eastAsia" w:ascii="宋体" w:hAnsi="宋体"/>
          <w:sz w:val="21"/>
          <w:szCs w:val="21"/>
          <w:highlight w:val="none"/>
        </w:rPr>
        <w:sym w:font="Wingdings" w:char="00A8"/>
      </w:r>
      <w:r>
        <w:rPr>
          <w:rFonts w:hint="eastAsia" w:ascii="宋体" w:hAnsi="宋体"/>
          <w:sz w:val="21"/>
          <w:szCs w:val="21"/>
          <w:highlight w:val="none"/>
        </w:rPr>
        <w:t xml:space="preserve">是       </w:t>
      </w:r>
      <w:r>
        <w:rPr>
          <w:rFonts w:hint="eastAsia" w:ascii="宋体" w:hAnsi="宋体"/>
          <w:sz w:val="21"/>
          <w:szCs w:val="21"/>
          <w:highlight w:val="none"/>
        </w:rPr>
        <w:sym w:font="Wingdings" w:char="00A8"/>
      </w:r>
      <w:r>
        <w:rPr>
          <w:rFonts w:hint="eastAsia" w:ascii="宋体" w:hAnsi="宋体"/>
          <w:sz w:val="21"/>
          <w:szCs w:val="21"/>
          <w:highlight w:val="none"/>
        </w:rPr>
        <w:t xml:space="preserve">否      </w:t>
      </w:r>
      <w:r>
        <w:rPr>
          <w:rFonts w:hint="eastAsia" w:ascii="宋体" w:hAnsi="宋体"/>
          <w:sz w:val="21"/>
          <w:szCs w:val="21"/>
          <w:highlight w:val="none"/>
        </w:rPr>
        <w:sym w:font="Wingdings" w:char="00A8"/>
      </w:r>
      <w:r>
        <w:rPr>
          <w:rFonts w:hint="eastAsia" w:ascii="宋体" w:hAnsi="宋体"/>
          <w:sz w:val="21"/>
          <w:szCs w:val="21"/>
          <w:highlight w:val="none"/>
        </w:rPr>
        <w:t>不涉及</w:t>
      </w:r>
    </w:p>
    <w:p>
      <w:pPr>
        <w:numPr>
          <w:ilvl w:val="0"/>
          <w:numId w:val="5"/>
        </w:numPr>
        <w:adjustRightInd w:val="0"/>
        <w:snapToGrid w:val="0"/>
        <w:spacing w:line="400" w:lineRule="exact"/>
        <w:ind w:firstLine="422" w:firstLineChars="200"/>
        <w:rPr>
          <w:rFonts w:hint="eastAsia" w:ascii="宋体" w:hAnsi="宋体"/>
          <w:b/>
          <w:sz w:val="21"/>
          <w:szCs w:val="21"/>
          <w:highlight w:val="none"/>
        </w:rPr>
      </w:pPr>
      <w:r>
        <w:rPr>
          <w:rFonts w:hint="eastAsia" w:ascii="宋体" w:hAnsi="宋体"/>
          <w:b/>
          <w:sz w:val="21"/>
          <w:szCs w:val="21"/>
          <w:highlight w:val="none"/>
        </w:rPr>
        <w:t>合同金额</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（1）合同金额小写：</w:t>
      </w:r>
      <w:r>
        <w:rPr>
          <w:rFonts w:hint="eastAsia" w:ascii="宋体" w:hAnsi="宋体"/>
          <w:sz w:val="21"/>
          <w:szCs w:val="21"/>
          <w:highlight w:val="none"/>
          <w:u w:val="single"/>
        </w:rPr>
        <w:t xml:space="preserve">                           </w:t>
      </w:r>
    </w:p>
    <w:p>
      <w:pPr>
        <w:adjustRightInd w:val="0"/>
        <w:snapToGrid w:val="0"/>
        <w:spacing w:line="400" w:lineRule="exact"/>
        <w:ind w:firstLine="420"/>
        <w:rPr>
          <w:rFonts w:hint="eastAsia" w:ascii="宋体" w:hAnsi="宋体"/>
          <w:sz w:val="21"/>
          <w:szCs w:val="21"/>
          <w:highlight w:val="none"/>
          <w:u w:val="single"/>
        </w:rPr>
      </w:pPr>
      <w:r>
        <w:rPr>
          <w:rFonts w:hint="eastAsia" w:ascii="宋体" w:hAnsi="宋体"/>
          <w:sz w:val="21"/>
          <w:szCs w:val="21"/>
          <w:highlight w:val="none"/>
        </w:rPr>
        <w:t xml:space="preserve">             大写：</w:t>
      </w:r>
      <w:r>
        <w:rPr>
          <w:rFonts w:hint="eastAsia" w:ascii="宋体" w:hAnsi="宋体"/>
          <w:sz w:val="21"/>
          <w:szCs w:val="21"/>
          <w:highlight w:val="none"/>
          <w:u w:val="single"/>
        </w:rPr>
        <w:t xml:space="preserve">                           </w:t>
      </w:r>
    </w:p>
    <w:p>
      <w:pPr>
        <w:adjustRightInd w:val="0"/>
        <w:snapToGrid w:val="0"/>
        <w:spacing w:line="400" w:lineRule="exact"/>
        <w:ind w:firstLine="420"/>
        <w:rPr>
          <w:rFonts w:hint="eastAsia" w:ascii="宋体" w:hAnsi="宋体"/>
          <w:sz w:val="21"/>
          <w:szCs w:val="21"/>
          <w:highlight w:val="none"/>
        </w:rPr>
      </w:pPr>
      <w:r>
        <w:rPr>
          <w:rFonts w:hint="eastAsia" w:ascii="宋体" w:hAnsi="宋体"/>
          <w:sz w:val="21"/>
          <w:szCs w:val="21"/>
          <w:highlight w:val="none"/>
        </w:rPr>
        <w:t xml:space="preserve">         分包金额（如有）小写：</w:t>
      </w:r>
      <w:r>
        <w:rPr>
          <w:rFonts w:hint="eastAsia" w:ascii="宋体" w:hAnsi="宋体"/>
          <w:sz w:val="21"/>
          <w:szCs w:val="21"/>
          <w:highlight w:val="none"/>
          <w:u w:val="single"/>
        </w:rPr>
        <w:t xml:space="preserve">                   </w:t>
      </w:r>
    </w:p>
    <w:p>
      <w:pPr>
        <w:adjustRightInd w:val="0"/>
        <w:snapToGrid w:val="0"/>
        <w:spacing w:line="400" w:lineRule="exact"/>
        <w:ind w:firstLine="420"/>
        <w:rPr>
          <w:rFonts w:hint="eastAsia" w:ascii="宋体" w:hAnsi="宋体"/>
          <w:sz w:val="21"/>
          <w:szCs w:val="21"/>
          <w:highlight w:val="none"/>
          <w:u w:val="single"/>
        </w:rPr>
      </w:pP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rPr>
        <w:t>大写：</w:t>
      </w:r>
      <w:r>
        <w:rPr>
          <w:rFonts w:hint="eastAsia" w:ascii="宋体" w:hAnsi="宋体"/>
          <w:sz w:val="21"/>
          <w:szCs w:val="21"/>
          <w:highlight w:val="none"/>
          <w:u w:val="single"/>
        </w:rPr>
        <w:t xml:space="preserve">                       </w:t>
      </w:r>
    </w:p>
    <w:p>
      <w:pPr>
        <w:adjustRightInd w:val="0"/>
        <w:snapToGrid w:val="0"/>
        <w:spacing w:line="400" w:lineRule="exact"/>
        <w:ind w:firstLine="420"/>
        <w:rPr>
          <w:rFonts w:hint="eastAsia" w:ascii="宋体" w:hAnsi="宋体"/>
          <w:sz w:val="21"/>
          <w:szCs w:val="21"/>
          <w:highlight w:val="none"/>
        </w:rPr>
      </w:pPr>
      <w:r>
        <w:rPr>
          <w:rFonts w:hint="eastAsia" w:ascii="宋体" w:hAnsi="宋体"/>
          <w:sz w:val="21"/>
          <w:szCs w:val="21"/>
          <w:highlight w:val="none"/>
        </w:rPr>
        <w:t xml:space="preserve">    （注：固定单价合同应填写单价和最高限价）</w:t>
      </w:r>
    </w:p>
    <w:p>
      <w:pPr>
        <w:numPr>
          <w:ilvl w:val="0"/>
          <w:numId w:val="0"/>
        </w:numPr>
        <w:adjustRightInd w:val="0"/>
        <w:snapToGrid w:val="0"/>
        <w:spacing w:line="400" w:lineRule="exact"/>
        <w:rPr>
          <w:rFonts w:hint="eastAsia" w:ascii="宋体" w:hAnsi="宋体"/>
          <w:sz w:val="21"/>
          <w:szCs w:val="21"/>
          <w:highlight w:val="none"/>
        </w:rPr>
      </w:pPr>
      <w:r>
        <w:rPr>
          <w:rFonts w:hint="eastAsia" w:ascii="宋体" w:hAnsi="宋体"/>
          <w:sz w:val="21"/>
          <w:szCs w:val="21"/>
          <w:highlight w:val="none"/>
        </w:rPr>
        <w:t xml:space="preserve">    （2）合同定价方式（采用组合定价方式的，可以勾选多项）：</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iCs/>
          <w:sz w:val="21"/>
          <w:szCs w:val="21"/>
          <w:highlight w:val="none"/>
        </w:rPr>
        <w:t xml:space="preserve">  </w:t>
      </w:r>
      <w:r>
        <w:rPr>
          <w:rFonts w:hint="eastAsia" w:ascii="宋体" w:hAnsi="宋体"/>
          <w:iCs/>
          <w:sz w:val="21"/>
          <w:szCs w:val="21"/>
          <w:highlight w:val="none"/>
        </w:rPr>
        <w:sym w:font="Wingdings" w:char="00A8"/>
      </w:r>
      <w:r>
        <w:rPr>
          <w:rFonts w:hint="eastAsia" w:ascii="宋体" w:hAnsi="宋体"/>
          <w:iCs/>
          <w:sz w:val="21"/>
          <w:szCs w:val="21"/>
          <w:highlight w:val="none"/>
        </w:rPr>
        <w:t xml:space="preserve">固定总价 </w:t>
      </w:r>
      <w:r>
        <w:rPr>
          <w:rFonts w:hint="eastAsia" w:ascii="宋体" w:hAnsi="宋体"/>
          <w:iCs/>
          <w:sz w:val="21"/>
          <w:szCs w:val="21"/>
          <w:highlight w:val="none"/>
        </w:rPr>
        <w:sym w:font="Wingdings" w:char="00A8"/>
      </w:r>
      <w:r>
        <w:rPr>
          <w:rFonts w:hint="eastAsia" w:ascii="宋体" w:hAnsi="宋体"/>
          <w:iCs/>
          <w:sz w:val="21"/>
          <w:szCs w:val="21"/>
          <w:highlight w:val="none"/>
        </w:rPr>
        <w:t xml:space="preserve">固定单价 </w:t>
      </w:r>
      <w:r>
        <w:rPr>
          <w:rFonts w:hint="eastAsia" w:ascii="宋体" w:hAnsi="宋体"/>
          <w:iCs/>
          <w:sz w:val="21"/>
          <w:szCs w:val="21"/>
          <w:highlight w:val="none"/>
        </w:rPr>
        <w:sym w:font="Wingdings" w:char="00A8"/>
      </w:r>
      <w:r>
        <w:rPr>
          <w:rFonts w:hint="eastAsia" w:ascii="宋体" w:hAnsi="宋体"/>
          <w:iCs/>
          <w:sz w:val="21"/>
          <w:szCs w:val="21"/>
          <w:highlight w:val="none"/>
        </w:rPr>
        <w:t xml:space="preserve">固定费率 </w:t>
      </w:r>
      <w:r>
        <w:rPr>
          <w:rFonts w:hint="eastAsia" w:ascii="宋体" w:hAnsi="宋体"/>
          <w:iCs/>
          <w:sz w:val="21"/>
          <w:szCs w:val="21"/>
          <w:highlight w:val="none"/>
        </w:rPr>
        <w:sym w:font="Wingdings" w:char="00A8"/>
      </w:r>
      <w:r>
        <w:rPr>
          <w:rFonts w:hint="eastAsia" w:ascii="宋体" w:hAnsi="宋体"/>
          <w:iCs/>
          <w:sz w:val="21"/>
          <w:szCs w:val="21"/>
          <w:highlight w:val="none"/>
        </w:rPr>
        <w:t xml:space="preserve">成本补偿 </w:t>
      </w:r>
      <w:r>
        <w:rPr>
          <w:rFonts w:hint="eastAsia" w:ascii="宋体" w:hAnsi="宋体"/>
          <w:iCs/>
          <w:sz w:val="21"/>
          <w:szCs w:val="21"/>
          <w:highlight w:val="none"/>
        </w:rPr>
        <w:sym w:font="Wingdings" w:char="00A8"/>
      </w:r>
      <w:r>
        <w:rPr>
          <w:rFonts w:hint="eastAsia" w:ascii="宋体" w:hAnsi="宋体"/>
          <w:iCs/>
          <w:sz w:val="21"/>
          <w:szCs w:val="21"/>
          <w:highlight w:val="none"/>
        </w:rPr>
        <w:t xml:space="preserve">绩效激励 </w:t>
      </w:r>
      <w:r>
        <w:rPr>
          <w:rFonts w:hint="eastAsia" w:ascii="宋体" w:hAnsi="宋体"/>
          <w:iCs/>
          <w:sz w:val="21"/>
          <w:szCs w:val="21"/>
          <w:highlight w:val="none"/>
        </w:rPr>
        <w:sym w:font="Wingdings" w:char="00A8"/>
      </w:r>
      <w:r>
        <w:rPr>
          <w:rFonts w:hint="eastAsia" w:ascii="宋体" w:hAnsi="宋体"/>
          <w:iCs/>
          <w:sz w:val="21"/>
          <w:szCs w:val="21"/>
          <w:highlight w:val="none"/>
        </w:rPr>
        <w:t>其他</w:t>
      </w:r>
      <w:r>
        <w:rPr>
          <w:rFonts w:hint="eastAsia" w:ascii="宋体" w:hAnsi="宋体"/>
          <w:sz w:val="21"/>
          <w:szCs w:val="21"/>
          <w:highlight w:val="none"/>
          <w:u w:val="single"/>
        </w:rPr>
        <w:t xml:space="preserve">       </w:t>
      </w:r>
    </w:p>
    <w:p>
      <w:pPr>
        <w:pStyle w:val="189"/>
        <w:spacing w:line="400" w:lineRule="exac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（3）付款方式（按项目实际勾选填写）：</w:t>
      </w:r>
    </w:p>
    <w:p>
      <w:pPr>
        <w:adjustRightInd w:val="0"/>
        <w:snapToGrid w:val="0"/>
        <w:spacing w:line="400" w:lineRule="exact"/>
        <w:ind w:firstLine="630" w:firstLineChars="300"/>
        <w:rPr>
          <w:rFonts w:hint="eastAsia" w:ascii="宋体" w:hAnsi="宋体"/>
          <w:sz w:val="21"/>
          <w:szCs w:val="21"/>
          <w:highlight w:val="none"/>
          <w:u w:val="single"/>
        </w:rPr>
      </w:pPr>
      <w:r>
        <w:rPr>
          <w:rFonts w:hint="eastAsia" w:ascii="宋体" w:hAnsi="宋体"/>
          <w:sz w:val="21"/>
          <w:szCs w:val="21"/>
          <w:highlight w:val="none"/>
        </w:rPr>
        <w:sym w:font="Wingdings" w:char="00A8"/>
      </w:r>
      <w:r>
        <w:rPr>
          <w:rFonts w:hint="eastAsia" w:ascii="宋体" w:hAnsi="宋体"/>
          <w:sz w:val="21"/>
          <w:szCs w:val="21"/>
          <w:highlight w:val="none"/>
        </w:rPr>
        <w:t>全额付款：</w:t>
      </w:r>
      <w:r>
        <w:rPr>
          <w:rFonts w:hint="eastAsia" w:ascii="宋体" w:hAnsi="宋体"/>
          <w:sz w:val="21"/>
          <w:szCs w:val="21"/>
          <w:highlight w:val="none"/>
          <w:u w:val="single"/>
        </w:rPr>
        <w:t xml:space="preserve">     （应明确一次性支付合同款项的条件）                    </w:t>
      </w:r>
    </w:p>
    <w:p>
      <w:pPr>
        <w:snapToGrid w:val="0"/>
        <w:spacing w:line="400" w:lineRule="exact"/>
        <w:ind w:firstLine="630" w:firstLineChars="300"/>
        <w:rPr>
          <w:sz w:val="21"/>
          <w:szCs w:val="21"/>
          <w:highlight w:val="none"/>
        </w:rPr>
      </w:pPr>
      <w:r>
        <w:rPr>
          <w:rFonts w:hint="eastAsia" w:ascii="宋体" w:hAnsi="宋体"/>
          <w:sz w:val="21"/>
          <w:szCs w:val="21"/>
          <w:highlight w:val="none"/>
        </w:rPr>
        <w:sym w:font="Wingdings" w:char="00A8"/>
      </w:r>
      <w:r>
        <w:rPr>
          <w:rFonts w:hint="eastAsia" w:ascii="宋体" w:hAnsi="宋体"/>
          <w:sz w:val="21"/>
          <w:szCs w:val="21"/>
          <w:highlight w:val="none"/>
        </w:rPr>
        <w:t>分期付款：</w:t>
      </w:r>
      <w:r>
        <w:rPr>
          <w:rFonts w:hint="eastAsia" w:ascii="宋体" w:hAnsi="宋体"/>
          <w:sz w:val="21"/>
          <w:szCs w:val="21"/>
          <w:highlight w:val="none"/>
          <w:u w:val="single"/>
        </w:rPr>
        <w:t xml:space="preserve">  （应明确分期支付合同款项的各期比例和支付条件，各期支付条件应与分期履约验收情况挂钩） </w:t>
      </w:r>
      <w:r>
        <w:rPr>
          <w:rFonts w:hint="eastAsia" w:ascii="宋体" w:hAnsi="宋体"/>
          <w:sz w:val="21"/>
          <w:szCs w:val="21"/>
          <w:highlight w:val="none"/>
        </w:rPr>
        <w:t>，其中涉及预付款的：</w:t>
      </w:r>
      <w:r>
        <w:rPr>
          <w:rFonts w:hint="eastAsia" w:ascii="宋体" w:hAnsi="宋体"/>
          <w:sz w:val="21"/>
          <w:szCs w:val="21"/>
          <w:highlight w:val="none"/>
          <w:u w:val="single"/>
        </w:rPr>
        <w:t xml:space="preserve"> （应明确预付款的支付比例和支付条件） </w:t>
      </w:r>
    </w:p>
    <w:p>
      <w:pPr>
        <w:adjustRightInd w:val="0"/>
        <w:snapToGrid w:val="0"/>
        <w:spacing w:line="400" w:lineRule="exact"/>
        <w:ind w:firstLine="630" w:firstLineChars="300"/>
        <w:rPr>
          <w:rFonts w:hint="eastAsia" w:ascii="宋体" w:hAnsi="宋体"/>
          <w:sz w:val="21"/>
          <w:szCs w:val="21"/>
          <w:highlight w:val="none"/>
          <w:u w:val="single"/>
        </w:rPr>
      </w:pPr>
      <w:r>
        <w:rPr>
          <w:rFonts w:hint="eastAsia" w:ascii="宋体" w:hAnsi="宋体"/>
          <w:sz w:val="21"/>
          <w:szCs w:val="21"/>
          <w:highlight w:val="none"/>
        </w:rPr>
        <w:sym w:font="Wingdings" w:char="00A8"/>
      </w:r>
      <w:r>
        <w:rPr>
          <w:rFonts w:hint="eastAsia" w:ascii="宋体" w:hAnsi="宋体"/>
          <w:sz w:val="21"/>
          <w:szCs w:val="21"/>
          <w:highlight w:val="none"/>
        </w:rPr>
        <w:t>成本补偿：</w:t>
      </w:r>
      <w:r>
        <w:rPr>
          <w:rFonts w:hint="eastAsia" w:ascii="宋体" w:hAnsi="宋体"/>
          <w:sz w:val="21"/>
          <w:szCs w:val="21"/>
          <w:highlight w:val="none"/>
          <w:u w:val="single"/>
        </w:rPr>
        <w:t xml:space="preserve">      （应明确按照成本补偿方式的支付方式和支付条件）   </w:t>
      </w:r>
    </w:p>
    <w:p>
      <w:pPr>
        <w:adjustRightInd w:val="0"/>
        <w:snapToGrid w:val="0"/>
        <w:spacing w:line="400" w:lineRule="exact"/>
        <w:ind w:firstLine="630" w:firstLineChars="300"/>
        <w:rPr>
          <w:rFonts w:hint="eastAsia" w:ascii="宋体" w:hAnsi="宋体"/>
          <w:sz w:val="21"/>
          <w:szCs w:val="21"/>
          <w:highlight w:val="none"/>
        </w:rPr>
      </w:pPr>
      <w:r>
        <w:rPr>
          <w:rFonts w:hint="eastAsia" w:ascii="宋体" w:hAnsi="宋体"/>
          <w:sz w:val="21"/>
          <w:szCs w:val="21"/>
          <w:highlight w:val="none"/>
        </w:rPr>
        <w:sym w:font="Wingdings" w:char="00A8"/>
      </w:r>
      <w:r>
        <w:rPr>
          <w:rFonts w:hint="eastAsia" w:ascii="宋体" w:hAnsi="宋体"/>
          <w:sz w:val="21"/>
          <w:szCs w:val="21"/>
          <w:highlight w:val="none"/>
        </w:rPr>
        <w:t>绩效激励：</w:t>
      </w:r>
      <w:r>
        <w:rPr>
          <w:rFonts w:hint="eastAsia" w:ascii="宋体" w:hAnsi="宋体"/>
          <w:sz w:val="21"/>
          <w:szCs w:val="21"/>
          <w:highlight w:val="none"/>
          <w:u w:val="single"/>
        </w:rPr>
        <w:t xml:space="preserve">      （应明确按照绩效激励方式的支付方式和支付条件）   </w:t>
      </w:r>
    </w:p>
    <w:p>
      <w:pPr>
        <w:numPr>
          <w:ilvl w:val="0"/>
          <w:numId w:val="5"/>
        </w:numPr>
        <w:adjustRightInd w:val="0"/>
        <w:snapToGrid w:val="0"/>
        <w:spacing w:line="400" w:lineRule="exact"/>
        <w:ind w:firstLine="422" w:firstLineChars="200"/>
        <w:rPr>
          <w:rFonts w:hint="eastAsia" w:ascii="宋体" w:hAnsi="宋体"/>
          <w:b/>
          <w:sz w:val="21"/>
          <w:szCs w:val="21"/>
          <w:highlight w:val="none"/>
          <w:u w:val="single"/>
        </w:rPr>
      </w:pPr>
      <w:r>
        <w:rPr>
          <w:rFonts w:hint="eastAsia" w:ascii="宋体" w:hAnsi="宋体"/>
          <w:b/>
          <w:sz w:val="21"/>
          <w:szCs w:val="21"/>
          <w:highlight w:val="none"/>
        </w:rPr>
        <w:t>合同履行</w:t>
      </w:r>
    </w:p>
    <w:p>
      <w:pPr>
        <w:adjustRightInd w:val="0"/>
        <w:snapToGrid w:val="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（1）起始日期：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日，完成日期：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pPr>
        <w:adjustRightInd w:val="0"/>
        <w:snapToGrid w:val="0"/>
        <w:spacing w:line="400" w:lineRule="exact"/>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（2）履约地点</w:t>
      </w:r>
      <w:r>
        <w:rPr>
          <w:rFonts w:hint="eastAsia" w:ascii="宋体" w:hAnsi="宋体" w:cs="宋体"/>
          <w:bCs/>
          <w:sz w:val="21"/>
          <w:szCs w:val="21"/>
          <w:highlight w:val="none"/>
        </w:rPr>
        <w:t>：</w:t>
      </w:r>
      <w:r>
        <w:rPr>
          <w:rFonts w:hint="eastAsia" w:ascii="宋体" w:hAnsi="宋体" w:cs="宋体"/>
          <w:sz w:val="21"/>
          <w:szCs w:val="21"/>
          <w:highlight w:val="none"/>
          <w:u w:val="single"/>
        </w:rPr>
        <w:t xml:space="preserve">                             </w:t>
      </w:r>
    </w:p>
    <w:p>
      <w:pPr>
        <w:adjustRightInd w:val="0"/>
        <w:snapToGrid w:val="0"/>
        <w:spacing w:line="400" w:lineRule="exact"/>
        <w:ind w:firstLine="420" w:firstLineChars="200"/>
        <w:rPr>
          <w:rFonts w:hint="eastAsia" w:ascii="宋体" w:hAnsi="宋体" w:cs="宋体"/>
          <w:sz w:val="21"/>
          <w:szCs w:val="21"/>
          <w:highlight w:val="none"/>
        </w:rPr>
      </w:pPr>
      <w:r>
        <w:rPr>
          <w:rFonts w:hint="eastAsia" w:ascii="宋体" w:hAnsi="宋体" w:cs="宋体"/>
          <w:bCs/>
          <w:sz w:val="21"/>
          <w:szCs w:val="21"/>
          <w:highlight w:val="none"/>
        </w:rPr>
        <w:t>（3）履约担保：</w:t>
      </w:r>
      <w:r>
        <w:rPr>
          <w:rFonts w:hint="eastAsia" w:ascii="宋体" w:hAnsi="宋体" w:cs="宋体"/>
          <w:sz w:val="21"/>
          <w:szCs w:val="21"/>
          <w:highlight w:val="none"/>
        </w:rPr>
        <w:t>是否收取履约保证金：</w:t>
      </w:r>
      <w:r>
        <w:rPr>
          <w:rFonts w:hint="eastAsia" w:ascii="宋体" w:hAnsi="宋体" w:cs="宋体"/>
          <w:sz w:val="21"/>
          <w:szCs w:val="21"/>
          <w:highlight w:val="none"/>
        </w:rPr>
        <w:sym w:font="Wingdings" w:char="00A8"/>
      </w:r>
      <w:r>
        <w:rPr>
          <w:rFonts w:hint="eastAsia" w:ascii="宋体" w:hAnsi="宋体" w:cs="宋体"/>
          <w:sz w:val="21"/>
          <w:szCs w:val="21"/>
          <w:highlight w:val="none"/>
        </w:rPr>
        <w:t xml:space="preserve">是    </w:t>
      </w:r>
      <w:r>
        <w:rPr>
          <w:rFonts w:hint="eastAsia" w:ascii="宋体" w:hAnsi="宋体" w:cs="宋体"/>
          <w:sz w:val="21"/>
          <w:szCs w:val="21"/>
          <w:highlight w:val="none"/>
        </w:rPr>
        <w:sym w:font="Wingdings" w:char="00A8"/>
      </w:r>
      <w:r>
        <w:rPr>
          <w:rFonts w:hint="eastAsia" w:ascii="宋体" w:hAnsi="宋体" w:cs="宋体"/>
          <w:sz w:val="21"/>
          <w:szCs w:val="21"/>
          <w:highlight w:val="none"/>
        </w:rPr>
        <w:t>否</w:t>
      </w:r>
    </w:p>
    <w:p>
      <w:pPr>
        <w:pStyle w:val="188"/>
        <w:ind w:firstLine="420"/>
        <w:rPr>
          <w:rFonts w:hint="eastAsia" w:ascii="宋体" w:hAnsi="宋体" w:eastAsia="宋体" w:cs="宋体"/>
          <w:sz w:val="21"/>
          <w:highlight w:val="none"/>
        </w:rPr>
      </w:pPr>
      <w:r>
        <w:rPr>
          <w:rFonts w:hint="eastAsia" w:ascii="宋体" w:hAnsi="宋体" w:cs="宋体"/>
          <w:bCs/>
          <w:sz w:val="21"/>
          <w:highlight w:val="none"/>
        </w:rPr>
        <w:t xml:space="preserve">  </w:t>
      </w:r>
      <w:r>
        <w:rPr>
          <w:rFonts w:hint="eastAsia" w:ascii="宋体" w:hAnsi="宋体" w:eastAsia="宋体" w:cs="宋体"/>
          <w:sz w:val="21"/>
          <w:highlight w:val="none"/>
        </w:rPr>
        <w:t xml:space="preserve">  收取履约保证金形式：</w:t>
      </w:r>
      <w:r>
        <w:rPr>
          <w:rFonts w:hint="eastAsia" w:ascii="宋体" w:hAnsi="宋体" w:eastAsia="宋体" w:cs="宋体"/>
          <w:bCs/>
          <w:sz w:val="21"/>
          <w:highlight w:val="none"/>
          <w:u w:val="single"/>
        </w:rPr>
        <w:t xml:space="preserve">                            </w:t>
      </w:r>
    </w:p>
    <w:p>
      <w:pPr>
        <w:pStyle w:val="188"/>
        <w:ind w:firstLine="420"/>
        <w:rPr>
          <w:rFonts w:hint="eastAsia" w:ascii="宋体" w:hAnsi="宋体" w:eastAsia="宋体" w:cs="宋体"/>
          <w:sz w:val="21"/>
          <w:highlight w:val="none"/>
        </w:rPr>
      </w:pPr>
      <w:r>
        <w:rPr>
          <w:rFonts w:hint="eastAsia" w:ascii="宋体" w:hAnsi="宋体" w:eastAsia="宋体" w:cs="宋体"/>
          <w:sz w:val="21"/>
          <w:highlight w:val="none"/>
        </w:rPr>
        <w:t xml:space="preserve">    收取履约保证金金额：</w:t>
      </w:r>
      <w:r>
        <w:rPr>
          <w:rFonts w:hint="eastAsia" w:ascii="宋体" w:hAnsi="宋体" w:eastAsia="宋体" w:cs="宋体"/>
          <w:bCs/>
          <w:sz w:val="21"/>
          <w:highlight w:val="none"/>
          <w:u w:val="single"/>
        </w:rPr>
        <w:t xml:space="preserve">                            </w:t>
      </w:r>
    </w:p>
    <w:p>
      <w:pPr>
        <w:snapToGrid w:val="0"/>
        <w:spacing w:line="400" w:lineRule="exact"/>
        <w:ind w:firstLine="420" w:firstLineChars="200"/>
        <w:rPr>
          <w:rFonts w:hint="eastAsia" w:ascii="宋体" w:hAnsi="宋体" w:cs="宋体"/>
          <w:sz w:val="21"/>
          <w:szCs w:val="21"/>
          <w:highlight w:val="none"/>
        </w:rPr>
      </w:pPr>
      <w:r>
        <w:rPr>
          <w:rFonts w:hint="eastAsia" w:ascii="宋体" w:hAnsi="宋体" w:cs="宋体"/>
          <w:bCs/>
          <w:sz w:val="21"/>
          <w:szCs w:val="21"/>
          <w:highlight w:val="none"/>
        </w:rPr>
        <w:t xml:space="preserve">    履约担保期限：</w:t>
      </w:r>
      <w:r>
        <w:rPr>
          <w:rFonts w:hint="eastAsia" w:ascii="宋体" w:hAnsi="宋体" w:cs="宋体"/>
          <w:bCs/>
          <w:sz w:val="21"/>
          <w:szCs w:val="21"/>
          <w:highlight w:val="none"/>
          <w:u w:val="single"/>
        </w:rPr>
        <w:t xml:space="preserve">                                  </w:t>
      </w:r>
    </w:p>
    <w:p>
      <w:pPr>
        <w:adjustRightInd w:val="0"/>
        <w:snapToGrid w:val="0"/>
        <w:spacing w:line="400" w:lineRule="exact"/>
        <w:ind w:firstLine="420" w:firstLineChars="200"/>
        <w:rPr>
          <w:rFonts w:hint="eastAsia" w:ascii="宋体" w:hAnsi="宋体" w:cs="宋体"/>
          <w:bCs/>
          <w:sz w:val="21"/>
          <w:szCs w:val="21"/>
          <w:highlight w:val="none"/>
        </w:rPr>
      </w:pPr>
      <w:r>
        <w:rPr>
          <w:rFonts w:hint="eastAsia" w:ascii="宋体" w:hAnsi="宋体" w:cs="宋体"/>
          <w:bCs/>
          <w:sz w:val="21"/>
          <w:szCs w:val="21"/>
          <w:highlight w:val="none"/>
        </w:rPr>
        <w:t>（4）分期履行要求：</w:t>
      </w:r>
      <w:r>
        <w:rPr>
          <w:rFonts w:hint="eastAsia" w:ascii="宋体" w:hAnsi="宋体" w:cs="宋体"/>
          <w:bCs/>
          <w:sz w:val="21"/>
          <w:szCs w:val="21"/>
          <w:highlight w:val="none"/>
          <w:u w:val="single"/>
        </w:rPr>
        <w:t xml:space="preserve">                                                        </w:t>
      </w:r>
    </w:p>
    <w:p>
      <w:pPr>
        <w:adjustRightInd w:val="0"/>
        <w:snapToGrid w:val="0"/>
        <w:spacing w:line="400" w:lineRule="exact"/>
        <w:ind w:firstLine="420" w:firstLineChars="200"/>
        <w:rPr>
          <w:rFonts w:hint="eastAsia" w:ascii="宋体" w:hAnsi="宋体" w:cs="宋体"/>
          <w:sz w:val="21"/>
          <w:szCs w:val="21"/>
          <w:highlight w:val="none"/>
          <w:u w:val="single"/>
        </w:rPr>
      </w:pPr>
      <w:r>
        <w:rPr>
          <w:rFonts w:hint="eastAsia" w:ascii="宋体" w:hAnsi="宋体" w:cs="宋体"/>
          <w:bCs/>
          <w:sz w:val="21"/>
          <w:szCs w:val="21"/>
          <w:highlight w:val="none"/>
        </w:rPr>
        <w:t>（5）风险处置措施和替代方案：</w:t>
      </w:r>
      <w:r>
        <w:rPr>
          <w:rFonts w:hint="eastAsia" w:ascii="宋体" w:hAnsi="宋体" w:cs="宋体"/>
          <w:color w:val="0000FF"/>
          <w:sz w:val="21"/>
          <w:szCs w:val="21"/>
          <w:highlight w:val="none"/>
          <w:u w:val="single"/>
        </w:rPr>
        <w:t xml:space="preserve"> </w:t>
      </w:r>
      <w:r>
        <w:rPr>
          <w:rFonts w:hint="eastAsia" w:ascii="宋体" w:hAnsi="宋体" w:cs="宋体"/>
          <w:color w:val="000000"/>
          <w:sz w:val="21"/>
          <w:szCs w:val="21"/>
          <w:highlight w:val="none"/>
          <w:u w:val="single"/>
        </w:rPr>
        <w:t xml:space="preserve">              </w:t>
      </w:r>
      <w:r>
        <w:rPr>
          <w:rFonts w:hint="eastAsia" w:ascii="宋体" w:hAnsi="宋体" w:cs="宋体"/>
          <w:sz w:val="21"/>
          <w:szCs w:val="21"/>
          <w:highlight w:val="none"/>
          <w:u w:val="single"/>
        </w:rPr>
        <w:t xml:space="preserve">                                          </w:t>
      </w:r>
    </w:p>
    <w:p>
      <w:pPr>
        <w:numPr>
          <w:ilvl w:val="0"/>
          <w:numId w:val="5"/>
        </w:numPr>
        <w:adjustRightInd w:val="0"/>
        <w:snapToGrid w:val="0"/>
        <w:spacing w:line="400" w:lineRule="exact"/>
        <w:ind w:firstLine="422" w:firstLineChars="200"/>
        <w:rPr>
          <w:rFonts w:hint="eastAsia" w:ascii="宋体" w:hAnsi="宋体"/>
          <w:b/>
          <w:sz w:val="21"/>
          <w:szCs w:val="21"/>
          <w:highlight w:val="none"/>
        </w:rPr>
      </w:pPr>
      <w:r>
        <w:rPr>
          <w:rFonts w:hint="eastAsia" w:ascii="宋体" w:hAnsi="宋体"/>
          <w:b/>
          <w:sz w:val="21"/>
          <w:szCs w:val="21"/>
          <w:highlight w:val="none"/>
        </w:rPr>
        <w:t>合同验收</w:t>
      </w:r>
    </w:p>
    <w:p>
      <w:pPr>
        <w:numPr>
          <w:ilvl w:val="0"/>
          <w:numId w:val="7"/>
        </w:numPr>
        <w:adjustRightInd w:val="0"/>
        <w:snapToGrid w:val="0"/>
        <w:spacing w:line="400" w:lineRule="exact"/>
        <w:ind w:firstLine="420" w:firstLineChars="200"/>
        <w:rPr>
          <w:rFonts w:hint="eastAsia" w:ascii="宋体" w:hAnsi="宋体"/>
          <w:bCs/>
          <w:sz w:val="21"/>
          <w:szCs w:val="21"/>
          <w:highlight w:val="none"/>
        </w:rPr>
      </w:pPr>
      <w:r>
        <w:rPr>
          <w:rFonts w:hint="eastAsia" w:ascii="宋体" w:hAnsi="宋体"/>
          <w:bCs/>
          <w:sz w:val="21"/>
          <w:szCs w:val="21"/>
          <w:highlight w:val="none"/>
        </w:rPr>
        <w:t>验收组织方式：</w:t>
      </w:r>
      <w:r>
        <w:rPr>
          <w:rFonts w:hint="eastAsia" w:ascii="宋体" w:hAnsi="宋体" w:cs="宋体"/>
          <w:sz w:val="21"/>
          <w:szCs w:val="21"/>
          <w:highlight w:val="none"/>
        </w:rPr>
        <w:sym w:font="Wingdings" w:char="00A8"/>
      </w:r>
      <w:r>
        <w:rPr>
          <w:rFonts w:hint="eastAsia" w:ascii="宋体" w:hAnsi="宋体"/>
          <w:bCs/>
          <w:sz w:val="21"/>
          <w:szCs w:val="21"/>
          <w:highlight w:val="none"/>
        </w:rPr>
        <w:t xml:space="preserve">自行组织 </w:t>
      </w:r>
      <w:r>
        <w:rPr>
          <w:rFonts w:hint="eastAsia" w:ascii="宋体" w:hAnsi="宋体" w:cs="宋体"/>
          <w:sz w:val="21"/>
          <w:szCs w:val="21"/>
          <w:highlight w:val="none"/>
        </w:rPr>
        <w:sym w:font="Wingdings" w:char="00A8"/>
      </w:r>
      <w:r>
        <w:rPr>
          <w:rFonts w:hint="eastAsia" w:ascii="宋体" w:hAnsi="宋体"/>
          <w:bCs/>
          <w:sz w:val="21"/>
          <w:szCs w:val="21"/>
          <w:highlight w:val="none"/>
        </w:rPr>
        <w:t>委托第三方组织</w:t>
      </w:r>
    </w:p>
    <w:p>
      <w:pPr>
        <w:adjustRightInd w:val="0"/>
        <w:snapToGrid w:val="0"/>
        <w:spacing w:line="400" w:lineRule="exact"/>
        <w:ind w:firstLine="420"/>
        <w:rPr>
          <w:rFonts w:hint="eastAsia" w:ascii="宋体" w:hAnsi="宋体"/>
          <w:bCs/>
          <w:sz w:val="21"/>
          <w:szCs w:val="21"/>
          <w:highlight w:val="none"/>
        </w:rPr>
      </w:pPr>
      <w:r>
        <w:rPr>
          <w:rFonts w:hint="eastAsia" w:ascii="宋体" w:hAnsi="宋体"/>
          <w:bCs/>
          <w:sz w:val="21"/>
          <w:szCs w:val="21"/>
          <w:highlight w:val="none"/>
        </w:rPr>
        <w:t xml:space="preserve">         验收主体：</w:t>
      </w:r>
      <w:r>
        <w:rPr>
          <w:rFonts w:hint="eastAsia" w:ascii="宋体" w:hAnsi="宋体"/>
          <w:bCs/>
          <w:sz w:val="21"/>
          <w:szCs w:val="21"/>
          <w:highlight w:val="none"/>
          <w:u w:val="single"/>
        </w:rPr>
        <w:t xml:space="preserve">                  </w:t>
      </w:r>
    </w:p>
    <w:p>
      <w:pPr>
        <w:adjustRightInd w:val="0"/>
        <w:snapToGrid w:val="0"/>
        <w:spacing w:line="400" w:lineRule="exact"/>
        <w:ind w:firstLine="420"/>
        <w:rPr>
          <w:rFonts w:hint="eastAsia" w:ascii="宋体" w:hAnsi="宋体"/>
          <w:bCs/>
          <w:sz w:val="21"/>
          <w:szCs w:val="21"/>
          <w:highlight w:val="none"/>
        </w:rPr>
      </w:pPr>
      <w:r>
        <w:rPr>
          <w:rFonts w:hint="eastAsia" w:ascii="宋体" w:hAnsi="宋体"/>
          <w:bCs/>
          <w:sz w:val="21"/>
          <w:szCs w:val="21"/>
          <w:highlight w:val="none"/>
        </w:rPr>
        <w:t xml:space="preserve">        是否邀请本项目的其他供应商参加验收：</w:t>
      </w:r>
      <w:r>
        <w:rPr>
          <w:rFonts w:hint="eastAsia" w:ascii="宋体" w:hAnsi="宋体" w:cs="宋体"/>
          <w:sz w:val="21"/>
          <w:szCs w:val="21"/>
          <w:highlight w:val="none"/>
        </w:rPr>
        <w:sym w:font="Wingdings" w:char="00A8"/>
      </w:r>
      <w:r>
        <w:rPr>
          <w:rFonts w:hint="eastAsia" w:ascii="宋体" w:hAnsi="宋体"/>
          <w:bCs/>
          <w:sz w:val="21"/>
          <w:szCs w:val="21"/>
          <w:highlight w:val="none"/>
        </w:rPr>
        <w:t xml:space="preserve">是  </w:t>
      </w:r>
      <w:r>
        <w:rPr>
          <w:rFonts w:hint="eastAsia" w:ascii="宋体" w:hAnsi="宋体" w:cs="宋体"/>
          <w:sz w:val="21"/>
          <w:szCs w:val="21"/>
          <w:highlight w:val="none"/>
        </w:rPr>
        <w:sym w:font="Wingdings" w:char="00A8"/>
      </w:r>
      <w:r>
        <w:rPr>
          <w:rFonts w:hint="eastAsia" w:ascii="宋体" w:hAnsi="宋体"/>
          <w:bCs/>
          <w:sz w:val="21"/>
          <w:szCs w:val="21"/>
          <w:highlight w:val="none"/>
        </w:rPr>
        <w:t>否</w:t>
      </w:r>
    </w:p>
    <w:p>
      <w:pPr>
        <w:adjustRightInd w:val="0"/>
        <w:snapToGrid w:val="0"/>
        <w:spacing w:line="400" w:lineRule="exact"/>
        <w:ind w:firstLine="840" w:firstLineChars="400"/>
        <w:rPr>
          <w:rFonts w:hint="eastAsia" w:ascii="宋体" w:hAnsi="宋体"/>
          <w:bCs/>
          <w:sz w:val="21"/>
          <w:szCs w:val="21"/>
          <w:highlight w:val="none"/>
        </w:rPr>
      </w:pPr>
      <w:r>
        <w:rPr>
          <w:rFonts w:hint="eastAsia" w:ascii="宋体" w:hAnsi="宋体"/>
          <w:bCs/>
          <w:sz w:val="21"/>
          <w:szCs w:val="21"/>
          <w:highlight w:val="none"/>
        </w:rPr>
        <w:t>是否邀请专家参加验收：</w:t>
      </w:r>
      <w:r>
        <w:rPr>
          <w:rFonts w:hint="eastAsia" w:ascii="宋体" w:hAnsi="宋体" w:cs="宋体"/>
          <w:sz w:val="21"/>
          <w:szCs w:val="21"/>
          <w:highlight w:val="none"/>
        </w:rPr>
        <w:sym w:font="Wingdings" w:char="00A8"/>
      </w:r>
      <w:r>
        <w:rPr>
          <w:rFonts w:hint="eastAsia" w:ascii="宋体" w:hAnsi="宋体"/>
          <w:bCs/>
          <w:sz w:val="21"/>
          <w:szCs w:val="21"/>
          <w:highlight w:val="none"/>
        </w:rPr>
        <w:t xml:space="preserve">是  </w:t>
      </w:r>
      <w:r>
        <w:rPr>
          <w:rFonts w:hint="eastAsia" w:ascii="宋体" w:hAnsi="宋体" w:cs="宋体"/>
          <w:sz w:val="21"/>
          <w:szCs w:val="21"/>
          <w:highlight w:val="none"/>
        </w:rPr>
        <w:sym w:font="Wingdings" w:char="00A8"/>
      </w:r>
      <w:r>
        <w:rPr>
          <w:rFonts w:hint="eastAsia" w:ascii="宋体" w:hAnsi="宋体"/>
          <w:bCs/>
          <w:sz w:val="21"/>
          <w:szCs w:val="21"/>
          <w:highlight w:val="none"/>
        </w:rPr>
        <w:t>否</w:t>
      </w:r>
    </w:p>
    <w:p>
      <w:pPr>
        <w:adjustRightInd w:val="0"/>
        <w:snapToGrid w:val="0"/>
        <w:spacing w:line="400" w:lineRule="exact"/>
        <w:ind w:firstLine="840" w:firstLineChars="400"/>
        <w:rPr>
          <w:rFonts w:hint="eastAsia" w:ascii="宋体" w:hAnsi="宋体"/>
          <w:bCs/>
          <w:sz w:val="21"/>
          <w:szCs w:val="21"/>
          <w:highlight w:val="none"/>
        </w:rPr>
      </w:pPr>
      <w:r>
        <w:rPr>
          <w:rFonts w:hint="eastAsia" w:ascii="宋体" w:hAnsi="宋体"/>
          <w:bCs/>
          <w:sz w:val="21"/>
          <w:szCs w:val="21"/>
          <w:highlight w:val="none"/>
        </w:rPr>
        <w:t>是否邀请服务对象参加验收：</w:t>
      </w:r>
      <w:r>
        <w:rPr>
          <w:rFonts w:hint="eastAsia" w:ascii="宋体" w:hAnsi="宋体" w:cs="宋体"/>
          <w:sz w:val="21"/>
          <w:szCs w:val="21"/>
          <w:highlight w:val="none"/>
        </w:rPr>
        <w:sym w:font="Wingdings" w:char="00A8"/>
      </w:r>
      <w:r>
        <w:rPr>
          <w:rFonts w:hint="eastAsia" w:ascii="宋体" w:hAnsi="宋体"/>
          <w:bCs/>
          <w:sz w:val="21"/>
          <w:szCs w:val="21"/>
          <w:highlight w:val="none"/>
        </w:rPr>
        <w:t xml:space="preserve">是  </w:t>
      </w:r>
      <w:r>
        <w:rPr>
          <w:rFonts w:hint="eastAsia" w:ascii="宋体" w:hAnsi="宋体" w:cs="宋体"/>
          <w:sz w:val="21"/>
          <w:szCs w:val="21"/>
          <w:highlight w:val="none"/>
        </w:rPr>
        <w:sym w:font="Wingdings" w:char="00A8"/>
      </w:r>
      <w:r>
        <w:rPr>
          <w:rFonts w:hint="eastAsia" w:ascii="宋体" w:hAnsi="宋体"/>
          <w:bCs/>
          <w:sz w:val="21"/>
          <w:szCs w:val="21"/>
          <w:highlight w:val="none"/>
        </w:rPr>
        <w:t>否</w:t>
      </w:r>
    </w:p>
    <w:p>
      <w:pPr>
        <w:adjustRightInd w:val="0"/>
        <w:snapToGrid w:val="0"/>
        <w:spacing w:line="400" w:lineRule="exact"/>
        <w:ind w:firstLine="840" w:firstLineChars="400"/>
        <w:rPr>
          <w:rFonts w:hint="eastAsia" w:ascii="宋体" w:hAnsi="宋体"/>
          <w:bCs/>
          <w:sz w:val="21"/>
          <w:szCs w:val="21"/>
          <w:highlight w:val="none"/>
        </w:rPr>
      </w:pPr>
      <w:r>
        <w:rPr>
          <w:rFonts w:hint="eastAsia" w:ascii="宋体" w:hAnsi="宋体"/>
          <w:bCs/>
          <w:sz w:val="21"/>
          <w:szCs w:val="21"/>
          <w:highlight w:val="none"/>
        </w:rPr>
        <w:t>是否邀请第三方检测机构参加验收：</w:t>
      </w:r>
      <w:r>
        <w:rPr>
          <w:rFonts w:hint="eastAsia" w:ascii="宋体" w:hAnsi="宋体" w:cs="宋体"/>
          <w:sz w:val="21"/>
          <w:szCs w:val="21"/>
          <w:highlight w:val="none"/>
        </w:rPr>
        <w:sym w:font="Wingdings" w:char="00A8"/>
      </w:r>
      <w:r>
        <w:rPr>
          <w:rFonts w:hint="eastAsia" w:ascii="宋体" w:hAnsi="宋体"/>
          <w:bCs/>
          <w:sz w:val="21"/>
          <w:szCs w:val="21"/>
          <w:highlight w:val="none"/>
        </w:rPr>
        <w:t xml:space="preserve">是  </w:t>
      </w:r>
      <w:r>
        <w:rPr>
          <w:rFonts w:hint="eastAsia" w:ascii="宋体" w:hAnsi="宋体" w:cs="宋体"/>
          <w:sz w:val="21"/>
          <w:szCs w:val="21"/>
          <w:highlight w:val="none"/>
        </w:rPr>
        <w:sym w:font="Wingdings" w:char="00A8"/>
      </w:r>
      <w:r>
        <w:rPr>
          <w:rFonts w:hint="eastAsia" w:ascii="宋体" w:hAnsi="宋体"/>
          <w:bCs/>
          <w:sz w:val="21"/>
          <w:szCs w:val="21"/>
          <w:highlight w:val="none"/>
        </w:rPr>
        <w:t>否</w:t>
      </w:r>
    </w:p>
    <w:p>
      <w:pPr>
        <w:adjustRightInd w:val="0"/>
        <w:snapToGrid w:val="0"/>
        <w:spacing w:line="400" w:lineRule="exact"/>
        <w:ind w:firstLine="840" w:firstLineChars="400"/>
        <w:rPr>
          <w:rFonts w:hint="eastAsia" w:ascii="宋体" w:hAnsi="宋体"/>
          <w:bCs/>
          <w:sz w:val="21"/>
          <w:szCs w:val="21"/>
          <w:highlight w:val="none"/>
        </w:rPr>
      </w:pPr>
      <w:r>
        <w:rPr>
          <w:rFonts w:hint="eastAsia" w:ascii="宋体" w:hAnsi="宋体"/>
          <w:bCs/>
          <w:sz w:val="21"/>
          <w:szCs w:val="21"/>
          <w:highlight w:val="none"/>
        </w:rPr>
        <w:t>是否进行抽查检测：</w:t>
      </w:r>
      <w:r>
        <w:rPr>
          <w:rFonts w:hint="eastAsia" w:ascii="宋体" w:hAnsi="宋体" w:cs="宋体"/>
          <w:sz w:val="21"/>
          <w:szCs w:val="21"/>
          <w:highlight w:val="none"/>
        </w:rPr>
        <w:sym w:font="Wingdings" w:char="00A8"/>
      </w:r>
      <w:r>
        <w:rPr>
          <w:rFonts w:hint="eastAsia" w:ascii="宋体" w:hAnsi="宋体"/>
          <w:bCs/>
          <w:sz w:val="21"/>
          <w:szCs w:val="21"/>
          <w:highlight w:val="none"/>
        </w:rPr>
        <w:t>是，抽查比例：</w:t>
      </w:r>
      <w:r>
        <w:rPr>
          <w:rFonts w:hint="eastAsia" w:ascii="宋体" w:hAnsi="宋体"/>
          <w:bCs/>
          <w:sz w:val="21"/>
          <w:szCs w:val="21"/>
          <w:highlight w:val="none"/>
          <w:u w:val="single"/>
        </w:rPr>
        <w:t xml:space="preserve">        </w:t>
      </w:r>
      <w:r>
        <w:rPr>
          <w:rFonts w:hint="eastAsia" w:ascii="宋体" w:hAnsi="宋体"/>
          <w:bCs/>
          <w:sz w:val="21"/>
          <w:szCs w:val="21"/>
          <w:highlight w:val="none"/>
        </w:rPr>
        <w:t xml:space="preserve"> </w:t>
      </w:r>
      <w:r>
        <w:rPr>
          <w:rFonts w:hint="eastAsia" w:ascii="宋体" w:hAnsi="宋体" w:cs="宋体"/>
          <w:sz w:val="21"/>
          <w:szCs w:val="21"/>
          <w:highlight w:val="none"/>
        </w:rPr>
        <w:sym w:font="Wingdings" w:char="00A8"/>
      </w:r>
      <w:r>
        <w:rPr>
          <w:rFonts w:hint="eastAsia" w:ascii="宋体" w:hAnsi="宋体"/>
          <w:bCs/>
          <w:sz w:val="21"/>
          <w:szCs w:val="21"/>
          <w:highlight w:val="none"/>
        </w:rPr>
        <w:t>否</w:t>
      </w:r>
    </w:p>
    <w:p>
      <w:pPr>
        <w:adjustRightInd w:val="0"/>
        <w:snapToGrid w:val="0"/>
        <w:spacing w:line="400" w:lineRule="exact"/>
        <w:ind w:firstLine="840" w:firstLineChars="400"/>
        <w:rPr>
          <w:rFonts w:hint="eastAsia" w:ascii="宋体" w:hAnsi="宋体"/>
          <w:bCs/>
          <w:sz w:val="21"/>
          <w:szCs w:val="21"/>
          <w:highlight w:val="none"/>
          <w:u w:val="single"/>
        </w:rPr>
      </w:pPr>
      <w:r>
        <w:rPr>
          <w:rFonts w:hint="eastAsia" w:ascii="宋体" w:hAnsi="宋体"/>
          <w:bCs/>
          <w:sz w:val="21"/>
          <w:szCs w:val="21"/>
          <w:highlight w:val="none"/>
        </w:rPr>
        <w:t>是否存在破坏性检测：</w:t>
      </w:r>
      <w:r>
        <w:rPr>
          <w:rFonts w:hint="eastAsia" w:ascii="宋体" w:hAnsi="宋体" w:cs="宋体"/>
          <w:sz w:val="21"/>
          <w:szCs w:val="21"/>
          <w:highlight w:val="none"/>
        </w:rPr>
        <w:sym w:font="Wingdings" w:char="00A8"/>
      </w:r>
      <w:r>
        <w:rPr>
          <w:rFonts w:hint="eastAsia" w:ascii="宋体" w:hAnsi="宋体"/>
          <w:bCs/>
          <w:sz w:val="21"/>
          <w:szCs w:val="21"/>
          <w:highlight w:val="none"/>
        </w:rPr>
        <w:t>是，</w:t>
      </w:r>
      <w:r>
        <w:rPr>
          <w:rFonts w:hint="eastAsia" w:ascii="宋体" w:hAnsi="宋体"/>
          <w:bCs/>
          <w:sz w:val="21"/>
          <w:szCs w:val="21"/>
          <w:highlight w:val="none"/>
          <w:u w:val="single"/>
        </w:rPr>
        <w:t>（应明确对被破坏的检测产品的处理方式）</w:t>
      </w:r>
    </w:p>
    <w:p>
      <w:pPr>
        <w:adjustRightInd w:val="0"/>
        <w:snapToGrid w:val="0"/>
        <w:spacing w:line="400" w:lineRule="exact"/>
        <w:ind w:firstLine="840" w:firstLineChars="400"/>
        <w:rPr>
          <w:rFonts w:hint="eastAsia" w:ascii="宋体" w:hAnsi="宋体"/>
          <w:bCs/>
          <w:sz w:val="21"/>
          <w:szCs w:val="21"/>
          <w:highlight w:val="none"/>
        </w:rPr>
      </w:pPr>
      <w:r>
        <w:rPr>
          <w:rFonts w:hint="eastAsia" w:ascii="宋体" w:hAnsi="宋体"/>
          <w:bCs/>
          <w:sz w:val="21"/>
          <w:szCs w:val="21"/>
          <w:highlight w:val="none"/>
        </w:rPr>
        <w:t xml:space="preserve">                    </w:t>
      </w:r>
      <w:r>
        <w:rPr>
          <w:rFonts w:hint="eastAsia" w:ascii="宋体" w:hAnsi="宋体" w:cs="宋体"/>
          <w:sz w:val="21"/>
          <w:szCs w:val="21"/>
          <w:highlight w:val="none"/>
        </w:rPr>
        <w:sym w:font="Wingdings" w:char="00A8"/>
      </w:r>
      <w:r>
        <w:rPr>
          <w:rFonts w:hint="eastAsia" w:ascii="宋体" w:hAnsi="宋体"/>
          <w:bCs/>
          <w:sz w:val="21"/>
          <w:szCs w:val="21"/>
          <w:highlight w:val="none"/>
        </w:rPr>
        <w:t>否</w:t>
      </w:r>
    </w:p>
    <w:p>
      <w:pPr>
        <w:adjustRightInd w:val="0"/>
        <w:snapToGrid w:val="0"/>
        <w:spacing w:line="400" w:lineRule="exact"/>
        <w:ind w:firstLine="840" w:firstLineChars="400"/>
        <w:rPr>
          <w:rFonts w:hint="eastAsia" w:ascii="宋体" w:hAnsi="宋体"/>
          <w:bCs/>
          <w:sz w:val="21"/>
          <w:szCs w:val="21"/>
          <w:highlight w:val="none"/>
          <w:u w:val="single"/>
        </w:rPr>
      </w:pPr>
      <w:r>
        <w:rPr>
          <w:rFonts w:hint="eastAsia" w:ascii="宋体" w:hAnsi="宋体"/>
          <w:bCs/>
          <w:sz w:val="21"/>
          <w:szCs w:val="21"/>
          <w:highlight w:val="none"/>
        </w:rPr>
        <w:t>验收组织的其他事项：</w:t>
      </w:r>
      <w:r>
        <w:rPr>
          <w:rFonts w:hint="eastAsia" w:ascii="宋体" w:hAnsi="宋体"/>
          <w:bCs/>
          <w:sz w:val="21"/>
          <w:szCs w:val="21"/>
          <w:highlight w:val="none"/>
          <w:u w:val="single"/>
        </w:rPr>
        <w:t xml:space="preserve">                </w:t>
      </w:r>
    </w:p>
    <w:p>
      <w:pPr>
        <w:adjustRightInd w:val="0"/>
        <w:snapToGrid w:val="0"/>
        <w:spacing w:line="400" w:lineRule="exact"/>
        <w:ind w:firstLine="420" w:firstLineChars="200"/>
        <w:rPr>
          <w:rFonts w:hint="eastAsia" w:ascii="宋体" w:hAnsi="宋体"/>
          <w:bCs/>
          <w:sz w:val="21"/>
          <w:szCs w:val="21"/>
          <w:highlight w:val="none"/>
          <w:u w:val="single"/>
        </w:rPr>
      </w:pPr>
      <w:r>
        <w:rPr>
          <w:rFonts w:hint="eastAsia" w:ascii="宋体" w:hAnsi="宋体"/>
          <w:bCs/>
          <w:sz w:val="21"/>
          <w:szCs w:val="21"/>
          <w:highlight w:val="none"/>
        </w:rPr>
        <w:t>（2）履约验收时间：</w:t>
      </w:r>
      <w:r>
        <w:rPr>
          <w:rFonts w:hint="eastAsia" w:ascii="宋体" w:hAnsi="宋体"/>
          <w:bCs/>
          <w:sz w:val="21"/>
          <w:szCs w:val="21"/>
          <w:highlight w:val="none"/>
          <w:u w:val="single"/>
        </w:rPr>
        <w:t xml:space="preserve">（计划于何时验收/供应商提出验收申请之日起   日内组织验收） </w:t>
      </w:r>
    </w:p>
    <w:p>
      <w:pPr>
        <w:adjustRightInd w:val="0"/>
        <w:snapToGrid w:val="0"/>
        <w:spacing w:line="400" w:lineRule="exact"/>
        <w:ind w:firstLine="420" w:firstLineChars="200"/>
        <w:rPr>
          <w:rFonts w:hint="eastAsia" w:ascii="宋体" w:hAnsi="宋体"/>
          <w:bCs/>
          <w:sz w:val="21"/>
          <w:szCs w:val="21"/>
          <w:highlight w:val="none"/>
        </w:rPr>
      </w:pPr>
      <w:r>
        <w:rPr>
          <w:rFonts w:hint="eastAsia" w:ascii="宋体" w:hAnsi="宋体"/>
          <w:bCs/>
          <w:sz w:val="21"/>
          <w:szCs w:val="21"/>
          <w:highlight w:val="none"/>
        </w:rPr>
        <w:t>（3）履约验收方式：</w:t>
      </w:r>
      <w:r>
        <w:rPr>
          <w:rFonts w:hint="eastAsia" w:ascii="宋体" w:hAnsi="宋体" w:cs="宋体"/>
          <w:sz w:val="21"/>
          <w:szCs w:val="21"/>
          <w:highlight w:val="none"/>
        </w:rPr>
        <w:sym w:font="Wingdings" w:char="00A8"/>
      </w:r>
      <w:r>
        <w:rPr>
          <w:rFonts w:hint="eastAsia" w:ascii="宋体" w:hAnsi="宋体"/>
          <w:bCs/>
          <w:sz w:val="21"/>
          <w:szCs w:val="21"/>
          <w:highlight w:val="none"/>
        </w:rPr>
        <w:t xml:space="preserve">一次性验收         </w:t>
      </w:r>
    </w:p>
    <w:p>
      <w:pPr>
        <w:adjustRightInd w:val="0"/>
        <w:snapToGrid w:val="0"/>
        <w:spacing w:line="400" w:lineRule="exact"/>
        <w:ind w:firstLine="420"/>
        <w:rPr>
          <w:rFonts w:hint="eastAsia" w:ascii="宋体" w:hAnsi="宋体"/>
          <w:bCs/>
          <w:sz w:val="21"/>
          <w:szCs w:val="21"/>
          <w:highlight w:val="none"/>
        </w:rPr>
      </w:pPr>
      <w:r>
        <w:rPr>
          <w:rFonts w:hint="eastAsia" w:ascii="宋体" w:hAnsi="宋体"/>
          <w:bCs/>
          <w:sz w:val="21"/>
          <w:szCs w:val="21"/>
          <w:highlight w:val="none"/>
        </w:rPr>
        <w:t xml:space="preserve">                   </w:t>
      </w:r>
      <w:r>
        <w:rPr>
          <w:rFonts w:hint="eastAsia" w:ascii="宋体" w:hAnsi="宋体" w:cs="宋体"/>
          <w:sz w:val="21"/>
          <w:szCs w:val="21"/>
          <w:highlight w:val="none"/>
        </w:rPr>
        <w:sym w:font="Wingdings" w:char="00A8"/>
      </w:r>
      <w:r>
        <w:rPr>
          <w:rFonts w:hint="eastAsia" w:ascii="宋体" w:hAnsi="宋体"/>
          <w:bCs/>
          <w:sz w:val="21"/>
          <w:szCs w:val="21"/>
          <w:highlight w:val="none"/>
        </w:rPr>
        <w:t>分期/分项验收：</w:t>
      </w:r>
      <w:r>
        <w:rPr>
          <w:rFonts w:hint="eastAsia" w:ascii="宋体" w:hAnsi="宋体"/>
          <w:bCs/>
          <w:sz w:val="21"/>
          <w:szCs w:val="21"/>
          <w:highlight w:val="none"/>
          <w:u w:val="single"/>
        </w:rPr>
        <w:t xml:space="preserve"> （应明确分期</w:t>
      </w:r>
      <w:r>
        <w:rPr>
          <w:rFonts w:ascii="宋体" w:hAnsi="宋体"/>
          <w:bCs/>
          <w:sz w:val="21"/>
          <w:szCs w:val="21"/>
          <w:highlight w:val="none"/>
          <w:u w:val="single"/>
          <w:lang w:val="en"/>
        </w:rPr>
        <w:t>/</w:t>
      </w:r>
      <w:r>
        <w:rPr>
          <w:rFonts w:hint="eastAsia" w:ascii="宋体" w:hAnsi="宋体"/>
          <w:bCs/>
          <w:sz w:val="21"/>
          <w:szCs w:val="21"/>
          <w:highlight w:val="none"/>
          <w:u w:val="single"/>
          <w:lang w:val="en"/>
        </w:rPr>
        <w:t>分项验收的工作安排</w:t>
      </w:r>
      <w:r>
        <w:rPr>
          <w:rFonts w:hint="eastAsia" w:ascii="宋体" w:hAnsi="宋体"/>
          <w:bCs/>
          <w:sz w:val="21"/>
          <w:szCs w:val="21"/>
          <w:highlight w:val="none"/>
          <w:u w:val="single"/>
        </w:rPr>
        <w:t xml:space="preserve">）  </w:t>
      </w:r>
    </w:p>
    <w:p>
      <w:pPr>
        <w:adjustRightInd w:val="0"/>
        <w:snapToGrid w:val="0"/>
        <w:spacing w:line="400" w:lineRule="exact"/>
        <w:ind w:firstLine="420" w:firstLineChars="200"/>
        <w:rPr>
          <w:rFonts w:hint="eastAsia" w:ascii="宋体" w:hAnsi="宋体"/>
          <w:bCs/>
          <w:sz w:val="21"/>
          <w:szCs w:val="21"/>
          <w:highlight w:val="none"/>
        </w:rPr>
      </w:pPr>
      <w:r>
        <w:rPr>
          <w:rFonts w:hint="eastAsia" w:ascii="宋体" w:hAnsi="宋体"/>
          <w:bCs/>
          <w:sz w:val="21"/>
          <w:szCs w:val="21"/>
          <w:highlight w:val="none"/>
        </w:rPr>
        <w:t>（4）履约验收程序：</w:t>
      </w:r>
      <w:r>
        <w:rPr>
          <w:rFonts w:hint="eastAsia" w:ascii="宋体" w:hAnsi="宋体"/>
          <w:bCs/>
          <w:sz w:val="21"/>
          <w:szCs w:val="21"/>
          <w:highlight w:val="none"/>
          <w:u w:val="single"/>
        </w:rPr>
        <w:t xml:space="preserve">                                         </w:t>
      </w:r>
    </w:p>
    <w:p>
      <w:pPr>
        <w:adjustRightInd w:val="0"/>
        <w:snapToGrid w:val="0"/>
        <w:spacing w:line="400" w:lineRule="exact"/>
        <w:ind w:firstLine="420" w:firstLineChars="200"/>
        <w:rPr>
          <w:rFonts w:hint="eastAsia" w:ascii="宋体" w:hAnsi="宋体"/>
          <w:bCs/>
          <w:sz w:val="21"/>
          <w:szCs w:val="21"/>
          <w:highlight w:val="none"/>
          <w:u w:val="single"/>
        </w:rPr>
      </w:pPr>
      <w:r>
        <w:rPr>
          <w:rFonts w:hint="eastAsia" w:ascii="宋体" w:hAnsi="宋体"/>
          <w:bCs/>
          <w:sz w:val="21"/>
          <w:szCs w:val="21"/>
          <w:highlight w:val="none"/>
        </w:rPr>
        <w:t>（5）履约验收的内容：</w:t>
      </w:r>
      <w:r>
        <w:rPr>
          <w:rFonts w:hint="eastAsia" w:ascii="宋体" w:hAnsi="宋体"/>
          <w:bCs/>
          <w:sz w:val="21"/>
          <w:szCs w:val="21"/>
          <w:highlight w:val="none"/>
          <w:u w:val="single"/>
        </w:rPr>
        <w:t xml:space="preserve"> （应当包括每一项技术和商务要求的履约情况，特别是落实政府采购扶持中小企业，支持绿色发展和乡村振兴等政策情况）                                      </w:t>
      </w:r>
    </w:p>
    <w:p>
      <w:pPr>
        <w:adjustRightInd w:val="0"/>
        <w:snapToGrid w:val="0"/>
        <w:spacing w:line="400" w:lineRule="exact"/>
        <w:ind w:firstLine="420" w:firstLineChars="200"/>
        <w:rPr>
          <w:rFonts w:hint="eastAsia" w:ascii="宋体" w:hAnsi="宋体"/>
          <w:bCs/>
          <w:sz w:val="21"/>
          <w:szCs w:val="21"/>
          <w:highlight w:val="none"/>
          <w:u w:val="single"/>
        </w:rPr>
      </w:pPr>
      <w:r>
        <w:rPr>
          <w:rFonts w:hint="eastAsia" w:ascii="宋体" w:hAnsi="宋体"/>
          <w:bCs/>
          <w:sz w:val="21"/>
          <w:szCs w:val="21"/>
          <w:highlight w:val="none"/>
        </w:rPr>
        <w:t>（6）履约验收标准：</w:t>
      </w:r>
      <w:r>
        <w:rPr>
          <w:rFonts w:hint="eastAsia" w:ascii="宋体" w:hAnsi="宋体"/>
          <w:bCs/>
          <w:sz w:val="21"/>
          <w:szCs w:val="21"/>
          <w:highlight w:val="none"/>
          <w:u w:val="single"/>
        </w:rPr>
        <w:t xml:space="preserve">                                         </w:t>
      </w:r>
    </w:p>
    <w:p>
      <w:pPr>
        <w:pStyle w:val="188"/>
        <w:ind w:firstLine="420"/>
        <w:rPr>
          <w:rFonts w:hint="eastAsia" w:ascii="宋体" w:hAnsi="宋体" w:eastAsia="宋体" w:cs="宋体"/>
          <w:sz w:val="21"/>
          <w:highlight w:val="none"/>
        </w:rPr>
      </w:pPr>
      <w:r>
        <w:rPr>
          <w:rFonts w:hint="eastAsia" w:ascii="宋体" w:hAnsi="宋体" w:eastAsia="宋体" w:cs="宋体"/>
          <w:bCs/>
          <w:sz w:val="21"/>
          <w:highlight w:val="none"/>
        </w:rPr>
        <w:t>（7）是否以采购活动中供应商提供的样品作为参考：</w:t>
      </w:r>
      <w:r>
        <w:rPr>
          <w:rFonts w:hint="eastAsia" w:ascii="宋体" w:hAnsi="宋体" w:eastAsia="宋体" w:cs="宋体"/>
          <w:sz w:val="21"/>
          <w:highlight w:val="none"/>
        </w:rPr>
        <w:sym w:font="Wingdings" w:char="00A8"/>
      </w:r>
      <w:r>
        <w:rPr>
          <w:rFonts w:hint="eastAsia" w:ascii="宋体" w:hAnsi="宋体" w:eastAsia="宋体" w:cs="宋体"/>
          <w:bCs/>
          <w:sz w:val="21"/>
          <w:highlight w:val="none"/>
        </w:rPr>
        <w:t xml:space="preserve">是  </w:t>
      </w:r>
      <w:r>
        <w:rPr>
          <w:rFonts w:hint="eastAsia" w:ascii="宋体" w:hAnsi="宋体" w:eastAsia="宋体" w:cs="宋体"/>
          <w:sz w:val="21"/>
          <w:highlight w:val="none"/>
        </w:rPr>
        <w:sym w:font="Wingdings" w:char="00A8"/>
      </w:r>
      <w:r>
        <w:rPr>
          <w:rFonts w:hint="eastAsia" w:ascii="宋体" w:hAnsi="宋体" w:eastAsia="宋体" w:cs="宋体"/>
          <w:bCs/>
          <w:sz w:val="21"/>
          <w:highlight w:val="none"/>
        </w:rPr>
        <w:t>否</w:t>
      </w:r>
    </w:p>
    <w:p>
      <w:pPr>
        <w:adjustRightInd w:val="0"/>
        <w:snapToGrid w:val="0"/>
        <w:spacing w:line="400" w:lineRule="exact"/>
        <w:ind w:firstLine="420" w:firstLineChars="200"/>
        <w:rPr>
          <w:rFonts w:hint="eastAsia" w:ascii="宋体" w:hAnsi="宋体" w:cs="宋体"/>
          <w:bCs/>
          <w:sz w:val="21"/>
          <w:szCs w:val="21"/>
          <w:highlight w:val="none"/>
          <w:u w:val="single"/>
        </w:rPr>
      </w:pPr>
      <w:r>
        <w:rPr>
          <w:rFonts w:hint="eastAsia" w:ascii="宋体" w:hAnsi="宋体" w:cs="宋体"/>
          <w:bCs/>
          <w:sz w:val="21"/>
          <w:szCs w:val="21"/>
          <w:highlight w:val="none"/>
        </w:rPr>
        <w:t>（8）履约验收其他事项：</w:t>
      </w:r>
      <w:r>
        <w:rPr>
          <w:rFonts w:hint="eastAsia" w:ascii="宋体" w:hAnsi="宋体" w:cs="宋体"/>
          <w:bCs/>
          <w:sz w:val="21"/>
          <w:szCs w:val="21"/>
          <w:highlight w:val="none"/>
          <w:u w:val="single"/>
        </w:rPr>
        <w:t xml:space="preserve">      （产权过户登记等）          </w:t>
      </w:r>
    </w:p>
    <w:p>
      <w:pPr>
        <w:numPr>
          <w:ilvl w:val="0"/>
          <w:numId w:val="5"/>
        </w:numPr>
        <w:adjustRightInd w:val="0"/>
        <w:snapToGrid w:val="0"/>
        <w:spacing w:line="400" w:lineRule="exact"/>
        <w:ind w:firstLine="422" w:firstLineChars="200"/>
        <w:rPr>
          <w:rFonts w:hint="eastAsia" w:ascii="宋体" w:hAnsi="宋体"/>
          <w:b/>
          <w:sz w:val="21"/>
          <w:szCs w:val="21"/>
          <w:highlight w:val="none"/>
        </w:rPr>
      </w:pPr>
      <w:r>
        <w:rPr>
          <w:rFonts w:hint="eastAsia" w:ascii="宋体" w:hAnsi="宋体"/>
          <w:b/>
          <w:sz w:val="21"/>
          <w:szCs w:val="21"/>
          <w:highlight w:val="none"/>
        </w:rPr>
        <w:t>组成合同的文件</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本协议书与下列文件一起构成合同文件，如下述文件之间有任何抵触、矛盾或歧义，应按以下顺序解释：</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（1）政府采购合同协议书及其变更、补充协议</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（2）政府采购合同专用条款</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（3）政府采购合同通用条款</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（4）中标（成交）通知书</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（5）投标（响应）文件</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（6）采购文件</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（7）有关技术文件，图纸</w:t>
      </w:r>
    </w:p>
    <w:p>
      <w:pPr>
        <w:pStyle w:val="188"/>
        <w:ind w:firstLine="420"/>
        <w:rPr>
          <w:rFonts w:hint="eastAsia" w:ascii="宋体" w:hAnsi="宋体" w:eastAsia="宋体" w:cs="宋体"/>
          <w:kern w:val="2"/>
          <w:sz w:val="21"/>
          <w:highlight w:val="none"/>
        </w:rPr>
      </w:pPr>
      <w:r>
        <w:rPr>
          <w:rFonts w:hint="eastAsia" w:ascii="宋体" w:hAnsi="宋体" w:eastAsia="宋体" w:cs="宋体"/>
          <w:sz w:val="21"/>
          <w:highlight w:val="none"/>
        </w:rPr>
        <w:t>（8）</w:t>
      </w:r>
      <w:r>
        <w:rPr>
          <w:rFonts w:hint="eastAsia" w:ascii="宋体" w:hAnsi="宋体" w:eastAsia="宋体" w:cs="宋体"/>
          <w:color w:val="000000"/>
          <w:kern w:val="2"/>
          <w:sz w:val="21"/>
          <w:highlight w:val="none"/>
        </w:rPr>
        <w:t>国家法律、行政法规和规章制度规定或合同约定的作为合同组成部分的其他文件</w:t>
      </w:r>
    </w:p>
    <w:p>
      <w:pPr>
        <w:numPr>
          <w:ilvl w:val="0"/>
          <w:numId w:val="5"/>
        </w:numPr>
        <w:adjustRightInd w:val="0"/>
        <w:snapToGrid w:val="0"/>
        <w:spacing w:line="400" w:lineRule="exact"/>
        <w:ind w:firstLine="422" w:firstLineChars="200"/>
        <w:rPr>
          <w:rFonts w:hint="eastAsia" w:ascii="宋体" w:hAnsi="宋体"/>
          <w:b/>
          <w:sz w:val="21"/>
          <w:szCs w:val="21"/>
          <w:highlight w:val="none"/>
        </w:rPr>
      </w:pPr>
      <w:r>
        <w:rPr>
          <w:rFonts w:hint="eastAsia" w:ascii="宋体" w:hAnsi="宋体"/>
          <w:b/>
          <w:sz w:val="21"/>
          <w:szCs w:val="21"/>
          <w:highlight w:val="none"/>
        </w:rPr>
        <w:t>合同生效</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本合同自</w:t>
      </w:r>
      <w:r>
        <w:rPr>
          <w:rFonts w:hint="eastAsia" w:ascii="宋体" w:hAnsi="宋体"/>
          <w:sz w:val="21"/>
          <w:szCs w:val="21"/>
          <w:highlight w:val="none"/>
          <w:u w:val="single"/>
        </w:rPr>
        <w:t xml:space="preserve">                             </w:t>
      </w:r>
      <w:r>
        <w:rPr>
          <w:rFonts w:hint="eastAsia" w:ascii="宋体" w:hAnsi="宋体"/>
          <w:sz w:val="21"/>
          <w:szCs w:val="21"/>
          <w:highlight w:val="none"/>
        </w:rPr>
        <w:t>生效。</w:t>
      </w:r>
    </w:p>
    <w:p>
      <w:pPr>
        <w:numPr>
          <w:ilvl w:val="0"/>
          <w:numId w:val="5"/>
        </w:numPr>
        <w:adjustRightInd w:val="0"/>
        <w:snapToGrid w:val="0"/>
        <w:spacing w:line="400" w:lineRule="exact"/>
        <w:ind w:firstLine="422" w:firstLineChars="200"/>
        <w:rPr>
          <w:rFonts w:hint="eastAsia" w:ascii="宋体" w:hAnsi="宋体"/>
          <w:b/>
          <w:sz w:val="21"/>
          <w:szCs w:val="21"/>
          <w:highlight w:val="none"/>
        </w:rPr>
      </w:pPr>
      <w:r>
        <w:rPr>
          <w:rFonts w:hint="eastAsia" w:ascii="宋体" w:hAnsi="宋体"/>
          <w:b/>
          <w:sz w:val="21"/>
          <w:szCs w:val="21"/>
          <w:highlight w:val="none"/>
        </w:rPr>
        <w:t>合同份数</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本合同一式</w:t>
      </w:r>
      <w:r>
        <w:rPr>
          <w:rFonts w:hint="eastAsia" w:ascii="宋体" w:hAnsi="宋体"/>
          <w:sz w:val="21"/>
          <w:szCs w:val="21"/>
          <w:highlight w:val="none"/>
          <w:u w:val="single"/>
        </w:rPr>
        <w:t xml:space="preserve">    </w:t>
      </w:r>
      <w:r>
        <w:rPr>
          <w:rFonts w:hint="eastAsia" w:ascii="宋体" w:hAnsi="宋体"/>
          <w:sz w:val="21"/>
          <w:szCs w:val="21"/>
          <w:highlight w:val="none"/>
        </w:rPr>
        <w:t>份，甲方执</w:t>
      </w:r>
      <w:r>
        <w:rPr>
          <w:rFonts w:hint="eastAsia" w:ascii="宋体" w:hAnsi="宋体"/>
          <w:sz w:val="21"/>
          <w:szCs w:val="21"/>
          <w:highlight w:val="none"/>
          <w:u w:val="single"/>
        </w:rPr>
        <w:t xml:space="preserve">    </w:t>
      </w:r>
      <w:r>
        <w:rPr>
          <w:rFonts w:hint="eastAsia" w:ascii="宋体" w:hAnsi="宋体"/>
          <w:sz w:val="21"/>
          <w:szCs w:val="21"/>
          <w:highlight w:val="none"/>
        </w:rPr>
        <w:t>份，乙方执</w:t>
      </w:r>
      <w:r>
        <w:rPr>
          <w:rFonts w:hint="eastAsia" w:ascii="宋体" w:hAnsi="宋体"/>
          <w:sz w:val="21"/>
          <w:szCs w:val="21"/>
          <w:highlight w:val="none"/>
          <w:u w:val="single"/>
        </w:rPr>
        <w:t xml:space="preserve">    </w:t>
      </w:r>
      <w:r>
        <w:rPr>
          <w:rFonts w:hint="eastAsia" w:ascii="宋体" w:hAnsi="宋体"/>
          <w:sz w:val="21"/>
          <w:szCs w:val="21"/>
          <w:highlight w:val="none"/>
        </w:rPr>
        <w:t>份，均具有同等法律效力。</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合同订立时间：</w:t>
      </w:r>
      <w:r>
        <w:rPr>
          <w:rFonts w:hint="eastAsia" w:ascii="宋体" w:hAnsi="宋体"/>
          <w:sz w:val="21"/>
          <w:szCs w:val="21"/>
          <w:highlight w:val="none"/>
          <w:u w:val="single"/>
        </w:rPr>
        <w:t xml:space="preserve">         </w:t>
      </w:r>
      <w:r>
        <w:rPr>
          <w:rFonts w:hint="eastAsia" w:ascii="宋体" w:hAnsi="宋体"/>
          <w:sz w:val="21"/>
          <w:szCs w:val="21"/>
          <w:highlight w:val="none"/>
        </w:rPr>
        <w:t>年</w:t>
      </w:r>
      <w:r>
        <w:rPr>
          <w:rFonts w:hint="eastAsia" w:ascii="宋体" w:hAnsi="宋体"/>
          <w:sz w:val="21"/>
          <w:szCs w:val="21"/>
          <w:highlight w:val="none"/>
          <w:u w:val="single"/>
        </w:rPr>
        <w:t xml:space="preserve">      </w:t>
      </w:r>
      <w:r>
        <w:rPr>
          <w:rFonts w:hint="eastAsia" w:ascii="宋体" w:hAnsi="宋体"/>
          <w:sz w:val="21"/>
          <w:szCs w:val="21"/>
          <w:highlight w:val="none"/>
        </w:rPr>
        <w:t>月</w:t>
      </w:r>
      <w:r>
        <w:rPr>
          <w:rFonts w:hint="eastAsia" w:ascii="宋体" w:hAnsi="宋体"/>
          <w:sz w:val="21"/>
          <w:szCs w:val="21"/>
          <w:highlight w:val="none"/>
          <w:u w:val="single"/>
        </w:rPr>
        <w:t xml:space="preserve">      </w:t>
      </w:r>
      <w:r>
        <w:rPr>
          <w:rFonts w:hint="eastAsia" w:ascii="宋体" w:hAnsi="宋体"/>
          <w:sz w:val="21"/>
          <w:szCs w:val="21"/>
          <w:highlight w:val="none"/>
        </w:rPr>
        <w:t>日</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合同订立地点：</w:t>
      </w:r>
      <w:r>
        <w:rPr>
          <w:rFonts w:hint="eastAsia" w:ascii="宋体" w:hAnsi="宋体"/>
          <w:sz w:val="21"/>
          <w:szCs w:val="21"/>
          <w:highlight w:val="none"/>
          <w:u w:val="single"/>
        </w:rPr>
        <w:t xml:space="preserve">                           </w:t>
      </w:r>
    </w:p>
    <w:p>
      <w:pPr>
        <w:adjustRightInd w:val="0"/>
        <w:snapToGrid w:val="0"/>
        <w:spacing w:line="400" w:lineRule="exact"/>
        <w:ind w:firstLine="420" w:firstLineChars="200"/>
        <w:rPr>
          <w:sz w:val="21"/>
          <w:szCs w:val="21"/>
          <w:highlight w:val="none"/>
        </w:rPr>
      </w:pPr>
      <w:r>
        <w:rPr>
          <w:rFonts w:hint="eastAsia" w:ascii="宋体" w:hAnsi="宋体"/>
          <w:sz w:val="21"/>
          <w:szCs w:val="21"/>
          <w:highlight w:val="none"/>
        </w:rPr>
        <w:t>附件：具体标的及其技术要求和商务要求、联合协议、分包意向协议等。</w:t>
      </w:r>
    </w:p>
    <w:p>
      <w:pPr>
        <w:pStyle w:val="189"/>
        <w:spacing w:line="400" w:lineRule="exact"/>
        <w:rPr>
          <w:szCs w:val="21"/>
          <w:highlight w:val="none"/>
        </w:rPr>
      </w:pPr>
    </w:p>
    <w:p>
      <w:pPr>
        <w:pStyle w:val="189"/>
        <w:spacing w:line="400" w:lineRule="exact"/>
        <w:rPr>
          <w:szCs w:val="21"/>
          <w:highlight w:val="none"/>
        </w:rPr>
      </w:pPr>
    </w:p>
    <w:p>
      <w:pPr>
        <w:pStyle w:val="189"/>
        <w:spacing w:line="400" w:lineRule="exact"/>
        <w:rPr>
          <w:szCs w:val="21"/>
          <w:highlight w:val="none"/>
        </w:rPr>
      </w:pPr>
    </w:p>
    <w:p>
      <w:pPr>
        <w:pStyle w:val="189"/>
        <w:spacing w:line="400" w:lineRule="exact"/>
        <w:rPr>
          <w:szCs w:val="21"/>
          <w:highlight w:val="none"/>
        </w:rPr>
      </w:pPr>
    </w:p>
    <w:p>
      <w:pPr>
        <w:pStyle w:val="189"/>
        <w:spacing w:line="400" w:lineRule="exact"/>
        <w:rPr>
          <w:szCs w:val="21"/>
          <w:highlight w:val="none"/>
        </w:rPr>
      </w:pPr>
    </w:p>
    <w:p>
      <w:pPr>
        <w:pStyle w:val="189"/>
        <w:spacing w:line="400" w:lineRule="exact"/>
        <w:rPr>
          <w:szCs w:val="21"/>
          <w:highlight w:val="none"/>
        </w:rPr>
      </w:pPr>
    </w:p>
    <w:p>
      <w:pPr>
        <w:pStyle w:val="189"/>
        <w:spacing w:line="400" w:lineRule="exact"/>
        <w:rPr>
          <w:szCs w:val="21"/>
          <w:highlight w:val="none"/>
        </w:rPr>
      </w:pPr>
    </w:p>
    <w:p>
      <w:pPr>
        <w:pStyle w:val="189"/>
        <w:spacing w:line="400" w:lineRule="exact"/>
        <w:rPr>
          <w:szCs w:val="21"/>
          <w:highlight w:val="none"/>
        </w:rPr>
      </w:pPr>
    </w:p>
    <w:p>
      <w:pPr>
        <w:pStyle w:val="3"/>
        <w:spacing w:line="400" w:lineRule="exact"/>
        <w:ind w:firstLine="422"/>
        <w:rPr>
          <w:sz w:val="21"/>
          <w:szCs w:val="21"/>
          <w:highlight w:val="none"/>
          <w:lang w:val="en"/>
        </w:rPr>
      </w:pPr>
      <w:r>
        <w:rPr>
          <w:sz w:val="21"/>
          <w:szCs w:val="21"/>
          <w:highlight w:val="none"/>
          <w:lang w:val="en"/>
        </w:rPr>
        <w:t xml:space="preserve">   </w:t>
      </w:r>
    </w:p>
    <w:p>
      <w:pPr>
        <w:rPr>
          <w:rFonts w:hint="eastAsia"/>
          <w:highlight w:val="none"/>
        </w:rPr>
      </w:pPr>
    </w:p>
    <w:tbl>
      <w:tblPr>
        <w:tblStyle w:val="4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pPr>
              <w:ind w:firstLine="420"/>
              <w:rPr>
                <w:sz w:val="21"/>
                <w:szCs w:val="21"/>
                <w:highlight w:val="none"/>
              </w:rPr>
            </w:pPr>
            <w:r>
              <w:rPr>
                <w:rFonts w:hint="eastAsia"/>
                <w:sz w:val="21"/>
                <w:szCs w:val="21"/>
                <w:highlight w:val="none"/>
              </w:rPr>
              <w:br w:type="page"/>
            </w:r>
            <w:r>
              <w:rPr>
                <w:sz w:val="21"/>
                <w:szCs w:val="21"/>
                <w:highlight w:val="none"/>
              </w:rPr>
              <w:t>甲方</w:t>
            </w:r>
            <w:r>
              <w:rPr>
                <w:rFonts w:hint="eastAsia"/>
                <w:sz w:val="21"/>
                <w:szCs w:val="21"/>
                <w:highlight w:val="none"/>
              </w:rPr>
              <w:t>（采购人</w:t>
            </w:r>
            <w:r>
              <w:rPr>
                <w:rFonts w:hint="eastAsia" w:ascii="宋体" w:hAnsi="宋体"/>
                <w:sz w:val="21"/>
                <w:szCs w:val="21"/>
                <w:highlight w:val="none"/>
              </w:rPr>
              <w:t>、受采购人委托签订合同的单位或</w:t>
            </w:r>
            <w:r>
              <w:rPr>
                <w:rFonts w:hint="eastAsia"/>
                <w:sz w:val="21"/>
                <w:szCs w:val="21"/>
                <w:highlight w:val="none"/>
              </w:rPr>
              <w:t>采购文件约定的合同甲方）</w:t>
            </w:r>
          </w:p>
        </w:tc>
        <w:tc>
          <w:tcPr>
            <w:tcW w:w="2437" w:type="pct"/>
            <w:gridSpan w:val="2"/>
            <w:tcBorders>
              <w:left w:val="single" w:color="auto" w:sz="2" w:space="0"/>
              <w:bottom w:val="single" w:color="auto" w:sz="2" w:space="0"/>
            </w:tcBorders>
            <w:noWrap w:val="0"/>
            <w:vAlign w:val="center"/>
          </w:tcPr>
          <w:p>
            <w:pPr>
              <w:adjustRightInd w:val="0"/>
              <w:snapToGrid w:val="0"/>
              <w:spacing w:line="300" w:lineRule="exact"/>
              <w:ind w:firstLine="420"/>
              <w:jc w:val="center"/>
              <w:rPr>
                <w:sz w:val="21"/>
                <w:szCs w:val="21"/>
                <w:highlight w:val="none"/>
              </w:rPr>
            </w:pPr>
            <w:r>
              <w:rPr>
                <w:sz w:val="21"/>
                <w:szCs w:val="21"/>
                <w:highlight w:val="none"/>
              </w:rPr>
              <w:t>乙方</w:t>
            </w:r>
            <w:r>
              <w:rPr>
                <w:rFonts w:hint="eastAsia"/>
                <w:sz w:val="21"/>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r>
              <w:rPr>
                <w:sz w:val="21"/>
                <w:szCs w:val="21"/>
                <w:highlight w:val="none"/>
              </w:rPr>
              <w:t>单位名称</w:t>
            </w:r>
            <w:r>
              <w:rPr>
                <w:rFonts w:hint="eastAsia"/>
                <w:sz w:val="21"/>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r>
              <w:rPr>
                <w:sz w:val="21"/>
                <w:szCs w:val="21"/>
                <w:highlight w:val="none"/>
              </w:rPr>
              <w:t>单位名称</w:t>
            </w:r>
            <w:r>
              <w:rPr>
                <w:rFonts w:hint="eastAsia"/>
                <w:sz w:val="21"/>
                <w:szCs w:val="21"/>
                <w:highlight w:val="none"/>
              </w:rPr>
              <w:t>（公章或合同章）</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r>
              <w:rPr>
                <w:sz w:val="21"/>
                <w:szCs w:val="21"/>
                <w:highlight w:val="none"/>
              </w:rPr>
              <w:t>法定代表人</w:t>
            </w:r>
          </w:p>
          <w:p>
            <w:pPr>
              <w:adjustRightInd w:val="0"/>
              <w:snapToGrid w:val="0"/>
              <w:spacing w:line="300" w:lineRule="exact"/>
              <w:ind w:firstLine="100" w:firstLineChars="48"/>
              <w:jc w:val="center"/>
              <w:rPr>
                <w:sz w:val="21"/>
                <w:szCs w:val="21"/>
                <w:highlight w:val="none"/>
              </w:rPr>
            </w:pPr>
            <w:r>
              <w:rPr>
                <w:rFonts w:hint="eastAsia"/>
                <w:sz w:val="21"/>
                <w:szCs w:val="21"/>
                <w:highlight w:val="none"/>
              </w:rPr>
              <w:t>或其</w:t>
            </w:r>
            <w:r>
              <w:rPr>
                <w:sz w:val="21"/>
                <w:szCs w:val="21"/>
                <w:highlight w:val="none"/>
              </w:rPr>
              <w:t>委托代理人</w:t>
            </w:r>
            <w:r>
              <w:rPr>
                <w:rFonts w:hint="eastAsia"/>
                <w:sz w:val="21"/>
                <w:szCs w:val="21"/>
                <w:highlight w:val="none"/>
              </w:rPr>
              <w:t>（签章）</w:t>
            </w:r>
          </w:p>
        </w:tc>
        <w:tc>
          <w:tcPr>
            <w:tcW w:w="1436" w:type="pct"/>
            <w:vMerge w:val="restart"/>
            <w:tcBorders>
              <w:top w:val="single" w:color="auto" w:sz="2" w:space="0"/>
              <w:left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r>
              <w:rPr>
                <w:sz w:val="21"/>
                <w:szCs w:val="21"/>
                <w:highlight w:val="none"/>
              </w:rPr>
              <w:t>法定代表人</w:t>
            </w:r>
          </w:p>
          <w:p>
            <w:pPr>
              <w:adjustRightInd w:val="0"/>
              <w:snapToGrid w:val="0"/>
              <w:spacing w:line="300" w:lineRule="exact"/>
              <w:ind w:firstLine="420"/>
              <w:jc w:val="center"/>
              <w:rPr>
                <w:sz w:val="21"/>
                <w:szCs w:val="21"/>
                <w:highlight w:val="none"/>
              </w:rPr>
            </w:pPr>
            <w:r>
              <w:rPr>
                <w:rFonts w:hint="eastAsia"/>
                <w:sz w:val="21"/>
                <w:szCs w:val="21"/>
                <w:highlight w:val="none"/>
              </w:rPr>
              <w:t>或其</w:t>
            </w:r>
            <w:r>
              <w:rPr>
                <w:sz w:val="21"/>
                <w:szCs w:val="21"/>
                <w:highlight w:val="none"/>
              </w:rPr>
              <w:t>委托代理人</w:t>
            </w:r>
            <w:r>
              <w:rPr>
                <w:rFonts w:hint="eastAsia"/>
                <w:sz w:val="21"/>
                <w:szCs w:val="21"/>
                <w:highlight w:val="none"/>
              </w:rPr>
              <w:t>（签章）</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42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p>
        </w:tc>
        <w:tc>
          <w:tcPr>
            <w:tcW w:w="1436" w:type="pct"/>
            <w:vMerge w:val="continue"/>
            <w:tcBorders>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r>
              <w:rPr>
                <w:rFonts w:hint="eastAsia"/>
                <w:sz w:val="21"/>
                <w:szCs w:val="21"/>
                <w:highlight w:val="none"/>
              </w:rPr>
              <w:t>拥有者性别</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r>
              <w:rPr>
                <w:rFonts w:hint="eastAsia"/>
                <w:sz w:val="21"/>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r>
              <w:rPr>
                <w:rFonts w:hint="eastAsia"/>
                <w:sz w:val="21"/>
                <w:szCs w:val="21"/>
                <w:highlight w:val="none"/>
              </w:rPr>
              <w:t>住  所</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r>
              <w:rPr>
                <w:sz w:val="21"/>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r>
              <w:rPr>
                <w:sz w:val="21"/>
                <w:szCs w:val="21"/>
                <w:highlight w:val="none"/>
              </w:rPr>
              <w:t>联 系 人</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r>
              <w:rPr>
                <w:sz w:val="21"/>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r>
              <w:rPr>
                <w:sz w:val="21"/>
                <w:szCs w:val="21"/>
                <w:highlight w:val="none"/>
              </w:rPr>
              <w:t>联系电话</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r>
              <w:rPr>
                <w:rFonts w:hint="eastAsia"/>
                <w:sz w:val="21"/>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r>
              <w:rPr>
                <w:rFonts w:hint="eastAsia"/>
                <w:sz w:val="21"/>
                <w:szCs w:val="21"/>
                <w:highlight w:val="none"/>
              </w:rPr>
              <w:t>通信地址</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r>
              <w:rPr>
                <w:sz w:val="21"/>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r>
              <w:rPr>
                <w:sz w:val="21"/>
                <w:szCs w:val="21"/>
                <w:highlight w:val="none"/>
              </w:rPr>
              <w:t>邮政编码</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r>
              <w:rPr>
                <w:rFonts w:hint="eastAsia"/>
                <w:sz w:val="21"/>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r>
              <w:rPr>
                <w:rFonts w:hint="eastAsia"/>
                <w:sz w:val="21"/>
                <w:szCs w:val="21"/>
                <w:highlight w:val="none"/>
              </w:rPr>
              <w:t>电子邮箱</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r>
              <w:rPr>
                <w:rFonts w:hint="eastAsia"/>
                <w:sz w:val="21"/>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r>
              <w:rPr>
                <w:rFonts w:hint="eastAsia"/>
                <w:sz w:val="21"/>
                <w:szCs w:val="21"/>
                <w:highlight w:val="none"/>
              </w:rPr>
              <w:t>统一社会信用代码</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r>
              <w:rPr>
                <w:sz w:val="21"/>
                <w:szCs w:val="21"/>
                <w:highlight w:val="none"/>
              </w:rPr>
              <w:t>开户名称</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r>
              <w:rPr>
                <w:sz w:val="21"/>
                <w:szCs w:val="21"/>
                <w:highlight w:val="none"/>
              </w:rPr>
              <w:t>开户银行</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sz w:val="21"/>
                <w:szCs w:val="21"/>
                <w:highlight w:val="none"/>
              </w:rPr>
            </w:pPr>
            <w:r>
              <w:rPr>
                <w:sz w:val="21"/>
                <w:szCs w:val="21"/>
                <w:highlight w:val="none"/>
              </w:rPr>
              <w:t>银行账号</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pPr>
              <w:pStyle w:val="18"/>
              <w:adjustRightInd w:val="0"/>
              <w:snapToGrid w:val="0"/>
              <w:spacing w:before="120" w:beforeLines="50" w:after="0" w:line="360" w:lineRule="auto"/>
              <w:ind w:left="0" w:leftChars="0" w:firstLine="420"/>
              <w:rPr>
                <w:spacing w:val="20"/>
                <w:sz w:val="21"/>
                <w:szCs w:val="21"/>
                <w:highlight w:val="none"/>
              </w:rPr>
            </w:pPr>
            <w:r>
              <w:rPr>
                <w:rFonts w:hint="eastAsia" w:ascii="宋体" w:hAnsi="宋体"/>
                <w:sz w:val="21"/>
                <w:szCs w:val="21"/>
                <w:highlight w:val="none"/>
              </w:rPr>
              <w:t>注：涉及联合体或其他合同主体的信息应按上表格式加列。</w:t>
            </w:r>
          </w:p>
        </w:tc>
      </w:tr>
    </w:tbl>
    <w:p>
      <w:pPr>
        <w:pStyle w:val="3"/>
        <w:adjustRightInd w:val="0"/>
        <w:snapToGrid w:val="0"/>
        <w:spacing w:before="120" w:beforeLines="50"/>
        <w:ind w:firstLine="422"/>
        <w:jc w:val="center"/>
        <w:rPr>
          <w:rFonts w:hint="eastAsia" w:ascii="黑体" w:hAnsi="黑体"/>
          <w:sz w:val="21"/>
          <w:szCs w:val="21"/>
          <w:highlight w:val="none"/>
        </w:rPr>
      </w:pPr>
      <w:r>
        <w:rPr>
          <w:rFonts w:ascii="宋体" w:hAnsi="宋体"/>
          <w:sz w:val="21"/>
          <w:szCs w:val="21"/>
          <w:highlight w:val="none"/>
          <w:u w:val="single"/>
        </w:rPr>
        <w:br w:type="page"/>
      </w:r>
      <w:bookmarkStart w:id="76" w:name="_Toc27624"/>
      <w:r>
        <w:rPr>
          <w:rFonts w:hint="eastAsia" w:ascii="黑体" w:hAnsi="黑体"/>
          <w:b w:val="0"/>
          <w:sz w:val="21"/>
          <w:szCs w:val="21"/>
          <w:highlight w:val="none"/>
        </w:rPr>
        <w:t>第二节 政府采购合同通用条款</w:t>
      </w:r>
      <w:bookmarkEnd w:id="76"/>
    </w:p>
    <w:p>
      <w:pPr>
        <w:tabs>
          <w:tab w:val="left" w:pos="8820"/>
          <w:tab w:val="left" w:pos="9345"/>
          <w:tab w:val="left" w:pos="9765"/>
        </w:tabs>
        <w:adjustRightInd w:val="0"/>
        <w:snapToGrid w:val="0"/>
        <w:spacing w:line="400" w:lineRule="exact"/>
        <w:ind w:firstLine="422"/>
        <w:rPr>
          <w:rFonts w:hint="eastAsia" w:ascii="宋体" w:hAnsi="宋体"/>
          <w:b/>
          <w:bCs/>
          <w:sz w:val="21"/>
          <w:szCs w:val="21"/>
          <w:highlight w:val="none"/>
        </w:rPr>
      </w:pPr>
      <w:r>
        <w:rPr>
          <w:rFonts w:hint="eastAsia" w:ascii="宋体" w:hAnsi="宋体"/>
          <w:b/>
          <w:sz w:val="21"/>
          <w:szCs w:val="21"/>
          <w:highlight w:val="none"/>
        </w:rPr>
        <w:t xml:space="preserve">1. </w:t>
      </w:r>
      <w:r>
        <w:rPr>
          <w:rFonts w:hint="eastAsia" w:ascii="宋体" w:hAnsi="宋体"/>
          <w:b/>
          <w:bCs/>
          <w:sz w:val="21"/>
          <w:szCs w:val="21"/>
          <w:highlight w:val="none"/>
        </w:rPr>
        <w:t>定义</w:t>
      </w:r>
    </w:p>
    <w:p>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1.1合同当事人</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（1）采购人（以下称甲方）是指使用财政性资金，通过政府采购方式向供应商购买货物及其相关服务的国家机关、事业单位、团体组织。</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（3）其他合同主体是指除采购人和供应商以外，</w:t>
      </w:r>
      <w:r>
        <w:rPr>
          <w:rFonts w:hint="eastAsia" w:ascii="宋体" w:hAnsi="宋体" w:cs="宋体"/>
          <w:bCs/>
          <w:color w:val="000000"/>
          <w:sz w:val="21"/>
          <w:szCs w:val="21"/>
          <w:highlight w:val="none"/>
        </w:rPr>
        <w:t>依法参与合同缔结或履行，享有权利、承担义务的合同当事人</w:t>
      </w:r>
      <w:r>
        <w:rPr>
          <w:rFonts w:hint="eastAsia" w:ascii="宋体" w:hAnsi="宋体"/>
          <w:sz w:val="21"/>
          <w:szCs w:val="21"/>
          <w:highlight w:val="none"/>
        </w:rPr>
        <w:t>。</w:t>
      </w:r>
    </w:p>
    <w:p>
      <w:pPr>
        <w:tabs>
          <w:tab w:val="left" w:pos="570"/>
          <w:tab w:val="left" w:pos="9240"/>
          <w:tab w:val="left" w:pos="9555"/>
        </w:tabs>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1.2本合同下列术语应解释为：</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（1）“合同”系指</w:t>
      </w:r>
      <w:r>
        <w:rPr>
          <w:rFonts w:hint="eastAsia" w:ascii="宋体" w:hAnsi="宋体" w:cs="宋体"/>
          <w:bCs/>
          <w:color w:val="000000"/>
          <w:sz w:val="21"/>
          <w:szCs w:val="21"/>
          <w:highlight w:val="none"/>
        </w:rPr>
        <w:t>合同当事人意思表示达成一致的任何协议，包括签署的</w:t>
      </w:r>
      <w:r>
        <w:rPr>
          <w:rFonts w:hint="eastAsia" w:ascii="宋体" w:hAnsi="宋体"/>
          <w:sz w:val="21"/>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kern w:val="2"/>
          <w:sz w:val="21"/>
          <w:szCs w:val="21"/>
          <w:highlight w:val="none"/>
        </w:rPr>
        <w:t>国家法律、行政法规和规章制度规定或合同约定的作为合同组成部分的其他文件</w:t>
      </w:r>
      <w:r>
        <w:rPr>
          <w:rFonts w:hint="eastAsia" w:ascii="宋体" w:hAnsi="宋体"/>
          <w:sz w:val="21"/>
          <w:szCs w:val="21"/>
          <w:highlight w:val="none"/>
        </w:rPr>
        <w:t>。</w:t>
      </w:r>
    </w:p>
    <w:p>
      <w:pPr>
        <w:tabs>
          <w:tab w:val="left" w:pos="570"/>
          <w:tab w:val="left" w:pos="9240"/>
          <w:tab w:val="left" w:pos="9555"/>
        </w:tabs>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（2）“合同价款”系指根据本合同规定乙方在全面履行合同义务后甲方应支付给乙方的价款。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sz w:val="21"/>
          <w:szCs w:val="21"/>
          <w:highlight w:val="none"/>
        </w:rPr>
        <w:t>（3）“货物”系指乙方根据本合同规定须向甲方提供的各种形态和种类的物品，包括原材料、设备、产品（</w:t>
      </w:r>
      <w:r>
        <w:rPr>
          <w:rFonts w:hint="eastAsia" w:ascii="宋体" w:hAnsi="宋体"/>
          <w:color w:val="000000"/>
          <w:sz w:val="21"/>
          <w:szCs w:val="21"/>
          <w:highlight w:val="none"/>
        </w:rPr>
        <w:t>包括软件）及相关的其备品备件、工具、手册及</w:t>
      </w:r>
      <w:r>
        <w:rPr>
          <w:rFonts w:ascii="宋体" w:hAnsi="宋体"/>
          <w:color w:val="000000"/>
          <w:sz w:val="21"/>
          <w:szCs w:val="21"/>
          <w:highlight w:val="none"/>
          <w:lang w:val="en"/>
        </w:rPr>
        <w:t>其他</w:t>
      </w:r>
      <w:r>
        <w:rPr>
          <w:rFonts w:hint="eastAsia" w:ascii="宋体" w:hAnsi="宋体"/>
          <w:color w:val="000000"/>
          <w:sz w:val="21"/>
          <w:szCs w:val="21"/>
          <w:highlight w:val="none"/>
        </w:rPr>
        <w:t>技术资料和材料等。</w:t>
      </w:r>
    </w:p>
    <w:p>
      <w:pPr>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（4）“</w:t>
      </w:r>
      <w:r>
        <w:rPr>
          <w:rFonts w:hint="eastAsia" w:ascii="宋体" w:hAnsi="宋体"/>
          <w:sz w:val="21"/>
          <w:szCs w:val="21"/>
          <w:highlight w:val="none"/>
        </w:rPr>
        <w:t>相关</w:t>
      </w:r>
      <w:r>
        <w:rPr>
          <w:rFonts w:hint="eastAsia" w:ascii="宋体" w:hAnsi="宋体"/>
          <w:color w:val="000000"/>
          <w:sz w:val="21"/>
          <w:szCs w:val="21"/>
          <w:highlight w:val="none"/>
        </w:rPr>
        <w:t>服务”系指根据合同规定，乙方应提供的与货物有关的技术、管理和</w:t>
      </w:r>
      <w:r>
        <w:rPr>
          <w:rFonts w:ascii="宋体" w:hAnsi="宋体"/>
          <w:color w:val="000000"/>
          <w:sz w:val="21"/>
          <w:szCs w:val="21"/>
          <w:highlight w:val="none"/>
          <w:lang w:val="en"/>
        </w:rPr>
        <w:t>其他</w:t>
      </w:r>
      <w:r>
        <w:rPr>
          <w:rFonts w:hint="eastAsia" w:ascii="宋体" w:hAnsi="宋体"/>
          <w:color w:val="000000"/>
          <w:sz w:val="21"/>
          <w:szCs w:val="21"/>
          <w:highlight w:val="none"/>
        </w:rPr>
        <w:t>服务，包括但不限于：管理和质量保证、运输、保险、检验、现场准备、安装、集成、调试、培训、维修、废弃处置、技术支持等以及合同中规定乙方应承担的</w:t>
      </w:r>
      <w:r>
        <w:rPr>
          <w:rFonts w:ascii="宋体" w:hAnsi="宋体"/>
          <w:color w:val="000000"/>
          <w:sz w:val="21"/>
          <w:szCs w:val="21"/>
          <w:highlight w:val="none"/>
          <w:lang w:val="en"/>
        </w:rPr>
        <w:t>其他</w:t>
      </w:r>
      <w:r>
        <w:rPr>
          <w:rFonts w:hint="eastAsia" w:ascii="宋体" w:hAnsi="宋体"/>
          <w:color w:val="000000"/>
          <w:sz w:val="21"/>
          <w:szCs w:val="21"/>
          <w:highlight w:val="none"/>
        </w:rPr>
        <w:t>义务。</w:t>
      </w:r>
    </w:p>
    <w:p>
      <w:pPr>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（6）</w:t>
      </w:r>
      <w:r>
        <w:rPr>
          <w:rFonts w:hint="eastAsia" w:ascii="宋体" w:hAnsi="宋体"/>
          <w:sz w:val="21"/>
          <w:szCs w:val="21"/>
          <w:highlight w:val="none"/>
        </w:rPr>
        <w:t>“联合体”系指由两个以上的自然人、法人或者非法人组织组成，以一个供应商的身份共同参加政府采购的主体</w:t>
      </w:r>
      <w:r>
        <w:rPr>
          <w:rFonts w:hint="eastAsia" w:ascii="宋体" w:hAnsi="宋体"/>
          <w:color w:val="000000"/>
          <w:sz w:val="21"/>
          <w:szCs w:val="21"/>
          <w:highlight w:val="none"/>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sz w:val="21"/>
          <w:szCs w:val="21"/>
          <w:highlight w:val="none"/>
        </w:rPr>
        <w:t>政府采购合同专用条款</w:t>
      </w:r>
      <w:r>
        <w:rPr>
          <w:rFonts w:hint="eastAsia" w:ascii="宋体" w:hAnsi="宋体"/>
          <w:color w:val="000000"/>
          <w:sz w:val="21"/>
          <w:szCs w:val="21"/>
          <w:highlight w:val="none"/>
        </w:rPr>
        <w:t>】。</w:t>
      </w:r>
    </w:p>
    <w:p>
      <w:pPr>
        <w:tabs>
          <w:tab w:val="left" w:pos="570"/>
          <w:tab w:val="left" w:pos="9240"/>
          <w:tab w:val="left" w:pos="9555"/>
        </w:tabs>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（7）其他术语解释，见【</w:t>
      </w:r>
      <w:r>
        <w:rPr>
          <w:rFonts w:hint="eastAsia" w:ascii="宋体" w:hAnsi="宋体"/>
          <w:b/>
          <w:bCs/>
          <w:color w:val="000000"/>
          <w:sz w:val="21"/>
          <w:szCs w:val="21"/>
          <w:highlight w:val="none"/>
        </w:rPr>
        <w:t>政府采购合同专用条款</w:t>
      </w:r>
      <w:r>
        <w:rPr>
          <w:rFonts w:hint="eastAsia" w:ascii="宋体" w:hAnsi="宋体"/>
          <w:color w:val="000000"/>
          <w:sz w:val="21"/>
          <w:szCs w:val="21"/>
          <w:highlight w:val="none"/>
        </w:rPr>
        <w:t>】。</w:t>
      </w:r>
    </w:p>
    <w:p>
      <w:pPr>
        <w:numPr>
          <w:ilvl w:val="0"/>
          <w:numId w:val="8"/>
        </w:numPr>
        <w:autoSpaceDE w:val="0"/>
        <w:autoSpaceDN w:val="0"/>
        <w:adjustRightInd w:val="0"/>
        <w:snapToGrid w:val="0"/>
        <w:spacing w:line="400" w:lineRule="exact"/>
        <w:ind w:firstLine="422"/>
        <w:rPr>
          <w:rFonts w:hint="eastAsia" w:ascii="宋体" w:hAnsi="宋体"/>
          <w:b/>
          <w:bCs/>
          <w:color w:val="000000"/>
          <w:sz w:val="21"/>
          <w:szCs w:val="21"/>
          <w:highlight w:val="none"/>
        </w:rPr>
      </w:pPr>
      <w:r>
        <w:rPr>
          <w:rFonts w:hint="eastAsia" w:ascii="宋体" w:hAnsi="宋体"/>
          <w:b/>
          <w:color w:val="000000"/>
          <w:sz w:val="21"/>
          <w:szCs w:val="21"/>
          <w:highlight w:val="none"/>
        </w:rPr>
        <w:t>合同标的及金额</w:t>
      </w:r>
    </w:p>
    <w:p>
      <w:pPr>
        <w:autoSpaceDE w:val="0"/>
        <w:autoSpaceDN w:val="0"/>
        <w:adjustRightInd w:val="0"/>
        <w:snapToGrid w:val="0"/>
        <w:spacing w:line="400" w:lineRule="exact"/>
        <w:ind w:firstLine="420" w:firstLineChars="200"/>
        <w:rPr>
          <w:rFonts w:hint="eastAsia" w:ascii="宋体" w:hAnsi="宋体"/>
          <w:b/>
          <w:bCs/>
          <w:i/>
          <w:iCs/>
          <w:color w:val="000000"/>
          <w:sz w:val="21"/>
          <w:szCs w:val="21"/>
          <w:highlight w:val="none"/>
        </w:rPr>
      </w:pPr>
      <w:r>
        <w:rPr>
          <w:rFonts w:hint="eastAsia" w:ascii="宋体" w:hAnsi="宋体"/>
          <w:color w:val="000000"/>
          <w:sz w:val="21"/>
          <w:szCs w:val="21"/>
          <w:highlight w:val="none"/>
        </w:rPr>
        <w:t>2.1 合同标的及金额应与中标（成交）结果一致。乙方为履行本合同而发生的所有费用均应包含在合同价款中，甲方不再另行支付</w:t>
      </w:r>
      <w:r>
        <w:rPr>
          <w:rFonts w:ascii="宋体" w:hAnsi="宋体"/>
          <w:color w:val="000000"/>
          <w:sz w:val="21"/>
          <w:szCs w:val="21"/>
          <w:highlight w:val="none"/>
          <w:lang w:val="en"/>
        </w:rPr>
        <w:t>其他</w:t>
      </w:r>
      <w:r>
        <w:rPr>
          <w:rFonts w:hint="eastAsia" w:ascii="宋体" w:hAnsi="宋体"/>
          <w:color w:val="000000"/>
          <w:sz w:val="21"/>
          <w:szCs w:val="21"/>
          <w:highlight w:val="none"/>
        </w:rPr>
        <w:t>任何费用。</w:t>
      </w:r>
    </w:p>
    <w:p>
      <w:pPr>
        <w:adjustRightInd w:val="0"/>
        <w:snapToGrid w:val="0"/>
        <w:spacing w:line="400" w:lineRule="exact"/>
        <w:ind w:firstLine="422"/>
        <w:rPr>
          <w:rFonts w:hint="eastAsia" w:ascii="宋体" w:hAnsi="宋体"/>
          <w:b/>
          <w:color w:val="000000"/>
          <w:sz w:val="21"/>
          <w:szCs w:val="21"/>
          <w:highlight w:val="none"/>
        </w:rPr>
      </w:pPr>
      <w:r>
        <w:rPr>
          <w:rFonts w:hint="eastAsia" w:ascii="宋体" w:hAnsi="宋体"/>
          <w:b/>
          <w:color w:val="000000"/>
          <w:sz w:val="21"/>
          <w:szCs w:val="21"/>
          <w:highlight w:val="none"/>
        </w:rPr>
        <w:t>3. 履行合同的时间、地点和方式</w:t>
      </w:r>
    </w:p>
    <w:p>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 xml:space="preserve">3.1 </w:t>
      </w:r>
      <w:r>
        <w:rPr>
          <w:rFonts w:hint="eastAsia" w:ascii="宋体" w:hAnsi="宋体" w:cs="宋体"/>
          <w:sz w:val="21"/>
          <w:szCs w:val="21"/>
          <w:highlight w:val="none"/>
        </w:rPr>
        <w:t>乙方应当在约定的时间、地点，按照约定方式履行合同。</w:t>
      </w:r>
    </w:p>
    <w:p>
      <w:pPr>
        <w:autoSpaceDE w:val="0"/>
        <w:autoSpaceDN w:val="0"/>
        <w:adjustRightInd w:val="0"/>
        <w:snapToGrid w:val="0"/>
        <w:spacing w:line="400" w:lineRule="exact"/>
        <w:ind w:firstLine="422"/>
        <w:rPr>
          <w:rFonts w:hint="eastAsia" w:ascii="宋体" w:hAnsi="宋体"/>
          <w:b/>
          <w:bCs/>
          <w:color w:val="000000"/>
          <w:sz w:val="21"/>
          <w:szCs w:val="21"/>
          <w:highlight w:val="none"/>
        </w:rPr>
      </w:pPr>
      <w:r>
        <w:rPr>
          <w:rFonts w:hint="eastAsia" w:ascii="宋体" w:hAnsi="宋体"/>
          <w:b/>
          <w:bCs/>
          <w:color w:val="000000"/>
          <w:sz w:val="21"/>
          <w:szCs w:val="21"/>
          <w:highlight w:val="none"/>
        </w:rPr>
        <w:t>4. 甲方的权利和义务</w:t>
      </w:r>
    </w:p>
    <w:p>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4.1</w:t>
      </w:r>
      <w:r>
        <w:rPr>
          <w:rFonts w:ascii="宋体" w:hAnsi="宋体"/>
          <w:color w:val="000000"/>
          <w:sz w:val="21"/>
          <w:szCs w:val="21"/>
          <w:highlight w:val="none"/>
        </w:rPr>
        <w:t xml:space="preserve"> 签署合同后，甲方</w:t>
      </w:r>
      <w:r>
        <w:rPr>
          <w:rFonts w:hint="eastAsia" w:ascii="宋体" w:hAnsi="宋体"/>
          <w:color w:val="000000"/>
          <w:sz w:val="21"/>
          <w:szCs w:val="21"/>
          <w:highlight w:val="none"/>
        </w:rPr>
        <w:t>应</w:t>
      </w:r>
      <w:r>
        <w:rPr>
          <w:rFonts w:ascii="宋体" w:hAnsi="宋体"/>
          <w:color w:val="000000"/>
          <w:sz w:val="21"/>
          <w:szCs w:val="21"/>
          <w:highlight w:val="none"/>
        </w:rPr>
        <w:t>确定</w:t>
      </w:r>
      <w:r>
        <w:rPr>
          <w:rFonts w:hint="eastAsia" w:ascii="宋体" w:hAnsi="宋体"/>
          <w:color w:val="000000"/>
          <w:sz w:val="21"/>
          <w:szCs w:val="21"/>
          <w:highlight w:val="none"/>
        </w:rPr>
        <w:t>项目负责人（或项目联系人）</w:t>
      </w:r>
      <w:r>
        <w:rPr>
          <w:rFonts w:ascii="宋体" w:hAnsi="宋体"/>
          <w:color w:val="000000"/>
          <w:sz w:val="21"/>
          <w:szCs w:val="21"/>
          <w:highlight w:val="none"/>
        </w:rPr>
        <w:t>，负责与本合同有关的事务。</w:t>
      </w:r>
      <w:r>
        <w:rPr>
          <w:rFonts w:hint="eastAsia" w:ascii="宋体" w:hAnsi="宋体"/>
          <w:color w:val="000000"/>
          <w:sz w:val="21"/>
          <w:szCs w:val="21"/>
          <w:highlight w:val="none"/>
        </w:rPr>
        <w:t>甲方有权对乙方的履约行为进行检查，并</w:t>
      </w:r>
      <w:r>
        <w:rPr>
          <w:rFonts w:ascii="宋体" w:hAnsi="宋体"/>
          <w:color w:val="000000"/>
          <w:sz w:val="21"/>
          <w:szCs w:val="21"/>
          <w:highlight w:val="none"/>
        </w:rPr>
        <w:t>及时确认乙方提交的事项</w:t>
      </w:r>
      <w:r>
        <w:rPr>
          <w:rFonts w:hint="eastAsia" w:ascii="宋体" w:hAnsi="宋体"/>
          <w:color w:val="000000"/>
          <w:sz w:val="21"/>
          <w:szCs w:val="21"/>
          <w:highlight w:val="none"/>
        </w:rPr>
        <w:t>。甲方应当</w:t>
      </w:r>
      <w:r>
        <w:rPr>
          <w:rFonts w:ascii="宋体" w:hAnsi="宋体"/>
          <w:color w:val="000000"/>
          <w:sz w:val="21"/>
          <w:szCs w:val="21"/>
          <w:highlight w:val="none"/>
        </w:rPr>
        <w:t>配合乙方完成</w:t>
      </w:r>
      <w:r>
        <w:rPr>
          <w:rFonts w:hint="eastAsia" w:ascii="宋体" w:hAnsi="宋体"/>
          <w:color w:val="000000"/>
          <w:sz w:val="21"/>
          <w:szCs w:val="21"/>
          <w:highlight w:val="none"/>
        </w:rPr>
        <w:t>相关项目</w:t>
      </w:r>
      <w:r>
        <w:rPr>
          <w:rFonts w:ascii="宋体" w:hAnsi="宋体"/>
          <w:color w:val="000000"/>
          <w:sz w:val="21"/>
          <w:szCs w:val="21"/>
          <w:highlight w:val="none"/>
        </w:rPr>
        <w:t>实施工作。</w:t>
      </w:r>
    </w:p>
    <w:p>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 xml:space="preserve">4.2 </w:t>
      </w:r>
      <w:r>
        <w:rPr>
          <w:rFonts w:ascii="宋体" w:hAnsi="宋体"/>
          <w:color w:val="000000"/>
          <w:sz w:val="21"/>
          <w:szCs w:val="21"/>
          <w:highlight w:val="none"/>
        </w:rPr>
        <w:t>甲方有权要求乙方按时提交各阶段有关</w:t>
      </w:r>
      <w:r>
        <w:rPr>
          <w:rFonts w:hint="eastAsia" w:ascii="宋体" w:hAnsi="宋体"/>
          <w:color w:val="000000"/>
          <w:sz w:val="21"/>
          <w:szCs w:val="21"/>
          <w:highlight w:val="none"/>
        </w:rPr>
        <w:t>安排计划</w:t>
      </w:r>
      <w:r>
        <w:rPr>
          <w:rFonts w:ascii="宋体" w:hAnsi="宋体"/>
          <w:color w:val="000000"/>
          <w:sz w:val="21"/>
          <w:szCs w:val="21"/>
          <w:highlight w:val="none"/>
        </w:rPr>
        <w:t>，并有权</w:t>
      </w:r>
      <w:r>
        <w:rPr>
          <w:rFonts w:hint="eastAsia" w:ascii="宋体" w:hAnsi="宋体"/>
          <w:color w:val="000000"/>
          <w:sz w:val="21"/>
          <w:szCs w:val="21"/>
          <w:highlight w:val="none"/>
        </w:rPr>
        <w:t>定期核对乙方提供货物数量、规格、质量等内容。甲方</w:t>
      </w:r>
      <w:r>
        <w:rPr>
          <w:rFonts w:ascii="宋体" w:hAnsi="宋体"/>
          <w:color w:val="000000"/>
          <w:sz w:val="21"/>
          <w:szCs w:val="21"/>
          <w:highlight w:val="none"/>
        </w:rPr>
        <w:t>有权督促乙方工作并要求乙方</w:t>
      </w:r>
      <w:r>
        <w:rPr>
          <w:rFonts w:hint="eastAsia" w:ascii="宋体" w:hAnsi="宋体"/>
          <w:color w:val="000000"/>
          <w:sz w:val="21"/>
          <w:szCs w:val="21"/>
          <w:highlight w:val="none"/>
        </w:rPr>
        <w:t>更</w:t>
      </w:r>
      <w:r>
        <w:rPr>
          <w:rFonts w:ascii="宋体" w:hAnsi="宋体"/>
          <w:color w:val="000000"/>
          <w:sz w:val="21"/>
          <w:szCs w:val="21"/>
          <w:highlight w:val="none"/>
        </w:rPr>
        <w:t>换不符合要求的</w:t>
      </w:r>
      <w:r>
        <w:rPr>
          <w:rFonts w:hint="eastAsia" w:ascii="宋体" w:hAnsi="宋体"/>
          <w:color w:val="000000"/>
          <w:sz w:val="21"/>
          <w:szCs w:val="21"/>
          <w:highlight w:val="none"/>
        </w:rPr>
        <w:t>货物</w:t>
      </w:r>
      <w:r>
        <w:rPr>
          <w:rFonts w:ascii="宋体" w:hAnsi="宋体"/>
          <w:color w:val="000000"/>
          <w:sz w:val="21"/>
          <w:szCs w:val="21"/>
          <w:highlight w:val="none"/>
        </w:rPr>
        <w:t>。</w:t>
      </w:r>
    </w:p>
    <w:p>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4.</w:t>
      </w:r>
      <w:r>
        <w:rPr>
          <w:rFonts w:ascii="宋体" w:hAnsi="宋体"/>
          <w:color w:val="000000"/>
          <w:sz w:val="21"/>
          <w:szCs w:val="21"/>
          <w:highlight w:val="none"/>
        </w:rPr>
        <w:t>3</w:t>
      </w:r>
      <w:r>
        <w:rPr>
          <w:rFonts w:hint="eastAsia" w:ascii="宋体" w:hAnsi="宋体"/>
          <w:color w:val="000000"/>
          <w:sz w:val="21"/>
          <w:szCs w:val="21"/>
          <w:highlight w:val="none"/>
        </w:rPr>
        <w:t xml:space="preserve"> </w:t>
      </w:r>
      <w:r>
        <w:rPr>
          <w:rFonts w:ascii="宋体" w:hAnsi="宋体"/>
          <w:color w:val="000000"/>
          <w:sz w:val="21"/>
          <w:szCs w:val="21"/>
          <w:highlight w:val="none"/>
        </w:rPr>
        <w:t>甲方</w:t>
      </w:r>
      <w:r>
        <w:rPr>
          <w:rFonts w:hint="eastAsia" w:ascii="宋体" w:hAnsi="宋体"/>
          <w:color w:val="000000"/>
          <w:sz w:val="21"/>
          <w:szCs w:val="21"/>
          <w:highlight w:val="none"/>
        </w:rPr>
        <w:t>有权要求乙方对缺陷部分予以修复，并按合同约定享有货物保修及其他合同约定的权利。</w:t>
      </w:r>
    </w:p>
    <w:p>
      <w:pPr>
        <w:snapToGrid w:val="0"/>
        <w:spacing w:line="400" w:lineRule="exact"/>
        <w:ind w:firstLine="420" w:firstLineChars="200"/>
        <w:rPr>
          <w:rFonts w:eastAsia="华文楷体"/>
          <w:sz w:val="21"/>
          <w:szCs w:val="21"/>
          <w:highlight w:val="none"/>
        </w:rPr>
      </w:pPr>
      <w:r>
        <w:rPr>
          <w:rFonts w:ascii="宋体" w:hAnsi="宋体"/>
          <w:color w:val="000000"/>
          <w:sz w:val="21"/>
          <w:szCs w:val="21"/>
          <w:highlight w:val="none"/>
        </w:rPr>
        <w:t>4.4 甲方应当按照合同约定及时对交付的货物进行验收</w:t>
      </w:r>
      <w:r>
        <w:rPr>
          <w:rFonts w:hint="eastAsia" w:ascii="宋体" w:hAnsi="宋体"/>
          <w:color w:val="000000"/>
          <w:sz w:val="21"/>
          <w:szCs w:val="21"/>
          <w:highlight w:val="none"/>
        </w:rPr>
        <w:t>，</w:t>
      </w:r>
      <w:r>
        <w:rPr>
          <w:rFonts w:hint="eastAsia" w:ascii="宋体" w:hAnsi="宋体" w:cs="宋体"/>
          <w:sz w:val="21"/>
          <w:szCs w:val="21"/>
          <w:highlight w:val="none"/>
        </w:rPr>
        <w:t>未</w:t>
      </w:r>
      <w:r>
        <w:rPr>
          <w:rFonts w:hint="eastAsia" w:ascii="宋体" w:hAnsi="宋体"/>
          <w:color w:val="000000"/>
          <w:sz w:val="21"/>
          <w:szCs w:val="21"/>
          <w:highlight w:val="none"/>
        </w:rPr>
        <w:t>在</w:t>
      </w:r>
      <w:r>
        <w:rPr>
          <w:rFonts w:hint="eastAsia" w:ascii="宋体" w:hAnsi="宋体" w:cs="宋体"/>
          <w:b/>
          <w:bCs/>
          <w:sz w:val="21"/>
          <w:szCs w:val="21"/>
          <w:highlight w:val="none"/>
        </w:rPr>
        <w:t>【政府采购合同专用条款】</w:t>
      </w:r>
      <w:r>
        <w:rPr>
          <w:rFonts w:hint="eastAsia" w:ascii="宋体" w:hAnsi="宋体" w:cs="宋体"/>
          <w:sz w:val="21"/>
          <w:szCs w:val="21"/>
          <w:highlight w:val="none"/>
        </w:rPr>
        <w:t>约定的期限内对乙方履约提出任何异议或者向乙方作出任何说明的，</w:t>
      </w:r>
      <w:r>
        <w:rPr>
          <w:rFonts w:hint="eastAsia" w:ascii="宋体" w:hAnsi="宋体"/>
          <w:color w:val="000000"/>
          <w:sz w:val="21"/>
          <w:szCs w:val="21"/>
          <w:highlight w:val="none"/>
        </w:rPr>
        <w:t>视为验收通过。</w:t>
      </w:r>
    </w:p>
    <w:p>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ascii="宋体" w:hAnsi="宋体"/>
          <w:color w:val="000000"/>
          <w:sz w:val="21"/>
          <w:szCs w:val="21"/>
          <w:highlight w:val="none"/>
        </w:rPr>
        <w:t>4</w:t>
      </w:r>
      <w:r>
        <w:rPr>
          <w:rFonts w:hint="eastAsia" w:ascii="宋体" w:hAnsi="宋体"/>
          <w:color w:val="000000"/>
          <w:sz w:val="21"/>
          <w:szCs w:val="21"/>
          <w:highlight w:val="none"/>
        </w:rPr>
        <w:t>.</w:t>
      </w:r>
      <w:r>
        <w:rPr>
          <w:rFonts w:ascii="宋体" w:hAnsi="宋体"/>
          <w:color w:val="000000"/>
          <w:sz w:val="21"/>
          <w:szCs w:val="21"/>
          <w:highlight w:val="none"/>
        </w:rPr>
        <w:t xml:space="preserve">5 </w:t>
      </w:r>
      <w:r>
        <w:rPr>
          <w:rFonts w:hint="eastAsia" w:ascii="宋体" w:hAnsi="宋体"/>
          <w:color w:val="000000"/>
          <w:sz w:val="21"/>
          <w:szCs w:val="21"/>
          <w:highlight w:val="none"/>
        </w:rPr>
        <w:t>甲方应当根据合同约定及时向乙方支付合同价款</w:t>
      </w:r>
      <w:r>
        <w:rPr>
          <w:rFonts w:ascii="宋体" w:hAnsi="宋体"/>
          <w:color w:val="000000"/>
          <w:sz w:val="21"/>
          <w:szCs w:val="21"/>
          <w:highlight w:val="none"/>
        </w:rPr>
        <w:t>，不得以内部人员变更、履行内部付款流程等为由，拒绝或迟延支付。</w:t>
      </w:r>
    </w:p>
    <w:p>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4.6</w:t>
      </w:r>
      <w:r>
        <w:rPr>
          <w:rFonts w:ascii="宋体" w:hAnsi="宋体"/>
          <w:color w:val="000000"/>
          <w:sz w:val="21"/>
          <w:szCs w:val="21"/>
          <w:highlight w:val="none"/>
        </w:rPr>
        <w:t xml:space="preserve"> </w:t>
      </w:r>
      <w:r>
        <w:rPr>
          <w:rFonts w:hint="eastAsia" w:ascii="宋体" w:hAnsi="宋体"/>
          <w:color w:val="000000"/>
          <w:sz w:val="21"/>
          <w:szCs w:val="21"/>
          <w:highlight w:val="none"/>
        </w:rPr>
        <w:t>国家法律法规规定及</w:t>
      </w:r>
      <w:r>
        <w:rPr>
          <w:rFonts w:hint="eastAsia" w:ascii="宋体" w:hAnsi="宋体" w:cs="宋体"/>
          <w:b/>
          <w:bCs/>
          <w:sz w:val="21"/>
          <w:szCs w:val="21"/>
          <w:highlight w:val="none"/>
        </w:rPr>
        <w:t>【政府采购合同专用条款】</w:t>
      </w:r>
      <w:r>
        <w:rPr>
          <w:rFonts w:hint="eastAsia" w:ascii="宋体" w:hAnsi="宋体"/>
          <w:color w:val="000000"/>
          <w:sz w:val="21"/>
          <w:szCs w:val="21"/>
          <w:highlight w:val="none"/>
        </w:rPr>
        <w:t>约定应由甲方承担的其他义务和责任。</w:t>
      </w:r>
    </w:p>
    <w:p>
      <w:pPr>
        <w:autoSpaceDE w:val="0"/>
        <w:autoSpaceDN w:val="0"/>
        <w:adjustRightInd w:val="0"/>
        <w:snapToGrid w:val="0"/>
        <w:spacing w:line="400" w:lineRule="exact"/>
        <w:ind w:firstLine="422"/>
        <w:rPr>
          <w:rFonts w:hint="eastAsia" w:ascii="宋体" w:hAnsi="宋体"/>
          <w:b/>
          <w:bCs/>
          <w:color w:val="000000"/>
          <w:sz w:val="21"/>
          <w:szCs w:val="21"/>
          <w:highlight w:val="none"/>
        </w:rPr>
      </w:pPr>
      <w:r>
        <w:rPr>
          <w:rFonts w:hint="eastAsia" w:ascii="宋体" w:hAnsi="宋体"/>
          <w:b/>
          <w:bCs/>
          <w:color w:val="000000"/>
          <w:sz w:val="21"/>
          <w:szCs w:val="21"/>
          <w:highlight w:val="none"/>
        </w:rPr>
        <w:t>5. 乙方的权利和义务</w:t>
      </w:r>
    </w:p>
    <w:p>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 xml:space="preserve">5.1 </w:t>
      </w:r>
      <w:r>
        <w:rPr>
          <w:rFonts w:ascii="宋体" w:hAnsi="宋体"/>
          <w:color w:val="000000"/>
          <w:sz w:val="21"/>
          <w:szCs w:val="21"/>
          <w:highlight w:val="none"/>
        </w:rPr>
        <w:t>签署合同后，乙方</w:t>
      </w:r>
      <w:r>
        <w:rPr>
          <w:rFonts w:hint="eastAsia" w:ascii="宋体" w:hAnsi="宋体"/>
          <w:color w:val="000000"/>
          <w:sz w:val="21"/>
          <w:szCs w:val="21"/>
          <w:highlight w:val="none"/>
        </w:rPr>
        <w:t>应</w:t>
      </w:r>
      <w:r>
        <w:rPr>
          <w:rFonts w:ascii="宋体" w:hAnsi="宋体"/>
          <w:color w:val="000000"/>
          <w:sz w:val="21"/>
          <w:szCs w:val="21"/>
          <w:highlight w:val="none"/>
        </w:rPr>
        <w:t>确定</w:t>
      </w:r>
      <w:r>
        <w:rPr>
          <w:rFonts w:hint="eastAsia" w:ascii="宋体" w:hAnsi="宋体"/>
          <w:color w:val="000000"/>
          <w:sz w:val="21"/>
          <w:szCs w:val="21"/>
          <w:highlight w:val="none"/>
        </w:rPr>
        <w:t>项目负责人（或项目联系人）</w:t>
      </w:r>
      <w:r>
        <w:rPr>
          <w:rFonts w:ascii="宋体" w:hAnsi="宋体"/>
          <w:color w:val="000000"/>
          <w:sz w:val="21"/>
          <w:szCs w:val="21"/>
          <w:highlight w:val="none"/>
        </w:rPr>
        <w:t>，负责与本合同有关的事务。</w:t>
      </w:r>
    </w:p>
    <w:p>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5.</w:t>
      </w:r>
      <w:r>
        <w:rPr>
          <w:rFonts w:ascii="宋体" w:hAnsi="宋体"/>
          <w:color w:val="000000"/>
          <w:sz w:val="21"/>
          <w:szCs w:val="21"/>
          <w:highlight w:val="none"/>
        </w:rPr>
        <w:t>2 乙方应按照合同要求</w:t>
      </w:r>
      <w:r>
        <w:rPr>
          <w:rFonts w:hint="eastAsia" w:ascii="宋体" w:hAnsi="宋体"/>
          <w:color w:val="000000"/>
          <w:sz w:val="21"/>
          <w:szCs w:val="21"/>
          <w:highlight w:val="none"/>
        </w:rPr>
        <w:t>履约</w:t>
      </w:r>
      <w:r>
        <w:rPr>
          <w:rFonts w:ascii="宋体" w:hAnsi="宋体"/>
          <w:color w:val="000000"/>
          <w:sz w:val="21"/>
          <w:szCs w:val="21"/>
          <w:highlight w:val="none"/>
        </w:rPr>
        <w:t>，充分合理安排，确保</w:t>
      </w:r>
      <w:r>
        <w:rPr>
          <w:rFonts w:hint="eastAsia" w:ascii="宋体" w:hAnsi="宋体"/>
          <w:color w:val="000000"/>
          <w:sz w:val="21"/>
          <w:szCs w:val="21"/>
          <w:highlight w:val="none"/>
        </w:rPr>
        <w:t>提供的货物及相关服务符合合同有关</w:t>
      </w:r>
      <w:r>
        <w:rPr>
          <w:rFonts w:ascii="宋体" w:hAnsi="宋体"/>
          <w:color w:val="000000"/>
          <w:sz w:val="21"/>
          <w:szCs w:val="21"/>
          <w:highlight w:val="none"/>
        </w:rPr>
        <w:t>要求</w:t>
      </w:r>
      <w:r>
        <w:rPr>
          <w:rFonts w:hint="eastAsia" w:ascii="宋体" w:hAnsi="宋体"/>
          <w:color w:val="000000"/>
          <w:sz w:val="21"/>
          <w:szCs w:val="21"/>
          <w:highlight w:val="none"/>
        </w:rPr>
        <w:t>。接受项目行业管理部门及政府有关部门的指导，配合甲方的履约检查及验收，并</w:t>
      </w:r>
      <w:r>
        <w:rPr>
          <w:rFonts w:ascii="宋体" w:hAnsi="宋体"/>
          <w:color w:val="000000"/>
          <w:sz w:val="21"/>
          <w:szCs w:val="21"/>
          <w:highlight w:val="none"/>
        </w:rPr>
        <w:t>负责项目实施过程中的所有协调工作。</w:t>
      </w:r>
    </w:p>
    <w:p>
      <w:pPr>
        <w:pStyle w:val="17"/>
        <w:spacing w:after="0" w:line="400" w:lineRule="exact"/>
        <w:ind w:firstLine="369" w:firstLineChars="176"/>
        <w:rPr>
          <w:rFonts w:hint="eastAsia" w:ascii="宋体" w:hAnsi="宋体" w:cs="宋体"/>
          <w:color w:val="000000"/>
          <w:sz w:val="21"/>
          <w:szCs w:val="21"/>
          <w:highlight w:val="none"/>
        </w:rPr>
      </w:pPr>
      <w:r>
        <w:rPr>
          <w:rFonts w:hint="eastAsia" w:ascii="宋体" w:hAnsi="宋体"/>
          <w:color w:val="000000"/>
          <w:sz w:val="21"/>
          <w:szCs w:val="21"/>
          <w:highlight w:val="none"/>
        </w:rPr>
        <w:t>5.</w:t>
      </w:r>
      <w:r>
        <w:rPr>
          <w:rFonts w:ascii="宋体" w:hAnsi="宋体"/>
          <w:color w:val="000000"/>
          <w:sz w:val="21"/>
          <w:szCs w:val="21"/>
          <w:highlight w:val="none"/>
        </w:rPr>
        <w:t>3</w:t>
      </w:r>
      <w:r>
        <w:rPr>
          <w:rFonts w:hint="eastAsia" w:ascii="宋体" w:hAnsi="宋体"/>
          <w:color w:val="000000"/>
          <w:sz w:val="21"/>
          <w:szCs w:val="21"/>
          <w:highlight w:val="none"/>
        </w:rPr>
        <w:t>乙方有权</w:t>
      </w:r>
      <w:r>
        <w:rPr>
          <w:rFonts w:hint="eastAsia" w:ascii="宋体" w:hAnsi="宋体" w:cs="宋体"/>
          <w:color w:val="000000"/>
          <w:sz w:val="21"/>
          <w:szCs w:val="21"/>
          <w:highlight w:val="none"/>
        </w:rPr>
        <w:t>根据合同约定向甲方收取合同价款。</w:t>
      </w:r>
    </w:p>
    <w:p>
      <w:pPr>
        <w:pStyle w:val="17"/>
        <w:spacing w:after="0" w:line="400" w:lineRule="exact"/>
        <w:ind w:firstLine="369" w:firstLineChars="176"/>
        <w:rPr>
          <w:rFonts w:hint="eastAsia" w:ascii="宋体" w:hAnsi="宋体" w:cs="宋体"/>
          <w:color w:val="000000"/>
          <w:sz w:val="21"/>
          <w:szCs w:val="21"/>
          <w:highlight w:val="none"/>
        </w:rPr>
      </w:pPr>
      <w:r>
        <w:rPr>
          <w:rFonts w:hint="eastAsia" w:ascii="宋体" w:hAnsi="宋体"/>
          <w:color w:val="000000"/>
          <w:sz w:val="21"/>
          <w:szCs w:val="21"/>
          <w:highlight w:val="none"/>
        </w:rPr>
        <w:t>5.</w:t>
      </w:r>
      <w:r>
        <w:rPr>
          <w:rFonts w:ascii="宋体" w:hAnsi="宋体"/>
          <w:color w:val="000000"/>
          <w:sz w:val="21"/>
          <w:szCs w:val="21"/>
          <w:highlight w:val="none"/>
        </w:rPr>
        <w:t>4</w:t>
      </w:r>
      <w:r>
        <w:rPr>
          <w:rFonts w:hint="eastAsia" w:ascii="宋体" w:hAnsi="宋体" w:cs="宋体"/>
          <w:color w:val="000000"/>
          <w:sz w:val="21"/>
          <w:szCs w:val="21"/>
          <w:highlight w:val="none"/>
        </w:rPr>
        <w:t>国家法律法规规定</w:t>
      </w:r>
      <w:r>
        <w:rPr>
          <w:rFonts w:hint="eastAsia" w:ascii="宋体" w:hAnsi="宋体"/>
          <w:color w:val="000000"/>
          <w:sz w:val="21"/>
          <w:szCs w:val="21"/>
          <w:highlight w:val="none"/>
        </w:rPr>
        <w:t>及</w:t>
      </w:r>
      <w:r>
        <w:rPr>
          <w:rFonts w:hint="eastAsia" w:ascii="宋体" w:hAnsi="宋体" w:cs="宋体"/>
          <w:b/>
          <w:bCs/>
          <w:sz w:val="21"/>
          <w:szCs w:val="21"/>
          <w:highlight w:val="none"/>
        </w:rPr>
        <w:t>【政府采购合同专用条款】</w:t>
      </w:r>
      <w:r>
        <w:rPr>
          <w:rFonts w:hint="eastAsia" w:ascii="宋体" w:hAnsi="宋体" w:cs="宋体"/>
          <w:sz w:val="21"/>
          <w:szCs w:val="21"/>
          <w:highlight w:val="none"/>
        </w:rPr>
        <w:t>约定应</w:t>
      </w:r>
      <w:r>
        <w:rPr>
          <w:rFonts w:hint="eastAsia" w:ascii="宋体" w:hAnsi="宋体" w:cs="宋体"/>
          <w:color w:val="000000"/>
          <w:sz w:val="21"/>
          <w:szCs w:val="21"/>
          <w:highlight w:val="none"/>
        </w:rPr>
        <w:t>由乙方承担的其他义务和责任。</w:t>
      </w:r>
    </w:p>
    <w:p>
      <w:pPr>
        <w:numPr>
          <w:ilvl w:val="0"/>
          <w:numId w:val="9"/>
        </w:numPr>
        <w:autoSpaceDE w:val="0"/>
        <w:autoSpaceDN w:val="0"/>
        <w:adjustRightInd w:val="0"/>
        <w:snapToGrid w:val="0"/>
        <w:spacing w:line="400" w:lineRule="exact"/>
        <w:ind w:firstLine="422"/>
        <w:rPr>
          <w:rFonts w:hint="eastAsia" w:ascii="宋体" w:hAnsi="宋体"/>
          <w:b/>
          <w:bCs/>
          <w:color w:val="000000"/>
          <w:sz w:val="21"/>
          <w:szCs w:val="21"/>
          <w:highlight w:val="none"/>
        </w:rPr>
      </w:pPr>
      <w:r>
        <w:rPr>
          <w:rFonts w:hint="eastAsia" w:ascii="宋体" w:hAnsi="宋体"/>
          <w:b/>
          <w:bCs/>
          <w:color w:val="000000"/>
          <w:sz w:val="21"/>
          <w:szCs w:val="21"/>
          <w:highlight w:val="none"/>
        </w:rPr>
        <w:t>合同履行</w:t>
      </w:r>
    </w:p>
    <w:p>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6.1 甲乙双方应当按照</w:t>
      </w:r>
      <w:r>
        <w:rPr>
          <w:rFonts w:hint="eastAsia" w:ascii="宋体" w:hAnsi="宋体" w:cs="宋体"/>
          <w:b/>
          <w:bCs/>
          <w:sz w:val="21"/>
          <w:szCs w:val="21"/>
          <w:highlight w:val="none"/>
        </w:rPr>
        <w:t>【政府采购合同专用条款】</w:t>
      </w:r>
      <w:r>
        <w:rPr>
          <w:rFonts w:hint="eastAsia" w:ascii="宋体" w:hAnsi="宋体"/>
          <w:color w:val="000000"/>
          <w:sz w:val="21"/>
          <w:szCs w:val="21"/>
          <w:highlight w:val="none"/>
        </w:rPr>
        <w:t>约定顺序履行合同义务；如果没有先后顺序的，应当同时履行。</w:t>
      </w:r>
    </w:p>
    <w:p>
      <w:pPr>
        <w:autoSpaceDE w:val="0"/>
        <w:autoSpaceDN w:val="0"/>
        <w:adjustRightInd w:val="0"/>
        <w:snapToGrid w:val="0"/>
        <w:spacing w:line="400" w:lineRule="exact"/>
        <w:ind w:firstLine="420" w:firstLineChars="200"/>
        <w:rPr>
          <w:sz w:val="21"/>
          <w:szCs w:val="21"/>
          <w:highlight w:val="none"/>
        </w:rPr>
      </w:pPr>
      <w:r>
        <w:rPr>
          <w:rFonts w:hint="eastAsia" w:ascii="宋体" w:hAnsi="宋体"/>
          <w:color w:val="000000"/>
          <w:sz w:val="21"/>
          <w:szCs w:val="21"/>
          <w:highlight w:val="none"/>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ind w:firstLine="422"/>
        <w:rPr>
          <w:rFonts w:hint="eastAsia" w:ascii="宋体" w:hAnsi="宋体"/>
          <w:b/>
          <w:bCs/>
          <w:color w:val="000000"/>
          <w:sz w:val="21"/>
          <w:szCs w:val="21"/>
          <w:highlight w:val="none"/>
        </w:rPr>
      </w:pPr>
      <w:r>
        <w:rPr>
          <w:rFonts w:hint="eastAsia" w:ascii="宋体" w:hAnsi="宋体"/>
          <w:b/>
          <w:bCs/>
          <w:color w:val="000000"/>
          <w:sz w:val="21"/>
          <w:szCs w:val="21"/>
          <w:highlight w:val="none"/>
        </w:rPr>
        <w:t>7. 货物包装、运输、保险和交付要求</w:t>
      </w:r>
    </w:p>
    <w:p>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7.1 本合同</w:t>
      </w:r>
      <w:r>
        <w:rPr>
          <w:rFonts w:hint="eastAsia" w:ascii="宋体" w:hAnsi="宋体"/>
          <w:bCs/>
          <w:color w:val="000000"/>
          <w:sz w:val="21"/>
          <w:szCs w:val="21"/>
          <w:highlight w:val="none"/>
        </w:rPr>
        <w:t>涉及商品包装、快递包装的，</w:t>
      </w:r>
      <w:r>
        <w:rPr>
          <w:rFonts w:hint="eastAsia" w:ascii="宋体" w:hAnsi="宋体"/>
          <w:color w:val="000000"/>
          <w:sz w:val="21"/>
          <w:szCs w:val="21"/>
          <w:highlight w:val="none"/>
        </w:rPr>
        <w:t>除</w:t>
      </w:r>
      <w:r>
        <w:rPr>
          <w:rFonts w:hint="eastAsia" w:ascii="宋体" w:hAnsi="宋体"/>
          <w:b/>
          <w:color w:val="000000"/>
          <w:sz w:val="21"/>
          <w:szCs w:val="21"/>
          <w:highlight w:val="none"/>
        </w:rPr>
        <w:t>【政府采购合同专用条款】</w:t>
      </w:r>
      <w:r>
        <w:rPr>
          <w:rFonts w:hint="eastAsia" w:ascii="宋体" w:hAnsi="宋体"/>
          <w:bCs/>
          <w:color w:val="000000"/>
          <w:sz w:val="21"/>
          <w:szCs w:val="21"/>
          <w:highlight w:val="none"/>
        </w:rPr>
        <w:t>另有约定外，</w:t>
      </w:r>
      <w:r>
        <w:rPr>
          <w:rFonts w:hint="eastAsia" w:ascii="宋体" w:hAnsi="宋体"/>
          <w:color w:val="000000"/>
          <w:sz w:val="21"/>
          <w:szCs w:val="21"/>
          <w:highlight w:val="none"/>
        </w:rPr>
        <w:t>包装应适应远距离运输、防潮、防震、防锈和防野蛮装卸等要求，确保货物安全无损地运抵</w:t>
      </w:r>
      <w:r>
        <w:rPr>
          <w:rFonts w:hint="eastAsia" w:ascii="宋体" w:hAnsi="宋体"/>
          <w:b/>
          <w:color w:val="000000"/>
          <w:sz w:val="21"/>
          <w:szCs w:val="21"/>
          <w:highlight w:val="none"/>
        </w:rPr>
        <w:t>【政府采购合同专用条款】</w:t>
      </w:r>
      <w:r>
        <w:rPr>
          <w:rFonts w:hint="eastAsia" w:ascii="宋体" w:hAnsi="宋体"/>
          <w:bCs/>
          <w:color w:val="000000"/>
          <w:sz w:val="21"/>
          <w:szCs w:val="21"/>
          <w:highlight w:val="none"/>
        </w:rPr>
        <w:t>约定的</w:t>
      </w:r>
      <w:r>
        <w:rPr>
          <w:rFonts w:hint="eastAsia" w:ascii="宋体" w:hAnsi="宋体"/>
          <w:color w:val="000000"/>
          <w:sz w:val="21"/>
          <w:szCs w:val="21"/>
          <w:highlight w:val="none"/>
        </w:rPr>
        <w:t>指定现场。</w:t>
      </w:r>
    </w:p>
    <w:p>
      <w:pPr>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7.2 除</w:t>
      </w:r>
      <w:r>
        <w:rPr>
          <w:rFonts w:hint="eastAsia" w:ascii="宋体" w:hAnsi="宋体"/>
          <w:b/>
          <w:color w:val="000000"/>
          <w:sz w:val="21"/>
          <w:szCs w:val="21"/>
          <w:highlight w:val="none"/>
        </w:rPr>
        <w:t>【政府采购合同专用条款】</w:t>
      </w:r>
      <w:r>
        <w:rPr>
          <w:rFonts w:hint="eastAsia" w:ascii="宋体" w:hAnsi="宋体"/>
          <w:bCs/>
          <w:color w:val="000000"/>
          <w:sz w:val="21"/>
          <w:szCs w:val="21"/>
          <w:highlight w:val="none"/>
        </w:rPr>
        <w:t>另有约定外，</w:t>
      </w:r>
      <w:r>
        <w:rPr>
          <w:rFonts w:hint="eastAsia" w:ascii="宋体" w:hAnsi="宋体"/>
          <w:color w:val="000000"/>
          <w:sz w:val="21"/>
          <w:szCs w:val="21"/>
          <w:highlight w:val="none"/>
        </w:rPr>
        <w:t>乙方负责办理将货物运抵本合同规定的交货地点，并装卸、交付至甲方的一切运输事项，相关费用应包含在合同价款中。</w:t>
      </w:r>
    </w:p>
    <w:p>
      <w:pPr>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7.3 货物保险要求按</w:t>
      </w:r>
      <w:r>
        <w:rPr>
          <w:rFonts w:hint="eastAsia" w:ascii="宋体" w:hAnsi="宋体"/>
          <w:b/>
          <w:color w:val="000000"/>
          <w:sz w:val="21"/>
          <w:szCs w:val="21"/>
          <w:highlight w:val="none"/>
        </w:rPr>
        <w:t>【政府采购合同专用条款】</w:t>
      </w:r>
      <w:r>
        <w:rPr>
          <w:rFonts w:hint="eastAsia" w:ascii="宋体" w:hAnsi="宋体"/>
          <w:bCs/>
          <w:color w:val="000000"/>
          <w:sz w:val="21"/>
          <w:szCs w:val="21"/>
          <w:highlight w:val="none"/>
        </w:rPr>
        <w:t>规定执行</w:t>
      </w:r>
      <w:r>
        <w:rPr>
          <w:rFonts w:hint="eastAsia" w:ascii="宋体" w:hAnsi="宋体"/>
          <w:color w:val="000000"/>
          <w:sz w:val="21"/>
          <w:szCs w:val="21"/>
          <w:highlight w:val="none"/>
        </w:rPr>
        <w:t>。</w:t>
      </w:r>
    </w:p>
    <w:p>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 xml:space="preserve">7.5 </w:t>
      </w:r>
      <w:r>
        <w:rPr>
          <w:rFonts w:hint="eastAsia" w:ascii="宋体" w:hAnsi="宋体" w:cs="宋体"/>
          <w:color w:val="000000"/>
          <w:sz w:val="21"/>
          <w:szCs w:val="21"/>
          <w:highlight w:val="none"/>
        </w:rPr>
        <w:t>乙方在运输到达之前应提前通知甲方，并提示货物运输装卸的注意事项，甲方配合乙方做好货物的接收工作。</w:t>
      </w:r>
    </w:p>
    <w:p>
      <w:pPr>
        <w:pStyle w:val="188"/>
        <w:ind w:firstLine="420"/>
        <w:rPr>
          <w:rFonts w:hint="eastAsia"/>
          <w:sz w:val="21"/>
          <w:highlight w:val="none"/>
        </w:rPr>
      </w:pPr>
      <w:r>
        <w:rPr>
          <w:rFonts w:hint="eastAsia" w:ascii="宋体" w:hAnsi="宋体" w:eastAsia="宋体" w:cs="Times New Roman"/>
          <w:color w:val="000000"/>
          <w:kern w:val="2"/>
          <w:sz w:val="21"/>
          <w:highlight w:val="none"/>
        </w:rPr>
        <w:t>7.6 如因包装、运输问题导致货物损毁、丢失或者品质下降，甲方有权要求降价、换货、拒收部分或整批货物，由此产生的费用和损失，均由乙方承担。</w:t>
      </w:r>
    </w:p>
    <w:p>
      <w:pPr>
        <w:adjustRightInd w:val="0"/>
        <w:snapToGrid w:val="0"/>
        <w:spacing w:line="400" w:lineRule="exact"/>
        <w:ind w:firstLine="422"/>
        <w:rPr>
          <w:rFonts w:hint="eastAsia" w:ascii="宋体" w:hAnsi="宋体"/>
          <w:b/>
          <w:sz w:val="21"/>
          <w:szCs w:val="21"/>
          <w:highlight w:val="none"/>
        </w:rPr>
      </w:pPr>
      <w:r>
        <w:rPr>
          <w:rFonts w:hint="eastAsia" w:ascii="宋体" w:hAnsi="宋体"/>
          <w:b/>
          <w:color w:val="000000"/>
          <w:sz w:val="21"/>
          <w:szCs w:val="21"/>
          <w:highlight w:val="none"/>
        </w:rPr>
        <w:t xml:space="preserve">8. </w:t>
      </w:r>
      <w:r>
        <w:rPr>
          <w:rFonts w:hint="eastAsia" w:ascii="宋体" w:hAnsi="宋体"/>
          <w:b/>
          <w:sz w:val="21"/>
          <w:szCs w:val="21"/>
          <w:highlight w:val="none"/>
        </w:rPr>
        <w:t>质量标准和保证</w:t>
      </w:r>
    </w:p>
    <w:p>
      <w:pPr>
        <w:pStyle w:val="23"/>
        <w:adjustRightInd w:val="0"/>
        <w:snapToGrid w:val="0"/>
        <w:spacing w:line="400" w:lineRule="exact"/>
        <w:ind w:firstLine="420" w:firstLineChars="200"/>
        <w:rPr>
          <w:rFonts w:hint="eastAsia" w:hAnsi="宋体"/>
          <w:b/>
          <w:sz w:val="21"/>
          <w:szCs w:val="21"/>
          <w:highlight w:val="none"/>
        </w:rPr>
      </w:pPr>
      <w:r>
        <w:rPr>
          <w:rFonts w:hint="eastAsia" w:hAnsi="宋体"/>
          <w:sz w:val="21"/>
          <w:szCs w:val="21"/>
          <w:highlight w:val="none"/>
        </w:rPr>
        <w:t>8.1 质量标准</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（1）本合同下提供的货物应符合合同</w:t>
      </w:r>
      <w:r>
        <w:rPr>
          <w:rFonts w:hint="eastAsia" w:ascii="宋体" w:hAnsi="宋体" w:cs="宋体"/>
          <w:color w:val="000000"/>
          <w:sz w:val="21"/>
          <w:szCs w:val="21"/>
          <w:highlight w:val="none"/>
        </w:rPr>
        <w:t>约定的</w:t>
      </w:r>
      <w:r>
        <w:rPr>
          <w:rFonts w:hint="eastAsia" w:ascii="宋体" w:hAnsi="宋体" w:cs="宋体"/>
          <w:sz w:val="21"/>
          <w:szCs w:val="21"/>
          <w:highlight w:val="none"/>
        </w:rPr>
        <w:t>品牌、规格型号、技术性能、配置、质量、数量等要求。</w:t>
      </w:r>
      <w:r>
        <w:rPr>
          <w:rFonts w:hint="eastAsia" w:ascii="宋体" w:hAnsi="宋体"/>
          <w:sz w:val="21"/>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23"/>
        <w:adjustRightInd w:val="0"/>
        <w:snapToGrid w:val="0"/>
        <w:spacing w:line="400" w:lineRule="exact"/>
        <w:ind w:firstLine="420" w:firstLineChars="200"/>
        <w:rPr>
          <w:rFonts w:hint="eastAsia" w:hAnsi="宋体"/>
          <w:sz w:val="21"/>
          <w:szCs w:val="21"/>
          <w:highlight w:val="none"/>
        </w:rPr>
      </w:pPr>
      <w:r>
        <w:rPr>
          <w:rFonts w:hint="eastAsia" w:hAnsi="宋体"/>
          <w:sz w:val="21"/>
          <w:szCs w:val="21"/>
          <w:highlight w:val="none"/>
        </w:rPr>
        <w:t>（2）采用中华人民共和国法定计量单位。</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（3）乙方所提供的货物应符合国家有关安全、环保、卫生的规定。</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8.2 保证</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（1）乙方应保证提供的货物完全符合合同规定的质量、规格和性能要求。乙方应保证货物在正确安装、正常使用和保养条件下，</w:t>
      </w:r>
      <w:r>
        <w:rPr>
          <w:rFonts w:hint="eastAsia" w:ascii="宋体" w:hAnsi="宋体" w:cs="宋体"/>
          <w:sz w:val="21"/>
          <w:szCs w:val="21"/>
          <w:highlight w:val="none"/>
        </w:rPr>
        <w:t>在其使用寿命期内具备合同约定的性能</w:t>
      </w:r>
      <w:r>
        <w:rPr>
          <w:rFonts w:hint="eastAsia" w:ascii="宋体" w:hAnsi="宋体"/>
          <w:sz w:val="21"/>
          <w:szCs w:val="21"/>
          <w:highlight w:val="none"/>
        </w:rPr>
        <w:t>。存在质量保证期的，货物最终交付验收合格后在</w:t>
      </w:r>
      <w:r>
        <w:rPr>
          <w:rFonts w:hint="eastAsia" w:ascii="宋体" w:hAnsi="宋体"/>
          <w:b/>
          <w:sz w:val="21"/>
          <w:szCs w:val="21"/>
          <w:highlight w:val="none"/>
        </w:rPr>
        <w:t>【政府采购合同专用条款】</w:t>
      </w:r>
      <w:r>
        <w:rPr>
          <w:rFonts w:hint="eastAsia" w:ascii="宋体" w:hAnsi="宋体"/>
          <w:sz w:val="21"/>
          <w:szCs w:val="21"/>
          <w:highlight w:val="none"/>
        </w:rPr>
        <w:t>规定或乙方书面承诺（两者以较长的为准）的质量保证期内，本保证保持有效。</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（2）在质量保证期内所发现的缺陷，甲方应尽快以书面形式通知乙方。</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（3）乙方收到通知后，应在</w:t>
      </w:r>
      <w:r>
        <w:rPr>
          <w:rFonts w:hint="eastAsia" w:ascii="宋体" w:hAnsi="宋体"/>
          <w:b/>
          <w:sz w:val="21"/>
          <w:szCs w:val="21"/>
          <w:highlight w:val="none"/>
        </w:rPr>
        <w:t>【政府采购合同专用条款】</w:t>
      </w:r>
      <w:r>
        <w:rPr>
          <w:rFonts w:hint="eastAsia" w:ascii="宋体" w:hAnsi="宋体"/>
          <w:sz w:val="21"/>
          <w:szCs w:val="21"/>
          <w:highlight w:val="none"/>
        </w:rPr>
        <w:t>规定的响应时间内以合理的速度免费维修或更换有缺陷的货物或部件。</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 w:val="21"/>
          <w:szCs w:val="21"/>
          <w:highlight w:val="none"/>
        </w:rPr>
        <w:t>5</w:t>
      </w:r>
      <w:r>
        <w:rPr>
          <w:rFonts w:hint="eastAsia" w:ascii="宋体" w:hAnsi="宋体"/>
          <w:sz w:val="21"/>
          <w:szCs w:val="21"/>
          <w:highlight w:val="none"/>
        </w:rPr>
        <w:t>.1条规定以书面形式</w:t>
      </w:r>
      <w:r>
        <w:rPr>
          <w:rFonts w:hint="eastAsia" w:ascii="宋体" w:hAnsi="宋体"/>
          <w:color w:val="000000"/>
          <w:sz w:val="21"/>
          <w:szCs w:val="21"/>
          <w:highlight w:val="none"/>
        </w:rPr>
        <w:t>追究</w:t>
      </w:r>
      <w:r>
        <w:rPr>
          <w:rFonts w:hint="eastAsia" w:ascii="宋体" w:hAnsi="宋体"/>
          <w:sz w:val="21"/>
          <w:szCs w:val="21"/>
          <w:highlight w:val="none"/>
        </w:rPr>
        <w:t>乙方</w:t>
      </w:r>
      <w:r>
        <w:rPr>
          <w:rFonts w:hint="eastAsia" w:ascii="宋体" w:hAnsi="宋体"/>
          <w:color w:val="000000"/>
          <w:sz w:val="21"/>
          <w:szCs w:val="21"/>
          <w:highlight w:val="none"/>
        </w:rPr>
        <w:t>的违约责任</w:t>
      </w:r>
      <w:r>
        <w:rPr>
          <w:rFonts w:hint="eastAsia" w:ascii="宋体" w:hAnsi="宋体"/>
          <w:sz w:val="21"/>
          <w:szCs w:val="21"/>
          <w:highlight w:val="none"/>
        </w:rPr>
        <w:t>。</w:t>
      </w:r>
    </w:p>
    <w:p>
      <w:pPr>
        <w:adjustRightInd w:val="0"/>
        <w:snapToGrid w:val="0"/>
        <w:spacing w:line="400" w:lineRule="exact"/>
        <w:ind w:firstLine="420" w:firstLineChars="200"/>
        <w:rPr>
          <w:sz w:val="21"/>
          <w:szCs w:val="21"/>
          <w:highlight w:val="none"/>
        </w:rPr>
      </w:pPr>
      <w:r>
        <w:rPr>
          <w:rFonts w:hint="eastAsia" w:ascii="宋体" w:hAnsi="宋体"/>
          <w:sz w:val="21"/>
          <w:szCs w:val="21"/>
          <w:highlight w:val="none"/>
        </w:rPr>
        <w:t>（5）乙方在约定的时间内未能弥补缺陷，甲方可采取必要的补救措施，但其风险和费用将由乙方承担，甲方根据合同约定对乙方行使的其他权利不受影响。</w:t>
      </w:r>
    </w:p>
    <w:p>
      <w:pPr>
        <w:adjustRightInd w:val="0"/>
        <w:snapToGrid w:val="0"/>
        <w:spacing w:line="400" w:lineRule="exact"/>
        <w:ind w:firstLine="422"/>
        <w:rPr>
          <w:rFonts w:hint="eastAsia" w:ascii="宋体" w:hAnsi="宋体"/>
          <w:b/>
          <w:bCs/>
          <w:sz w:val="21"/>
          <w:szCs w:val="21"/>
          <w:highlight w:val="none"/>
        </w:rPr>
      </w:pPr>
      <w:r>
        <w:rPr>
          <w:rFonts w:hint="eastAsia" w:ascii="宋体" w:hAnsi="宋体"/>
          <w:b/>
          <w:bCs/>
          <w:color w:val="000000"/>
          <w:sz w:val="21"/>
          <w:szCs w:val="21"/>
          <w:highlight w:val="none"/>
        </w:rPr>
        <w:t>9</w:t>
      </w:r>
      <w:r>
        <w:rPr>
          <w:rFonts w:hint="eastAsia" w:ascii="宋体" w:hAnsi="宋体"/>
          <w:b/>
          <w:bCs/>
          <w:sz w:val="21"/>
          <w:szCs w:val="21"/>
          <w:highlight w:val="none"/>
        </w:rPr>
        <w:t>.</w:t>
      </w:r>
      <w:r>
        <w:rPr>
          <w:rFonts w:hint="eastAsia" w:ascii="宋体" w:hAnsi="宋体"/>
          <w:b/>
          <w:bCs/>
          <w:color w:val="000000"/>
          <w:sz w:val="21"/>
          <w:szCs w:val="21"/>
          <w:highlight w:val="none"/>
        </w:rPr>
        <w:t xml:space="preserve"> </w:t>
      </w:r>
      <w:r>
        <w:rPr>
          <w:rFonts w:hint="eastAsia" w:ascii="宋体" w:hAnsi="宋体"/>
          <w:b/>
          <w:bCs/>
          <w:sz w:val="21"/>
          <w:szCs w:val="21"/>
          <w:highlight w:val="none"/>
        </w:rPr>
        <w:t>权利瑕疵担保</w:t>
      </w:r>
    </w:p>
    <w:p>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9.1 乙方保证对其出售的货物享有合法的权利。</w:t>
      </w:r>
    </w:p>
    <w:p>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 xml:space="preserve">9.2 </w:t>
      </w:r>
      <w:r>
        <w:rPr>
          <w:rFonts w:hint="eastAsia" w:ascii="宋体" w:hAnsi="宋体" w:cs="宋体"/>
          <w:sz w:val="21"/>
          <w:szCs w:val="21"/>
          <w:highlight w:val="none"/>
        </w:rPr>
        <w:t>乙方保证在交付的货物上不存在抵押权等担保物权。</w:t>
      </w:r>
    </w:p>
    <w:p>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9.3 如甲方使用上述货物构成对第三人侵权的，则由乙方承担全部责任。</w:t>
      </w:r>
    </w:p>
    <w:p>
      <w:pPr>
        <w:autoSpaceDE w:val="0"/>
        <w:autoSpaceDN w:val="0"/>
        <w:adjustRightInd w:val="0"/>
        <w:snapToGrid w:val="0"/>
        <w:spacing w:line="400" w:lineRule="exact"/>
        <w:ind w:firstLine="422"/>
        <w:rPr>
          <w:rFonts w:hint="eastAsia" w:ascii="宋体" w:hAnsi="宋体"/>
          <w:b/>
          <w:bCs/>
          <w:color w:val="000000"/>
          <w:sz w:val="21"/>
          <w:szCs w:val="21"/>
          <w:highlight w:val="none"/>
        </w:rPr>
      </w:pPr>
      <w:r>
        <w:rPr>
          <w:rFonts w:hint="eastAsia" w:ascii="宋体" w:hAnsi="宋体"/>
          <w:b/>
          <w:bCs/>
          <w:color w:val="000000"/>
          <w:sz w:val="21"/>
          <w:szCs w:val="21"/>
          <w:highlight w:val="none"/>
        </w:rPr>
        <w:t>10. 知识产权保护</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color w:val="000000"/>
          <w:sz w:val="21"/>
          <w:szCs w:val="21"/>
          <w:highlight w:val="none"/>
        </w:rPr>
        <w:t>10.1 乙方对其所销售的货物应当享有知识产权或经权利人合法授权，保证没有侵犯任</w:t>
      </w:r>
      <w:r>
        <w:rPr>
          <w:rFonts w:hint="eastAsia" w:ascii="宋体" w:hAnsi="宋体"/>
          <w:sz w:val="21"/>
          <w:szCs w:val="21"/>
          <w:highlight w:val="none"/>
        </w:rPr>
        <w:t>何第三人的知识产权等权利。</w:t>
      </w:r>
      <w:bookmarkStart w:id="77" w:name="_Hlk163047038"/>
      <w:r>
        <w:rPr>
          <w:rFonts w:hint="eastAsia" w:ascii="宋体" w:hAnsi="宋体" w:cs="宋体"/>
          <w:sz w:val="21"/>
          <w:szCs w:val="21"/>
          <w:highlight w:val="none"/>
        </w:rPr>
        <w:t>因违反前述约定对第三人构成侵权的，应当由乙方向第三人承担法律责任；甲方依法向第三人赔偿后，有权向乙方追偿。甲方有其他损失的，乙方应当赔偿</w:t>
      </w:r>
      <w:bookmarkEnd w:id="77"/>
      <w:r>
        <w:rPr>
          <w:rFonts w:hint="eastAsia" w:ascii="宋体" w:hAnsi="宋体"/>
          <w:sz w:val="21"/>
          <w:szCs w:val="21"/>
          <w:highlight w:val="none"/>
        </w:rPr>
        <w:t>。</w:t>
      </w:r>
    </w:p>
    <w:p>
      <w:pPr>
        <w:autoSpaceDE w:val="0"/>
        <w:autoSpaceDN w:val="0"/>
        <w:adjustRightInd w:val="0"/>
        <w:snapToGrid w:val="0"/>
        <w:spacing w:line="400" w:lineRule="exact"/>
        <w:ind w:firstLine="422"/>
        <w:rPr>
          <w:rFonts w:hint="eastAsia" w:ascii="宋体" w:hAnsi="宋体"/>
          <w:b/>
          <w:bCs/>
          <w:sz w:val="21"/>
          <w:szCs w:val="21"/>
          <w:highlight w:val="none"/>
        </w:rPr>
      </w:pPr>
      <w:r>
        <w:rPr>
          <w:rFonts w:hint="eastAsia" w:ascii="宋体" w:hAnsi="宋体"/>
          <w:b/>
          <w:bCs/>
          <w:sz w:val="21"/>
          <w:szCs w:val="21"/>
          <w:highlight w:val="none"/>
        </w:rPr>
        <w:t>11. 保密义务</w:t>
      </w:r>
    </w:p>
    <w:p>
      <w:pPr>
        <w:autoSpaceDE w:val="0"/>
        <w:autoSpaceDN w:val="0"/>
        <w:adjustRightInd w:val="0"/>
        <w:snapToGrid w:val="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 w:val="21"/>
          <w:szCs w:val="21"/>
          <w:highlight w:val="none"/>
        </w:rPr>
        <w:t>【政府采购合同专用条款】</w:t>
      </w:r>
      <w:r>
        <w:rPr>
          <w:rFonts w:hint="eastAsia" w:ascii="宋体" w:hAnsi="宋体" w:cs="宋体"/>
          <w:sz w:val="21"/>
          <w:szCs w:val="21"/>
          <w:highlight w:val="none"/>
        </w:rPr>
        <w:t>中约定。</w:t>
      </w:r>
    </w:p>
    <w:p>
      <w:pPr>
        <w:autoSpaceDE w:val="0"/>
        <w:autoSpaceDN w:val="0"/>
        <w:adjustRightInd w:val="0"/>
        <w:snapToGrid w:val="0"/>
        <w:spacing w:line="400" w:lineRule="exact"/>
        <w:ind w:firstLine="422"/>
        <w:rPr>
          <w:rFonts w:hint="eastAsia" w:ascii="宋体" w:hAnsi="宋体"/>
          <w:b/>
          <w:bCs/>
          <w:sz w:val="21"/>
          <w:szCs w:val="21"/>
          <w:highlight w:val="none"/>
        </w:rPr>
      </w:pPr>
      <w:r>
        <w:rPr>
          <w:rFonts w:hint="eastAsia" w:ascii="宋体" w:hAnsi="宋体"/>
          <w:b/>
          <w:bCs/>
          <w:sz w:val="21"/>
          <w:szCs w:val="21"/>
          <w:highlight w:val="none"/>
        </w:rPr>
        <w:t>12. 合同价款支付</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12.1 合同价款支付按照国库集中支付制度及财政管理相关规定执行。</w:t>
      </w:r>
    </w:p>
    <w:p>
      <w:pPr>
        <w:pStyle w:val="3"/>
        <w:spacing w:line="400" w:lineRule="exact"/>
        <w:ind w:firstLine="420" w:firstLineChars="200"/>
        <w:rPr>
          <w:rFonts w:eastAsia="宋体"/>
          <w:sz w:val="21"/>
          <w:szCs w:val="21"/>
          <w:highlight w:val="none"/>
        </w:rPr>
      </w:pPr>
      <w:r>
        <w:rPr>
          <w:rFonts w:hint="eastAsia" w:ascii="宋体" w:hAnsi="宋体"/>
          <w:b w:val="0"/>
          <w:sz w:val="21"/>
          <w:szCs w:val="21"/>
          <w:highlight w:val="none"/>
        </w:rPr>
        <w:t xml:space="preserve">12.2 </w:t>
      </w:r>
      <w:r>
        <w:rPr>
          <w:rFonts w:hint="eastAsia" w:ascii="宋体" w:hAnsi="宋体" w:eastAsia="宋体"/>
          <w:b w:val="0"/>
          <w:kern w:val="2"/>
          <w:sz w:val="21"/>
          <w:szCs w:val="21"/>
          <w:highlight w:val="none"/>
        </w:rPr>
        <w:t>对于满足合同约定支付条件的，甲方</w:t>
      </w:r>
      <w:r>
        <w:rPr>
          <w:rFonts w:hint="eastAsia" w:ascii="宋体" w:hAnsi="宋体" w:eastAsia="宋体"/>
          <w:b w:val="0"/>
          <w:sz w:val="21"/>
          <w:szCs w:val="21"/>
          <w:highlight w:val="none"/>
        </w:rPr>
        <w:t>原则上应当自收到发票后10个工作日内</w:t>
      </w:r>
      <w:r>
        <w:rPr>
          <w:rFonts w:hint="eastAsia" w:ascii="宋体" w:hAnsi="宋体" w:eastAsia="宋体"/>
          <w:b w:val="0"/>
          <w:kern w:val="2"/>
          <w:sz w:val="21"/>
          <w:szCs w:val="21"/>
          <w:highlight w:val="none"/>
        </w:rPr>
        <w:t>将资金支付到合同约定的</w:t>
      </w:r>
      <w:r>
        <w:rPr>
          <w:rFonts w:hint="eastAsia" w:ascii="宋体" w:hAnsi="宋体"/>
          <w:b w:val="0"/>
          <w:kern w:val="2"/>
          <w:sz w:val="21"/>
          <w:szCs w:val="21"/>
          <w:highlight w:val="none"/>
        </w:rPr>
        <w:t>乙方</w:t>
      </w:r>
      <w:r>
        <w:rPr>
          <w:rFonts w:hint="eastAsia" w:ascii="宋体" w:hAnsi="宋体" w:eastAsia="宋体"/>
          <w:b w:val="0"/>
          <w:kern w:val="2"/>
          <w:sz w:val="21"/>
          <w:szCs w:val="21"/>
          <w:highlight w:val="none"/>
        </w:rPr>
        <w:t>账户，不得以机构变动、人员更替、政策调整等为由迟延付款，不得将采购文件和合同中未规定的义务作为向乙方付款的条件。具体合同价款支付时间在【</w:t>
      </w:r>
      <w:r>
        <w:rPr>
          <w:rFonts w:hint="eastAsia" w:ascii="宋体" w:hAnsi="宋体" w:eastAsia="宋体"/>
          <w:bCs/>
          <w:kern w:val="2"/>
          <w:sz w:val="21"/>
          <w:szCs w:val="21"/>
          <w:highlight w:val="none"/>
        </w:rPr>
        <w:t>政府采购合同专用条款</w:t>
      </w:r>
      <w:r>
        <w:rPr>
          <w:rFonts w:hint="eastAsia" w:ascii="宋体" w:hAnsi="宋体" w:eastAsia="宋体"/>
          <w:b w:val="0"/>
          <w:kern w:val="2"/>
          <w:sz w:val="21"/>
          <w:szCs w:val="21"/>
          <w:highlight w:val="none"/>
        </w:rPr>
        <w:t>】中</w:t>
      </w:r>
      <w:r>
        <w:rPr>
          <w:rFonts w:hint="eastAsia" w:ascii="宋体" w:hAnsi="宋体"/>
          <w:b w:val="0"/>
          <w:kern w:val="2"/>
          <w:sz w:val="21"/>
          <w:szCs w:val="21"/>
          <w:highlight w:val="none"/>
        </w:rPr>
        <w:t>约</w:t>
      </w:r>
      <w:r>
        <w:rPr>
          <w:rFonts w:hint="eastAsia" w:ascii="宋体" w:hAnsi="宋体" w:eastAsia="宋体"/>
          <w:b w:val="0"/>
          <w:kern w:val="2"/>
          <w:sz w:val="21"/>
          <w:szCs w:val="21"/>
          <w:highlight w:val="none"/>
        </w:rPr>
        <w:t>定。</w:t>
      </w:r>
    </w:p>
    <w:p>
      <w:pPr>
        <w:pStyle w:val="17"/>
        <w:spacing w:after="0" w:line="400" w:lineRule="exact"/>
        <w:ind w:firstLine="422"/>
        <w:rPr>
          <w:rFonts w:hint="eastAsia" w:ascii="宋体" w:hAnsi="宋体"/>
          <w:b/>
          <w:bCs/>
          <w:sz w:val="21"/>
          <w:szCs w:val="21"/>
          <w:highlight w:val="none"/>
        </w:rPr>
      </w:pPr>
      <w:r>
        <w:rPr>
          <w:rFonts w:hint="eastAsia" w:ascii="宋体" w:hAnsi="宋体"/>
          <w:b/>
          <w:bCs/>
          <w:sz w:val="21"/>
          <w:szCs w:val="21"/>
          <w:highlight w:val="none"/>
        </w:rPr>
        <w:t>13. 履约保证金</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 xml:space="preserve">13.1 </w:t>
      </w:r>
      <w:r>
        <w:rPr>
          <w:rFonts w:hint="eastAsia" w:ascii="宋体" w:hAnsi="宋体" w:cs="宋体"/>
          <w:sz w:val="21"/>
          <w:szCs w:val="21"/>
          <w:highlight w:val="none"/>
        </w:rPr>
        <w:t>乙方应当以支票、汇票、本票或者金融机构、担保机构出具的保函等非现金形式提交。</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13.2 如果乙方出现</w:t>
      </w:r>
      <w:r>
        <w:rPr>
          <w:rFonts w:hint="eastAsia" w:ascii="宋体" w:hAnsi="宋体" w:cs="宋体"/>
          <w:b/>
          <w:bCs/>
          <w:sz w:val="21"/>
          <w:szCs w:val="21"/>
          <w:highlight w:val="none"/>
        </w:rPr>
        <w:t>【政府采购合同专用条款】</w:t>
      </w:r>
      <w:r>
        <w:rPr>
          <w:rFonts w:hint="eastAsia" w:ascii="宋体" w:hAnsi="宋体" w:cs="宋体"/>
          <w:sz w:val="21"/>
          <w:szCs w:val="21"/>
          <w:highlight w:val="none"/>
        </w:rPr>
        <w:t>约定情形的</w:t>
      </w:r>
      <w:r>
        <w:rPr>
          <w:rFonts w:hint="eastAsia" w:ascii="宋体" w:hAnsi="宋体"/>
          <w:sz w:val="21"/>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rPr>
          <w:sz w:val="21"/>
          <w:szCs w:val="21"/>
          <w:highlight w:val="none"/>
        </w:rPr>
      </w:pPr>
      <w:r>
        <w:rPr>
          <w:rFonts w:hint="eastAsia" w:ascii="宋体" w:hAnsi="宋体"/>
          <w:sz w:val="21"/>
          <w:szCs w:val="21"/>
          <w:highlight w:val="none"/>
        </w:rPr>
        <w:t>13.3 甲方在项目通过验收后按照</w:t>
      </w:r>
      <w:r>
        <w:rPr>
          <w:rFonts w:hint="eastAsia" w:ascii="宋体" w:hAnsi="宋体"/>
          <w:b/>
          <w:sz w:val="21"/>
          <w:szCs w:val="21"/>
          <w:highlight w:val="none"/>
        </w:rPr>
        <w:t>【政府采购合同专用条款】</w:t>
      </w:r>
      <w:r>
        <w:rPr>
          <w:rFonts w:hint="eastAsia" w:ascii="宋体" w:hAnsi="宋体"/>
          <w:sz w:val="21"/>
          <w:szCs w:val="21"/>
          <w:highlight w:val="none"/>
        </w:rPr>
        <w:t>规定的时间内将履约保证金退还乙方；逾期退还的，乙方可要求甲方支付违约金，违约金按照</w:t>
      </w:r>
      <w:r>
        <w:rPr>
          <w:rFonts w:hint="eastAsia" w:ascii="宋体" w:hAnsi="宋体"/>
          <w:b/>
          <w:sz w:val="21"/>
          <w:szCs w:val="21"/>
          <w:highlight w:val="none"/>
        </w:rPr>
        <w:t>【政府采购合同专用条款】</w:t>
      </w:r>
      <w:r>
        <w:rPr>
          <w:rFonts w:hint="eastAsia" w:ascii="宋体" w:hAnsi="宋体"/>
          <w:sz w:val="21"/>
          <w:szCs w:val="21"/>
          <w:highlight w:val="none"/>
        </w:rPr>
        <w:t>规定支付。</w:t>
      </w:r>
    </w:p>
    <w:p>
      <w:pPr>
        <w:autoSpaceDE w:val="0"/>
        <w:autoSpaceDN w:val="0"/>
        <w:adjustRightInd w:val="0"/>
        <w:snapToGrid w:val="0"/>
        <w:spacing w:line="400" w:lineRule="exact"/>
        <w:ind w:firstLine="422"/>
        <w:rPr>
          <w:rFonts w:hint="eastAsia" w:ascii="宋体" w:hAnsi="宋体"/>
          <w:b/>
          <w:sz w:val="21"/>
          <w:szCs w:val="21"/>
          <w:highlight w:val="none"/>
        </w:rPr>
      </w:pPr>
      <w:r>
        <w:rPr>
          <w:rFonts w:hint="eastAsia" w:ascii="宋体" w:hAnsi="宋体"/>
          <w:b/>
          <w:bCs/>
          <w:sz w:val="21"/>
          <w:szCs w:val="21"/>
          <w:highlight w:val="none"/>
        </w:rPr>
        <w:t xml:space="preserve">14. </w:t>
      </w:r>
      <w:r>
        <w:rPr>
          <w:rFonts w:hint="eastAsia"/>
          <w:b/>
          <w:sz w:val="21"/>
          <w:szCs w:val="21"/>
          <w:highlight w:val="none"/>
        </w:rPr>
        <w:t>售后</w:t>
      </w:r>
      <w:r>
        <w:rPr>
          <w:rFonts w:hint="eastAsia" w:ascii="宋体" w:hAnsi="宋体"/>
          <w:b/>
          <w:sz w:val="21"/>
          <w:szCs w:val="21"/>
          <w:highlight w:val="none"/>
        </w:rPr>
        <w:t>服务</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14.1 除项目不涉及或采购活动中明确约定无须承担外，乙方还应提供下列服务：</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（1）货物的现场移动、安装、调试、启动监督及技术支持；</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（2）提供货物组装和维修所需的专用工具和辅助材料；</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（3）在</w:t>
      </w:r>
      <w:r>
        <w:rPr>
          <w:rFonts w:hint="eastAsia" w:ascii="宋体" w:hAnsi="宋体" w:cs="宋体"/>
          <w:b/>
          <w:bCs/>
          <w:sz w:val="21"/>
          <w:szCs w:val="21"/>
          <w:highlight w:val="none"/>
        </w:rPr>
        <w:t>【政府采购合同专用条款】</w:t>
      </w:r>
      <w:r>
        <w:rPr>
          <w:rFonts w:hint="eastAsia" w:ascii="宋体" w:hAnsi="宋体"/>
          <w:sz w:val="21"/>
          <w:szCs w:val="21"/>
          <w:highlight w:val="none"/>
        </w:rPr>
        <w:t>约定的期限内对所有的货物实施运行监督、维修，但前提条件是该服务并不能免除乙方在质量保证期内所承担的义务；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（4）在制造商所在地或指定现场就货物的安装、启动、运营、维护、废弃处置等对甲方操作人员进行培训</w:t>
      </w:r>
      <w:r>
        <w:rPr>
          <w:rFonts w:hint="eastAsia" w:ascii="宋体" w:hAnsi="宋体" w:cs="宋体"/>
          <w:sz w:val="21"/>
          <w:szCs w:val="21"/>
          <w:highlight w:val="none"/>
        </w:rPr>
        <w:t>；</w:t>
      </w:r>
    </w:p>
    <w:p>
      <w:pPr>
        <w:pStyle w:val="188"/>
        <w:ind w:firstLine="420"/>
        <w:rPr>
          <w:rFonts w:hint="eastAsia" w:ascii="宋体" w:hAnsi="宋体" w:eastAsia="宋体" w:cs="宋体"/>
          <w:sz w:val="21"/>
          <w:highlight w:val="none"/>
        </w:rPr>
      </w:pPr>
      <w:r>
        <w:rPr>
          <w:rFonts w:hint="eastAsia" w:ascii="宋体" w:hAnsi="宋体" w:eastAsia="宋体" w:cs="宋体"/>
          <w:sz w:val="21"/>
          <w:highlight w:val="none"/>
        </w:rPr>
        <w:t>（5）依照法律、行政法规的规定或者按照</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约定，货物在有效使用年限届满后应予回收的，乙方负有自行或者委托第三人对货物予以回收的义务；</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（6）</w:t>
      </w:r>
      <w:r>
        <w:rPr>
          <w:rFonts w:hint="eastAsia" w:ascii="宋体" w:hAnsi="宋体"/>
          <w:b/>
          <w:sz w:val="21"/>
          <w:szCs w:val="21"/>
          <w:highlight w:val="none"/>
        </w:rPr>
        <w:t>【政府采购合同专用条款】</w:t>
      </w:r>
      <w:r>
        <w:rPr>
          <w:rFonts w:hint="eastAsia" w:ascii="宋体" w:hAnsi="宋体"/>
          <w:sz w:val="21"/>
          <w:szCs w:val="21"/>
          <w:highlight w:val="none"/>
        </w:rPr>
        <w:t>规定由乙方提供的其他服务。</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14.2 乙方提供的售后服务的费用已包含在合同价款中，甲方不再另行支付。</w:t>
      </w:r>
    </w:p>
    <w:p>
      <w:pPr>
        <w:adjustRightInd w:val="0"/>
        <w:snapToGrid w:val="0"/>
        <w:spacing w:line="400" w:lineRule="exact"/>
        <w:ind w:firstLine="422"/>
        <w:rPr>
          <w:rFonts w:hint="eastAsia" w:ascii="宋体" w:hAnsi="宋体"/>
          <w:b/>
          <w:bCs/>
          <w:sz w:val="21"/>
          <w:szCs w:val="21"/>
          <w:highlight w:val="none"/>
        </w:rPr>
      </w:pPr>
      <w:r>
        <w:rPr>
          <w:rFonts w:hint="eastAsia" w:ascii="宋体" w:hAnsi="宋体"/>
          <w:b/>
          <w:bCs/>
          <w:sz w:val="21"/>
          <w:szCs w:val="21"/>
          <w:highlight w:val="none"/>
        </w:rPr>
        <w:t>15. 违约责任</w:t>
      </w:r>
    </w:p>
    <w:p>
      <w:pPr>
        <w:adjustRightInd w:val="0"/>
        <w:snapToGrid w:val="0"/>
        <w:spacing w:line="400" w:lineRule="exact"/>
        <w:ind w:firstLine="420" w:firstLineChars="200"/>
        <w:rPr>
          <w:rFonts w:hint="eastAsia" w:ascii="宋体" w:hAnsi="宋体"/>
          <w:bCs/>
          <w:sz w:val="21"/>
          <w:szCs w:val="21"/>
          <w:highlight w:val="none"/>
        </w:rPr>
      </w:pPr>
      <w:r>
        <w:rPr>
          <w:rFonts w:hint="eastAsia" w:ascii="宋体" w:hAnsi="宋体"/>
          <w:bCs/>
          <w:sz w:val="21"/>
          <w:szCs w:val="21"/>
          <w:highlight w:val="none"/>
        </w:rPr>
        <w:t>15.1质量瑕疵的违约责任</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乙方提供的产品不符合合同约定的质量标准或存在产品质量缺陷，甲方有权要求乙方根据</w:t>
      </w:r>
      <w:r>
        <w:rPr>
          <w:rFonts w:hint="eastAsia" w:ascii="宋体" w:hAnsi="宋体"/>
          <w:b/>
          <w:sz w:val="21"/>
          <w:szCs w:val="21"/>
          <w:highlight w:val="none"/>
        </w:rPr>
        <w:t>【政府采购合同专用条款】</w:t>
      </w:r>
      <w:r>
        <w:rPr>
          <w:rFonts w:hint="eastAsia" w:ascii="宋体" w:hAnsi="宋体"/>
          <w:bCs/>
          <w:sz w:val="21"/>
          <w:szCs w:val="21"/>
          <w:highlight w:val="none"/>
        </w:rPr>
        <w:t>要求</w:t>
      </w:r>
      <w:r>
        <w:rPr>
          <w:rFonts w:hint="eastAsia" w:ascii="宋体" w:hAnsi="宋体"/>
          <w:sz w:val="21"/>
          <w:szCs w:val="21"/>
          <w:highlight w:val="none"/>
        </w:rPr>
        <w:t>及时修理、重作、更换，并承担由此给甲方造成的损失。</w:t>
      </w:r>
    </w:p>
    <w:p>
      <w:pPr>
        <w:autoSpaceDE w:val="0"/>
        <w:autoSpaceDN w:val="0"/>
        <w:adjustRightInd w:val="0"/>
        <w:snapToGrid w:val="0"/>
        <w:spacing w:line="400" w:lineRule="exact"/>
        <w:ind w:firstLine="420" w:firstLineChars="200"/>
        <w:rPr>
          <w:rFonts w:hint="eastAsia" w:ascii="宋体" w:hAnsi="宋体"/>
          <w:bCs/>
          <w:sz w:val="21"/>
          <w:szCs w:val="21"/>
          <w:highlight w:val="none"/>
        </w:rPr>
      </w:pPr>
      <w:r>
        <w:rPr>
          <w:rFonts w:hint="eastAsia" w:ascii="宋体" w:hAnsi="宋体"/>
          <w:bCs/>
          <w:sz w:val="21"/>
          <w:szCs w:val="21"/>
          <w:highlight w:val="none"/>
        </w:rPr>
        <w:t>15.2 迟延交货的违约责任</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sz w:val="21"/>
          <w:szCs w:val="21"/>
          <w:highlight w:val="none"/>
        </w:rPr>
        <w:t>【政府采购合同专用条款】</w:t>
      </w:r>
      <w:r>
        <w:rPr>
          <w:rFonts w:hint="eastAsia" w:ascii="宋体" w:hAnsi="宋体"/>
          <w:sz w:val="21"/>
          <w:szCs w:val="21"/>
          <w:highlight w:val="none"/>
        </w:rPr>
        <w:t>规定执行。如果涉及公共利益，且赔偿金额无法弥补公共利益损失，甲方可要求继续履行或者采取其他补救措施。</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15.3 迟延支付的违约责任</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甲方存在迟延支付乙方合同款项的，应当承担</w:t>
      </w:r>
      <w:r>
        <w:rPr>
          <w:rFonts w:hint="eastAsia" w:ascii="宋体" w:hAnsi="宋体"/>
          <w:b/>
          <w:bCs/>
          <w:sz w:val="21"/>
          <w:szCs w:val="21"/>
          <w:highlight w:val="none"/>
        </w:rPr>
        <w:t>【政府采购合同专用条款】</w:t>
      </w:r>
      <w:r>
        <w:rPr>
          <w:rFonts w:hint="eastAsia" w:ascii="宋体" w:hAnsi="宋体"/>
          <w:sz w:val="21"/>
          <w:szCs w:val="21"/>
          <w:highlight w:val="none"/>
        </w:rPr>
        <w:t>规定的逾期付款利息。</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bCs/>
          <w:sz w:val="21"/>
          <w:szCs w:val="21"/>
          <w:highlight w:val="none"/>
        </w:rPr>
        <w:t>15.4其他违约责任根据项目实际需要按</w:t>
      </w:r>
      <w:r>
        <w:rPr>
          <w:rFonts w:hint="eastAsia" w:ascii="宋体" w:hAnsi="宋体"/>
          <w:b/>
          <w:bCs/>
          <w:sz w:val="21"/>
          <w:szCs w:val="21"/>
          <w:highlight w:val="none"/>
        </w:rPr>
        <w:t>【政府采购合同专用条款】</w:t>
      </w:r>
      <w:r>
        <w:rPr>
          <w:rFonts w:hint="eastAsia" w:ascii="宋体" w:hAnsi="宋体"/>
          <w:sz w:val="21"/>
          <w:szCs w:val="21"/>
          <w:highlight w:val="none"/>
        </w:rPr>
        <w:t>规定执行。</w:t>
      </w:r>
    </w:p>
    <w:p>
      <w:pPr>
        <w:numPr>
          <w:ilvl w:val="0"/>
          <w:numId w:val="10"/>
        </w:numPr>
        <w:autoSpaceDE w:val="0"/>
        <w:autoSpaceDN w:val="0"/>
        <w:adjustRightInd w:val="0"/>
        <w:snapToGrid w:val="0"/>
        <w:spacing w:line="400" w:lineRule="exact"/>
        <w:ind w:firstLine="422"/>
        <w:rPr>
          <w:rFonts w:hint="eastAsia" w:ascii="宋体" w:hAnsi="宋体"/>
          <w:b/>
          <w:sz w:val="21"/>
          <w:szCs w:val="21"/>
          <w:highlight w:val="none"/>
        </w:rPr>
      </w:pPr>
      <w:r>
        <w:rPr>
          <w:rFonts w:hint="eastAsia" w:ascii="宋体" w:hAnsi="宋体"/>
          <w:b/>
          <w:sz w:val="21"/>
          <w:szCs w:val="21"/>
          <w:highlight w:val="none"/>
        </w:rPr>
        <w:t>合同变更、中止与终止</w:t>
      </w:r>
    </w:p>
    <w:p>
      <w:pPr>
        <w:adjustRightInd w:val="0"/>
        <w:snapToGrid w:val="0"/>
        <w:spacing w:line="400" w:lineRule="exact"/>
        <w:ind w:firstLine="420"/>
        <w:rPr>
          <w:rFonts w:hint="eastAsia" w:ascii="宋体" w:hAnsi="宋体"/>
          <w:sz w:val="21"/>
          <w:szCs w:val="21"/>
          <w:highlight w:val="none"/>
        </w:rPr>
      </w:pPr>
      <w:r>
        <w:rPr>
          <w:rFonts w:hint="eastAsia" w:ascii="宋体" w:hAnsi="宋体"/>
          <w:sz w:val="21"/>
          <w:szCs w:val="21"/>
          <w:highlight w:val="none"/>
        </w:rPr>
        <w:t xml:space="preserve">    16.1合同的变更</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政府采购合同履行中，在不改变合同其他条款的前提下，甲方可以在合同价款10%的范围内追加与合同标的相同的货物，并就此与乙方协商一致后签订补充协议。</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16.2合同的中止</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（1）合同履行过程中因供应商就采购文件、采购过程或结果提起投诉的，甲方认为有必要的，可以中止合同的履行。</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188"/>
        <w:ind w:firstLine="420"/>
        <w:jc w:val="both"/>
        <w:rPr>
          <w:rFonts w:hint="eastAsia"/>
          <w:sz w:val="21"/>
          <w:highlight w:val="none"/>
        </w:rPr>
      </w:pPr>
      <w:r>
        <w:rPr>
          <w:rFonts w:hint="eastAsia" w:ascii="宋体" w:hAnsi="宋体" w:eastAsia="宋体" w:cs="宋体"/>
          <w:sz w:val="21"/>
          <w:highlight w:val="none"/>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rPr>
          <w:sz w:val="21"/>
          <w:szCs w:val="21"/>
          <w:highlight w:val="none"/>
        </w:rPr>
      </w:pPr>
      <w:r>
        <w:rPr>
          <w:rFonts w:hint="eastAsia" w:ascii="宋体" w:hAnsi="宋体"/>
          <w:sz w:val="21"/>
          <w:szCs w:val="21"/>
          <w:highlight w:val="none"/>
        </w:rPr>
        <w:t>（4）甲方不得以行政区划调整、政府换届、机构或者职能调整以及相关责任人更替为由中止合同。</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16.3合同的终止</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（1）合同因有效期限届满而终止；</w:t>
      </w:r>
    </w:p>
    <w:p>
      <w:pPr>
        <w:snapToGrid w:val="0"/>
        <w:spacing w:line="400" w:lineRule="exact"/>
        <w:ind w:firstLine="420" w:firstLineChars="200"/>
        <w:rPr>
          <w:rFonts w:hint="eastAsia" w:ascii="宋体" w:hAnsi="宋体" w:cs="宋体"/>
          <w:sz w:val="21"/>
          <w:szCs w:val="21"/>
          <w:highlight w:val="none"/>
        </w:rPr>
      </w:pPr>
      <w:r>
        <w:rPr>
          <w:rFonts w:hint="eastAsia" w:ascii="宋体" w:hAnsi="宋体"/>
          <w:sz w:val="21"/>
          <w:szCs w:val="21"/>
          <w:highlight w:val="none"/>
        </w:rPr>
        <w:t>（2）乙方未按合同约定履行，构成根本性违约的，甲方有权终止合同，</w:t>
      </w:r>
      <w:r>
        <w:rPr>
          <w:rFonts w:hint="eastAsia" w:ascii="宋体" w:hAnsi="宋体" w:cs="宋体"/>
          <w:sz w:val="21"/>
          <w:szCs w:val="21"/>
          <w:highlight w:val="none"/>
        </w:rPr>
        <w:t>并追究乙方的违约责任</w:t>
      </w:r>
      <w:r>
        <w:rPr>
          <w:rFonts w:hint="eastAsia" w:ascii="宋体" w:hAnsi="宋体"/>
          <w:sz w:val="21"/>
          <w:szCs w:val="21"/>
          <w:highlight w:val="none"/>
        </w:rPr>
        <w:t>。</w:t>
      </w:r>
    </w:p>
    <w:p>
      <w:pPr>
        <w:pStyle w:val="188"/>
        <w:ind w:firstLine="420"/>
        <w:rPr>
          <w:rFonts w:hint="eastAsia" w:ascii="宋体" w:hAnsi="宋体"/>
          <w:sz w:val="21"/>
          <w:highlight w:val="none"/>
        </w:rPr>
      </w:pPr>
      <w:r>
        <w:rPr>
          <w:rFonts w:hint="eastAsia" w:ascii="宋体" w:hAnsi="宋体"/>
          <w:sz w:val="21"/>
          <w:highlight w:val="none"/>
        </w:rPr>
        <w:t xml:space="preserve">16.4 </w:t>
      </w:r>
      <w:r>
        <w:rPr>
          <w:rFonts w:hint="eastAsia" w:ascii="宋体" w:hAnsi="宋体" w:eastAsia="宋体" w:cs="Times New Roman"/>
          <w:kern w:val="2"/>
          <w:sz w:val="21"/>
          <w:highlight w:val="none"/>
        </w:rPr>
        <w:t>涉及国家利益、社会公共利益的情形</w:t>
      </w:r>
    </w:p>
    <w:p>
      <w:pPr>
        <w:pStyle w:val="188"/>
        <w:ind w:firstLine="420"/>
        <w:jc w:val="both"/>
        <w:rPr>
          <w:rFonts w:hint="eastAsia"/>
          <w:sz w:val="21"/>
          <w:highlight w:val="none"/>
        </w:rPr>
      </w:pPr>
      <w:r>
        <w:rPr>
          <w:rFonts w:hint="eastAsia" w:ascii="宋体" w:hAnsi="宋体" w:eastAsia="宋体" w:cs="宋体"/>
          <w:sz w:val="21"/>
          <w:highlight w:val="none"/>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ind w:firstLine="422"/>
        <w:rPr>
          <w:rFonts w:hint="eastAsia" w:ascii="宋体" w:hAnsi="宋体"/>
          <w:b/>
          <w:bCs/>
          <w:sz w:val="21"/>
          <w:szCs w:val="21"/>
          <w:highlight w:val="none"/>
        </w:rPr>
      </w:pPr>
      <w:r>
        <w:rPr>
          <w:rFonts w:hint="eastAsia" w:ascii="宋体" w:hAnsi="宋体"/>
          <w:b/>
          <w:bCs/>
          <w:sz w:val="21"/>
          <w:szCs w:val="21"/>
          <w:highlight w:val="none"/>
        </w:rPr>
        <w:t>17. 合同分包</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17.1 乙方不得将合同转包给其他供应商。涉及合同分包的，乙方应根据采购文件和投标（响应）文件规定进行合同分包。</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0" w:lineRule="exact"/>
        <w:ind w:firstLine="422"/>
        <w:rPr>
          <w:rFonts w:hint="eastAsia" w:ascii="宋体" w:hAnsi="宋体"/>
          <w:b/>
          <w:bCs/>
          <w:sz w:val="21"/>
          <w:szCs w:val="21"/>
          <w:highlight w:val="none"/>
        </w:rPr>
      </w:pPr>
      <w:r>
        <w:rPr>
          <w:rFonts w:hint="eastAsia" w:ascii="宋体" w:hAnsi="宋体"/>
          <w:b/>
          <w:bCs/>
          <w:sz w:val="21"/>
          <w:szCs w:val="21"/>
          <w:highlight w:val="none"/>
        </w:rPr>
        <w:t>18. 不可抗力</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18.1 不可抗力是指合同双方不能预见、不能避免且不能克服的客观情况。</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18.2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0" w:lineRule="exact"/>
        <w:ind w:firstLine="422"/>
        <w:rPr>
          <w:rFonts w:hint="eastAsia" w:ascii="宋体" w:hAnsi="宋体"/>
          <w:b/>
          <w:bCs/>
          <w:sz w:val="21"/>
          <w:szCs w:val="21"/>
          <w:highlight w:val="none"/>
        </w:rPr>
      </w:pPr>
      <w:r>
        <w:rPr>
          <w:rFonts w:hint="eastAsia" w:ascii="宋体" w:hAnsi="宋体"/>
          <w:b/>
          <w:bCs/>
          <w:sz w:val="21"/>
          <w:szCs w:val="21"/>
          <w:highlight w:val="none"/>
        </w:rPr>
        <w:t>19. 解决争议的方法</w:t>
      </w:r>
    </w:p>
    <w:p>
      <w:pPr>
        <w:pStyle w:val="188"/>
        <w:ind w:firstLine="420"/>
        <w:jc w:val="both"/>
        <w:rPr>
          <w:rFonts w:hint="eastAsia" w:ascii="宋体" w:hAnsi="宋体" w:eastAsia="宋体" w:cs="宋体"/>
          <w:sz w:val="21"/>
          <w:highlight w:val="none"/>
        </w:rPr>
      </w:pPr>
      <w:r>
        <w:rPr>
          <w:rFonts w:hint="eastAsia" w:ascii="宋体" w:hAnsi="宋体" w:eastAsia="宋体" w:cs="宋体"/>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pPr>
        <w:pStyle w:val="188"/>
        <w:ind w:firstLine="420"/>
        <w:jc w:val="both"/>
        <w:rPr>
          <w:rFonts w:hint="eastAsia" w:ascii="宋体" w:hAnsi="宋体" w:eastAsia="宋体" w:cs="宋体"/>
          <w:sz w:val="21"/>
          <w:highlight w:val="none"/>
        </w:rPr>
      </w:pPr>
      <w:r>
        <w:rPr>
          <w:rFonts w:hint="eastAsia" w:ascii="宋体" w:hAnsi="宋体" w:eastAsia="宋体" w:cs="宋体"/>
          <w:sz w:val="21"/>
          <w:highlight w:val="none"/>
        </w:rPr>
        <w:t>19.2 选择仲裁的，应在</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pPr>
        <w:pStyle w:val="188"/>
        <w:ind w:firstLine="420"/>
        <w:jc w:val="both"/>
        <w:rPr>
          <w:rFonts w:hint="eastAsia" w:ascii="宋体" w:hAnsi="宋体" w:eastAsia="宋体" w:cs="宋体"/>
          <w:sz w:val="21"/>
          <w:highlight w:val="none"/>
        </w:rPr>
      </w:pPr>
      <w:r>
        <w:rPr>
          <w:rFonts w:hint="eastAsia" w:ascii="宋体" w:hAnsi="宋体" w:eastAsia="宋体" w:cs="宋体"/>
          <w:sz w:val="21"/>
          <w:highlight w:val="none"/>
        </w:rPr>
        <w:t>19.3 如甲乙双方有争议的事项不影响合同其他部分的履行，在争议解决期间，合同其他部分应当继续履行。</w:t>
      </w:r>
    </w:p>
    <w:p>
      <w:pPr>
        <w:autoSpaceDE w:val="0"/>
        <w:autoSpaceDN w:val="0"/>
        <w:adjustRightInd w:val="0"/>
        <w:snapToGrid w:val="0"/>
        <w:spacing w:line="400" w:lineRule="exact"/>
        <w:ind w:firstLine="422"/>
        <w:rPr>
          <w:rFonts w:hint="eastAsia" w:ascii="宋体" w:hAnsi="宋体"/>
          <w:sz w:val="21"/>
          <w:szCs w:val="21"/>
          <w:highlight w:val="none"/>
        </w:rPr>
      </w:pPr>
      <w:r>
        <w:rPr>
          <w:rFonts w:hint="eastAsia" w:ascii="宋体" w:hAnsi="宋体"/>
          <w:b/>
          <w:sz w:val="21"/>
          <w:szCs w:val="21"/>
          <w:highlight w:val="none"/>
        </w:rPr>
        <w:t>20. 政府采购政策</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 xml:space="preserve">20.1 </w:t>
      </w:r>
      <w:r>
        <w:rPr>
          <w:rFonts w:hint="eastAsia" w:ascii="宋体" w:hAnsi="宋体" w:cs="宋体"/>
          <w:sz w:val="21"/>
          <w:szCs w:val="21"/>
          <w:highlight w:val="none"/>
          <w:lang w:val="en-GB"/>
        </w:rPr>
        <w:t>本合同应当按照规定执行政府采购政策。</w:t>
      </w:r>
    </w:p>
    <w:p>
      <w:pPr>
        <w:autoSpaceDE w:val="0"/>
        <w:autoSpaceDN w:val="0"/>
        <w:adjustRightInd w:val="0"/>
        <w:snapToGrid w:val="0"/>
        <w:spacing w:line="400" w:lineRule="exact"/>
        <w:ind w:firstLine="420" w:firstLineChars="200"/>
        <w:rPr>
          <w:rFonts w:hint="eastAsia"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0.2 本合同依法执行政府采购政策的方式和内容，属于合同履约验收的范围。</w:t>
      </w:r>
      <w:r>
        <w:rPr>
          <w:rFonts w:hint="eastAsia" w:ascii="宋体" w:hAnsi="宋体" w:cs="宋体"/>
          <w:sz w:val="21"/>
          <w:szCs w:val="21"/>
          <w:highlight w:val="none"/>
        </w:rPr>
        <w:t>甲乙双方</w:t>
      </w:r>
      <w:r>
        <w:rPr>
          <w:rFonts w:hint="eastAsia" w:ascii="宋体" w:hAnsi="宋体" w:cs="宋体"/>
          <w:sz w:val="21"/>
          <w:szCs w:val="21"/>
          <w:highlight w:val="none"/>
          <w:lang w:val="en-GB"/>
        </w:rPr>
        <w:t>未按规定要求执行政府采购政策造成损失的</w:t>
      </w:r>
      <w:r>
        <w:rPr>
          <w:rFonts w:hint="eastAsia" w:ascii="宋体" w:hAnsi="宋体"/>
          <w:sz w:val="21"/>
          <w:szCs w:val="21"/>
          <w:highlight w:val="none"/>
        </w:rPr>
        <w:t>，有过错的一方应当承担赔偿责任，双方都有过错的，各自承担相应的责任。</w:t>
      </w:r>
    </w:p>
    <w:p>
      <w:pPr>
        <w:pStyle w:val="17"/>
        <w:spacing w:after="0" w:line="400" w:lineRule="exact"/>
        <w:ind w:firstLine="420" w:firstLineChars="200"/>
        <w:rPr>
          <w:sz w:val="21"/>
          <w:szCs w:val="21"/>
          <w:highlight w:val="none"/>
        </w:rPr>
      </w:pPr>
      <w:r>
        <w:rPr>
          <w:rFonts w:ascii="宋体" w:hAnsi="宋体"/>
          <w:sz w:val="21"/>
          <w:szCs w:val="21"/>
          <w:highlight w:val="none"/>
        </w:rPr>
        <w:t>2</w:t>
      </w:r>
      <w:r>
        <w:rPr>
          <w:rFonts w:hint="eastAsia" w:ascii="宋体" w:hAnsi="宋体"/>
          <w:sz w:val="21"/>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ind w:firstLine="422"/>
        <w:rPr>
          <w:rFonts w:hint="eastAsia" w:ascii="宋体" w:hAnsi="宋体"/>
          <w:b/>
          <w:sz w:val="21"/>
          <w:szCs w:val="21"/>
          <w:highlight w:val="none"/>
        </w:rPr>
      </w:pPr>
      <w:r>
        <w:rPr>
          <w:rFonts w:hint="eastAsia" w:ascii="宋体" w:hAnsi="宋体"/>
          <w:b/>
          <w:sz w:val="21"/>
          <w:szCs w:val="21"/>
          <w:highlight w:val="none"/>
        </w:rPr>
        <w:t>21. 法律适用</w:t>
      </w:r>
    </w:p>
    <w:p>
      <w:pPr>
        <w:pStyle w:val="188"/>
        <w:ind w:firstLine="420"/>
        <w:jc w:val="both"/>
        <w:rPr>
          <w:rFonts w:hint="eastAsia" w:ascii="宋体" w:hAnsi="宋体" w:eastAsia="宋体" w:cs="宋体"/>
          <w:sz w:val="21"/>
          <w:highlight w:val="none"/>
        </w:rPr>
      </w:pPr>
      <w:r>
        <w:rPr>
          <w:rFonts w:hint="eastAsia" w:ascii="宋体" w:hAnsi="宋体" w:eastAsia="宋体" w:cs="宋体"/>
          <w:sz w:val="21"/>
          <w:highlight w:val="none"/>
        </w:rPr>
        <w:t>21.1 本合同的订立、生效、解释、履行及与本合同有关的争议解决，均适用法律、行政法规。</w:t>
      </w:r>
    </w:p>
    <w:p>
      <w:pPr>
        <w:pStyle w:val="188"/>
        <w:ind w:firstLine="420"/>
        <w:jc w:val="both"/>
        <w:rPr>
          <w:rFonts w:hint="eastAsia" w:ascii="宋体" w:hAnsi="宋体" w:eastAsia="宋体" w:cs="宋体"/>
          <w:sz w:val="21"/>
          <w:highlight w:val="none"/>
        </w:rPr>
      </w:pPr>
      <w:r>
        <w:rPr>
          <w:rFonts w:hint="eastAsia" w:ascii="宋体" w:hAnsi="宋体" w:eastAsia="宋体" w:cs="宋体"/>
          <w:sz w:val="21"/>
          <w:highlight w:val="none"/>
        </w:rPr>
        <w:t>21.2 本合同条款与法律、行政法规的强制性规定不一致的，双方当事人应按照法律、行政法规的强制性规定修改本合同的相关条款。</w:t>
      </w:r>
    </w:p>
    <w:p>
      <w:pPr>
        <w:numPr>
          <w:ilvl w:val="0"/>
          <w:numId w:val="0"/>
        </w:numPr>
        <w:autoSpaceDE w:val="0"/>
        <w:autoSpaceDN w:val="0"/>
        <w:adjustRightInd w:val="0"/>
        <w:snapToGrid w:val="0"/>
        <w:spacing w:line="400" w:lineRule="exact"/>
        <w:rPr>
          <w:rFonts w:hint="eastAsia" w:ascii="宋体" w:hAnsi="宋体"/>
          <w:b/>
          <w:sz w:val="21"/>
          <w:szCs w:val="21"/>
          <w:highlight w:val="none"/>
        </w:rPr>
      </w:pPr>
      <w:r>
        <w:rPr>
          <w:rFonts w:hint="eastAsia" w:ascii="宋体" w:hAnsi="宋体"/>
          <w:b/>
          <w:sz w:val="21"/>
          <w:szCs w:val="21"/>
          <w:highlight w:val="none"/>
        </w:rPr>
        <w:t>22. 通知</w:t>
      </w:r>
    </w:p>
    <w:p>
      <w:pPr>
        <w:pStyle w:val="188"/>
        <w:ind w:firstLine="420"/>
        <w:jc w:val="both"/>
        <w:rPr>
          <w:rFonts w:hint="eastAsia" w:ascii="宋体" w:hAnsi="宋体" w:eastAsia="宋体" w:cs="宋体"/>
          <w:sz w:val="21"/>
          <w:highlight w:val="none"/>
        </w:rPr>
      </w:pPr>
      <w:r>
        <w:rPr>
          <w:rFonts w:hint="eastAsia" w:ascii="宋体" w:hAnsi="宋体" w:eastAsia="宋体" w:cs="宋体"/>
          <w:sz w:val="21"/>
          <w:highlight w:val="none"/>
        </w:rPr>
        <w:t>22.1 本合同任何一方向对方发出的通知、信件、数据电文等，应当发送至本合同第一部分《政府采购合同协议书》所约定的通讯地址、联系人、联系电话或电子邮箱。</w:t>
      </w:r>
    </w:p>
    <w:p>
      <w:pPr>
        <w:pStyle w:val="188"/>
        <w:ind w:firstLine="0" w:firstLineChars="0"/>
        <w:jc w:val="both"/>
        <w:rPr>
          <w:rFonts w:hint="eastAsia"/>
          <w:sz w:val="21"/>
          <w:highlight w:val="none"/>
        </w:rPr>
      </w:pPr>
      <w:r>
        <w:rPr>
          <w:rFonts w:hint="eastAsia" w:ascii="宋体" w:hAnsi="宋体" w:eastAsia="宋体" w:cs="宋体"/>
          <w:sz w:val="21"/>
          <w:highlight w:val="none"/>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22.3本合同一方给另一方的通知均应采用书面形式，传真或快递送到本合同中规定的对方的地址和办理签收手续。</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22.4通知以送达之日或通知书中规定的生效之日起生效，两者中以较迟之日为准。</w:t>
      </w:r>
    </w:p>
    <w:p>
      <w:pPr>
        <w:numPr>
          <w:ilvl w:val="0"/>
          <w:numId w:val="11"/>
        </w:numPr>
        <w:adjustRightInd w:val="0"/>
        <w:snapToGrid w:val="0"/>
        <w:spacing w:line="400" w:lineRule="exact"/>
        <w:ind w:firstLine="422"/>
        <w:rPr>
          <w:rFonts w:hint="eastAsia" w:ascii="宋体" w:hAnsi="宋体"/>
          <w:b/>
          <w:bCs/>
          <w:sz w:val="21"/>
          <w:szCs w:val="21"/>
          <w:highlight w:val="none"/>
        </w:rPr>
      </w:pPr>
      <w:r>
        <w:rPr>
          <w:rFonts w:hint="eastAsia" w:ascii="宋体" w:hAnsi="宋体"/>
          <w:b/>
          <w:bCs/>
          <w:sz w:val="21"/>
          <w:szCs w:val="21"/>
          <w:highlight w:val="none"/>
        </w:rPr>
        <w:t>合同未尽事项</w:t>
      </w:r>
    </w:p>
    <w:p>
      <w:pPr>
        <w:adjustRightInd w:val="0"/>
        <w:snapToGrid w:val="0"/>
        <w:spacing w:line="400" w:lineRule="exact"/>
        <w:ind w:firstLine="420" w:firstLineChars="200"/>
        <w:rPr>
          <w:rFonts w:hint="eastAsia" w:ascii="宋体" w:hAnsi="宋体"/>
          <w:bCs/>
          <w:sz w:val="21"/>
          <w:szCs w:val="21"/>
          <w:highlight w:val="none"/>
        </w:rPr>
      </w:pPr>
      <w:r>
        <w:rPr>
          <w:rFonts w:hint="eastAsia" w:ascii="宋体" w:hAnsi="宋体"/>
          <w:bCs/>
          <w:sz w:val="21"/>
          <w:szCs w:val="21"/>
          <w:highlight w:val="none"/>
        </w:rPr>
        <w:t>23.1合同未尽事项见</w:t>
      </w:r>
      <w:r>
        <w:rPr>
          <w:rFonts w:hint="eastAsia" w:ascii="宋体" w:hAnsi="宋体"/>
          <w:b/>
          <w:sz w:val="21"/>
          <w:szCs w:val="21"/>
          <w:highlight w:val="none"/>
        </w:rPr>
        <w:t>【政府采购合同专用条款】</w:t>
      </w:r>
      <w:r>
        <w:rPr>
          <w:rFonts w:hint="eastAsia" w:ascii="宋体" w:hAnsi="宋体"/>
          <w:bCs/>
          <w:sz w:val="21"/>
          <w:szCs w:val="21"/>
          <w:highlight w:val="none"/>
        </w:rPr>
        <w:t>。</w:t>
      </w:r>
    </w:p>
    <w:p>
      <w:pPr>
        <w:adjustRightInd w:val="0"/>
        <w:snapToGrid w:val="0"/>
        <w:spacing w:line="400" w:lineRule="exact"/>
        <w:ind w:firstLine="420"/>
        <w:rPr>
          <w:rFonts w:hint="eastAsia" w:ascii="黑体" w:hAnsi="华文中宋" w:eastAsia="黑体"/>
          <w:sz w:val="21"/>
          <w:szCs w:val="21"/>
          <w:highlight w:val="none"/>
        </w:rPr>
      </w:pPr>
      <w:r>
        <w:rPr>
          <w:rFonts w:hint="eastAsia" w:ascii="宋体" w:hAnsi="宋体"/>
          <w:bCs/>
          <w:sz w:val="21"/>
          <w:szCs w:val="21"/>
          <w:highlight w:val="none"/>
        </w:rPr>
        <w:t>23.2 合同附件与合同正文具有同等的法律效力。</w:t>
      </w:r>
      <w:bookmarkStart w:id="78" w:name="_Toc20313"/>
    </w:p>
    <w:p>
      <w:pPr>
        <w:adjustRightInd w:val="0"/>
        <w:snapToGrid w:val="0"/>
        <w:ind w:firstLine="420"/>
        <w:jc w:val="center"/>
        <w:rPr>
          <w:rFonts w:hint="eastAsia" w:ascii="黑体" w:hAnsi="华文中宋"/>
          <w:b w:val="0"/>
          <w:sz w:val="21"/>
          <w:szCs w:val="21"/>
          <w:highlight w:val="none"/>
        </w:rPr>
      </w:pPr>
      <w:r>
        <w:rPr>
          <w:rFonts w:hint="eastAsia" w:ascii="黑体" w:hAnsi="华文中宋" w:eastAsia="黑体"/>
          <w:sz w:val="21"/>
          <w:szCs w:val="21"/>
          <w:highlight w:val="none"/>
        </w:rPr>
        <w:br w:type="page"/>
      </w:r>
      <w:r>
        <w:rPr>
          <w:rFonts w:hint="eastAsia" w:ascii="黑体" w:hAnsi="华文中宋"/>
          <w:b w:val="0"/>
          <w:sz w:val="21"/>
          <w:szCs w:val="21"/>
          <w:highlight w:val="none"/>
        </w:rPr>
        <w:t>第三节 政府采购合同专用条款</w:t>
      </w:r>
      <w:bookmarkEnd w:id="78"/>
    </w:p>
    <w:tbl>
      <w:tblPr>
        <w:tblStyle w:val="4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22"/>
        <w:gridCol w:w="2444"/>
        <w:gridCol w:w="41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922" w:type="dxa"/>
            <w:noWrap w:val="0"/>
            <w:vAlign w:val="center"/>
          </w:tcPr>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第1.2（6）项</w:t>
            </w:r>
          </w:p>
        </w:tc>
        <w:tc>
          <w:tcPr>
            <w:tcW w:w="2444" w:type="dxa"/>
            <w:noWrap w:val="0"/>
            <w:vAlign w:val="center"/>
          </w:tcPr>
          <w:p>
            <w:pPr>
              <w:adjustRightInd w:val="0"/>
              <w:snapToGrid w:val="0"/>
              <w:rPr>
                <w:rFonts w:hint="eastAsia" w:ascii="宋体" w:hAnsi="宋体"/>
                <w:sz w:val="21"/>
                <w:szCs w:val="21"/>
                <w:highlight w:val="none"/>
              </w:rPr>
            </w:pPr>
            <w:r>
              <w:rPr>
                <w:rFonts w:hint="eastAsia" w:ascii="宋体" w:hAnsi="宋体"/>
                <w:sz w:val="21"/>
                <w:szCs w:val="21"/>
                <w:highlight w:val="none"/>
              </w:rPr>
              <w:t>联合体具体要求</w:t>
            </w:r>
          </w:p>
        </w:tc>
        <w:tc>
          <w:tcPr>
            <w:tcW w:w="4153" w:type="dxa"/>
            <w:noWrap w:val="0"/>
            <w:vAlign w:val="center"/>
          </w:tcPr>
          <w:p>
            <w:pPr>
              <w:adjustRightInd w:val="0"/>
              <w:snapToGrid w:val="0"/>
              <w:ind w:firstLine="420"/>
              <w:rPr>
                <w:rFonts w:hint="eastAsia" w:ascii="宋体" w:hAnsi="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922" w:type="dxa"/>
            <w:noWrap w:val="0"/>
            <w:vAlign w:val="center"/>
          </w:tcPr>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pPr>
              <w:adjustRightInd w:val="0"/>
              <w:snapToGrid w:val="0"/>
              <w:ind w:firstLine="420"/>
              <w:jc w:val="center"/>
              <w:rPr>
                <w:rFonts w:hint="eastAsia" w:ascii="宋体" w:hAnsi="宋体"/>
                <w:kern w:val="2"/>
                <w:sz w:val="21"/>
                <w:szCs w:val="21"/>
                <w:highlight w:val="none"/>
              </w:rPr>
            </w:pPr>
            <w:r>
              <w:rPr>
                <w:rFonts w:hint="eastAsia" w:ascii="宋体" w:hAnsi="宋体"/>
                <w:sz w:val="21"/>
                <w:szCs w:val="21"/>
                <w:highlight w:val="none"/>
              </w:rPr>
              <w:t>第1.2（7）项</w:t>
            </w:r>
          </w:p>
        </w:tc>
        <w:tc>
          <w:tcPr>
            <w:tcW w:w="2444" w:type="dxa"/>
            <w:noWrap w:val="0"/>
            <w:vAlign w:val="center"/>
          </w:tcPr>
          <w:p>
            <w:pPr>
              <w:adjustRightInd w:val="0"/>
              <w:snapToGrid w:val="0"/>
              <w:rPr>
                <w:rFonts w:hint="eastAsia" w:ascii="宋体" w:hAnsi="宋体"/>
                <w:kern w:val="2"/>
                <w:sz w:val="21"/>
                <w:szCs w:val="21"/>
                <w:highlight w:val="none"/>
              </w:rPr>
            </w:pPr>
            <w:r>
              <w:rPr>
                <w:rFonts w:hint="eastAsia" w:ascii="宋体" w:hAnsi="宋体"/>
                <w:sz w:val="21"/>
                <w:szCs w:val="21"/>
                <w:highlight w:val="none"/>
              </w:rPr>
              <w:t>其他术语解释</w:t>
            </w:r>
          </w:p>
        </w:tc>
        <w:tc>
          <w:tcPr>
            <w:tcW w:w="4153" w:type="dxa"/>
            <w:noWrap w:val="0"/>
            <w:vAlign w:val="center"/>
          </w:tcPr>
          <w:p>
            <w:pPr>
              <w:adjustRightInd w:val="0"/>
              <w:snapToGrid w:val="0"/>
              <w:ind w:firstLine="420"/>
              <w:rPr>
                <w:rFonts w:hint="eastAsia" w:ascii="宋体" w:hAnsi="宋体"/>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922" w:type="dxa"/>
            <w:noWrap w:val="0"/>
            <w:vAlign w:val="center"/>
          </w:tcPr>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第4.4款</w:t>
            </w:r>
          </w:p>
        </w:tc>
        <w:tc>
          <w:tcPr>
            <w:tcW w:w="2444" w:type="dxa"/>
            <w:noWrap w:val="0"/>
            <w:vAlign w:val="center"/>
          </w:tcPr>
          <w:p>
            <w:pPr>
              <w:adjustRightInd w:val="0"/>
              <w:snapToGrid w:val="0"/>
              <w:rPr>
                <w:rFonts w:hint="eastAsia" w:ascii="宋体" w:hAnsi="宋体"/>
                <w:sz w:val="21"/>
                <w:szCs w:val="21"/>
                <w:highlight w:val="none"/>
              </w:rPr>
            </w:pPr>
            <w:r>
              <w:rPr>
                <w:rFonts w:hint="eastAsia" w:ascii="宋体" w:hAnsi="宋体"/>
                <w:sz w:val="21"/>
                <w:szCs w:val="21"/>
                <w:highlight w:val="none"/>
              </w:rPr>
              <w:t>履约验收中甲方提出异议或作出说明的期限</w:t>
            </w:r>
          </w:p>
        </w:tc>
        <w:tc>
          <w:tcPr>
            <w:tcW w:w="4153" w:type="dxa"/>
            <w:noWrap w:val="0"/>
            <w:vAlign w:val="center"/>
          </w:tcPr>
          <w:p>
            <w:pPr>
              <w:adjustRightInd w:val="0"/>
              <w:snapToGrid w:val="0"/>
              <w:ind w:firstLine="420"/>
              <w:rPr>
                <w:rFonts w:hint="eastAsia" w:ascii="宋体" w:hAnsi="宋体"/>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922" w:type="dxa"/>
            <w:noWrap w:val="0"/>
            <w:vAlign w:val="center"/>
          </w:tcPr>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第4.6款</w:t>
            </w:r>
          </w:p>
        </w:tc>
        <w:tc>
          <w:tcPr>
            <w:tcW w:w="2444" w:type="dxa"/>
            <w:noWrap w:val="0"/>
            <w:vAlign w:val="center"/>
          </w:tcPr>
          <w:p>
            <w:pPr>
              <w:adjustRightInd w:val="0"/>
              <w:snapToGrid w:val="0"/>
              <w:rPr>
                <w:rFonts w:hint="eastAsia" w:ascii="宋体" w:hAnsi="宋体"/>
                <w:sz w:val="21"/>
                <w:szCs w:val="21"/>
                <w:highlight w:val="none"/>
              </w:rPr>
            </w:pPr>
            <w:r>
              <w:rPr>
                <w:rFonts w:hint="eastAsia" w:ascii="宋体" w:hAnsi="宋体"/>
                <w:sz w:val="21"/>
                <w:szCs w:val="21"/>
                <w:highlight w:val="none"/>
              </w:rPr>
              <w:t>约定甲方承担的其他义务和责任</w:t>
            </w:r>
          </w:p>
        </w:tc>
        <w:tc>
          <w:tcPr>
            <w:tcW w:w="4153" w:type="dxa"/>
            <w:noWrap w:val="0"/>
            <w:vAlign w:val="center"/>
          </w:tcPr>
          <w:p>
            <w:pPr>
              <w:adjustRightInd w:val="0"/>
              <w:snapToGrid w:val="0"/>
              <w:ind w:firstLine="420"/>
              <w:rPr>
                <w:rFonts w:hint="eastAsia" w:ascii="宋体" w:hAnsi="宋体"/>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922" w:type="dxa"/>
            <w:noWrap w:val="0"/>
            <w:vAlign w:val="center"/>
          </w:tcPr>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pPr>
              <w:snapToGrid w:val="0"/>
              <w:ind w:firstLine="420"/>
              <w:jc w:val="center"/>
              <w:rPr>
                <w:sz w:val="21"/>
                <w:szCs w:val="21"/>
                <w:highlight w:val="none"/>
              </w:rPr>
            </w:pPr>
            <w:r>
              <w:rPr>
                <w:rFonts w:hint="eastAsia" w:ascii="宋体" w:hAnsi="宋体"/>
                <w:sz w:val="21"/>
                <w:szCs w:val="21"/>
                <w:highlight w:val="none"/>
              </w:rPr>
              <w:t>第5.4款</w:t>
            </w:r>
          </w:p>
        </w:tc>
        <w:tc>
          <w:tcPr>
            <w:tcW w:w="2444" w:type="dxa"/>
            <w:noWrap w:val="0"/>
            <w:vAlign w:val="center"/>
          </w:tcPr>
          <w:p>
            <w:pPr>
              <w:adjustRightInd w:val="0"/>
              <w:snapToGrid w:val="0"/>
              <w:rPr>
                <w:rFonts w:hint="eastAsia" w:ascii="宋体" w:hAnsi="宋体"/>
                <w:sz w:val="21"/>
                <w:szCs w:val="21"/>
                <w:highlight w:val="none"/>
              </w:rPr>
            </w:pPr>
            <w:r>
              <w:rPr>
                <w:rFonts w:hint="eastAsia" w:ascii="宋体" w:hAnsi="宋体"/>
                <w:sz w:val="21"/>
                <w:szCs w:val="21"/>
                <w:highlight w:val="none"/>
              </w:rPr>
              <w:t>约定乙方承担的其他义务和责任</w:t>
            </w:r>
          </w:p>
        </w:tc>
        <w:tc>
          <w:tcPr>
            <w:tcW w:w="4153" w:type="dxa"/>
            <w:noWrap w:val="0"/>
            <w:vAlign w:val="center"/>
          </w:tcPr>
          <w:p>
            <w:pPr>
              <w:adjustRightInd w:val="0"/>
              <w:snapToGrid w:val="0"/>
              <w:ind w:firstLine="420"/>
              <w:rPr>
                <w:rFonts w:hint="eastAsia" w:ascii="宋体" w:hAnsi="宋体"/>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922" w:type="dxa"/>
            <w:noWrap w:val="0"/>
            <w:vAlign w:val="center"/>
          </w:tcPr>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pPr>
              <w:snapToGrid w:val="0"/>
              <w:ind w:firstLine="420"/>
              <w:jc w:val="center"/>
              <w:rPr>
                <w:rFonts w:hint="eastAsia" w:ascii="宋体" w:hAnsi="宋体"/>
                <w:sz w:val="21"/>
                <w:szCs w:val="21"/>
                <w:highlight w:val="none"/>
              </w:rPr>
            </w:pPr>
            <w:r>
              <w:rPr>
                <w:rFonts w:hint="eastAsia" w:ascii="宋体" w:hAnsi="宋体"/>
                <w:sz w:val="21"/>
                <w:szCs w:val="21"/>
                <w:highlight w:val="none"/>
              </w:rPr>
              <w:t>第6.1款</w:t>
            </w:r>
          </w:p>
        </w:tc>
        <w:tc>
          <w:tcPr>
            <w:tcW w:w="2444" w:type="dxa"/>
            <w:noWrap w:val="0"/>
            <w:vAlign w:val="center"/>
          </w:tcPr>
          <w:p>
            <w:pPr>
              <w:adjustRightInd w:val="0"/>
              <w:snapToGrid w:val="0"/>
              <w:rPr>
                <w:rFonts w:hint="eastAsia" w:ascii="宋体" w:hAnsi="宋体"/>
                <w:sz w:val="21"/>
                <w:szCs w:val="21"/>
                <w:highlight w:val="none"/>
              </w:rPr>
            </w:pPr>
            <w:r>
              <w:rPr>
                <w:rFonts w:hint="eastAsia" w:ascii="宋体" w:hAnsi="宋体"/>
                <w:sz w:val="21"/>
                <w:szCs w:val="21"/>
                <w:highlight w:val="none"/>
              </w:rPr>
              <w:t>履行合同义务的顺序</w:t>
            </w:r>
          </w:p>
        </w:tc>
        <w:tc>
          <w:tcPr>
            <w:tcW w:w="4153" w:type="dxa"/>
            <w:noWrap w:val="0"/>
            <w:vAlign w:val="center"/>
          </w:tcPr>
          <w:p>
            <w:pPr>
              <w:adjustRightInd w:val="0"/>
              <w:snapToGrid w:val="0"/>
              <w:ind w:firstLine="420"/>
              <w:rPr>
                <w:rFonts w:hint="eastAsia" w:ascii="宋体" w:hAnsi="宋体"/>
                <w:kern w:val="2"/>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922" w:type="dxa"/>
            <w:vMerge w:val="restart"/>
            <w:noWrap w:val="0"/>
            <w:vAlign w:val="center"/>
          </w:tcPr>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第7.1款</w:t>
            </w:r>
          </w:p>
        </w:tc>
        <w:tc>
          <w:tcPr>
            <w:tcW w:w="2444" w:type="dxa"/>
            <w:noWrap w:val="0"/>
            <w:vAlign w:val="center"/>
          </w:tcPr>
          <w:p>
            <w:pPr>
              <w:adjustRightInd w:val="0"/>
              <w:snapToGrid w:val="0"/>
              <w:rPr>
                <w:rFonts w:hint="eastAsia" w:ascii="宋体" w:hAnsi="宋体"/>
                <w:sz w:val="21"/>
                <w:szCs w:val="21"/>
                <w:highlight w:val="none"/>
              </w:rPr>
            </w:pPr>
            <w:r>
              <w:rPr>
                <w:rFonts w:hint="eastAsia" w:ascii="宋体" w:hAnsi="宋体"/>
                <w:sz w:val="21"/>
                <w:szCs w:val="21"/>
                <w:highlight w:val="none"/>
              </w:rPr>
              <w:t>包装特殊要求</w:t>
            </w:r>
          </w:p>
        </w:tc>
        <w:tc>
          <w:tcPr>
            <w:tcW w:w="4153" w:type="dxa"/>
            <w:noWrap w:val="0"/>
            <w:vAlign w:val="center"/>
          </w:tcPr>
          <w:p>
            <w:pPr>
              <w:ind w:firstLine="420"/>
              <w:rPr>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922" w:type="dxa"/>
            <w:vMerge w:val="continue"/>
            <w:noWrap w:val="0"/>
            <w:vAlign w:val="center"/>
          </w:tcPr>
          <w:p>
            <w:pPr>
              <w:adjustRightInd w:val="0"/>
              <w:snapToGrid w:val="0"/>
              <w:ind w:firstLine="420"/>
              <w:jc w:val="center"/>
              <w:rPr>
                <w:rFonts w:hint="eastAsia" w:ascii="宋体" w:hAnsi="宋体"/>
                <w:sz w:val="21"/>
                <w:szCs w:val="21"/>
                <w:highlight w:val="none"/>
              </w:rPr>
            </w:pPr>
          </w:p>
        </w:tc>
        <w:tc>
          <w:tcPr>
            <w:tcW w:w="2444" w:type="dxa"/>
            <w:noWrap w:val="0"/>
            <w:vAlign w:val="center"/>
          </w:tcPr>
          <w:p>
            <w:pPr>
              <w:adjustRightInd w:val="0"/>
              <w:snapToGrid w:val="0"/>
              <w:rPr>
                <w:rFonts w:hint="eastAsia" w:ascii="宋体" w:hAnsi="宋体"/>
                <w:sz w:val="21"/>
                <w:szCs w:val="21"/>
                <w:highlight w:val="none"/>
              </w:rPr>
            </w:pPr>
            <w:r>
              <w:rPr>
                <w:rFonts w:hint="eastAsia" w:ascii="宋体" w:hAnsi="宋体"/>
                <w:sz w:val="21"/>
                <w:szCs w:val="21"/>
                <w:highlight w:val="none"/>
              </w:rPr>
              <w:t>指定现场</w:t>
            </w:r>
          </w:p>
        </w:tc>
        <w:tc>
          <w:tcPr>
            <w:tcW w:w="4153" w:type="dxa"/>
            <w:noWrap w:val="0"/>
            <w:vAlign w:val="center"/>
          </w:tcPr>
          <w:p>
            <w:pPr>
              <w:ind w:firstLine="420"/>
              <w:rPr>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922" w:type="dxa"/>
            <w:noWrap w:val="0"/>
            <w:vAlign w:val="center"/>
          </w:tcPr>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第7.2款</w:t>
            </w:r>
          </w:p>
        </w:tc>
        <w:tc>
          <w:tcPr>
            <w:tcW w:w="2444" w:type="dxa"/>
            <w:noWrap w:val="0"/>
            <w:vAlign w:val="center"/>
          </w:tcPr>
          <w:p>
            <w:pPr>
              <w:adjustRightInd w:val="0"/>
              <w:snapToGrid w:val="0"/>
              <w:rPr>
                <w:rFonts w:hint="eastAsia" w:ascii="宋体" w:hAnsi="宋体"/>
                <w:sz w:val="21"/>
                <w:szCs w:val="21"/>
                <w:highlight w:val="none"/>
              </w:rPr>
            </w:pPr>
            <w:r>
              <w:rPr>
                <w:rFonts w:hint="eastAsia" w:ascii="宋体" w:hAnsi="宋体"/>
                <w:sz w:val="21"/>
                <w:szCs w:val="21"/>
                <w:highlight w:val="none"/>
              </w:rPr>
              <w:t>运输特殊要求</w:t>
            </w:r>
          </w:p>
        </w:tc>
        <w:tc>
          <w:tcPr>
            <w:tcW w:w="4153" w:type="dxa"/>
            <w:noWrap w:val="0"/>
            <w:vAlign w:val="center"/>
          </w:tcPr>
          <w:p>
            <w:pPr>
              <w:ind w:firstLine="420"/>
              <w:rPr>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922" w:type="dxa"/>
            <w:noWrap w:val="0"/>
            <w:vAlign w:val="center"/>
          </w:tcPr>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第7.3款</w:t>
            </w:r>
          </w:p>
        </w:tc>
        <w:tc>
          <w:tcPr>
            <w:tcW w:w="2444" w:type="dxa"/>
            <w:noWrap w:val="0"/>
            <w:vAlign w:val="center"/>
          </w:tcPr>
          <w:p>
            <w:pPr>
              <w:adjustRightInd w:val="0"/>
              <w:snapToGrid w:val="0"/>
              <w:rPr>
                <w:rFonts w:hint="eastAsia" w:ascii="宋体" w:hAnsi="宋体"/>
                <w:sz w:val="21"/>
                <w:szCs w:val="21"/>
                <w:highlight w:val="none"/>
              </w:rPr>
            </w:pPr>
            <w:r>
              <w:rPr>
                <w:rFonts w:hint="eastAsia" w:ascii="宋体" w:hAnsi="宋体"/>
                <w:sz w:val="21"/>
                <w:szCs w:val="21"/>
                <w:highlight w:val="none"/>
              </w:rPr>
              <w:t>保险要求</w:t>
            </w:r>
          </w:p>
        </w:tc>
        <w:tc>
          <w:tcPr>
            <w:tcW w:w="4153" w:type="dxa"/>
            <w:noWrap w:val="0"/>
            <w:vAlign w:val="center"/>
          </w:tcPr>
          <w:p>
            <w:pPr>
              <w:ind w:firstLine="420"/>
              <w:rPr>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922" w:type="dxa"/>
            <w:noWrap w:val="0"/>
            <w:vAlign w:val="center"/>
          </w:tcPr>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第8.2（1）项</w:t>
            </w:r>
          </w:p>
        </w:tc>
        <w:tc>
          <w:tcPr>
            <w:tcW w:w="2444" w:type="dxa"/>
            <w:noWrap w:val="0"/>
            <w:vAlign w:val="center"/>
          </w:tcPr>
          <w:p>
            <w:pPr>
              <w:adjustRightInd w:val="0"/>
              <w:snapToGrid w:val="0"/>
              <w:rPr>
                <w:rFonts w:hint="eastAsia" w:ascii="宋体" w:hAnsi="宋体"/>
                <w:sz w:val="21"/>
                <w:szCs w:val="21"/>
                <w:highlight w:val="none"/>
              </w:rPr>
            </w:pPr>
            <w:r>
              <w:rPr>
                <w:rFonts w:hint="eastAsia" w:ascii="宋体" w:hAnsi="宋体"/>
                <w:sz w:val="21"/>
                <w:szCs w:val="21"/>
                <w:highlight w:val="none"/>
              </w:rPr>
              <w:t>质量保证期</w:t>
            </w:r>
          </w:p>
        </w:tc>
        <w:tc>
          <w:tcPr>
            <w:tcW w:w="4153" w:type="dxa"/>
            <w:noWrap w:val="0"/>
            <w:vAlign w:val="center"/>
          </w:tcPr>
          <w:p>
            <w:pPr>
              <w:autoSpaceDE w:val="0"/>
              <w:autoSpaceDN w:val="0"/>
              <w:adjustRightInd w:val="0"/>
              <w:snapToGrid w:val="0"/>
              <w:ind w:firstLine="420" w:firstLineChars="200"/>
              <w:rPr>
                <w:rFonts w:hint="eastAsia" w:ascii="宋体" w:hAnsi="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922" w:type="dxa"/>
            <w:noWrap w:val="0"/>
            <w:vAlign w:val="center"/>
          </w:tcPr>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第8.2（3）项</w:t>
            </w:r>
          </w:p>
        </w:tc>
        <w:tc>
          <w:tcPr>
            <w:tcW w:w="2444" w:type="dxa"/>
            <w:noWrap w:val="0"/>
            <w:vAlign w:val="center"/>
          </w:tcPr>
          <w:p>
            <w:pPr>
              <w:adjustRightInd w:val="0"/>
              <w:snapToGrid w:val="0"/>
              <w:rPr>
                <w:rFonts w:hint="eastAsia" w:ascii="宋体" w:hAnsi="宋体"/>
                <w:sz w:val="21"/>
                <w:szCs w:val="21"/>
                <w:highlight w:val="none"/>
              </w:rPr>
            </w:pPr>
            <w:r>
              <w:rPr>
                <w:rFonts w:hint="eastAsia" w:ascii="宋体" w:hAnsi="宋体"/>
                <w:sz w:val="21"/>
                <w:szCs w:val="21"/>
                <w:highlight w:val="none"/>
              </w:rPr>
              <w:t>货物质量缺陷响应时间</w:t>
            </w:r>
          </w:p>
        </w:tc>
        <w:tc>
          <w:tcPr>
            <w:tcW w:w="4153" w:type="dxa"/>
            <w:noWrap w:val="0"/>
            <w:vAlign w:val="center"/>
          </w:tcPr>
          <w:p>
            <w:pPr>
              <w:adjustRightInd w:val="0"/>
              <w:snapToGrid w:val="0"/>
              <w:ind w:firstLine="420"/>
              <w:rPr>
                <w:rFonts w:hint="eastAsia" w:ascii="宋体" w:hAnsi="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922" w:type="dxa"/>
            <w:noWrap w:val="0"/>
            <w:vAlign w:val="center"/>
          </w:tcPr>
          <w:p>
            <w:pPr>
              <w:snapToGrid w:val="0"/>
              <w:ind w:firstLine="420"/>
              <w:jc w:val="center"/>
              <w:rPr>
                <w:rFonts w:hint="eastAsia" w:ascii="宋体" w:hAnsi="宋体" w:cs="宋体"/>
                <w:sz w:val="21"/>
                <w:szCs w:val="21"/>
                <w:highlight w:val="none"/>
              </w:rPr>
            </w:pPr>
            <w:r>
              <w:rPr>
                <w:rFonts w:hint="eastAsia" w:ascii="宋体" w:hAnsi="宋体" w:cs="宋体"/>
                <w:sz w:val="21"/>
                <w:szCs w:val="21"/>
                <w:highlight w:val="none"/>
              </w:rPr>
              <w:t>第二节</w:t>
            </w:r>
          </w:p>
          <w:p>
            <w:pPr>
              <w:pStyle w:val="188"/>
              <w:ind w:firstLine="0" w:firstLineChars="0"/>
              <w:jc w:val="center"/>
              <w:rPr>
                <w:rFonts w:hint="eastAsia"/>
                <w:sz w:val="21"/>
                <w:highlight w:val="none"/>
              </w:rPr>
            </w:pPr>
            <w:r>
              <w:rPr>
                <w:rFonts w:hint="eastAsia" w:ascii="宋体" w:hAnsi="宋体" w:eastAsia="宋体" w:cs="宋体"/>
                <w:sz w:val="21"/>
                <w:highlight w:val="none"/>
              </w:rPr>
              <w:t>第11.1款</w:t>
            </w:r>
          </w:p>
        </w:tc>
        <w:tc>
          <w:tcPr>
            <w:tcW w:w="2444" w:type="dxa"/>
            <w:noWrap w:val="0"/>
            <w:vAlign w:val="center"/>
          </w:tcPr>
          <w:p>
            <w:pPr>
              <w:adjustRightInd w:val="0"/>
              <w:snapToGrid w:val="0"/>
              <w:jc w:val="both"/>
              <w:rPr>
                <w:rFonts w:hint="eastAsia" w:ascii="宋体" w:hAnsi="宋体"/>
                <w:sz w:val="21"/>
                <w:szCs w:val="21"/>
                <w:highlight w:val="none"/>
              </w:rPr>
            </w:pPr>
            <w:r>
              <w:rPr>
                <w:rFonts w:hint="eastAsia" w:ascii="宋体" w:hAnsi="宋体"/>
                <w:sz w:val="21"/>
                <w:szCs w:val="21"/>
                <w:highlight w:val="none"/>
              </w:rPr>
              <w:t>其他应当保密的信息</w:t>
            </w:r>
          </w:p>
        </w:tc>
        <w:tc>
          <w:tcPr>
            <w:tcW w:w="4153" w:type="dxa"/>
            <w:noWrap w:val="0"/>
            <w:vAlign w:val="center"/>
          </w:tcPr>
          <w:p>
            <w:pPr>
              <w:adjustRightInd w:val="0"/>
              <w:snapToGrid w:val="0"/>
              <w:ind w:firstLine="420"/>
              <w:rPr>
                <w:rFonts w:hint="eastAsia" w:ascii="宋体" w:hAnsi="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922" w:type="dxa"/>
            <w:noWrap w:val="0"/>
            <w:vAlign w:val="center"/>
          </w:tcPr>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第12.2款</w:t>
            </w:r>
          </w:p>
        </w:tc>
        <w:tc>
          <w:tcPr>
            <w:tcW w:w="2444" w:type="dxa"/>
            <w:noWrap w:val="0"/>
            <w:vAlign w:val="center"/>
          </w:tcPr>
          <w:p>
            <w:pPr>
              <w:adjustRightInd w:val="0"/>
              <w:snapToGrid w:val="0"/>
              <w:rPr>
                <w:rFonts w:hint="eastAsia" w:ascii="宋体" w:hAnsi="宋体"/>
                <w:sz w:val="21"/>
                <w:szCs w:val="21"/>
                <w:highlight w:val="none"/>
              </w:rPr>
            </w:pPr>
            <w:r>
              <w:rPr>
                <w:rFonts w:hint="eastAsia" w:ascii="宋体" w:hAnsi="宋体"/>
                <w:sz w:val="21"/>
                <w:szCs w:val="21"/>
                <w:highlight w:val="none"/>
              </w:rPr>
              <w:t>合同价款支付时间</w:t>
            </w:r>
          </w:p>
        </w:tc>
        <w:tc>
          <w:tcPr>
            <w:tcW w:w="4153" w:type="dxa"/>
            <w:noWrap w:val="0"/>
            <w:vAlign w:val="center"/>
          </w:tcPr>
          <w:p>
            <w:pPr>
              <w:adjustRightInd w:val="0"/>
              <w:snapToGrid w:val="0"/>
              <w:ind w:firstLine="420"/>
              <w:rPr>
                <w:rFonts w:hint="eastAsia" w:ascii="宋体" w:hAnsi="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922" w:type="dxa"/>
            <w:noWrap w:val="0"/>
            <w:vAlign w:val="center"/>
          </w:tcPr>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第13.2款</w:t>
            </w:r>
          </w:p>
        </w:tc>
        <w:tc>
          <w:tcPr>
            <w:tcW w:w="2444" w:type="dxa"/>
            <w:noWrap w:val="0"/>
            <w:vAlign w:val="center"/>
          </w:tcPr>
          <w:p>
            <w:pPr>
              <w:adjustRightInd w:val="0"/>
              <w:snapToGrid w:val="0"/>
              <w:rPr>
                <w:rFonts w:hint="eastAsia" w:ascii="宋体" w:hAnsi="宋体"/>
                <w:sz w:val="21"/>
                <w:szCs w:val="21"/>
                <w:highlight w:val="none"/>
              </w:rPr>
            </w:pPr>
            <w:r>
              <w:rPr>
                <w:rFonts w:hint="eastAsia" w:ascii="宋体" w:hAnsi="宋体"/>
                <w:sz w:val="21"/>
                <w:szCs w:val="21"/>
                <w:highlight w:val="none"/>
              </w:rPr>
              <w:t>履约保证金不予退还的情形</w:t>
            </w:r>
          </w:p>
        </w:tc>
        <w:tc>
          <w:tcPr>
            <w:tcW w:w="4153" w:type="dxa"/>
            <w:noWrap w:val="0"/>
            <w:vAlign w:val="center"/>
          </w:tcPr>
          <w:p>
            <w:pPr>
              <w:adjustRightInd w:val="0"/>
              <w:snapToGrid w:val="0"/>
              <w:ind w:firstLine="420"/>
              <w:rPr>
                <w:rFonts w:hint="eastAsia" w:ascii="宋体" w:hAnsi="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922" w:type="dxa"/>
            <w:noWrap w:val="0"/>
            <w:vAlign w:val="center"/>
          </w:tcPr>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第13.3款</w:t>
            </w:r>
          </w:p>
        </w:tc>
        <w:tc>
          <w:tcPr>
            <w:tcW w:w="2444" w:type="dxa"/>
            <w:noWrap w:val="0"/>
            <w:vAlign w:val="center"/>
          </w:tcPr>
          <w:p>
            <w:pPr>
              <w:adjustRightInd w:val="0"/>
              <w:snapToGrid w:val="0"/>
              <w:rPr>
                <w:rFonts w:hint="eastAsia" w:ascii="宋体" w:hAnsi="宋体"/>
                <w:sz w:val="21"/>
                <w:szCs w:val="21"/>
                <w:highlight w:val="none"/>
              </w:rPr>
            </w:pPr>
            <w:r>
              <w:rPr>
                <w:rFonts w:hint="eastAsia" w:ascii="宋体" w:hAnsi="宋体"/>
                <w:sz w:val="21"/>
                <w:szCs w:val="21"/>
                <w:highlight w:val="none"/>
              </w:rPr>
              <w:t>履约保证金退还时间及逾期退还的违约金</w:t>
            </w:r>
          </w:p>
        </w:tc>
        <w:tc>
          <w:tcPr>
            <w:tcW w:w="4153" w:type="dxa"/>
            <w:noWrap w:val="0"/>
            <w:vAlign w:val="center"/>
          </w:tcPr>
          <w:p>
            <w:pPr>
              <w:adjustRightInd w:val="0"/>
              <w:snapToGrid w:val="0"/>
              <w:ind w:firstLine="420"/>
              <w:rPr>
                <w:rFonts w:hint="eastAsia" w:ascii="宋体" w:hAnsi="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922" w:type="dxa"/>
            <w:noWrap w:val="0"/>
            <w:vAlign w:val="center"/>
          </w:tcPr>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第14.1（3）项</w:t>
            </w:r>
          </w:p>
        </w:tc>
        <w:tc>
          <w:tcPr>
            <w:tcW w:w="2444" w:type="dxa"/>
            <w:noWrap w:val="0"/>
            <w:vAlign w:val="center"/>
          </w:tcPr>
          <w:p>
            <w:pPr>
              <w:adjustRightInd w:val="0"/>
              <w:snapToGrid w:val="0"/>
              <w:rPr>
                <w:rFonts w:hint="eastAsia" w:ascii="宋体" w:hAnsi="宋体"/>
                <w:sz w:val="21"/>
                <w:szCs w:val="21"/>
                <w:highlight w:val="none"/>
              </w:rPr>
            </w:pPr>
            <w:r>
              <w:rPr>
                <w:rFonts w:hint="eastAsia" w:ascii="宋体" w:hAnsi="宋体"/>
                <w:sz w:val="21"/>
                <w:szCs w:val="21"/>
                <w:highlight w:val="none"/>
              </w:rPr>
              <w:t>运行监督、维修期限</w:t>
            </w:r>
          </w:p>
        </w:tc>
        <w:tc>
          <w:tcPr>
            <w:tcW w:w="4153" w:type="dxa"/>
            <w:noWrap w:val="0"/>
            <w:vAlign w:val="center"/>
          </w:tcPr>
          <w:p>
            <w:pPr>
              <w:adjustRightInd w:val="0"/>
              <w:snapToGrid w:val="0"/>
              <w:ind w:firstLine="420"/>
              <w:rPr>
                <w:rFonts w:hint="eastAsia" w:ascii="宋体" w:hAnsi="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922" w:type="dxa"/>
            <w:noWrap w:val="0"/>
            <w:vAlign w:val="center"/>
          </w:tcPr>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第14.1（5）项</w:t>
            </w:r>
          </w:p>
        </w:tc>
        <w:tc>
          <w:tcPr>
            <w:tcW w:w="2444" w:type="dxa"/>
            <w:noWrap w:val="0"/>
            <w:vAlign w:val="center"/>
          </w:tcPr>
          <w:p>
            <w:pPr>
              <w:adjustRightInd w:val="0"/>
              <w:snapToGrid w:val="0"/>
              <w:rPr>
                <w:rFonts w:hint="eastAsia" w:ascii="宋体" w:hAnsi="宋体"/>
                <w:sz w:val="21"/>
                <w:szCs w:val="21"/>
                <w:highlight w:val="none"/>
              </w:rPr>
            </w:pPr>
            <w:r>
              <w:rPr>
                <w:rFonts w:hint="eastAsia" w:ascii="宋体" w:hAnsi="宋体"/>
                <w:sz w:val="21"/>
                <w:szCs w:val="21"/>
                <w:highlight w:val="none"/>
              </w:rPr>
              <w:t>货物回收的约定</w:t>
            </w:r>
          </w:p>
        </w:tc>
        <w:tc>
          <w:tcPr>
            <w:tcW w:w="4153" w:type="dxa"/>
            <w:noWrap w:val="0"/>
            <w:vAlign w:val="center"/>
          </w:tcPr>
          <w:p>
            <w:pPr>
              <w:adjustRightInd w:val="0"/>
              <w:snapToGrid w:val="0"/>
              <w:ind w:firstLine="420"/>
              <w:rPr>
                <w:rFonts w:hint="eastAsia" w:ascii="宋体" w:hAnsi="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922" w:type="dxa"/>
            <w:noWrap w:val="0"/>
            <w:vAlign w:val="center"/>
          </w:tcPr>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第14.1（6）项</w:t>
            </w:r>
          </w:p>
        </w:tc>
        <w:tc>
          <w:tcPr>
            <w:tcW w:w="2444" w:type="dxa"/>
            <w:noWrap w:val="0"/>
            <w:vAlign w:val="center"/>
          </w:tcPr>
          <w:p>
            <w:pPr>
              <w:adjustRightInd w:val="0"/>
              <w:snapToGrid w:val="0"/>
              <w:rPr>
                <w:rFonts w:hint="eastAsia" w:ascii="宋体" w:hAnsi="宋体"/>
                <w:sz w:val="21"/>
                <w:szCs w:val="21"/>
                <w:highlight w:val="none"/>
              </w:rPr>
            </w:pPr>
            <w:r>
              <w:rPr>
                <w:rFonts w:hint="eastAsia" w:ascii="宋体" w:hAnsi="宋体"/>
                <w:sz w:val="21"/>
                <w:szCs w:val="21"/>
                <w:highlight w:val="none"/>
              </w:rPr>
              <w:t>乙方提供的其他服务</w:t>
            </w:r>
          </w:p>
        </w:tc>
        <w:tc>
          <w:tcPr>
            <w:tcW w:w="4153" w:type="dxa"/>
            <w:noWrap w:val="0"/>
            <w:vAlign w:val="center"/>
          </w:tcPr>
          <w:p>
            <w:pPr>
              <w:adjustRightInd w:val="0"/>
              <w:snapToGrid w:val="0"/>
              <w:ind w:firstLine="420"/>
              <w:rPr>
                <w:rFonts w:hint="eastAsia" w:ascii="宋体" w:hAnsi="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922" w:type="dxa"/>
            <w:noWrap w:val="0"/>
            <w:vAlign w:val="center"/>
          </w:tcPr>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第15.1款</w:t>
            </w:r>
          </w:p>
        </w:tc>
        <w:tc>
          <w:tcPr>
            <w:tcW w:w="2444" w:type="dxa"/>
            <w:noWrap w:val="0"/>
            <w:vAlign w:val="center"/>
          </w:tcPr>
          <w:p>
            <w:pPr>
              <w:adjustRightInd w:val="0"/>
              <w:snapToGrid w:val="0"/>
              <w:rPr>
                <w:rFonts w:hint="eastAsia" w:ascii="宋体" w:hAnsi="宋体"/>
                <w:sz w:val="21"/>
                <w:szCs w:val="21"/>
                <w:highlight w:val="none"/>
              </w:rPr>
            </w:pPr>
            <w:r>
              <w:rPr>
                <w:rFonts w:hint="eastAsia" w:ascii="宋体" w:hAnsi="宋体"/>
                <w:sz w:val="21"/>
                <w:szCs w:val="21"/>
                <w:highlight w:val="none"/>
              </w:rPr>
              <w:t>修理、重作、更换相关具体规定</w:t>
            </w:r>
          </w:p>
        </w:tc>
        <w:tc>
          <w:tcPr>
            <w:tcW w:w="4153" w:type="dxa"/>
            <w:noWrap w:val="0"/>
            <w:vAlign w:val="center"/>
          </w:tcPr>
          <w:p>
            <w:pPr>
              <w:adjustRightInd w:val="0"/>
              <w:snapToGrid w:val="0"/>
              <w:ind w:firstLine="420"/>
              <w:rPr>
                <w:rFonts w:hint="eastAsia" w:ascii="宋体" w:hAnsi="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922" w:type="dxa"/>
            <w:noWrap w:val="0"/>
            <w:vAlign w:val="center"/>
          </w:tcPr>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第15.2（2）项</w:t>
            </w:r>
          </w:p>
        </w:tc>
        <w:tc>
          <w:tcPr>
            <w:tcW w:w="2444" w:type="dxa"/>
            <w:noWrap w:val="0"/>
            <w:vAlign w:val="center"/>
          </w:tcPr>
          <w:p>
            <w:pPr>
              <w:adjustRightInd w:val="0"/>
              <w:snapToGrid w:val="0"/>
              <w:rPr>
                <w:rFonts w:hint="eastAsia" w:ascii="宋体" w:hAnsi="宋体"/>
                <w:sz w:val="21"/>
                <w:szCs w:val="21"/>
                <w:highlight w:val="none"/>
              </w:rPr>
            </w:pPr>
            <w:r>
              <w:rPr>
                <w:rFonts w:hint="eastAsia" w:ascii="宋体" w:hAnsi="宋体"/>
                <w:sz w:val="21"/>
                <w:szCs w:val="21"/>
                <w:highlight w:val="none"/>
              </w:rPr>
              <w:t>迟延交货赔偿费</w:t>
            </w:r>
          </w:p>
        </w:tc>
        <w:tc>
          <w:tcPr>
            <w:tcW w:w="4153" w:type="dxa"/>
            <w:noWrap w:val="0"/>
            <w:vAlign w:val="center"/>
          </w:tcPr>
          <w:p>
            <w:pPr>
              <w:adjustRightInd w:val="0"/>
              <w:snapToGrid w:val="0"/>
              <w:ind w:firstLine="420"/>
              <w:rPr>
                <w:rFonts w:hint="eastAsia" w:ascii="宋体" w:hAnsi="宋体"/>
                <w:sz w:val="21"/>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922" w:type="dxa"/>
            <w:noWrap w:val="0"/>
            <w:vAlign w:val="center"/>
          </w:tcPr>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第15.3款</w:t>
            </w:r>
          </w:p>
        </w:tc>
        <w:tc>
          <w:tcPr>
            <w:tcW w:w="2444" w:type="dxa"/>
            <w:noWrap w:val="0"/>
            <w:vAlign w:val="center"/>
          </w:tcPr>
          <w:p>
            <w:pPr>
              <w:adjustRightInd w:val="0"/>
              <w:snapToGrid w:val="0"/>
              <w:rPr>
                <w:rFonts w:hint="eastAsia" w:ascii="宋体" w:hAnsi="宋体"/>
                <w:sz w:val="21"/>
                <w:szCs w:val="21"/>
                <w:highlight w:val="none"/>
              </w:rPr>
            </w:pPr>
            <w:r>
              <w:rPr>
                <w:rFonts w:hint="eastAsia" w:ascii="宋体" w:hAnsi="宋体"/>
                <w:sz w:val="21"/>
                <w:szCs w:val="21"/>
                <w:highlight w:val="none"/>
              </w:rPr>
              <w:t>逾期付款利息</w:t>
            </w:r>
          </w:p>
        </w:tc>
        <w:tc>
          <w:tcPr>
            <w:tcW w:w="4153" w:type="dxa"/>
            <w:noWrap w:val="0"/>
            <w:vAlign w:val="center"/>
          </w:tcPr>
          <w:p>
            <w:pPr>
              <w:adjustRightInd w:val="0"/>
              <w:snapToGrid w:val="0"/>
              <w:ind w:firstLine="420"/>
              <w:rPr>
                <w:rFonts w:hint="eastAsia" w:ascii="宋体" w:hAnsi="宋体"/>
                <w:sz w:val="21"/>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922" w:type="dxa"/>
            <w:tcBorders>
              <w:bottom w:val="single" w:color="auto" w:sz="2" w:space="0"/>
              <w:right w:val="single" w:color="auto" w:sz="2" w:space="0"/>
            </w:tcBorders>
            <w:noWrap w:val="0"/>
            <w:vAlign w:val="center"/>
          </w:tcPr>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第15.4款</w:t>
            </w:r>
          </w:p>
        </w:tc>
        <w:tc>
          <w:tcPr>
            <w:tcW w:w="2444" w:type="dxa"/>
            <w:tcBorders>
              <w:left w:val="single" w:color="auto" w:sz="2" w:space="0"/>
              <w:bottom w:val="single" w:color="auto" w:sz="2" w:space="0"/>
              <w:right w:val="single" w:color="auto" w:sz="2" w:space="0"/>
            </w:tcBorders>
            <w:noWrap w:val="0"/>
            <w:vAlign w:val="center"/>
          </w:tcPr>
          <w:p>
            <w:pPr>
              <w:adjustRightInd w:val="0"/>
              <w:snapToGrid w:val="0"/>
              <w:rPr>
                <w:rFonts w:hint="eastAsia" w:ascii="宋体" w:hAnsi="宋体"/>
                <w:sz w:val="21"/>
                <w:szCs w:val="21"/>
                <w:highlight w:val="none"/>
              </w:rPr>
            </w:pPr>
            <w:r>
              <w:rPr>
                <w:rFonts w:hint="eastAsia" w:ascii="宋体" w:hAnsi="宋体"/>
                <w:sz w:val="21"/>
                <w:szCs w:val="21"/>
                <w:highlight w:val="none"/>
              </w:rPr>
              <w:t>其他违约责任</w:t>
            </w:r>
          </w:p>
        </w:tc>
        <w:tc>
          <w:tcPr>
            <w:tcW w:w="4153" w:type="dxa"/>
            <w:tcBorders>
              <w:left w:val="single" w:color="auto" w:sz="2" w:space="0"/>
              <w:bottom w:val="single" w:color="auto" w:sz="2" w:space="0"/>
            </w:tcBorders>
            <w:noWrap w:val="0"/>
            <w:vAlign w:val="center"/>
          </w:tcPr>
          <w:p>
            <w:pPr>
              <w:adjustRightInd w:val="0"/>
              <w:snapToGrid w:val="0"/>
              <w:ind w:firstLine="420"/>
              <w:rPr>
                <w:rFonts w:hint="eastAsia" w:ascii="宋体" w:hAnsi="宋体"/>
                <w:sz w:val="21"/>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922" w:type="dxa"/>
            <w:tcBorders>
              <w:top w:val="single" w:color="auto" w:sz="2" w:space="0"/>
              <w:right w:val="single" w:color="auto" w:sz="2" w:space="0"/>
            </w:tcBorders>
            <w:noWrap w:val="0"/>
            <w:vAlign w:val="center"/>
          </w:tcPr>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第19.2款</w:t>
            </w:r>
          </w:p>
        </w:tc>
        <w:tc>
          <w:tcPr>
            <w:tcW w:w="2444" w:type="dxa"/>
            <w:tcBorders>
              <w:top w:val="single" w:color="auto" w:sz="2" w:space="0"/>
              <w:left w:val="single" w:color="auto" w:sz="2" w:space="0"/>
              <w:right w:val="single" w:color="auto" w:sz="2" w:space="0"/>
            </w:tcBorders>
            <w:noWrap w:val="0"/>
            <w:vAlign w:val="center"/>
          </w:tcPr>
          <w:p>
            <w:pPr>
              <w:adjustRightInd w:val="0"/>
              <w:snapToGrid w:val="0"/>
              <w:rPr>
                <w:rFonts w:hint="eastAsia" w:ascii="宋体" w:hAnsi="宋体"/>
                <w:sz w:val="21"/>
                <w:szCs w:val="21"/>
                <w:highlight w:val="none"/>
              </w:rPr>
            </w:pPr>
            <w:r>
              <w:rPr>
                <w:rFonts w:hint="eastAsia" w:ascii="宋体" w:hAnsi="宋体"/>
                <w:sz w:val="21"/>
                <w:szCs w:val="21"/>
                <w:highlight w:val="none"/>
              </w:rPr>
              <w:t>解决争议的方法</w:t>
            </w:r>
          </w:p>
        </w:tc>
        <w:tc>
          <w:tcPr>
            <w:tcW w:w="4153" w:type="dxa"/>
            <w:tcBorders>
              <w:top w:val="single" w:color="auto" w:sz="2" w:space="0"/>
              <w:left w:val="single" w:color="auto" w:sz="2" w:space="0"/>
            </w:tcBorders>
            <w:noWrap w:val="0"/>
            <w:vAlign w:val="center"/>
          </w:tcPr>
          <w:p>
            <w:pPr>
              <w:autoSpaceDE w:val="0"/>
              <w:autoSpaceDN w:val="0"/>
              <w:adjustRightInd w:val="0"/>
              <w:snapToGrid w:val="0"/>
              <w:spacing w:line="400" w:lineRule="exact"/>
              <w:ind w:firstLine="420"/>
              <w:rPr>
                <w:rFonts w:hint="eastAsia" w:ascii="宋体" w:hAnsi="宋体" w:cs="宋体"/>
                <w:iCs/>
                <w:sz w:val="21"/>
                <w:szCs w:val="21"/>
                <w:highlight w:val="none"/>
              </w:rPr>
            </w:pPr>
            <w:r>
              <w:rPr>
                <w:rFonts w:hint="eastAsia" w:ascii="宋体" w:hAnsi="宋体" w:cs="宋体"/>
                <w:iCs/>
                <w:sz w:val="21"/>
                <w:szCs w:val="21"/>
                <w:highlight w:val="none"/>
              </w:rPr>
              <w:t>因本合同及合同有关事项发生的争议，按下列第</w:t>
            </w:r>
            <w:r>
              <w:rPr>
                <w:rFonts w:hint="eastAsia" w:ascii="宋体" w:hAnsi="宋体" w:cs="宋体"/>
                <w:iCs/>
                <w:sz w:val="21"/>
                <w:szCs w:val="21"/>
                <w:highlight w:val="none"/>
                <w:u w:val="single"/>
              </w:rPr>
              <w:t xml:space="preserve">   </w:t>
            </w:r>
            <w:r>
              <w:rPr>
                <w:rFonts w:hint="eastAsia" w:ascii="宋体" w:hAnsi="宋体" w:cs="宋体"/>
                <w:iCs/>
                <w:sz w:val="21"/>
                <w:szCs w:val="21"/>
                <w:highlight w:val="none"/>
              </w:rPr>
              <w:t>种方式解决：</w:t>
            </w:r>
          </w:p>
          <w:p>
            <w:pPr>
              <w:autoSpaceDE w:val="0"/>
              <w:autoSpaceDN w:val="0"/>
              <w:adjustRightInd w:val="0"/>
              <w:snapToGrid w:val="0"/>
              <w:spacing w:line="400" w:lineRule="exact"/>
              <w:ind w:firstLine="420"/>
              <w:rPr>
                <w:rFonts w:hint="eastAsia" w:ascii="宋体" w:hAnsi="宋体" w:cs="宋体"/>
                <w:iCs/>
                <w:sz w:val="21"/>
                <w:szCs w:val="21"/>
                <w:highlight w:val="none"/>
              </w:rPr>
            </w:pPr>
            <w:r>
              <w:rPr>
                <w:rFonts w:hint="eastAsia" w:ascii="宋体" w:hAnsi="宋体" w:cs="宋体"/>
                <w:iCs/>
                <w:sz w:val="21"/>
                <w:szCs w:val="21"/>
                <w:highlight w:val="none"/>
              </w:rPr>
              <w:t>（1）向</w:t>
            </w:r>
            <w:r>
              <w:rPr>
                <w:rFonts w:hint="eastAsia" w:ascii="宋体" w:hAnsi="宋体" w:cs="宋体"/>
                <w:iCs/>
                <w:sz w:val="21"/>
                <w:szCs w:val="21"/>
                <w:highlight w:val="none"/>
                <w:u w:val="single"/>
              </w:rPr>
              <w:t xml:space="preserve">                    </w:t>
            </w:r>
            <w:r>
              <w:rPr>
                <w:rFonts w:hint="eastAsia" w:ascii="宋体" w:hAnsi="宋体" w:cs="宋体"/>
                <w:iCs/>
                <w:sz w:val="21"/>
                <w:szCs w:val="21"/>
                <w:highlight w:val="none"/>
              </w:rPr>
              <w:t>仲裁委员会申请仲裁，仲裁地点为</w:t>
            </w:r>
            <w:r>
              <w:rPr>
                <w:rFonts w:hint="eastAsia" w:ascii="宋体" w:hAnsi="宋体" w:cs="宋体"/>
                <w:iCs/>
                <w:sz w:val="21"/>
                <w:szCs w:val="21"/>
                <w:highlight w:val="none"/>
                <w:u w:val="single"/>
              </w:rPr>
              <w:t xml:space="preserve">           </w:t>
            </w:r>
            <w:r>
              <w:rPr>
                <w:rFonts w:hint="eastAsia" w:ascii="宋体" w:hAnsi="宋体" w:cs="宋体"/>
                <w:iCs/>
                <w:sz w:val="21"/>
                <w:szCs w:val="21"/>
                <w:highlight w:val="none"/>
              </w:rPr>
              <w:t>；</w:t>
            </w:r>
          </w:p>
          <w:p>
            <w:pPr>
              <w:adjustRightInd w:val="0"/>
              <w:snapToGrid w:val="0"/>
              <w:ind w:firstLine="420"/>
              <w:rPr>
                <w:rFonts w:hint="eastAsia" w:ascii="宋体" w:hAnsi="宋体"/>
                <w:sz w:val="21"/>
                <w:szCs w:val="21"/>
                <w:highlight w:val="none"/>
                <w:u w:val="single"/>
              </w:rPr>
            </w:pPr>
            <w:r>
              <w:rPr>
                <w:rFonts w:hint="eastAsia" w:ascii="宋体" w:hAnsi="宋体" w:cs="宋体"/>
                <w:iCs/>
                <w:sz w:val="21"/>
                <w:szCs w:val="21"/>
                <w:highlight w:val="none"/>
              </w:rPr>
              <w:t>（2）向</w:t>
            </w:r>
            <w:r>
              <w:rPr>
                <w:rFonts w:hint="eastAsia" w:ascii="宋体" w:hAnsi="宋体" w:cs="宋体"/>
                <w:iCs/>
                <w:sz w:val="21"/>
                <w:szCs w:val="21"/>
                <w:highlight w:val="none"/>
                <w:u w:val="single"/>
              </w:rPr>
              <w:t xml:space="preserve">                    </w:t>
            </w:r>
            <w:r>
              <w:rPr>
                <w:rFonts w:hint="eastAsia" w:ascii="宋体" w:hAnsi="宋体" w:cs="宋体"/>
                <w:iCs/>
                <w:sz w:val="21"/>
                <w:szCs w:val="21"/>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922" w:type="dxa"/>
            <w:noWrap w:val="0"/>
            <w:vAlign w:val="center"/>
          </w:tcPr>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第23.1款</w:t>
            </w:r>
          </w:p>
        </w:tc>
        <w:tc>
          <w:tcPr>
            <w:tcW w:w="2444" w:type="dxa"/>
            <w:noWrap w:val="0"/>
            <w:vAlign w:val="center"/>
          </w:tcPr>
          <w:p>
            <w:pPr>
              <w:adjustRightInd w:val="0"/>
              <w:snapToGrid w:val="0"/>
              <w:rPr>
                <w:rFonts w:hint="eastAsia" w:ascii="宋体" w:hAnsi="宋体"/>
                <w:sz w:val="21"/>
                <w:szCs w:val="21"/>
                <w:highlight w:val="none"/>
              </w:rPr>
            </w:pPr>
            <w:r>
              <w:rPr>
                <w:rFonts w:hint="eastAsia" w:ascii="宋体" w:hAnsi="宋体"/>
                <w:bCs/>
                <w:sz w:val="21"/>
                <w:szCs w:val="21"/>
                <w:highlight w:val="none"/>
              </w:rPr>
              <w:t>其他专用条款</w:t>
            </w:r>
          </w:p>
        </w:tc>
        <w:tc>
          <w:tcPr>
            <w:tcW w:w="4153" w:type="dxa"/>
            <w:noWrap w:val="0"/>
            <w:vAlign w:val="center"/>
          </w:tcPr>
          <w:p>
            <w:pPr>
              <w:adjustRightInd w:val="0"/>
              <w:snapToGrid w:val="0"/>
              <w:ind w:firstLine="420"/>
              <w:rPr>
                <w:rFonts w:hint="eastAsia" w:ascii="宋体" w:hAnsi="宋体"/>
                <w:sz w:val="21"/>
                <w:szCs w:val="21"/>
                <w:highlight w:val="none"/>
              </w:rPr>
            </w:pPr>
          </w:p>
        </w:tc>
      </w:tr>
    </w:tbl>
    <w:p>
      <w:pPr>
        <w:spacing w:line="288" w:lineRule="auto"/>
        <w:rPr>
          <w:rFonts w:hint="eastAsia" w:ascii="宋体" w:hAnsi="宋体" w:cs="宋体"/>
          <w:b/>
          <w:kern w:val="44"/>
          <w:sz w:val="21"/>
          <w:szCs w:val="21"/>
          <w:highlight w:val="none"/>
        </w:rPr>
      </w:pPr>
    </w:p>
    <w:p>
      <w:pPr>
        <w:spacing w:line="288" w:lineRule="auto"/>
        <w:rPr>
          <w:rFonts w:hint="eastAsia" w:ascii="宋体" w:hAnsi="宋体" w:cs="宋体"/>
          <w:b/>
          <w:kern w:val="44"/>
          <w:sz w:val="21"/>
          <w:szCs w:val="21"/>
          <w:highlight w:val="none"/>
        </w:rPr>
      </w:pPr>
    </w:p>
    <w:p>
      <w:pPr>
        <w:pStyle w:val="94"/>
        <w:rPr>
          <w:rFonts w:hint="eastAsia"/>
        </w:rPr>
      </w:pPr>
    </w:p>
    <w:p>
      <w:pPr>
        <w:spacing w:line="288" w:lineRule="auto"/>
        <w:rPr>
          <w:rFonts w:ascii="宋体" w:hAnsi="宋体" w:cs="宋体"/>
          <w:b/>
          <w:kern w:val="44"/>
          <w:sz w:val="21"/>
          <w:szCs w:val="21"/>
          <w:highlight w:val="none"/>
        </w:rPr>
      </w:pPr>
      <w:r>
        <w:rPr>
          <w:rFonts w:hint="eastAsia" w:ascii="宋体" w:hAnsi="宋体" w:cs="宋体"/>
          <w:b/>
          <w:kern w:val="44"/>
          <w:sz w:val="21"/>
          <w:szCs w:val="21"/>
          <w:highlight w:val="none"/>
        </w:rPr>
        <w:t>注：此合同为参考模板，具体以双方实际签订为准。</w:t>
      </w:r>
    </w:p>
    <w:p>
      <w:pPr>
        <w:rPr>
          <w:color w:val="000000" w:themeColor="text1"/>
          <w:highlight w:val="none"/>
          <w14:textFill>
            <w14:solidFill>
              <w14:schemeClr w14:val="tx1"/>
            </w14:solidFill>
          </w14:textFill>
        </w:rPr>
      </w:pPr>
    </w:p>
    <w:p>
      <w:pPr>
        <w:pStyle w:val="2"/>
        <w:spacing w:before="0" w:after="0" w:line="360" w:lineRule="auto"/>
        <w:jc w:val="center"/>
        <w:rPr>
          <w:rFonts w:hint="eastAsia"/>
          <w:color w:val="000000" w:themeColor="text1"/>
          <w:highlight w:val="none"/>
          <w14:textFill>
            <w14:solidFill>
              <w14:schemeClr w14:val="tx1"/>
            </w14:solidFill>
          </w14:textFill>
        </w:rPr>
      </w:pPr>
      <w:bookmarkStart w:id="79" w:name="_Toc55578497"/>
    </w:p>
    <w:p>
      <w:pPr>
        <w:pStyle w:val="2"/>
        <w:spacing w:before="0" w:after="0" w:line="360" w:lineRule="auto"/>
        <w:jc w:val="center"/>
        <w:rPr>
          <w:rFonts w:hint="eastAsia"/>
          <w:color w:val="000000" w:themeColor="text1"/>
          <w:highlight w:val="none"/>
          <w14:textFill>
            <w14:solidFill>
              <w14:schemeClr w14:val="tx1"/>
            </w14:solidFill>
          </w14:textFill>
        </w:rPr>
      </w:pPr>
    </w:p>
    <w:p>
      <w:pPr>
        <w:pStyle w:val="2"/>
        <w:spacing w:before="0" w:after="0" w:line="360" w:lineRule="auto"/>
        <w:jc w:val="center"/>
        <w:rPr>
          <w:rFonts w:hint="eastAsia"/>
          <w:color w:val="000000" w:themeColor="text1"/>
          <w:highlight w:val="none"/>
          <w14:textFill>
            <w14:solidFill>
              <w14:schemeClr w14:val="tx1"/>
            </w14:solidFill>
          </w14:textFill>
        </w:rPr>
      </w:pPr>
    </w:p>
    <w:p>
      <w:pPr>
        <w:pStyle w:val="2"/>
        <w:spacing w:before="0" w:after="0" w:line="360" w:lineRule="auto"/>
        <w:jc w:val="center"/>
        <w:rPr>
          <w:rFonts w:hint="eastAsia"/>
          <w:color w:val="000000" w:themeColor="text1"/>
          <w:highlight w:val="none"/>
          <w14:textFill>
            <w14:solidFill>
              <w14:schemeClr w14:val="tx1"/>
            </w14:solidFill>
          </w14:textFill>
        </w:rPr>
      </w:pPr>
    </w:p>
    <w:p>
      <w:pPr>
        <w:pStyle w:val="2"/>
        <w:spacing w:before="0" w:after="0" w:line="360" w:lineRule="auto"/>
        <w:jc w:val="cente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spacing w:before="0" w:after="0"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第六部分  </w:t>
      </w:r>
      <w:bookmarkEnd w:id="40"/>
      <w:r>
        <w:rPr>
          <w:rFonts w:hint="eastAsia"/>
          <w:color w:val="000000" w:themeColor="text1"/>
          <w:highlight w:val="none"/>
          <w14:textFill>
            <w14:solidFill>
              <w14:schemeClr w14:val="tx1"/>
            </w14:solidFill>
          </w14:textFill>
        </w:rPr>
        <w:t>投标文件格式</w:t>
      </w:r>
      <w:bookmarkEnd w:id="79"/>
    </w:p>
    <w:p>
      <w:pPr>
        <w:spacing w:line="440" w:lineRule="exact"/>
        <w:rPr>
          <w:rFonts w:eastAsia="黑体"/>
          <w:color w:val="000000" w:themeColor="text1"/>
          <w:highlight w:val="none"/>
          <w14:textFill>
            <w14:solidFill>
              <w14:schemeClr w14:val="tx1"/>
            </w14:solidFill>
          </w14:textFill>
        </w:rPr>
      </w:pPr>
    </w:p>
    <w:p>
      <w:pPr>
        <w:spacing w:line="440" w:lineRule="exact"/>
        <w:rPr>
          <w:rFonts w:eastAsia="黑体"/>
          <w:color w:val="000000" w:themeColor="text1"/>
          <w:highlight w:val="none"/>
          <w14:textFill>
            <w14:solidFill>
              <w14:schemeClr w14:val="tx1"/>
            </w14:solidFill>
          </w14:textFill>
        </w:rPr>
      </w:pPr>
    </w:p>
    <w:p>
      <w:pPr>
        <w:spacing w:line="440" w:lineRule="exact"/>
        <w:rPr>
          <w:rFonts w:eastAsia="黑体"/>
          <w:color w:val="000000" w:themeColor="text1"/>
          <w:highlight w:val="none"/>
          <w14:textFill>
            <w14:solidFill>
              <w14:schemeClr w14:val="tx1"/>
            </w14:solidFill>
          </w14:textFill>
        </w:rPr>
      </w:pPr>
    </w:p>
    <w:p>
      <w:pPr>
        <w:spacing w:line="440" w:lineRule="exact"/>
        <w:rPr>
          <w:rFonts w:eastAsia="黑体"/>
          <w:color w:val="000000" w:themeColor="text1"/>
          <w:highlight w:val="none"/>
          <w14:textFill>
            <w14:solidFill>
              <w14:schemeClr w14:val="tx1"/>
            </w14:solidFill>
          </w14:textFill>
        </w:rPr>
      </w:pPr>
    </w:p>
    <w:p>
      <w:pPr>
        <w:spacing w:line="440" w:lineRule="exact"/>
        <w:rPr>
          <w:rFonts w:eastAsia="黑体"/>
          <w:color w:val="FFFFFF" w:themeColor="background1"/>
          <w:highlight w:val="none"/>
          <w14:textFill>
            <w14:solidFill>
              <w14:schemeClr w14:val="bg1"/>
            </w14:solidFill>
          </w14:textFill>
        </w:rPr>
      </w:pPr>
    </w:p>
    <w:p>
      <w:pPr>
        <w:rPr>
          <w:rFonts w:ascii="宋体" w:hAnsi="宋体" w:cs="宋体"/>
          <w:color w:val="FFFFFF" w:themeColor="background1"/>
          <w:sz w:val="28"/>
          <w:szCs w:val="28"/>
          <w:highlight w:val="none"/>
          <w:u w:val="single"/>
          <w14:textFill>
            <w14:solidFill>
              <w14:schemeClr w14:val="bg1"/>
            </w14:solidFill>
          </w14:textFill>
        </w:rPr>
      </w:pPr>
      <w:r>
        <w:rPr>
          <w:rFonts w:hint="eastAsia" w:ascii="宋体" w:hAnsi="宋体" w:cs="宋体"/>
          <w:color w:val="FFFFFF" w:themeColor="background1"/>
          <w:sz w:val="28"/>
          <w:szCs w:val="28"/>
          <w:highlight w:val="none"/>
          <w:u w:val="single"/>
          <w14:textFill>
            <w14:solidFill>
              <w14:schemeClr w14:val="bg1"/>
            </w14:solidFill>
          </w14:textFill>
        </w:rPr>
        <w:br w:type="page"/>
      </w:r>
    </w:p>
    <w:p>
      <w:pPr>
        <w:jc w:val="center"/>
        <w:rPr>
          <w:rFonts w:ascii="宋体" w:hAnsi="宋体" w:cs="宋体"/>
          <w:color w:val="000000" w:themeColor="text1"/>
          <w:sz w:val="28"/>
          <w:szCs w:val="28"/>
          <w:highlight w:val="none"/>
          <w:u w:val="single"/>
          <w14:textFill>
            <w14:solidFill>
              <w14:schemeClr w14:val="tx1"/>
            </w14:solidFill>
          </w14:textFill>
        </w:rPr>
      </w:pPr>
    </w:p>
    <w:p>
      <w:pPr>
        <w:jc w:val="center"/>
        <w:rPr>
          <w:rFonts w:ascii="宋体" w:hAnsi="宋体" w:cs="宋体"/>
          <w:color w:val="000000" w:themeColor="text1"/>
          <w:sz w:val="28"/>
          <w:szCs w:val="28"/>
          <w:highlight w:val="none"/>
          <w:u w:val="single"/>
          <w14:textFill>
            <w14:solidFill>
              <w14:schemeClr w14:val="tx1"/>
            </w14:solidFill>
          </w14:textFill>
        </w:rPr>
      </w:pPr>
    </w:p>
    <w:p>
      <w:pPr>
        <w:jc w:val="center"/>
        <w:rPr>
          <w:rFonts w:ascii="宋体" w:hAnsi="宋体" w:cs="宋体"/>
          <w:color w:val="000000" w:themeColor="text1"/>
          <w:sz w:val="28"/>
          <w:szCs w:val="28"/>
          <w:highlight w:val="none"/>
          <w:u w:val="single"/>
          <w14:textFill>
            <w14:solidFill>
              <w14:schemeClr w14:val="tx1"/>
            </w14:solidFill>
          </w14:textFill>
        </w:rPr>
      </w:pPr>
    </w:p>
    <w:p>
      <w:pPr>
        <w:jc w:val="center"/>
        <w:rPr>
          <w:rFonts w:ascii="宋体" w:hAnsi="宋体" w:cs="宋体"/>
          <w:color w:val="000000" w:themeColor="text1"/>
          <w:sz w:val="28"/>
          <w:szCs w:val="28"/>
          <w:highlight w:val="none"/>
          <w:u w:val="single"/>
          <w14:textFill>
            <w14:solidFill>
              <w14:schemeClr w14:val="tx1"/>
            </w14:solidFill>
          </w14:textFill>
        </w:rPr>
      </w:pPr>
    </w:p>
    <w:p>
      <w:pPr>
        <w:jc w:val="center"/>
        <w:rPr>
          <w:rFonts w:ascii="宋体" w:hAnsi="宋体" w:cs="宋体"/>
          <w:color w:val="000000" w:themeColor="text1"/>
          <w:sz w:val="28"/>
          <w:szCs w:val="28"/>
          <w:highlight w:val="none"/>
          <w:u w:val="single"/>
          <w14:textFill>
            <w14:solidFill>
              <w14:schemeClr w14:val="tx1"/>
            </w14:solidFill>
          </w14:textFill>
        </w:rPr>
      </w:pPr>
    </w:p>
    <w:p>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（项目名称）</w:t>
      </w:r>
    </w:p>
    <w:p>
      <w:pPr>
        <w:pStyle w:val="19"/>
        <w:rPr>
          <w:rFonts w:hint="eastAsia"/>
          <w:highlight w:val="none"/>
          <w:lang w:val="en-US" w:eastAsia="zh-CN"/>
        </w:rPr>
      </w:pPr>
    </w:p>
    <w:p>
      <w:pPr>
        <w:pStyle w:val="19"/>
        <w:rPr>
          <w:rFonts w:ascii="宋体" w:hAnsi="宋体" w:cs="宋体"/>
          <w:color w:val="000000" w:themeColor="text1"/>
          <w:highlight w:val="none"/>
          <w14:textFill>
            <w14:solidFill>
              <w14:schemeClr w14:val="tx1"/>
            </w14:solidFill>
          </w14:textFill>
        </w:rPr>
      </w:pPr>
    </w:p>
    <w:p>
      <w:pPr>
        <w:pStyle w:val="19"/>
        <w:rPr>
          <w:rFonts w:ascii="宋体" w:hAnsi="宋体" w:cs="宋体"/>
          <w:color w:val="000000" w:themeColor="text1"/>
          <w:highlight w:val="none"/>
          <w14:textFill>
            <w14:solidFill>
              <w14:schemeClr w14:val="tx1"/>
            </w14:solidFill>
          </w14:textFill>
        </w:rPr>
      </w:pPr>
    </w:p>
    <w:p>
      <w:pPr>
        <w:pStyle w:val="19"/>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jc w:val="center"/>
        <w:rPr>
          <w:rFonts w:ascii="宋体" w:hAnsi="宋体" w:cs="宋体"/>
          <w:color w:val="000000" w:themeColor="text1"/>
          <w:sz w:val="144"/>
          <w:szCs w:val="144"/>
          <w:highlight w:val="none"/>
          <w14:textFill>
            <w14:solidFill>
              <w14:schemeClr w14:val="tx1"/>
            </w14:solidFill>
          </w14:textFill>
        </w:rPr>
      </w:pPr>
      <w:r>
        <w:rPr>
          <w:rFonts w:hint="eastAsia" w:ascii="宋体" w:hAnsi="宋体" w:cs="宋体"/>
          <w:color w:val="000000" w:themeColor="text1"/>
          <w:sz w:val="144"/>
          <w:szCs w:val="144"/>
          <w:highlight w:val="none"/>
          <w14:textFill>
            <w14:solidFill>
              <w14:schemeClr w14:val="tx1"/>
            </w14:solidFill>
          </w14:textFill>
        </w:rPr>
        <w:t>投标文件</w:t>
      </w:r>
    </w:p>
    <w:p>
      <w:pPr>
        <w:jc w:val="center"/>
        <w:rPr>
          <w:rFonts w:hint="eastAsia" w:eastAsia="宋体"/>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项目编号</w:t>
      </w:r>
      <w:r>
        <w:rPr>
          <w:rFonts w:hint="eastAsia" w:ascii="宋体" w:hAnsi="宋体" w:cs="宋体"/>
          <w:b/>
          <w:bCs/>
          <w:color w:val="000000" w:themeColor="text1"/>
          <w:sz w:val="28"/>
          <w:szCs w:val="28"/>
          <w:highlight w:val="none"/>
          <w14:textFill>
            <w14:solidFill>
              <w14:schemeClr w14:val="tx1"/>
            </w14:solidFill>
          </w14:textFill>
        </w:rPr>
        <w:t>：</w:t>
      </w:r>
      <w:r>
        <w:rPr>
          <w:rFonts w:hint="eastAsia" w:ascii="宋体" w:hAnsi="宋体" w:cs="宋体"/>
          <w:b/>
          <w:bCs/>
          <w:sz w:val="28"/>
          <w:szCs w:val="28"/>
          <w:highlight w:val="none"/>
          <w:lang w:eastAsia="zh-CN"/>
        </w:rPr>
        <w:t>JM-2025-05-00562</w:t>
      </w:r>
      <w:r>
        <w:rPr>
          <w:rFonts w:hint="eastAsia" w:ascii="宋体" w:hAnsi="宋体" w:cs="宋体"/>
          <w:b/>
          <w:bCs/>
          <w:sz w:val="28"/>
          <w:szCs w:val="28"/>
          <w:highlight w:val="none"/>
          <w:lang w:val="en-US" w:eastAsia="zh-CN"/>
        </w:rPr>
        <w:t>-</w:t>
      </w:r>
      <w:r>
        <w:rPr>
          <w:rFonts w:hint="eastAsia" w:ascii="宋体" w:hAnsi="宋体" w:cs="宋体"/>
          <w:b/>
          <w:bCs/>
          <w:sz w:val="28"/>
          <w:szCs w:val="28"/>
          <w:highlight w:val="none"/>
          <w:lang w:eastAsia="zh-CN"/>
        </w:rPr>
        <w:t>2025ZCZB0713</w:t>
      </w:r>
    </w:p>
    <w:p>
      <w:pPr>
        <w:rPr>
          <w:rFonts w:eastAsia="黑体"/>
          <w:color w:val="000000" w:themeColor="text1"/>
          <w:sz w:val="28"/>
          <w:szCs w:val="28"/>
          <w:highlight w:val="none"/>
          <w14:textFill>
            <w14:solidFill>
              <w14:schemeClr w14:val="tx1"/>
            </w14:solidFill>
          </w14:textFill>
        </w:rPr>
      </w:pPr>
    </w:p>
    <w:p>
      <w:pPr>
        <w:rPr>
          <w:rFonts w:eastAsia="黑体"/>
          <w:color w:val="000000" w:themeColor="text1"/>
          <w:sz w:val="28"/>
          <w:szCs w:val="28"/>
          <w:highlight w:val="none"/>
          <w14:textFill>
            <w14:solidFill>
              <w14:schemeClr w14:val="tx1"/>
            </w14:solidFill>
          </w14:textFill>
        </w:rPr>
      </w:pPr>
    </w:p>
    <w:p>
      <w:pPr>
        <w:rPr>
          <w:rFonts w:eastAsia="黑体"/>
          <w:color w:val="000000" w:themeColor="text1"/>
          <w:sz w:val="28"/>
          <w:szCs w:val="28"/>
          <w:highlight w:val="none"/>
          <w14:textFill>
            <w14:solidFill>
              <w14:schemeClr w14:val="tx1"/>
            </w14:solidFill>
          </w14:textFill>
        </w:rPr>
      </w:pPr>
    </w:p>
    <w:p>
      <w:pPr>
        <w:rPr>
          <w:rFonts w:eastAsia="黑体"/>
          <w:color w:val="000000" w:themeColor="text1"/>
          <w:sz w:val="28"/>
          <w:szCs w:val="28"/>
          <w:highlight w:val="none"/>
          <w14:textFill>
            <w14:solidFill>
              <w14:schemeClr w14:val="tx1"/>
            </w14:solidFill>
          </w14:textFill>
        </w:rPr>
      </w:pPr>
    </w:p>
    <w:p>
      <w:pPr>
        <w:rPr>
          <w:rFonts w:eastAsia="黑体"/>
          <w:color w:val="000000" w:themeColor="text1"/>
          <w:sz w:val="28"/>
          <w:szCs w:val="28"/>
          <w:highlight w:val="none"/>
          <w14:textFill>
            <w14:solidFill>
              <w14:schemeClr w14:val="tx1"/>
            </w14:solidFill>
          </w14:textFill>
        </w:rPr>
      </w:pPr>
    </w:p>
    <w:p>
      <w:pPr>
        <w:rPr>
          <w:rFonts w:eastAsia="黑体"/>
          <w:color w:val="000000" w:themeColor="text1"/>
          <w:sz w:val="28"/>
          <w:szCs w:val="28"/>
          <w:highlight w:val="none"/>
          <w14:textFill>
            <w14:solidFill>
              <w14:schemeClr w14:val="tx1"/>
            </w14:solidFill>
          </w14:textFill>
        </w:rPr>
      </w:pPr>
    </w:p>
    <w:p>
      <w:pPr>
        <w:rPr>
          <w:rFonts w:eastAsia="黑体"/>
          <w:color w:val="000000" w:themeColor="text1"/>
          <w:sz w:val="28"/>
          <w:szCs w:val="28"/>
          <w:highlight w:val="none"/>
          <w14:textFill>
            <w14:solidFill>
              <w14:schemeClr w14:val="tx1"/>
            </w14:solidFill>
          </w14:textFill>
        </w:rPr>
      </w:pPr>
    </w:p>
    <w:p>
      <w:pPr>
        <w:rPr>
          <w:rFonts w:eastAsia="黑体"/>
          <w:color w:val="000000" w:themeColor="text1"/>
          <w:sz w:val="28"/>
          <w:szCs w:val="28"/>
          <w:highlight w:val="none"/>
          <w14:textFill>
            <w14:solidFill>
              <w14:schemeClr w14:val="tx1"/>
            </w14:solidFill>
          </w14:textFill>
        </w:rPr>
      </w:pPr>
    </w:p>
    <w:p>
      <w:pPr>
        <w:rPr>
          <w:rFonts w:eastAsia="黑体"/>
          <w:color w:val="000000" w:themeColor="text1"/>
          <w:sz w:val="28"/>
          <w:szCs w:val="28"/>
          <w:highlight w:val="none"/>
          <w14:textFill>
            <w14:solidFill>
              <w14:schemeClr w14:val="tx1"/>
            </w14:solidFill>
          </w14:textFill>
        </w:rPr>
      </w:pPr>
    </w:p>
    <w:p>
      <w:pPr>
        <w:rPr>
          <w:rFonts w:eastAsia="黑体"/>
          <w:color w:val="000000" w:themeColor="text1"/>
          <w:sz w:val="28"/>
          <w:szCs w:val="28"/>
          <w:highlight w:val="none"/>
          <w14:textFill>
            <w14:solidFill>
              <w14:schemeClr w14:val="tx1"/>
            </w14:solidFill>
          </w14:textFill>
        </w:rPr>
      </w:pPr>
    </w:p>
    <w:p>
      <w:pPr>
        <w:rPr>
          <w:rFonts w:eastAsia="黑体"/>
          <w:color w:val="000000" w:themeColor="text1"/>
          <w:sz w:val="28"/>
          <w:szCs w:val="28"/>
          <w:highlight w:val="none"/>
          <w14:textFill>
            <w14:solidFill>
              <w14:schemeClr w14:val="tx1"/>
            </w14:solidFill>
          </w14:textFill>
        </w:rPr>
      </w:pPr>
    </w:p>
    <w:p>
      <w:pPr>
        <w:rPr>
          <w:rFonts w:eastAsia="黑体"/>
          <w:color w:val="000000" w:themeColor="text1"/>
          <w:sz w:val="28"/>
          <w:szCs w:val="28"/>
          <w:highlight w:val="none"/>
          <w14:textFill>
            <w14:solidFill>
              <w14:schemeClr w14:val="tx1"/>
            </w14:solidFill>
          </w14:textFill>
        </w:rPr>
      </w:pPr>
    </w:p>
    <w:p>
      <w:pPr>
        <w:spacing w:line="360" w:lineRule="auto"/>
        <w:rPr>
          <w:rFonts w:eastAsia="黑体"/>
          <w:color w:val="000000" w:themeColor="text1"/>
          <w:sz w:val="28"/>
          <w:szCs w:val="28"/>
          <w:highlight w:val="none"/>
          <w14:textFill>
            <w14:solidFill>
              <w14:schemeClr w14:val="tx1"/>
            </w14:solidFill>
          </w14:textFill>
        </w:rPr>
      </w:pPr>
    </w:p>
    <w:p>
      <w:pPr>
        <w:spacing w:line="360" w:lineRule="auto"/>
        <w:jc w:val="center"/>
        <w:rPr>
          <w:rFonts w:eastAsia="黑体"/>
          <w:color w:val="000000" w:themeColor="text1"/>
          <w:sz w:val="28"/>
          <w:szCs w:val="28"/>
          <w:highlight w:val="none"/>
          <w:u w:val="single"/>
          <w14:textFill>
            <w14:solidFill>
              <w14:schemeClr w14:val="tx1"/>
            </w14:solidFill>
          </w14:textFill>
        </w:rPr>
      </w:pPr>
      <w:r>
        <w:rPr>
          <w:rFonts w:hint="eastAsia" w:eastAsia="黑体"/>
          <w:color w:val="000000" w:themeColor="text1"/>
          <w:sz w:val="28"/>
          <w:szCs w:val="28"/>
          <w:highlight w:val="none"/>
          <w:lang w:val="en-US" w:eastAsia="zh-CN"/>
          <w14:textFill>
            <w14:solidFill>
              <w14:schemeClr w14:val="tx1"/>
            </w14:solidFill>
          </w14:textFill>
        </w:rPr>
        <w:t>供应商</w:t>
      </w:r>
      <w:r>
        <w:rPr>
          <w:rFonts w:hint="eastAsia" w:eastAsia="黑体"/>
          <w:color w:val="000000" w:themeColor="text1"/>
          <w:sz w:val="28"/>
          <w:szCs w:val="28"/>
          <w:highlight w:val="none"/>
          <w14:textFill>
            <w14:solidFill>
              <w14:schemeClr w14:val="tx1"/>
            </w14:solidFill>
          </w14:textFill>
        </w:rPr>
        <w:t>：</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（盖单位章）</w:t>
      </w:r>
    </w:p>
    <w:p>
      <w:pPr>
        <w:spacing w:line="360" w:lineRule="auto"/>
        <w:jc w:val="center"/>
        <w:rPr>
          <w:rFonts w:eastAsia="黑体"/>
          <w:color w:val="000000" w:themeColor="text1"/>
          <w:sz w:val="28"/>
          <w:szCs w:val="28"/>
          <w:highlight w:val="none"/>
          <w14:textFill>
            <w14:solidFill>
              <w14:schemeClr w14:val="tx1"/>
            </w14:solidFill>
          </w14:textFill>
        </w:rPr>
      </w:pPr>
    </w:p>
    <w:p>
      <w:pPr>
        <w:spacing w:line="360" w:lineRule="auto"/>
        <w:jc w:val="center"/>
        <w:rPr>
          <w:rFonts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法定代表人或其委托代理人：</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u w:val="single"/>
          <w14:textFill>
            <w14:solidFill>
              <w14:schemeClr w14:val="tx1"/>
            </w14:solidFill>
          </w14:textFill>
        </w:rPr>
        <w:t xml:space="preserve"> </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（签字）</w:t>
      </w:r>
    </w:p>
    <w:p>
      <w:pPr>
        <w:spacing w:line="360" w:lineRule="auto"/>
        <w:jc w:val="center"/>
        <w:rPr>
          <w:rFonts w:eastAsia="黑体"/>
          <w:color w:val="000000" w:themeColor="text1"/>
          <w:sz w:val="28"/>
          <w:szCs w:val="28"/>
          <w:highlight w:val="none"/>
          <w14:textFill>
            <w14:solidFill>
              <w14:schemeClr w14:val="tx1"/>
            </w14:solidFill>
          </w14:textFill>
        </w:rPr>
      </w:pP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年</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月</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日</w:t>
      </w:r>
    </w:p>
    <w:p>
      <w:pPr>
        <w:spacing w:line="360" w:lineRule="auto"/>
        <w:rPr>
          <w:rFonts w:ascii="宋体" w:hAnsi="宋体"/>
          <w:color w:val="000000" w:themeColor="text1"/>
          <w:sz w:val="32"/>
          <w:highlight w:val="none"/>
          <w14:textFill>
            <w14:solidFill>
              <w14:schemeClr w14:val="tx1"/>
            </w14:solidFill>
          </w14:textFill>
        </w:rPr>
      </w:pPr>
      <w:r>
        <w:rPr>
          <w:rFonts w:ascii="宋体" w:hAnsi="宋体"/>
          <w:color w:val="000000" w:themeColor="text1"/>
          <w:sz w:val="32"/>
          <w:highlight w:val="none"/>
          <w14:textFill>
            <w14:solidFill>
              <w14:schemeClr w14:val="tx1"/>
            </w14:solidFill>
          </w14:textFill>
        </w:rPr>
        <w:br w:type="page"/>
      </w:r>
    </w:p>
    <w:p>
      <w:pPr>
        <w:jc w:val="center"/>
        <w:rPr>
          <w:rFonts w:ascii="宋体" w:hAnsi="宋体"/>
          <w:b/>
          <w:color w:val="000000" w:themeColor="text1"/>
          <w:sz w:val="32"/>
          <w:highlight w:val="none"/>
          <w14:textFill>
            <w14:solidFill>
              <w14:schemeClr w14:val="tx1"/>
            </w14:solidFill>
          </w14:textFill>
        </w:rPr>
      </w:pPr>
    </w:p>
    <w:bookmarkEnd w:id="41"/>
    <w:p>
      <w:pPr>
        <w:spacing w:line="360" w:lineRule="auto"/>
        <w:jc w:val="center"/>
        <w:rPr>
          <w:rFonts w:ascii="宋体" w:hAnsi="宋体"/>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目  录</w:t>
      </w:r>
    </w:p>
    <w:p>
      <w:pPr>
        <w:spacing w:line="360" w:lineRule="auto"/>
        <w:ind w:left="567"/>
        <w:jc w:val="both"/>
        <w:rPr>
          <w:rFonts w:ascii="宋体" w:hAnsi="宋体"/>
          <w:color w:val="000000" w:themeColor="text1"/>
          <w:sz w:val="21"/>
          <w:szCs w:val="21"/>
          <w:highlight w:val="none"/>
          <w14:textFill>
            <w14:solidFill>
              <w14:schemeClr w14:val="tx1"/>
            </w14:solidFill>
          </w14:textFill>
        </w:rPr>
      </w:pPr>
    </w:p>
    <w:p>
      <w:pPr>
        <w:numPr>
          <w:ilvl w:val="0"/>
          <w:numId w:val="12"/>
        </w:num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开标一览表</w:t>
      </w:r>
    </w:p>
    <w:p>
      <w:pPr>
        <w:spacing w:line="360" w:lineRule="auto"/>
        <w:ind w:left="567"/>
        <w:jc w:val="both"/>
        <w:rPr>
          <w:highlight w:val="none"/>
        </w:rPr>
      </w:pPr>
      <w:r>
        <w:rPr>
          <w:rFonts w:hint="eastAsia" w:ascii="宋体" w:hAnsi="宋体"/>
          <w:color w:val="000000" w:themeColor="text1"/>
          <w:sz w:val="21"/>
          <w:szCs w:val="21"/>
          <w:highlight w:val="none"/>
          <w14:textFill>
            <w14:solidFill>
              <w14:schemeClr w14:val="tx1"/>
            </w14:solidFill>
          </w14:textFill>
        </w:rPr>
        <w:t xml:space="preserve">二、详细报价表 </w:t>
      </w:r>
    </w:p>
    <w:p>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三、投标函 </w:t>
      </w:r>
    </w:p>
    <w:p>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四、法定代表人资格证明  </w:t>
      </w:r>
    </w:p>
    <w:p>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五、法定代表人授权委托书 </w:t>
      </w:r>
    </w:p>
    <w:p>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六、投标保证金</w:t>
      </w:r>
    </w:p>
    <w:p>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七、资格审查资料</w:t>
      </w:r>
    </w:p>
    <w:p>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八、商务、技术偏离表 </w:t>
      </w:r>
    </w:p>
    <w:p>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九、实施方案</w:t>
      </w:r>
    </w:p>
    <w:p>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十、其他资料</w:t>
      </w:r>
    </w:p>
    <w:p>
      <w:pPr>
        <w:spacing w:line="360" w:lineRule="auto"/>
        <w:ind w:firstLine="400" w:firstLineChars="200"/>
        <w:rPr>
          <w:rFonts w:ascii="宋体" w:hAnsi="宋体"/>
          <w:color w:val="000000" w:themeColor="text1"/>
          <w:szCs w:val="21"/>
          <w:highlight w:val="none"/>
          <w14:textFill>
            <w14:solidFill>
              <w14:schemeClr w14:val="tx1"/>
            </w14:solidFill>
          </w14:textFill>
        </w:rPr>
      </w:pPr>
    </w:p>
    <w:p>
      <w:pPr>
        <w:rPr>
          <w:rFonts w:ascii="宋体" w:hAnsi="宋体" w:cs="宋体"/>
          <w:b/>
          <w:color w:val="000000" w:themeColor="text1"/>
          <w:sz w:val="28"/>
          <w:szCs w:val="28"/>
          <w:highlight w:val="none"/>
          <w:lang w:val="zh-CN"/>
          <w14:textFill>
            <w14:solidFill>
              <w14:schemeClr w14:val="tx1"/>
            </w14:solidFill>
          </w14:textFill>
        </w:rPr>
      </w:pPr>
      <w:r>
        <w:rPr>
          <w:rFonts w:ascii="宋体" w:hAnsi="宋体" w:cs="宋体"/>
          <w:b/>
          <w:color w:val="000000" w:themeColor="text1"/>
          <w:sz w:val="28"/>
          <w:szCs w:val="28"/>
          <w:highlight w:val="none"/>
          <w:lang w:val="zh-CN"/>
          <w14:textFill>
            <w14:solidFill>
              <w14:schemeClr w14:val="tx1"/>
            </w14:solidFill>
          </w14:textFill>
        </w:rPr>
        <w:br w:type="page"/>
      </w:r>
    </w:p>
    <w:p>
      <w:pPr>
        <w:rPr>
          <w:color w:val="000000" w:themeColor="text1"/>
          <w:highlight w:val="none"/>
          <w14:textFill>
            <w14:solidFill>
              <w14:schemeClr w14:val="tx1"/>
            </w14:solidFill>
          </w14:textFill>
        </w:rPr>
      </w:pPr>
    </w:p>
    <w:p>
      <w:pPr>
        <w:autoSpaceDE w:val="0"/>
        <w:autoSpaceDN w:val="0"/>
        <w:adjustRightInd w:val="0"/>
        <w:spacing w:before="120" w:beforeLines="50" w:after="120" w:afterLines="50" w:line="400" w:lineRule="exact"/>
        <w:jc w:val="center"/>
        <w:rPr>
          <w:rFonts w:ascii="宋体" w:hAnsi="宋体" w:cs="宋体"/>
          <w:b/>
          <w:color w:val="000000" w:themeColor="text1"/>
          <w:sz w:val="28"/>
          <w:szCs w:val="28"/>
          <w:highlight w:val="none"/>
          <w:lang w:val="zh-CN"/>
          <w14:textFill>
            <w14:solidFill>
              <w14:schemeClr w14:val="tx1"/>
            </w14:solidFill>
          </w14:textFill>
        </w:rPr>
      </w:pPr>
      <w:r>
        <w:rPr>
          <w:rFonts w:hint="eastAsia" w:ascii="宋体" w:hAnsi="宋体" w:cs="宋体"/>
          <w:b/>
          <w:color w:val="000000" w:themeColor="text1"/>
          <w:sz w:val="28"/>
          <w:szCs w:val="28"/>
          <w:highlight w:val="none"/>
          <w:lang w:val="zh-CN"/>
          <w14:textFill>
            <w14:solidFill>
              <w14:schemeClr w14:val="tx1"/>
            </w14:solidFill>
          </w14:textFill>
        </w:rPr>
        <w:t>一、</w:t>
      </w:r>
      <w:r>
        <w:rPr>
          <w:rFonts w:hint="eastAsia" w:ascii="宋体" w:hAnsi="宋体" w:cs="宋体"/>
          <w:b/>
          <w:color w:val="000000" w:themeColor="text1"/>
          <w:sz w:val="32"/>
          <w:szCs w:val="32"/>
          <w:highlight w:val="none"/>
          <w14:textFill>
            <w14:solidFill>
              <w14:schemeClr w14:val="tx1"/>
            </w14:solidFill>
          </w14:textFill>
        </w:rPr>
        <w:t>开标一览表</w:t>
      </w:r>
    </w:p>
    <w:p>
      <w:pPr>
        <w:rPr>
          <w:rFonts w:ascii="宋体" w:hAnsi="宋体"/>
          <w:color w:val="000000" w:themeColor="text1"/>
          <w:szCs w:val="21"/>
          <w:highlight w:val="none"/>
          <w14:textFill>
            <w14:solidFill>
              <w14:schemeClr w14:val="tx1"/>
            </w14:solidFill>
          </w14:textFill>
        </w:rPr>
      </w:pPr>
    </w:p>
    <w:p>
      <w:pPr>
        <w:ind w:left="152" w:leftChars="-109" w:hanging="370" w:hangingChars="185"/>
        <w:rPr>
          <w:rFonts w:ascii="宋体" w:hAnsi="宋体" w:cs="宋体"/>
          <w:color w:val="000000" w:themeColor="text1"/>
          <w:szCs w:val="21"/>
          <w:highlight w:val="none"/>
          <w14:textFill>
            <w14:solidFill>
              <w14:schemeClr w14:val="tx1"/>
            </w14:solidFill>
          </w14:textFill>
        </w:rPr>
      </w:pPr>
    </w:p>
    <w:p>
      <w:pPr>
        <w:spacing w:line="32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cs="宋体"/>
          <w:color w:val="000000" w:themeColor="text1"/>
          <w:sz w:val="21"/>
          <w:szCs w:val="21"/>
          <w:highlight w:val="none"/>
          <w14:textFill>
            <w14:solidFill>
              <w14:schemeClr w14:val="tx1"/>
            </w14:solidFill>
          </w14:textFill>
        </w:rPr>
        <w:t xml:space="preserve">名称：                                       </w:t>
      </w: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cs="宋体"/>
          <w:color w:val="000000" w:themeColor="text1"/>
          <w:sz w:val="21"/>
          <w:szCs w:val="21"/>
          <w:highlight w:val="none"/>
          <w14:textFill>
            <w14:solidFill>
              <w14:schemeClr w14:val="tx1"/>
            </w14:solidFill>
          </w14:textFill>
        </w:rPr>
        <w:t>编号：</w:t>
      </w:r>
    </w:p>
    <w:tbl>
      <w:tblPr>
        <w:tblStyle w:val="43"/>
        <w:tblW w:w="5049" w:type="pct"/>
        <w:jc w:val="center"/>
        <w:tblLayout w:type="autofit"/>
        <w:tblCellMar>
          <w:top w:w="0" w:type="dxa"/>
          <w:left w:w="108" w:type="dxa"/>
          <w:bottom w:w="0" w:type="dxa"/>
          <w:right w:w="108" w:type="dxa"/>
        </w:tblCellMar>
      </w:tblPr>
      <w:tblGrid>
        <w:gridCol w:w="2974"/>
        <w:gridCol w:w="1545"/>
        <w:gridCol w:w="1462"/>
        <w:gridCol w:w="1689"/>
        <w:gridCol w:w="1708"/>
      </w:tblGrid>
      <w:tr>
        <w:tblPrEx>
          <w:tblCellMar>
            <w:top w:w="0" w:type="dxa"/>
            <w:left w:w="108" w:type="dxa"/>
            <w:bottom w:w="0" w:type="dxa"/>
            <w:right w:w="108" w:type="dxa"/>
          </w:tblCellMar>
        </w:tblPrEx>
        <w:trPr>
          <w:trHeight w:val="902" w:hRule="atLeast"/>
          <w:jc w:val="center"/>
        </w:trPr>
        <w:tc>
          <w:tcPr>
            <w:tcW w:w="15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供应商</w:t>
            </w:r>
          </w:p>
        </w:tc>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投标总报价</w:t>
            </w:r>
          </w:p>
        </w:tc>
        <w:tc>
          <w:tcPr>
            <w:tcW w:w="779"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质量标准</w:t>
            </w:r>
          </w:p>
        </w:tc>
        <w:tc>
          <w:tcPr>
            <w:tcW w:w="900"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合同履行期限（交货期）</w:t>
            </w:r>
          </w:p>
        </w:tc>
        <w:tc>
          <w:tcPr>
            <w:tcW w:w="910"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服务承诺</w:t>
            </w:r>
          </w:p>
        </w:tc>
      </w:tr>
      <w:tr>
        <w:tblPrEx>
          <w:tblCellMar>
            <w:top w:w="0" w:type="dxa"/>
            <w:left w:w="108" w:type="dxa"/>
            <w:bottom w:w="0" w:type="dxa"/>
            <w:right w:w="108" w:type="dxa"/>
          </w:tblCellMar>
        </w:tblPrEx>
        <w:trPr>
          <w:trHeight w:val="1781" w:hRule="atLeast"/>
          <w:jc w:val="center"/>
        </w:trPr>
        <w:tc>
          <w:tcPr>
            <w:tcW w:w="15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元</w:t>
            </w:r>
          </w:p>
        </w:tc>
        <w:tc>
          <w:tcPr>
            <w:tcW w:w="779"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themeColor="text1"/>
                <w:sz w:val="21"/>
                <w:szCs w:val="21"/>
                <w:highlight w:val="none"/>
                <w14:textFill>
                  <w14:solidFill>
                    <w14:schemeClr w14:val="tx1"/>
                  </w14:solidFill>
                </w14:textFill>
              </w:rPr>
            </w:pPr>
          </w:p>
        </w:tc>
        <w:tc>
          <w:tcPr>
            <w:tcW w:w="900"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themeColor="text1"/>
                <w:sz w:val="21"/>
                <w:szCs w:val="21"/>
                <w:highlight w:val="none"/>
                <w14:textFill>
                  <w14:solidFill>
                    <w14:schemeClr w14:val="tx1"/>
                  </w14:solidFill>
                </w14:textFill>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（有/无）</w:t>
            </w:r>
          </w:p>
        </w:tc>
      </w:tr>
    </w:tbl>
    <w:p>
      <w:pPr>
        <w:spacing w:line="360" w:lineRule="auto"/>
        <w:ind w:firstLine="394" w:firstLineChars="196"/>
        <w:rPr>
          <w:rFonts w:ascii="宋体" w:hAnsi="宋体"/>
          <w:b/>
          <w:bCs/>
          <w:color w:val="000000" w:themeColor="text1"/>
          <w:sz w:val="2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r>
        <w:rPr>
          <w:rFonts w:hint="eastAsia" w:ascii="宋体" w:hAnsi="宋体"/>
          <w:b/>
          <w:bCs/>
          <w:color w:val="000000" w:themeColor="text1"/>
          <w:sz w:val="21"/>
          <w:szCs w:val="21"/>
          <w:highlight w:val="none"/>
          <w14:textFill>
            <w14:solidFill>
              <w14:schemeClr w14:val="tx1"/>
            </w14:solidFill>
          </w14:textFill>
        </w:rPr>
        <w:t>注：1、本表只作唱标用，但本表的一切内容均具有法律效力，不得更改；</w:t>
      </w:r>
    </w:p>
    <w:p>
      <w:pPr>
        <w:spacing w:line="360" w:lineRule="auto"/>
        <w:ind w:left="402" w:hanging="422" w:hangingChars="200"/>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 xml:space="preserve">          2、投标报价</w:t>
      </w:r>
      <w:r>
        <w:rPr>
          <w:rFonts w:hint="eastAsia" w:ascii="宋体" w:hAnsi="宋体" w:cs="宋体"/>
          <w:b/>
          <w:color w:val="000000" w:themeColor="text1"/>
          <w:sz w:val="21"/>
          <w:szCs w:val="21"/>
          <w:highlight w:val="none"/>
          <w14:textFill>
            <w14:solidFill>
              <w14:schemeClr w14:val="tx1"/>
            </w14:solidFill>
          </w14:textFill>
        </w:rPr>
        <w:t>不</w:t>
      </w:r>
      <w:r>
        <w:rPr>
          <w:rFonts w:hint="eastAsia" w:ascii="宋体" w:hAnsi="宋体" w:cs="宋体"/>
          <w:b/>
          <w:color w:val="000000" w:themeColor="text1"/>
          <w:sz w:val="21"/>
          <w:szCs w:val="21"/>
          <w:highlight w:val="none"/>
          <w:lang w:val="en-US" w:eastAsia="zh-CN"/>
          <w14:textFill>
            <w14:solidFill>
              <w14:schemeClr w14:val="tx1"/>
            </w14:solidFill>
          </w14:textFill>
        </w:rPr>
        <w:t>得</w:t>
      </w:r>
      <w:r>
        <w:rPr>
          <w:rFonts w:hint="eastAsia" w:ascii="宋体" w:hAnsi="宋体" w:cs="宋体"/>
          <w:b/>
          <w:color w:val="000000" w:themeColor="text1"/>
          <w:sz w:val="21"/>
          <w:szCs w:val="21"/>
          <w:highlight w:val="none"/>
          <w14:textFill>
            <w14:solidFill>
              <w14:schemeClr w14:val="tx1"/>
            </w14:solidFill>
          </w14:textFill>
        </w:rPr>
        <w:t>超过最高限价，超过为无效报价。</w:t>
      </w:r>
      <w:r>
        <w:rPr>
          <w:rFonts w:hint="eastAsia" w:ascii="宋体" w:hAnsi="宋体"/>
          <w:b/>
          <w:bCs/>
          <w:color w:val="000000" w:themeColor="text1"/>
          <w:sz w:val="21"/>
          <w:szCs w:val="21"/>
          <w:highlight w:val="none"/>
          <w14:textFill>
            <w14:solidFill>
              <w14:schemeClr w14:val="tx1"/>
            </w14:solidFill>
          </w14:textFill>
        </w:rPr>
        <w:t>本表中填写的投标报价应与投标文件中内容</w:t>
      </w:r>
      <w:r>
        <w:rPr>
          <w:rFonts w:hint="eastAsia" w:ascii="宋体" w:hAnsi="宋体"/>
          <w:b/>
          <w:bCs/>
          <w:color w:val="000000" w:themeColor="text1"/>
          <w:sz w:val="21"/>
          <w:szCs w:val="21"/>
          <w:highlight w:val="none"/>
          <w:lang w:val="en-US" w:eastAsia="zh-CN"/>
          <w14:textFill>
            <w14:solidFill>
              <w14:schemeClr w14:val="tx1"/>
            </w14:solidFill>
          </w14:textFill>
        </w:rPr>
        <w:t>一致</w:t>
      </w:r>
      <w:r>
        <w:rPr>
          <w:rFonts w:hint="eastAsia" w:ascii="宋体" w:hAnsi="宋体"/>
          <w:b/>
          <w:bCs/>
          <w:color w:val="000000" w:themeColor="text1"/>
          <w:sz w:val="21"/>
          <w:szCs w:val="21"/>
          <w:highlight w:val="none"/>
          <w14:textFill>
            <w14:solidFill>
              <w14:schemeClr w14:val="tx1"/>
            </w14:solidFill>
          </w14:textFill>
        </w:rPr>
        <w:t>，如果不一致以开标一览表内容为准；</w:t>
      </w:r>
    </w:p>
    <w:p>
      <w:pPr>
        <w:spacing w:line="360" w:lineRule="auto"/>
        <w:ind w:left="456" w:leftChars="228" w:firstLine="517" w:firstLineChars="245"/>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3、本开表一览表须装订在投标文件内，然后再单独打印一份签字和加盖印章后，随投标文件一同递交。</w:t>
      </w:r>
    </w:p>
    <w:p>
      <w:pPr>
        <w:spacing w:line="360" w:lineRule="auto"/>
        <w:ind w:left="456" w:leftChars="228" w:firstLine="492" w:firstLineChars="245"/>
        <w:rPr>
          <w:rFonts w:ascii="宋体" w:hAnsi="宋体"/>
          <w:b/>
          <w:bCs/>
          <w:color w:val="000000" w:themeColor="text1"/>
          <w:szCs w:val="21"/>
          <w:highlight w:val="none"/>
          <w14:textFill>
            <w14:solidFill>
              <w14:schemeClr w14:val="tx1"/>
            </w14:solidFill>
          </w14:textFill>
        </w:rPr>
      </w:pPr>
    </w:p>
    <w:p>
      <w:pPr>
        <w:spacing w:line="280" w:lineRule="exact"/>
        <w:ind w:firstLine="394" w:firstLineChars="196"/>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                                                                     </w:t>
      </w:r>
    </w:p>
    <w:p>
      <w:pPr>
        <w:spacing w:line="280" w:lineRule="exact"/>
        <w:rPr>
          <w:rFonts w:ascii="宋体" w:hAnsi="宋体"/>
          <w:b/>
          <w:bCs/>
          <w:color w:val="000000" w:themeColor="text1"/>
          <w:sz w:val="21"/>
          <w:szCs w:val="21"/>
          <w:highlight w:val="none"/>
          <w14:textFill>
            <w14:solidFill>
              <w14:schemeClr w14:val="tx1"/>
            </w14:solidFill>
          </w14:textFill>
        </w:rPr>
      </w:pPr>
    </w:p>
    <w:p>
      <w:pPr>
        <w:spacing w:line="280" w:lineRule="exact"/>
        <w:rPr>
          <w:rFonts w:ascii="宋体" w:hAnsi="宋体"/>
          <w:b/>
          <w:bCs/>
          <w:color w:val="000000" w:themeColor="text1"/>
          <w:sz w:val="21"/>
          <w:szCs w:val="21"/>
          <w:highlight w:val="none"/>
          <w14:textFill>
            <w14:solidFill>
              <w14:schemeClr w14:val="tx1"/>
            </w14:solidFill>
          </w14:textFill>
        </w:rPr>
      </w:pPr>
    </w:p>
    <w:p>
      <w:pPr>
        <w:spacing w:line="280" w:lineRule="exact"/>
        <w:rPr>
          <w:rFonts w:ascii="宋体" w:hAnsi="宋体"/>
          <w:b/>
          <w:bCs/>
          <w:color w:val="000000" w:themeColor="text1"/>
          <w:sz w:val="21"/>
          <w:szCs w:val="21"/>
          <w:highlight w:val="none"/>
          <w14:textFill>
            <w14:solidFill>
              <w14:schemeClr w14:val="tx1"/>
            </w14:solidFill>
          </w14:textFill>
        </w:rPr>
      </w:pPr>
    </w:p>
    <w:p>
      <w:pPr>
        <w:spacing w:line="280" w:lineRule="exact"/>
        <w:rPr>
          <w:rFonts w:ascii="宋体" w:hAnsi="宋体"/>
          <w:b/>
          <w:bCs/>
          <w:color w:val="000000" w:themeColor="text1"/>
          <w:sz w:val="21"/>
          <w:szCs w:val="21"/>
          <w:highlight w:val="none"/>
          <w14:textFill>
            <w14:solidFill>
              <w14:schemeClr w14:val="tx1"/>
            </w14:solidFill>
          </w14:textFill>
        </w:rPr>
      </w:pPr>
    </w:p>
    <w:p>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sz w:val="21"/>
          <w:szCs w:val="21"/>
          <w:highlight w:val="none"/>
        </w:rPr>
        <w:t>供应商名称</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（公章）                    </w:t>
      </w:r>
    </w:p>
    <w:p>
      <w:pPr>
        <w:spacing w:line="300" w:lineRule="auto"/>
        <w:ind w:firstLine="420" w:firstLineChars="200"/>
        <w:rPr>
          <w:rFonts w:ascii="宋体" w:hAnsi="宋体"/>
          <w:color w:val="000000" w:themeColor="text1"/>
          <w:sz w:val="21"/>
          <w:szCs w:val="21"/>
          <w:highlight w:val="none"/>
          <w14:textFill>
            <w14:solidFill>
              <w14:schemeClr w14:val="tx1"/>
            </w14:solidFill>
          </w14:textFill>
        </w:rPr>
      </w:pPr>
    </w:p>
    <w:p>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（盖章）</w:t>
      </w:r>
    </w:p>
    <w:p>
      <w:pPr>
        <w:spacing w:line="300" w:lineRule="auto"/>
        <w:ind w:firstLine="420" w:firstLineChars="200"/>
        <w:rPr>
          <w:rFonts w:ascii="宋体" w:hAnsi="宋体"/>
          <w:color w:val="000000" w:themeColor="text1"/>
          <w:sz w:val="21"/>
          <w:szCs w:val="21"/>
          <w:highlight w:val="none"/>
          <w14:textFill>
            <w14:solidFill>
              <w14:schemeClr w14:val="tx1"/>
            </w14:solidFill>
          </w14:textFill>
        </w:rPr>
      </w:pPr>
    </w:p>
    <w:p>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（签字）  </w:t>
      </w:r>
    </w:p>
    <w:p>
      <w:pPr>
        <w:spacing w:line="360" w:lineRule="auto"/>
        <w:ind w:firstLine="3990" w:firstLineChars="1900"/>
        <w:rPr>
          <w:rFonts w:ascii="宋体" w:hAnsi="宋体"/>
          <w:color w:val="000000" w:themeColor="text1"/>
          <w:sz w:val="21"/>
          <w:szCs w:val="21"/>
          <w:highlight w:val="none"/>
          <w14:textFill>
            <w14:solidFill>
              <w14:schemeClr w14:val="tx1"/>
            </w14:solidFill>
          </w14:textFill>
        </w:rPr>
      </w:pP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日　　期：</w:t>
      </w:r>
      <w:r>
        <w:rPr>
          <w:rFonts w:hint="eastAsia" w:ascii="宋体" w:hAnsi="宋体"/>
          <w:color w:val="000000" w:themeColor="text1"/>
          <w:sz w:val="21"/>
          <w:szCs w:val="21"/>
          <w:highlight w:val="none"/>
          <w:u w:val="single"/>
          <w14:textFill>
            <w14:solidFill>
              <w14:schemeClr w14:val="tx1"/>
            </w14:solidFill>
          </w14:textFill>
        </w:rPr>
        <w:t xml:space="preserve">                </w:t>
      </w:r>
    </w:p>
    <w:p>
      <w:pP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pPr>
        <w:ind w:firstLine="3373" w:firstLineChars="105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二、详细报价表</w:t>
      </w:r>
    </w:p>
    <w:p>
      <w:pPr>
        <w:rPr>
          <w:rFonts w:ascii="宋体" w:hAnsi="宋体" w:cs="仿宋_GB2312"/>
          <w:color w:val="000000" w:themeColor="text1"/>
          <w:spacing w:val="14"/>
          <w:sz w:val="32"/>
          <w:szCs w:val="32"/>
          <w:highlight w:val="none"/>
          <w14:textFill>
            <w14:solidFill>
              <w14:schemeClr w14:val="tx1"/>
            </w14:solidFill>
          </w14:textFill>
        </w:rPr>
      </w:pPr>
    </w:p>
    <w:tbl>
      <w:tblPr>
        <w:tblStyle w:val="43"/>
        <w:tblW w:w="9113"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281"/>
        <w:gridCol w:w="1075"/>
        <w:gridCol w:w="1180"/>
        <w:gridCol w:w="1081"/>
        <w:gridCol w:w="542"/>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113" w:type="dxa"/>
            <w:gridSpan w:val="7"/>
            <w:vAlign w:val="center"/>
          </w:tcPr>
          <w:p>
            <w:pPr>
              <w:rPr>
                <w:rFonts w:asciiTheme="minorEastAsia" w:hAnsiTheme="minorEastAsia" w:eastAsiaTheme="minorEastAsia"/>
                <w:b/>
                <w:sz w:val="21"/>
                <w:szCs w:val="21"/>
                <w:highlight w:val="none"/>
              </w:rPr>
            </w:pPr>
            <w:r>
              <w:rPr>
                <w:rFonts w:hint="eastAsia" w:asciiTheme="minorEastAsia" w:hAnsiTheme="minorEastAsia" w:eastAsiaTheme="minorEastAsia"/>
                <w:b/>
                <w:bCs/>
                <w:sz w:val="21"/>
                <w:szCs w:val="21"/>
                <w:highlight w:val="none"/>
                <w:lang w:val="en-US" w:eastAsia="zh-CN"/>
              </w:rPr>
              <w:t>项目</w:t>
            </w:r>
            <w:r>
              <w:rPr>
                <w:rFonts w:hint="eastAsia" w:asciiTheme="minorEastAsia" w:hAnsiTheme="minorEastAsia" w:eastAsiaTheme="minorEastAsia"/>
                <w:b/>
                <w:bCs/>
                <w:sz w:val="21"/>
                <w:szCs w:val="21"/>
                <w:highlight w:val="none"/>
              </w:rPr>
              <w:t xml:space="preserve">名称：                                                 </w:t>
            </w:r>
            <w:r>
              <w:rPr>
                <w:rFonts w:hint="eastAsia" w:asciiTheme="minorEastAsia" w:hAnsiTheme="minorEastAsia" w:eastAsiaTheme="minorEastAsia"/>
                <w:b/>
                <w:bCs/>
                <w:sz w:val="21"/>
                <w:szCs w:val="21"/>
                <w:highlight w:val="none"/>
                <w:lang w:val="en-US" w:eastAsia="zh-CN"/>
              </w:rPr>
              <w:t>项目</w:t>
            </w:r>
            <w:r>
              <w:rPr>
                <w:rFonts w:hint="eastAsia" w:asciiTheme="minorEastAsia" w:hAnsiTheme="minorEastAsia" w:eastAsiaTheme="minorEastAsia"/>
                <w:b/>
                <w:sz w:val="21"/>
                <w:szCs w:val="21"/>
                <w:highlight w:val="none"/>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113" w:type="dxa"/>
            <w:gridSpan w:val="7"/>
            <w:vAlign w:val="center"/>
          </w:tcPr>
          <w:p>
            <w:pP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货物明细表：（单位：元）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序号</w:t>
            </w:r>
          </w:p>
        </w:tc>
        <w:tc>
          <w:tcPr>
            <w:tcW w:w="2281" w:type="dxa"/>
            <w:vAlign w:val="center"/>
          </w:tcPr>
          <w:p>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货物名称</w:t>
            </w:r>
          </w:p>
        </w:tc>
        <w:tc>
          <w:tcPr>
            <w:tcW w:w="1075" w:type="dxa"/>
            <w:vAlign w:val="center"/>
          </w:tcPr>
          <w:p>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品牌型号</w:t>
            </w:r>
          </w:p>
        </w:tc>
        <w:tc>
          <w:tcPr>
            <w:tcW w:w="1180" w:type="dxa"/>
            <w:vAlign w:val="center"/>
          </w:tcPr>
          <w:p>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数量</w:t>
            </w:r>
          </w:p>
        </w:tc>
        <w:tc>
          <w:tcPr>
            <w:tcW w:w="1081" w:type="dxa"/>
            <w:vAlign w:val="center"/>
          </w:tcPr>
          <w:p>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单价</w:t>
            </w:r>
          </w:p>
        </w:tc>
        <w:tc>
          <w:tcPr>
            <w:tcW w:w="2628" w:type="dxa"/>
            <w:gridSpan w:val="2"/>
            <w:vAlign w:val="center"/>
          </w:tcPr>
          <w:p>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分项总价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pPr>
              <w:jc w:val="center"/>
              <w:rPr>
                <w:rFonts w:asciiTheme="minorEastAsia" w:hAnsiTheme="minorEastAsia" w:eastAsiaTheme="minorEastAsia"/>
                <w:sz w:val="21"/>
                <w:szCs w:val="21"/>
                <w:highlight w:val="none"/>
              </w:rPr>
            </w:pPr>
          </w:p>
        </w:tc>
        <w:tc>
          <w:tcPr>
            <w:tcW w:w="2281" w:type="dxa"/>
            <w:vAlign w:val="center"/>
          </w:tcPr>
          <w:p>
            <w:pPr>
              <w:jc w:val="center"/>
              <w:rPr>
                <w:rFonts w:asciiTheme="minorEastAsia" w:hAnsiTheme="minorEastAsia" w:eastAsiaTheme="minorEastAsia"/>
                <w:sz w:val="21"/>
                <w:szCs w:val="21"/>
                <w:highlight w:val="none"/>
              </w:rPr>
            </w:pPr>
          </w:p>
        </w:tc>
        <w:tc>
          <w:tcPr>
            <w:tcW w:w="1075" w:type="dxa"/>
            <w:vAlign w:val="center"/>
          </w:tcPr>
          <w:p>
            <w:pPr>
              <w:jc w:val="center"/>
              <w:rPr>
                <w:rFonts w:asciiTheme="minorEastAsia" w:hAnsiTheme="minorEastAsia" w:eastAsiaTheme="minorEastAsia"/>
                <w:sz w:val="21"/>
                <w:szCs w:val="21"/>
                <w:highlight w:val="none"/>
              </w:rPr>
            </w:pPr>
          </w:p>
        </w:tc>
        <w:tc>
          <w:tcPr>
            <w:tcW w:w="1180" w:type="dxa"/>
            <w:vAlign w:val="center"/>
          </w:tcPr>
          <w:p>
            <w:pPr>
              <w:jc w:val="center"/>
              <w:rPr>
                <w:rFonts w:asciiTheme="minorEastAsia" w:hAnsiTheme="minorEastAsia" w:eastAsiaTheme="minorEastAsia"/>
                <w:sz w:val="21"/>
                <w:szCs w:val="21"/>
                <w:highlight w:val="none"/>
              </w:rPr>
            </w:pPr>
          </w:p>
        </w:tc>
        <w:tc>
          <w:tcPr>
            <w:tcW w:w="1081" w:type="dxa"/>
            <w:vAlign w:val="center"/>
          </w:tcPr>
          <w:p>
            <w:pPr>
              <w:jc w:val="center"/>
              <w:rPr>
                <w:rFonts w:asciiTheme="minorEastAsia" w:hAnsiTheme="minorEastAsia" w:eastAsiaTheme="minorEastAsia"/>
                <w:sz w:val="21"/>
                <w:szCs w:val="21"/>
                <w:highlight w:val="none"/>
              </w:rPr>
            </w:pPr>
          </w:p>
        </w:tc>
        <w:tc>
          <w:tcPr>
            <w:tcW w:w="2628" w:type="dxa"/>
            <w:gridSpan w:val="2"/>
            <w:vAlign w:val="center"/>
          </w:tcPr>
          <w:p>
            <w:pPr>
              <w:jc w:val="center"/>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pPr>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w:t>
            </w:r>
          </w:p>
        </w:tc>
        <w:tc>
          <w:tcPr>
            <w:tcW w:w="2281" w:type="dxa"/>
            <w:vAlign w:val="center"/>
          </w:tcPr>
          <w:p>
            <w:pPr>
              <w:jc w:val="center"/>
              <w:rPr>
                <w:rFonts w:asciiTheme="minorEastAsia" w:hAnsiTheme="minorEastAsia" w:eastAsiaTheme="minorEastAsia"/>
                <w:sz w:val="21"/>
                <w:szCs w:val="21"/>
                <w:highlight w:val="none"/>
              </w:rPr>
            </w:pPr>
          </w:p>
        </w:tc>
        <w:tc>
          <w:tcPr>
            <w:tcW w:w="1075" w:type="dxa"/>
            <w:vAlign w:val="center"/>
          </w:tcPr>
          <w:p>
            <w:pPr>
              <w:jc w:val="center"/>
              <w:rPr>
                <w:rFonts w:asciiTheme="minorEastAsia" w:hAnsiTheme="minorEastAsia" w:eastAsiaTheme="minorEastAsia"/>
                <w:sz w:val="21"/>
                <w:szCs w:val="21"/>
                <w:highlight w:val="none"/>
              </w:rPr>
            </w:pPr>
          </w:p>
        </w:tc>
        <w:tc>
          <w:tcPr>
            <w:tcW w:w="1180" w:type="dxa"/>
            <w:vAlign w:val="center"/>
          </w:tcPr>
          <w:p>
            <w:pPr>
              <w:jc w:val="center"/>
              <w:rPr>
                <w:rFonts w:asciiTheme="minorEastAsia" w:hAnsiTheme="minorEastAsia" w:eastAsiaTheme="minorEastAsia"/>
                <w:sz w:val="21"/>
                <w:szCs w:val="21"/>
                <w:highlight w:val="none"/>
              </w:rPr>
            </w:pPr>
          </w:p>
        </w:tc>
        <w:tc>
          <w:tcPr>
            <w:tcW w:w="1081" w:type="dxa"/>
            <w:vAlign w:val="center"/>
          </w:tcPr>
          <w:p>
            <w:pPr>
              <w:jc w:val="center"/>
              <w:rPr>
                <w:rFonts w:asciiTheme="minorEastAsia" w:hAnsiTheme="minorEastAsia" w:eastAsiaTheme="minorEastAsia"/>
                <w:sz w:val="21"/>
                <w:szCs w:val="21"/>
                <w:highlight w:val="none"/>
              </w:rPr>
            </w:pPr>
          </w:p>
        </w:tc>
        <w:tc>
          <w:tcPr>
            <w:tcW w:w="2628" w:type="dxa"/>
            <w:gridSpan w:val="2"/>
            <w:vAlign w:val="center"/>
          </w:tcPr>
          <w:p>
            <w:pPr>
              <w:jc w:val="center"/>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pPr>
              <w:jc w:val="center"/>
              <w:rPr>
                <w:rFonts w:asciiTheme="minorEastAsia" w:hAnsiTheme="minorEastAsia" w:eastAsiaTheme="minorEastAsia"/>
                <w:sz w:val="21"/>
                <w:szCs w:val="21"/>
                <w:highlight w:val="none"/>
              </w:rPr>
            </w:pPr>
          </w:p>
        </w:tc>
        <w:tc>
          <w:tcPr>
            <w:tcW w:w="2281" w:type="dxa"/>
            <w:vAlign w:val="center"/>
          </w:tcPr>
          <w:p>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合计</w:t>
            </w:r>
          </w:p>
        </w:tc>
        <w:tc>
          <w:tcPr>
            <w:tcW w:w="1075" w:type="dxa"/>
            <w:vAlign w:val="center"/>
          </w:tcPr>
          <w:p>
            <w:pPr>
              <w:jc w:val="center"/>
              <w:rPr>
                <w:rFonts w:asciiTheme="minorEastAsia" w:hAnsiTheme="minorEastAsia" w:eastAsiaTheme="minorEastAsia"/>
                <w:sz w:val="21"/>
                <w:szCs w:val="21"/>
                <w:highlight w:val="none"/>
              </w:rPr>
            </w:pPr>
          </w:p>
        </w:tc>
        <w:tc>
          <w:tcPr>
            <w:tcW w:w="1180" w:type="dxa"/>
            <w:vAlign w:val="center"/>
          </w:tcPr>
          <w:p>
            <w:pPr>
              <w:jc w:val="center"/>
              <w:rPr>
                <w:rFonts w:asciiTheme="minorEastAsia" w:hAnsiTheme="minorEastAsia" w:eastAsiaTheme="minorEastAsia"/>
                <w:sz w:val="21"/>
                <w:szCs w:val="21"/>
                <w:highlight w:val="none"/>
              </w:rPr>
            </w:pPr>
          </w:p>
        </w:tc>
        <w:tc>
          <w:tcPr>
            <w:tcW w:w="1081" w:type="dxa"/>
            <w:vAlign w:val="center"/>
          </w:tcPr>
          <w:p>
            <w:pPr>
              <w:jc w:val="center"/>
              <w:rPr>
                <w:rFonts w:asciiTheme="minorEastAsia" w:hAnsiTheme="minorEastAsia" w:eastAsiaTheme="minorEastAsia"/>
                <w:sz w:val="21"/>
                <w:szCs w:val="21"/>
                <w:highlight w:val="none"/>
              </w:rPr>
            </w:pPr>
          </w:p>
        </w:tc>
        <w:tc>
          <w:tcPr>
            <w:tcW w:w="2628" w:type="dxa"/>
            <w:gridSpan w:val="2"/>
            <w:vAlign w:val="center"/>
          </w:tcPr>
          <w:p>
            <w:pPr>
              <w:jc w:val="center"/>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13" w:type="dxa"/>
            <w:gridSpan w:val="7"/>
            <w:vAlign w:val="center"/>
          </w:tcPr>
          <w:p>
            <w:pP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其他费用明细表：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8" w:type="dxa"/>
            <w:vAlign w:val="center"/>
          </w:tcPr>
          <w:p>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序号</w:t>
            </w:r>
          </w:p>
        </w:tc>
        <w:tc>
          <w:tcPr>
            <w:tcW w:w="2281" w:type="dxa"/>
            <w:vAlign w:val="center"/>
          </w:tcPr>
          <w:p>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项目</w:t>
            </w:r>
          </w:p>
        </w:tc>
        <w:tc>
          <w:tcPr>
            <w:tcW w:w="2255" w:type="dxa"/>
            <w:gridSpan w:val="2"/>
            <w:vAlign w:val="center"/>
          </w:tcPr>
          <w:p>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内容和标准</w:t>
            </w:r>
          </w:p>
        </w:tc>
        <w:tc>
          <w:tcPr>
            <w:tcW w:w="1623" w:type="dxa"/>
            <w:gridSpan w:val="2"/>
            <w:vAlign w:val="center"/>
          </w:tcPr>
          <w:p>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报价</w:t>
            </w:r>
          </w:p>
        </w:tc>
        <w:tc>
          <w:tcPr>
            <w:tcW w:w="2086" w:type="dxa"/>
            <w:vAlign w:val="center"/>
          </w:tcPr>
          <w:p>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8" w:type="dxa"/>
            <w:vAlign w:val="center"/>
          </w:tcPr>
          <w:p>
            <w:pPr>
              <w:jc w:val="center"/>
              <w:rPr>
                <w:rFonts w:asciiTheme="minorEastAsia" w:hAnsiTheme="minorEastAsia" w:eastAsiaTheme="minorEastAsia"/>
                <w:sz w:val="21"/>
                <w:szCs w:val="21"/>
                <w:highlight w:val="none"/>
              </w:rPr>
            </w:pPr>
          </w:p>
        </w:tc>
        <w:tc>
          <w:tcPr>
            <w:tcW w:w="2281" w:type="dxa"/>
            <w:vAlign w:val="center"/>
          </w:tcPr>
          <w:p>
            <w:pPr>
              <w:jc w:val="center"/>
              <w:rPr>
                <w:rFonts w:asciiTheme="minorEastAsia" w:hAnsiTheme="minorEastAsia" w:eastAsiaTheme="minorEastAsia"/>
                <w:sz w:val="21"/>
                <w:szCs w:val="21"/>
                <w:highlight w:val="none"/>
              </w:rPr>
            </w:pPr>
          </w:p>
        </w:tc>
        <w:tc>
          <w:tcPr>
            <w:tcW w:w="2255" w:type="dxa"/>
            <w:gridSpan w:val="2"/>
            <w:vAlign w:val="center"/>
          </w:tcPr>
          <w:p>
            <w:pPr>
              <w:jc w:val="center"/>
              <w:rPr>
                <w:rFonts w:asciiTheme="minorEastAsia" w:hAnsiTheme="minorEastAsia" w:eastAsiaTheme="minorEastAsia"/>
                <w:sz w:val="21"/>
                <w:szCs w:val="21"/>
                <w:highlight w:val="none"/>
              </w:rPr>
            </w:pPr>
          </w:p>
        </w:tc>
        <w:tc>
          <w:tcPr>
            <w:tcW w:w="1623" w:type="dxa"/>
            <w:gridSpan w:val="2"/>
            <w:vAlign w:val="center"/>
          </w:tcPr>
          <w:p>
            <w:pPr>
              <w:jc w:val="center"/>
              <w:rPr>
                <w:rFonts w:asciiTheme="minorEastAsia" w:hAnsiTheme="minorEastAsia" w:eastAsiaTheme="minorEastAsia"/>
                <w:sz w:val="21"/>
                <w:szCs w:val="21"/>
                <w:highlight w:val="none"/>
              </w:rPr>
            </w:pPr>
          </w:p>
        </w:tc>
        <w:tc>
          <w:tcPr>
            <w:tcW w:w="2086" w:type="dxa"/>
            <w:vAlign w:val="center"/>
          </w:tcPr>
          <w:p>
            <w:pPr>
              <w:jc w:val="center"/>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pPr>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w:t>
            </w:r>
          </w:p>
        </w:tc>
        <w:tc>
          <w:tcPr>
            <w:tcW w:w="2281" w:type="dxa"/>
            <w:vAlign w:val="center"/>
          </w:tcPr>
          <w:p>
            <w:pPr>
              <w:jc w:val="center"/>
              <w:rPr>
                <w:rFonts w:asciiTheme="minorEastAsia" w:hAnsiTheme="minorEastAsia" w:eastAsiaTheme="minorEastAsia"/>
                <w:sz w:val="21"/>
                <w:szCs w:val="21"/>
                <w:highlight w:val="none"/>
              </w:rPr>
            </w:pPr>
          </w:p>
        </w:tc>
        <w:tc>
          <w:tcPr>
            <w:tcW w:w="2255" w:type="dxa"/>
            <w:gridSpan w:val="2"/>
            <w:vAlign w:val="center"/>
          </w:tcPr>
          <w:p>
            <w:pPr>
              <w:jc w:val="center"/>
              <w:rPr>
                <w:rFonts w:asciiTheme="minorEastAsia" w:hAnsiTheme="minorEastAsia" w:eastAsiaTheme="minorEastAsia"/>
                <w:sz w:val="21"/>
                <w:szCs w:val="21"/>
                <w:highlight w:val="none"/>
              </w:rPr>
            </w:pPr>
          </w:p>
        </w:tc>
        <w:tc>
          <w:tcPr>
            <w:tcW w:w="1623" w:type="dxa"/>
            <w:gridSpan w:val="2"/>
            <w:vAlign w:val="center"/>
          </w:tcPr>
          <w:p>
            <w:pPr>
              <w:jc w:val="center"/>
              <w:rPr>
                <w:rFonts w:asciiTheme="minorEastAsia" w:hAnsiTheme="minorEastAsia" w:eastAsiaTheme="minorEastAsia"/>
                <w:sz w:val="21"/>
                <w:szCs w:val="21"/>
                <w:highlight w:val="none"/>
              </w:rPr>
            </w:pPr>
          </w:p>
        </w:tc>
        <w:tc>
          <w:tcPr>
            <w:tcW w:w="2086" w:type="dxa"/>
            <w:vAlign w:val="center"/>
          </w:tcPr>
          <w:p>
            <w:pPr>
              <w:jc w:val="center"/>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113" w:type="dxa"/>
            <w:gridSpan w:val="7"/>
            <w:vAlign w:val="center"/>
          </w:tcPr>
          <w:p>
            <w:pP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明细报价汇总表：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404" w:type="dxa"/>
            <w:gridSpan w:val="4"/>
            <w:vAlign w:val="center"/>
          </w:tcPr>
          <w:p>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投标</w:t>
            </w:r>
            <w:r>
              <w:rPr>
                <w:rFonts w:hint="eastAsia" w:asciiTheme="minorEastAsia" w:hAnsiTheme="minorEastAsia" w:eastAsiaTheme="minorEastAsia"/>
                <w:sz w:val="21"/>
                <w:szCs w:val="21"/>
                <w:highlight w:val="none"/>
                <w:lang w:val="zh-CN"/>
              </w:rPr>
              <w:t>报价</w:t>
            </w:r>
            <w:r>
              <w:rPr>
                <w:rFonts w:hint="eastAsia" w:asciiTheme="minorEastAsia" w:hAnsiTheme="minorEastAsia" w:eastAsiaTheme="minorEastAsia"/>
                <w:sz w:val="21"/>
                <w:szCs w:val="21"/>
                <w:highlight w:val="none"/>
              </w:rPr>
              <w:t>（货物报价合计</w:t>
            </w:r>
            <w:r>
              <w:rPr>
                <w:rFonts w:asciiTheme="minorEastAsia" w:hAnsiTheme="minorEastAsia" w:eastAsiaTheme="minorEastAsia"/>
                <w:sz w:val="21"/>
                <w:szCs w:val="21"/>
                <w:highlight w:val="none"/>
              </w:rPr>
              <w:t>+其他费用合计）</w:t>
            </w:r>
          </w:p>
        </w:tc>
        <w:tc>
          <w:tcPr>
            <w:tcW w:w="3709" w:type="dxa"/>
            <w:gridSpan w:val="3"/>
            <w:vAlign w:val="center"/>
          </w:tcPr>
          <w:p>
            <w:pP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大写：人民币</w:t>
            </w:r>
            <w:r>
              <w:rPr>
                <w:rFonts w:hint="eastAsia" w:asciiTheme="minorEastAsia" w:hAnsiTheme="minorEastAsia" w:eastAsiaTheme="minorEastAsia"/>
                <w:sz w:val="21"/>
                <w:szCs w:val="21"/>
                <w:highlight w:val="none"/>
                <w:u w:val="single"/>
              </w:rPr>
              <w:t xml:space="preserve">          元</w:t>
            </w:r>
          </w:p>
          <w:p>
            <w:pPr>
              <w:rPr>
                <w:rFonts w:asciiTheme="minorEastAsia" w:hAnsiTheme="minorEastAsia" w:eastAsiaTheme="minorEastAsia"/>
                <w:sz w:val="21"/>
                <w:szCs w:val="21"/>
                <w:highlight w:val="none"/>
                <w:u w:val="single"/>
              </w:rPr>
            </w:pPr>
            <w:r>
              <w:rPr>
                <w:rFonts w:hint="eastAsia" w:asciiTheme="minorEastAsia" w:hAnsiTheme="minorEastAsia" w:eastAsiaTheme="minorEastAsia"/>
                <w:sz w:val="21"/>
                <w:szCs w:val="21"/>
                <w:highlight w:val="none"/>
              </w:rPr>
              <w:t xml:space="preserve">小写：￥ </w:t>
            </w:r>
            <w:r>
              <w:rPr>
                <w:rFonts w:hint="eastAsia" w:asciiTheme="minorEastAsia" w:hAnsiTheme="minorEastAsia" w:eastAsiaTheme="minorEastAsia"/>
                <w:sz w:val="21"/>
                <w:szCs w:val="21"/>
                <w:highlight w:val="none"/>
                <w:u w:val="single"/>
              </w:rPr>
              <w:t xml:space="preserve">             元</w:t>
            </w:r>
          </w:p>
        </w:tc>
      </w:tr>
    </w:tbl>
    <w:p>
      <w:pPr>
        <w:spacing w:line="360" w:lineRule="auto"/>
        <w:ind w:firstLine="400" w:firstLineChars="200"/>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供应商名称：</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（公章）</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（签字）</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pPr>
        <w:autoSpaceDE w:val="0"/>
        <w:autoSpaceDN w:val="0"/>
        <w:adjustRightInd w:val="0"/>
        <w:snapToGrid w:val="0"/>
        <w:spacing w:line="249"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日      期： </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pPr>
        <w:pStyle w:val="19"/>
        <w:rPr>
          <w:rFonts w:ascii="宋体" w:hAnsi="宋体" w:cs="宋体"/>
          <w:b/>
          <w:color w:val="000000" w:themeColor="text1"/>
          <w:sz w:val="32"/>
          <w:szCs w:val="32"/>
          <w:highlight w:val="none"/>
          <w14:textFill>
            <w14:solidFill>
              <w14:schemeClr w14:val="tx1"/>
            </w14:solidFill>
          </w14:textFill>
        </w:rPr>
      </w:pPr>
    </w:p>
    <w:p>
      <w:pPr>
        <w:pStyle w:val="19"/>
        <w:rPr>
          <w:rFonts w:ascii="宋体" w:hAnsi="宋体" w:cs="宋体"/>
          <w:b/>
          <w:color w:val="000000" w:themeColor="text1"/>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jc w:val="center"/>
        <w:rPr>
          <w:rFonts w:ascii="宋体" w:hAnsi="宋体" w:cs="宋体"/>
          <w:b/>
          <w:color w:val="000000" w:themeColor="text1"/>
          <w:sz w:val="32"/>
          <w:szCs w:val="32"/>
          <w:highlight w:val="none"/>
          <w14:textFill>
            <w14:solidFill>
              <w14:schemeClr w14:val="tx1"/>
            </w14:solidFill>
          </w14:textFill>
        </w:rPr>
      </w:pPr>
    </w:p>
    <w:p>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三、投标函</w:t>
      </w:r>
    </w:p>
    <w:p>
      <w:pPr>
        <w:jc w:val="center"/>
        <w:rPr>
          <w:rFonts w:ascii="宋体" w:hAnsi="宋体"/>
          <w:color w:val="000000" w:themeColor="text1"/>
          <w:sz w:val="32"/>
          <w:szCs w:val="32"/>
          <w:highlight w:val="none"/>
          <w14:textFill>
            <w14:solidFill>
              <w14:schemeClr w14:val="tx1"/>
            </w14:solidFill>
          </w14:textFill>
        </w:rPr>
      </w:pP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（采购人名称）</w:t>
      </w:r>
    </w:p>
    <w:p>
      <w:pPr>
        <w:pStyle w:val="17"/>
        <w:widowControl w:val="0"/>
        <w:tabs>
          <w:tab w:val="left" w:pos="1468"/>
          <w:tab w:val="left" w:pos="3883"/>
        </w:tabs>
        <w:wordWrap w:val="0"/>
        <w:spacing w:line="312" w:lineRule="auto"/>
        <w:ind w:firstLine="420" w:firstLineChars="200"/>
        <w:jc w:val="both"/>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1.我</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已</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细</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究了</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3"/>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招标文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件</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全部</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内容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愿意以人民币（大写）</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）的投标总报价</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，合同履行期限（交货期）：</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完成本项目工作，质量标准</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2.一旦我方中标，我方保证按招标文件中所规定的范围和将签订的合同的内容完成任务，参与项目全过程的服务。我方将接受并遵守招标文件所规定的全部条款。</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3.我方同意本投标文件在</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须知中规定的开标日期对我方有约束力，并在</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须知规定的投标有限期截止之时为止，一直对我方有约束力且随时可能按此投标文件中标。</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4.在签署合同时，贵单位的中标通知书和本投标文件将构成约束我们双方的契约。</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5.我方承诺完全响应招标文件规定的投标有效期。</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sz w:val="21"/>
          <w:szCs w:val="21"/>
          <w:highlight w:val="none"/>
        </w:rPr>
        <w:t>供应商名称</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（公章）                    </w:t>
      </w:r>
    </w:p>
    <w:p>
      <w:pPr>
        <w:spacing w:line="300" w:lineRule="auto"/>
        <w:ind w:firstLine="420" w:firstLineChars="200"/>
        <w:rPr>
          <w:rFonts w:ascii="宋体" w:hAnsi="宋体"/>
          <w:color w:val="000000" w:themeColor="text1"/>
          <w:sz w:val="21"/>
          <w:szCs w:val="21"/>
          <w:highlight w:val="none"/>
          <w14:textFill>
            <w14:solidFill>
              <w14:schemeClr w14:val="tx1"/>
            </w14:solidFill>
          </w14:textFill>
        </w:rPr>
      </w:pPr>
    </w:p>
    <w:p>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（盖章）</w:t>
      </w:r>
    </w:p>
    <w:p>
      <w:pPr>
        <w:spacing w:line="300" w:lineRule="auto"/>
        <w:ind w:firstLine="420" w:firstLineChars="200"/>
        <w:rPr>
          <w:rFonts w:ascii="宋体" w:hAnsi="宋体"/>
          <w:color w:val="000000" w:themeColor="text1"/>
          <w:sz w:val="21"/>
          <w:szCs w:val="21"/>
          <w:highlight w:val="none"/>
          <w14:textFill>
            <w14:solidFill>
              <w14:schemeClr w14:val="tx1"/>
            </w14:solidFill>
          </w14:textFill>
        </w:rPr>
      </w:pPr>
    </w:p>
    <w:p>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（签字）  </w:t>
      </w:r>
    </w:p>
    <w:p>
      <w:pPr>
        <w:spacing w:line="360" w:lineRule="auto"/>
        <w:ind w:firstLine="3990" w:firstLineChars="1900"/>
        <w:rPr>
          <w:rFonts w:ascii="宋体" w:hAnsi="宋体"/>
          <w:color w:val="000000" w:themeColor="text1"/>
          <w:sz w:val="21"/>
          <w:szCs w:val="21"/>
          <w:highlight w:val="none"/>
          <w14:textFill>
            <w14:solidFill>
              <w14:schemeClr w14:val="tx1"/>
            </w14:solidFill>
          </w14:textFill>
        </w:rPr>
      </w:pP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日　　期：</w:t>
      </w:r>
      <w:r>
        <w:rPr>
          <w:rFonts w:hint="eastAsia" w:ascii="宋体" w:hAnsi="宋体"/>
          <w:color w:val="000000" w:themeColor="text1"/>
          <w:sz w:val="21"/>
          <w:szCs w:val="21"/>
          <w:highlight w:val="none"/>
          <w:u w:val="single"/>
          <w14:textFill>
            <w14:solidFill>
              <w14:schemeClr w14:val="tx1"/>
            </w14:solidFill>
          </w14:textFill>
        </w:rPr>
        <w:t xml:space="preserve">                </w:t>
      </w:r>
    </w:p>
    <w:p>
      <w:pP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br w:type="page"/>
      </w:r>
    </w:p>
    <w:p>
      <w:pPr>
        <w:pStyle w:val="4"/>
        <w:keepNext w:val="0"/>
        <w:keepLines w:val="0"/>
        <w:wordWrap w:val="0"/>
        <w:spacing w:line="360" w:lineRule="auto"/>
        <w:jc w:val="center"/>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报价函附录</w:t>
      </w:r>
    </w:p>
    <w:tbl>
      <w:tblPr>
        <w:tblStyle w:val="43"/>
        <w:tblW w:w="9180" w:type="dxa"/>
        <w:tblInd w:w="0" w:type="dxa"/>
        <w:tblLayout w:type="fixed"/>
        <w:tblCellMar>
          <w:top w:w="0" w:type="dxa"/>
          <w:left w:w="108" w:type="dxa"/>
          <w:bottom w:w="0" w:type="dxa"/>
          <w:right w:w="108" w:type="dxa"/>
        </w:tblCellMar>
      </w:tblPr>
      <w:tblGrid>
        <w:gridCol w:w="846"/>
        <w:gridCol w:w="2570"/>
        <w:gridCol w:w="3532"/>
        <w:gridCol w:w="2232"/>
      </w:tblGrid>
      <w:tr>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rPr>
                <w:rFonts w:ascii="宋体" w:hAnsi="宋体" w:cs="宋体"/>
                <w:sz w:val="21"/>
                <w:szCs w:val="21"/>
                <w:highlight w:val="none"/>
              </w:rPr>
            </w:pPr>
            <w:r>
              <w:rPr>
                <w:rFonts w:hint="eastAsia" w:ascii="宋体" w:hAnsi="宋体" w:cs="宋体"/>
                <w:sz w:val="21"/>
                <w:szCs w:val="21"/>
                <w:highlight w:val="none"/>
              </w:rPr>
              <w:t>序号</w:t>
            </w:r>
          </w:p>
        </w:tc>
        <w:tc>
          <w:tcPr>
            <w:tcW w:w="2570"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rPr>
                <w:rFonts w:ascii="宋体" w:hAnsi="宋体" w:cs="宋体"/>
                <w:sz w:val="21"/>
                <w:szCs w:val="21"/>
                <w:highlight w:val="none"/>
              </w:rPr>
            </w:pPr>
            <w:r>
              <w:rPr>
                <w:rFonts w:hint="eastAsia" w:ascii="宋体" w:hAnsi="宋体" w:cs="宋体"/>
                <w:sz w:val="21"/>
                <w:szCs w:val="21"/>
                <w:highlight w:val="none"/>
              </w:rPr>
              <w:t>条款名称</w:t>
            </w:r>
          </w:p>
        </w:tc>
        <w:tc>
          <w:tcPr>
            <w:tcW w:w="3532"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rPr>
                <w:rFonts w:ascii="宋体" w:hAnsi="宋体" w:cs="宋体"/>
                <w:sz w:val="21"/>
                <w:szCs w:val="21"/>
                <w:highlight w:val="none"/>
              </w:rPr>
            </w:pPr>
            <w:r>
              <w:rPr>
                <w:rFonts w:hint="eastAsia" w:ascii="宋体" w:hAnsi="宋体" w:cs="宋体"/>
                <w:sz w:val="21"/>
                <w:szCs w:val="21"/>
                <w:highlight w:val="none"/>
              </w:rPr>
              <w:t>约定内容</w:t>
            </w:r>
          </w:p>
        </w:tc>
        <w:tc>
          <w:tcPr>
            <w:tcW w:w="2232"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rPr>
                <w:rFonts w:ascii="宋体" w:hAnsi="宋体" w:cs="宋体"/>
                <w:sz w:val="21"/>
                <w:szCs w:val="21"/>
                <w:highlight w:val="none"/>
              </w:rPr>
            </w:pPr>
            <w:r>
              <w:rPr>
                <w:rFonts w:hint="eastAsia" w:ascii="宋体" w:hAnsi="宋体" w:cs="宋体"/>
                <w:sz w:val="21"/>
                <w:szCs w:val="21"/>
                <w:highlight w:val="none"/>
              </w:rPr>
              <w:t>是否响应</w:t>
            </w:r>
          </w:p>
        </w:tc>
      </w:tr>
      <w:tr>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sz w:val="21"/>
                <w:szCs w:val="21"/>
                <w:highlight w:val="none"/>
              </w:rPr>
            </w:pPr>
            <w:r>
              <w:rPr>
                <w:rFonts w:hint="eastAsia" w:ascii="宋体" w:hAnsi="宋体" w:cs="宋体"/>
                <w:sz w:val="21"/>
                <w:szCs w:val="21"/>
                <w:highlight w:val="none"/>
              </w:rPr>
              <w:t>1</w:t>
            </w:r>
          </w:p>
        </w:tc>
        <w:tc>
          <w:tcPr>
            <w:tcW w:w="2570"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rPr>
                <w:rFonts w:ascii="宋体" w:hAnsi="宋体" w:cs="宋体"/>
                <w:sz w:val="21"/>
                <w:szCs w:val="21"/>
                <w:highlight w:val="none"/>
              </w:rPr>
            </w:pPr>
            <w:r>
              <w:rPr>
                <w:rFonts w:hint="eastAsia" w:ascii="宋体" w:hAnsi="宋体" w:cs="宋体"/>
                <w:sz w:val="21"/>
                <w:szCs w:val="21"/>
                <w:highlight w:val="none"/>
              </w:rPr>
              <w:t>合同履行期限（交货期）</w:t>
            </w:r>
          </w:p>
        </w:tc>
        <w:tc>
          <w:tcPr>
            <w:tcW w:w="3532"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rPr>
                <w:rFonts w:ascii="宋体" w:hAnsi="宋体" w:cs="宋体"/>
                <w:sz w:val="21"/>
                <w:szCs w:val="21"/>
                <w:highlight w:val="none"/>
              </w:rPr>
            </w:pPr>
            <w:r>
              <w:rPr>
                <w:rFonts w:hint="eastAsia" w:ascii="宋体" w:hAnsi="宋体" w:cs="宋体"/>
                <w:sz w:val="21"/>
                <w:szCs w:val="21"/>
                <w:highlight w:val="none"/>
              </w:rPr>
              <w:t>均签订合同后30天之内交货</w:t>
            </w:r>
          </w:p>
        </w:tc>
        <w:tc>
          <w:tcPr>
            <w:tcW w:w="2232"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rPr>
                <w:rFonts w:ascii="宋体" w:hAnsi="宋体" w:cs="宋体"/>
                <w:sz w:val="21"/>
                <w:szCs w:val="21"/>
                <w:highlight w:val="none"/>
              </w:rPr>
            </w:pPr>
          </w:p>
        </w:tc>
      </w:tr>
      <w:tr>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sz w:val="21"/>
                <w:szCs w:val="21"/>
                <w:highlight w:val="none"/>
              </w:rPr>
            </w:pPr>
            <w:r>
              <w:rPr>
                <w:rFonts w:hint="eastAsia" w:ascii="宋体" w:hAnsi="宋体" w:cs="宋体"/>
                <w:sz w:val="21"/>
                <w:szCs w:val="21"/>
                <w:highlight w:val="none"/>
              </w:rPr>
              <w:t>2</w:t>
            </w:r>
          </w:p>
        </w:tc>
        <w:tc>
          <w:tcPr>
            <w:tcW w:w="2570"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rPr>
                <w:rFonts w:ascii="宋体" w:hAnsi="宋体" w:cs="宋体"/>
                <w:sz w:val="21"/>
                <w:szCs w:val="21"/>
                <w:highlight w:val="none"/>
              </w:rPr>
            </w:pPr>
            <w:r>
              <w:rPr>
                <w:rFonts w:hint="eastAsia" w:cs="宋体"/>
                <w:sz w:val="21"/>
                <w:szCs w:val="21"/>
                <w:highlight w:val="none"/>
              </w:rPr>
              <w:t>投标</w:t>
            </w:r>
            <w:r>
              <w:rPr>
                <w:rFonts w:hint="eastAsia" w:ascii="宋体" w:hAnsi="宋体" w:cs="宋体"/>
                <w:sz w:val="21"/>
                <w:szCs w:val="21"/>
                <w:highlight w:val="none"/>
              </w:rPr>
              <w:t>有效期</w:t>
            </w:r>
          </w:p>
        </w:tc>
        <w:tc>
          <w:tcPr>
            <w:tcW w:w="3532"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rPr>
                <w:rFonts w:ascii="宋体" w:hAnsi="宋体" w:cs="宋体"/>
                <w:sz w:val="21"/>
                <w:szCs w:val="21"/>
                <w:highlight w:val="none"/>
              </w:rPr>
            </w:pPr>
            <w:r>
              <w:rPr>
                <w:rFonts w:hint="eastAsia" w:ascii="宋体" w:hAnsi="宋体" w:cs="宋体"/>
                <w:sz w:val="21"/>
                <w:szCs w:val="21"/>
                <w:highlight w:val="none"/>
              </w:rPr>
              <w:t>90天</w:t>
            </w:r>
          </w:p>
        </w:tc>
        <w:tc>
          <w:tcPr>
            <w:tcW w:w="2232"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rPr>
                <w:rFonts w:ascii="宋体" w:hAnsi="宋体" w:cs="宋体"/>
                <w:sz w:val="21"/>
                <w:szCs w:val="21"/>
                <w:highlight w:val="none"/>
              </w:rPr>
            </w:pPr>
          </w:p>
        </w:tc>
      </w:tr>
      <w:tr>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sz w:val="21"/>
                <w:szCs w:val="21"/>
                <w:highlight w:val="none"/>
              </w:rPr>
            </w:pPr>
            <w:r>
              <w:rPr>
                <w:rFonts w:hint="eastAsia" w:ascii="宋体" w:hAnsi="宋体" w:cs="宋体"/>
                <w:sz w:val="21"/>
                <w:szCs w:val="21"/>
                <w:highlight w:val="none"/>
              </w:rPr>
              <w:t>3</w:t>
            </w:r>
          </w:p>
        </w:tc>
        <w:tc>
          <w:tcPr>
            <w:tcW w:w="2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40" w:lineRule="exact"/>
              <w:rPr>
                <w:rFonts w:ascii="宋体" w:hAnsi="宋体" w:cs="宋体"/>
                <w:kern w:val="2"/>
                <w:sz w:val="21"/>
                <w:szCs w:val="21"/>
                <w:highlight w:val="none"/>
              </w:rPr>
            </w:pPr>
            <w:r>
              <w:rPr>
                <w:rFonts w:hint="eastAsia" w:cs="宋体"/>
                <w:sz w:val="21"/>
                <w:szCs w:val="21"/>
                <w:highlight w:val="none"/>
              </w:rPr>
              <w:t>质量</w:t>
            </w:r>
            <w:r>
              <w:rPr>
                <w:rFonts w:hint="eastAsia" w:ascii="宋体" w:hAnsi="宋体" w:cs="宋体"/>
                <w:sz w:val="21"/>
                <w:szCs w:val="21"/>
                <w:highlight w:val="none"/>
              </w:rPr>
              <w:t>标准</w:t>
            </w:r>
          </w:p>
        </w:tc>
        <w:tc>
          <w:tcPr>
            <w:tcW w:w="3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40" w:lineRule="exact"/>
              <w:rPr>
                <w:rFonts w:ascii="宋体" w:hAnsi="宋体" w:cs="宋体"/>
                <w:kern w:val="2"/>
                <w:sz w:val="21"/>
                <w:szCs w:val="21"/>
                <w:highlight w:val="none"/>
              </w:rPr>
            </w:pPr>
            <w:r>
              <w:rPr>
                <w:rFonts w:hint="eastAsia" w:ascii="宋体" w:hAnsi="宋体" w:cs="宋体"/>
                <w:kern w:val="2"/>
                <w:sz w:val="21"/>
                <w:szCs w:val="21"/>
                <w:highlight w:val="none"/>
              </w:rPr>
              <w:t>符合国家及行业相关合格标准</w:t>
            </w:r>
          </w:p>
        </w:tc>
        <w:tc>
          <w:tcPr>
            <w:tcW w:w="2232"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rPr>
                <w:rFonts w:ascii="宋体" w:hAnsi="宋体" w:cs="宋体"/>
                <w:sz w:val="21"/>
                <w:szCs w:val="21"/>
                <w:highlight w:val="none"/>
              </w:rPr>
            </w:pPr>
          </w:p>
        </w:tc>
      </w:tr>
      <w:tr>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sz w:val="21"/>
                <w:szCs w:val="21"/>
                <w:highlight w:val="none"/>
              </w:rPr>
            </w:pPr>
            <w:r>
              <w:rPr>
                <w:rFonts w:hint="eastAsia" w:ascii="宋体" w:hAnsi="宋体" w:cs="宋体"/>
                <w:sz w:val="21"/>
                <w:szCs w:val="21"/>
                <w:highlight w:val="none"/>
              </w:rPr>
              <w:t>4</w:t>
            </w:r>
          </w:p>
        </w:tc>
        <w:tc>
          <w:tcPr>
            <w:tcW w:w="2570"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rPr>
                <w:rFonts w:ascii="宋体" w:hAnsi="宋体" w:cs="宋体"/>
                <w:kern w:val="2"/>
                <w:sz w:val="21"/>
                <w:szCs w:val="21"/>
                <w:highlight w:val="none"/>
              </w:rPr>
            </w:pPr>
            <w:r>
              <w:rPr>
                <w:rFonts w:hint="eastAsia" w:ascii="宋体" w:hAnsi="宋体" w:cs="宋体"/>
                <w:sz w:val="21"/>
                <w:szCs w:val="21"/>
                <w:highlight w:val="none"/>
              </w:rPr>
              <w:t>……</w:t>
            </w:r>
          </w:p>
        </w:tc>
        <w:tc>
          <w:tcPr>
            <w:tcW w:w="3532"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rPr>
                <w:rFonts w:ascii="宋体" w:hAnsi="宋体" w:cs="宋体"/>
                <w:kern w:val="2"/>
                <w:sz w:val="21"/>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rPr>
                <w:rFonts w:ascii="宋体" w:hAnsi="宋体" w:cs="宋体"/>
                <w:sz w:val="21"/>
                <w:szCs w:val="21"/>
                <w:highlight w:val="none"/>
              </w:rPr>
            </w:pPr>
          </w:p>
        </w:tc>
      </w:tr>
      <w:tr>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sz w:val="21"/>
                <w:szCs w:val="21"/>
                <w:highlight w:val="none"/>
              </w:rPr>
            </w:pPr>
          </w:p>
        </w:tc>
        <w:tc>
          <w:tcPr>
            <w:tcW w:w="2570"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rPr>
                <w:rFonts w:ascii="宋体" w:hAnsi="宋体" w:cs="宋体"/>
                <w:sz w:val="21"/>
                <w:szCs w:val="21"/>
                <w:highlight w:val="none"/>
              </w:rPr>
            </w:pPr>
          </w:p>
        </w:tc>
        <w:tc>
          <w:tcPr>
            <w:tcW w:w="3532" w:type="dxa"/>
            <w:tcBorders>
              <w:top w:val="single" w:color="auto" w:sz="4" w:space="0"/>
              <w:left w:val="single" w:color="auto" w:sz="4" w:space="0"/>
              <w:bottom w:val="single" w:color="auto" w:sz="4" w:space="0"/>
              <w:right w:val="single" w:color="auto" w:sz="4" w:space="0"/>
            </w:tcBorders>
            <w:vAlign w:val="center"/>
          </w:tcPr>
          <w:p>
            <w:pPr>
              <w:widowControl w:val="0"/>
              <w:rPr>
                <w:sz w:val="21"/>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rPr>
                <w:rFonts w:ascii="宋体" w:hAnsi="宋体" w:cs="宋体"/>
                <w:sz w:val="21"/>
                <w:szCs w:val="21"/>
                <w:highlight w:val="none"/>
              </w:rPr>
            </w:pPr>
          </w:p>
        </w:tc>
      </w:tr>
      <w:tr>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宋体" w:hAnsi="宋体" w:cs="宋体"/>
                <w:sz w:val="21"/>
                <w:szCs w:val="21"/>
                <w:highlight w:val="none"/>
              </w:rPr>
            </w:pPr>
          </w:p>
        </w:tc>
        <w:tc>
          <w:tcPr>
            <w:tcW w:w="2570"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rPr>
                <w:rFonts w:ascii="宋体" w:hAnsi="宋体" w:cs="宋体"/>
                <w:sz w:val="21"/>
                <w:szCs w:val="21"/>
                <w:highlight w:val="none"/>
              </w:rPr>
            </w:pPr>
          </w:p>
        </w:tc>
        <w:tc>
          <w:tcPr>
            <w:tcW w:w="3532"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rPr>
                <w:rFonts w:ascii="宋体" w:hAnsi="宋体" w:cs="宋体"/>
                <w:sz w:val="21"/>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rPr>
                <w:rFonts w:ascii="宋体" w:hAnsi="宋体" w:cs="宋体"/>
                <w:sz w:val="21"/>
                <w:szCs w:val="21"/>
                <w:highlight w:val="none"/>
              </w:rPr>
            </w:pPr>
          </w:p>
        </w:tc>
      </w:tr>
      <w:tr>
        <w:tblPrEx>
          <w:tblCellMar>
            <w:top w:w="0" w:type="dxa"/>
            <w:left w:w="108" w:type="dxa"/>
            <w:bottom w:w="0" w:type="dxa"/>
            <w:right w:w="108" w:type="dxa"/>
          </w:tblCellMar>
        </w:tblPrEx>
        <w:trPr>
          <w:trHeight w:val="617"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440" w:lineRule="exact"/>
              <w:rPr>
                <w:rFonts w:ascii="宋体" w:hAnsi="宋体" w:cs="宋体"/>
                <w:sz w:val="21"/>
                <w:szCs w:val="21"/>
                <w:highlight w:val="none"/>
              </w:rPr>
            </w:pPr>
            <w:r>
              <w:rPr>
                <w:rFonts w:hint="eastAsia" w:ascii="宋体" w:hAnsi="宋体" w:cs="宋体"/>
                <w:sz w:val="21"/>
                <w:szCs w:val="21"/>
                <w:highlight w:val="none"/>
              </w:rPr>
              <w:t>备注：供应商在响应招标文件中规定的实质性要求和条件的基础上，可做出其他有利于采购人的承诺。此类承诺可在本表中予以补充填写。</w:t>
            </w:r>
          </w:p>
        </w:tc>
      </w:tr>
    </w:tbl>
    <w:p>
      <w:pPr>
        <w:pStyle w:val="17"/>
        <w:wordWrap w:val="0"/>
        <w:rPr>
          <w:rFonts w:asciiTheme="minorEastAsia" w:hAnsiTheme="minorEastAsia" w:eastAsiaTheme="minorEastAsia" w:cstheme="minorEastAsia"/>
          <w:color w:val="000000" w:themeColor="text1"/>
          <w:highlight w:val="none"/>
          <w14:textFill>
            <w14:solidFill>
              <w14:schemeClr w14:val="tx1"/>
            </w14:solidFill>
          </w14:textFill>
        </w:rPr>
      </w:pPr>
    </w:p>
    <w:p>
      <w:pPr>
        <w:widowControl w:val="0"/>
        <w:spacing w:line="440" w:lineRule="exact"/>
        <w:rPr>
          <w:rFonts w:ascii="宋体" w:hAnsi="宋体" w:cs="宋体"/>
          <w:szCs w:val="21"/>
          <w:highlight w:val="none"/>
        </w:rPr>
      </w:pPr>
    </w:p>
    <w:p>
      <w:pPr>
        <w:widowControl w:val="0"/>
        <w:spacing w:line="440" w:lineRule="exact"/>
        <w:rPr>
          <w:rFonts w:ascii="宋体" w:hAnsi="宋体" w:cs="宋体"/>
          <w:szCs w:val="21"/>
          <w:highlight w:val="none"/>
        </w:rPr>
      </w:pPr>
    </w:p>
    <w:p>
      <w:pPr>
        <w:widowControl w:val="0"/>
        <w:spacing w:line="440" w:lineRule="exact"/>
        <w:rPr>
          <w:rFonts w:ascii="宋体" w:hAnsi="宋体" w:cs="宋体"/>
          <w:szCs w:val="21"/>
          <w:highlight w:val="none"/>
        </w:rPr>
      </w:pPr>
    </w:p>
    <w:p>
      <w:pPr>
        <w:widowControl w:val="0"/>
        <w:spacing w:line="440" w:lineRule="exact"/>
        <w:rPr>
          <w:rFonts w:ascii="宋体" w:hAnsi="宋体" w:cs="宋体"/>
          <w:sz w:val="21"/>
          <w:szCs w:val="21"/>
          <w:highlight w:val="none"/>
        </w:rPr>
      </w:pPr>
      <w:r>
        <w:rPr>
          <w:rFonts w:hint="eastAsia" w:ascii="宋体" w:hAnsi="宋体" w:cs="宋体"/>
          <w:sz w:val="21"/>
          <w:szCs w:val="21"/>
          <w:highlight w:val="none"/>
        </w:rPr>
        <w:t>供应商名称：</w:t>
      </w:r>
      <w:r>
        <w:rPr>
          <w:rFonts w:hint="eastAsia" w:ascii="宋体" w:hAnsi="宋体" w:cs="宋体"/>
          <w:sz w:val="21"/>
          <w:szCs w:val="21"/>
          <w:highlight w:val="none"/>
          <w:u w:val="single"/>
        </w:rPr>
        <w:t xml:space="preserve">                      </w:t>
      </w:r>
      <w:r>
        <w:rPr>
          <w:rFonts w:hint="eastAsia" w:ascii="宋体" w:hAnsi="宋体" w:cs="宋体"/>
          <w:sz w:val="21"/>
          <w:szCs w:val="21"/>
          <w:highlight w:val="none"/>
        </w:rPr>
        <w:t>（盖单位章）</w:t>
      </w:r>
    </w:p>
    <w:p>
      <w:pPr>
        <w:widowControl w:val="0"/>
        <w:spacing w:line="440" w:lineRule="exact"/>
        <w:rPr>
          <w:rFonts w:ascii="宋体" w:hAnsi="宋体" w:cs="宋体"/>
          <w:sz w:val="21"/>
          <w:szCs w:val="21"/>
          <w:highlight w:val="none"/>
        </w:rPr>
      </w:pPr>
    </w:p>
    <w:p>
      <w:pPr>
        <w:widowControl w:val="0"/>
        <w:spacing w:line="440" w:lineRule="exact"/>
        <w:rPr>
          <w:rFonts w:ascii="宋体" w:hAnsi="宋体" w:cs="宋体"/>
          <w:sz w:val="21"/>
          <w:szCs w:val="21"/>
          <w:highlight w:val="none"/>
        </w:rPr>
      </w:pPr>
      <w:r>
        <w:rPr>
          <w:rFonts w:hint="eastAsia" w:ascii="宋体" w:hAnsi="宋体" w:cs="宋体"/>
          <w:sz w:val="21"/>
          <w:szCs w:val="21"/>
          <w:highlight w:val="none"/>
        </w:rPr>
        <w:t>法定代表人或其委托代理人：</w:t>
      </w:r>
      <w:r>
        <w:rPr>
          <w:rFonts w:hint="eastAsia" w:ascii="宋体" w:hAnsi="宋体" w:cs="宋体"/>
          <w:sz w:val="21"/>
          <w:szCs w:val="21"/>
          <w:highlight w:val="none"/>
          <w:u w:val="single"/>
        </w:rPr>
        <w:t xml:space="preserve">          </w:t>
      </w:r>
      <w:r>
        <w:rPr>
          <w:rFonts w:hint="eastAsia" w:ascii="宋体" w:hAnsi="宋体" w:cs="宋体"/>
          <w:sz w:val="21"/>
          <w:szCs w:val="21"/>
          <w:highlight w:val="none"/>
        </w:rPr>
        <w:t>（签字）</w:t>
      </w:r>
    </w:p>
    <w:p>
      <w:pPr>
        <w:spacing w:line="440" w:lineRule="exact"/>
        <w:jc w:val="right"/>
        <w:rPr>
          <w:rFonts w:ascii="宋体" w:hAnsi="宋体" w:cs="宋体"/>
          <w:sz w:val="21"/>
          <w:szCs w:val="21"/>
          <w:highlight w:val="none"/>
          <w:u w:val="single"/>
        </w:rPr>
      </w:pPr>
    </w:p>
    <w:p>
      <w:pPr>
        <w:spacing w:line="440" w:lineRule="exact"/>
        <w:jc w:val="right"/>
        <w:rPr>
          <w:rFonts w:ascii="宋体" w:hAnsi="宋体" w:cs="宋体"/>
          <w:sz w:val="21"/>
          <w:szCs w:val="21"/>
          <w:highlight w:val="none"/>
          <w:u w:val="single"/>
        </w:rPr>
      </w:pPr>
    </w:p>
    <w:p>
      <w:pPr>
        <w:spacing w:line="440" w:lineRule="exact"/>
        <w:jc w:val="right"/>
        <w:rPr>
          <w:rFonts w:ascii="宋体" w:hAnsi="宋体" w:cs="宋体"/>
          <w:sz w:val="21"/>
          <w:szCs w:val="21"/>
          <w:highlight w:val="none"/>
        </w:rPr>
      </w:pP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pPr>
        <w:widowControl w:val="0"/>
        <w:numPr>
          <w:ilvl w:val="0"/>
          <w:numId w:val="13"/>
        </w:numPr>
        <w:spacing w:after="100" w:afterAutospacing="1" w:line="360" w:lineRule="auto"/>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pPr>
        <w:rPr>
          <w:color w:val="000000" w:themeColor="text1"/>
          <w:highlight w:val="none"/>
          <w14:textFill>
            <w14:solidFill>
              <w14:schemeClr w14:val="tx1"/>
            </w14:solidFill>
          </w14:textFill>
        </w:rPr>
      </w:pPr>
    </w:p>
    <w:p>
      <w:pPr>
        <w:pStyle w:val="91"/>
        <w:spacing w:after="100" w:afterAutospacing="1"/>
        <w:ind w:left="160"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四、法定代表人资格证明</w:t>
      </w:r>
    </w:p>
    <w:p>
      <w:pPr>
        <w:spacing w:after="100" w:afterAutospacing="1" w:line="360" w:lineRule="auto"/>
        <w:ind w:left="980"/>
        <w:jc w:val="center"/>
        <w:rPr>
          <w:rFonts w:ascii="宋体" w:hAnsi="宋体"/>
          <w:color w:val="000000" w:themeColor="text1"/>
          <w:sz w:val="32"/>
          <w:szCs w:val="32"/>
          <w:highlight w:val="none"/>
          <w14:textFill>
            <w14:solidFill>
              <w14:schemeClr w14:val="tx1"/>
            </w14:solidFill>
          </w14:textFill>
        </w:rPr>
      </w:pPr>
    </w:p>
    <w:p>
      <w:pPr>
        <w:tabs>
          <w:tab w:val="left" w:pos="400"/>
        </w:tabs>
        <w:autoSpaceDE w:val="0"/>
        <w:autoSpaceDN w:val="0"/>
        <w:adjustRightInd w:val="0"/>
        <w:spacing w:line="480" w:lineRule="auto"/>
        <w:ind w:left="136" w:leftChars="68" w:firstLine="205" w:firstLineChars="98"/>
        <w:rPr>
          <w:rFonts w:ascii="宋体" w:hAnsi="宋体" w:cs="宋体"/>
          <w:color w:val="000000" w:themeColor="text1"/>
          <w:sz w:val="21"/>
          <w:szCs w:val="21"/>
          <w:highlight w:val="none"/>
          <w:u w:val="singl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供应商名称</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p>
    <w:p>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单位性质</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w:t>
      </w:r>
    </w:p>
    <w:p>
      <w:pPr>
        <w:autoSpaceDE w:val="0"/>
        <w:autoSpaceDN w:val="0"/>
        <w:adjustRightInd w:val="0"/>
        <w:spacing w:line="480" w:lineRule="auto"/>
        <w:ind w:firstLine="420" w:firstLineChars="200"/>
        <w:rPr>
          <w:rFonts w:ascii="宋体" w:hAnsi="宋体" w:cs="宋体"/>
          <w:color w:val="000000" w:themeColor="text1"/>
          <w:sz w:val="21"/>
          <w:szCs w:val="21"/>
          <w:highlight w:val="none"/>
          <w:u w:val="singl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地址</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p>
    <w:p>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成立时间</w:t>
      </w:r>
      <w:r>
        <w:rPr>
          <w:rFonts w:ascii="宋体" w:hAnsi="宋体" w:cs="宋体"/>
          <w:color w:val="000000" w:themeColor="text1"/>
          <w:sz w:val="21"/>
          <w:szCs w:val="21"/>
          <w:highlight w:val="none"/>
          <w:u w:val="singl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年</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月</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日</w:t>
      </w:r>
    </w:p>
    <w:p>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经营期限</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p>
    <w:p>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姓名</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性别</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年龄</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职务</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w:t>
      </w:r>
    </w:p>
    <w:p>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系</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lang w:val="zh-CN"/>
          <w14:textFill>
            <w14:solidFill>
              <w14:schemeClr w14:val="tx1"/>
            </w14:solidFill>
          </w14:textFill>
        </w:rPr>
        <w:t>供应商名称</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lang w:val="zh-CN"/>
          <w14:textFill>
            <w14:solidFill>
              <w14:schemeClr w14:val="tx1"/>
            </w14:solidFill>
          </w14:textFill>
        </w:rPr>
        <w:t>的法定代表人。</w:t>
      </w:r>
    </w:p>
    <w:p>
      <w:pPr>
        <w:autoSpaceDE w:val="0"/>
        <w:autoSpaceDN w:val="0"/>
        <w:adjustRightInd w:val="0"/>
        <w:spacing w:line="360" w:lineRule="auto"/>
        <w:rPr>
          <w:rFonts w:ascii="宋体" w:hAnsi="宋体" w:cs="宋体"/>
          <w:color w:val="000000" w:themeColor="text1"/>
          <w:szCs w:val="18"/>
          <w:highlight w:val="none"/>
          <w:lang w:val="zh-CN"/>
          <w14:textFill>
            <w14:solidFill>
              <w14:schemeClr w14:val="tx1"/>
            </w14:solidFill>
          </w14:textFill>
        </w:rPr>
      </w:pPr>
      <w:r>
        <w:rPr>
          <w:rFonts w:ascii="宋体" w:hAnsi="宋体" w:cs="宋体"/>
          <w:color w:val="000000" w:themeColor="text1"/>
          <w:szCs w:val="18"/>
          <w:highlight w:val="none"/>
          <w:lang w:val="zh-CN"/>
          <w14:textFill>
            <w14:solidFill>
              <w14:schemeClr w14:val="tx1"/>
            </w14:solidFill>
          </w14:textFill>
        </w:rPr>
        <w:t xml:space="preserve">    </w:t>
      </w:r>
      <w:r>
        <w:rPr>
          <w:rFonts w:hint="eastAsia" w:ascii="宋体" w:hAnsi="宋体" w:cs="宋体"/>
          <w:color w:val="000000" w:themeColor="text1"/>
          <w:szCs w:val="18"/>
          <w:highlight w:val="none"/>
          <w:lang w:val="zh-CN"/>
          <w14:textFill>
            <w14:solidFill>
              <w14:schemeClr w14:val="tx1"/>
            </w14:solidFill>
          </w14:textFill>
        </w:rPr>
        <w:t xml:space="preserve">   </w:t>
      </w:r>
    </w:p>
    <w:p>
      <w:pPr>
        <w:autoSpaceDE w:val="0"/>
        <w:autoSpaceDN w:val="0"/>
        <w:adjustRightInd w:val="0"/>
        <w:spacing w:line="360" w:lineRule="auto"/>
        <w:rPr>
          <w:rFonts w:ascii="宋体" w:hAnsi="宋体" w:cs="宋体"/>
          <w:color w:val="000000" w:themeColor="text1"/>
          <w:szCs w:val="18"/>
          <w:highlight w:val="none"/>
          <w:lang w:val="zh-CN"/>
          <w14:textFill>
            <w14:solidFill>
              <w14:schemeClr w14:val="tx1"/>
            </w14:solidFill>
          </w14:textFill>
        </w:rPr>
      </w:pPr>
    </w:p>
    <w:p>
      <w:pPr>
        <w:spacing w:line="360" w:lineRule="auto"/>
        <w:ind w:firstLine="800" w:firstLineChars="400"/>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特此证明。</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trPr>
        <w:tc>
          <w:tcPr>
            <w:tcW w:w="9039" w:type="dxa"/>
          </w:tcPr>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附：法定代表人身份证复印件</w:t>
            </w:r>
          </w:p>
        </w:tc>
      </w:tr>
    </w:tbl>
    <w:p>
      <w:pPr>
        <w:spacing w:line="360" w:lineRule="auto"/>
        <w:rPr>
          <w:rFonts w:ascii="宋体" w:hAnsi="宋体"/>
          <w:color w:val="000000" w:themeColor="text1"/>
          <w:sz w:val="21"/>
          <w:szCs w:val="21"/>
          <w:highlight w:val="none"/>
          <w14:textFill>
            <w14:solidFill>
              <w14:schemeClr w14:val="tx1"/>
            </w14:solidFill>
          </w14:textFill>
        </w:rPr>
      </w:pPr>
    </w:p>
    <w:p>
      <w:pPr>
        <w:spacing w:line="360" w:lineRule="auto"/>
        <w:jc w:val="righ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p>
    <w:p>
      <w:pPr>
        <w:spacing w:line="360" w:lineRule="auto"/>
        <w:jc w:val="righ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sz w:val="21"/>
          <w:szCs w:val="21"/>
          <w:highlight w:val="none"/>
        </w:rPr>
        <w:t>供应商名称</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（公章）</w:t>
      </w:r>
    </w:p>
    <w:p>
      <w:pPr>
        <w:spacing w:line="360" w:lineRule="auto"/>
        <w:jc w:val="right"/>
        <w:rPr>
          <w:rFonts w:ascii="宋体" w:hAnsi="宋体"/>
          <w:color w:val="000000" w:themeColor="text1"/>
          <w:sz w:val="21"/>
          <w:szCs w:val="21"/>
          <w:highlight w:val="none"/>
          <w14:textFill>
            <w14:solidFill>
              <w14:schemeClr w14:val="tx1"/>
            </w14:solidFill>
          </w14:textFill>
        </w:rPr>
      </w:pPr>
    </w:p>
    <w:p>
      <w:pPr>
        <w:spacing w:line="440" w:lineRule="exact"/>
        <w:jc w:val="right"/>
        <w:rPr>
          <w:rFonts w:ascii="宋体" w:hAnsi="宋体" w:cs="宋体"/>
          <w:sz w:val="21"/>
          <w:szCs w:val="21"/>
          <w:highlight w:val="none"/>
        </w:rPr>
      </w:pPr>
      <w:r>
        <w:rPr>
          <w:rFonts w:hint="eastAsia" w:ascii="宋体" w:hAnsi="宋体"/>
          <w:color w:val="000000" w:themeColor="text1"/>
          <w:sz w:val="21"/>
          <w:szCs w:val="21"/>
          <w:highlight w:val="none"/>
          <w14:textFill>
            <w14:solidFill>
              <w14:schemeClr w14:val="tx1"/>
            </w14:solidFill>
          </w14:textFill>
        </w:rPr>
        <w:t xml:space="preserve">                   日  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pPr>
        <w:autoSpaceDE w:val="0"/>
        <w:autoSpaceDN w:val="0"/>
        <w:adjustRightInd w:val="0"/>
        <w:spacing w:line="360" w:lineRule="auto"/>
        <w:jc w:val="right"/>
        <w:rPr>
          <w:rFonts w:ascii="宋体" w:hAnsi="宋体" w:cs="宋体"/>
          <w:color w:val="000000" w:themeColor="text1"/>
          <w:sz w:val="21"/>
          <w:szCs w:val="21"/>
          <w:highlight w:val="none"/>
          <w:lang w:val="zh-CN"/>
          <w14:textFill>
            <w14:solidFill>
              <w14:schemeClr w14:val="tx1"/>
            </w14:solidFill>
          </w14:textFill>
        </w:rPr>
      </w:pPr>
    </w:p>
    <w:p>
      <w:pPr>
        <w:autoSpaceDE w:val="0"/>
        <w:autoSpaceDN w:val="0"/>
        <w:adjustRightInd w:val="0"/>
        <w:snapToGrid w:val="0"/>
        <w:spacing w:line="240" w:lineRule="exact"/>
        <w:rPr>
          <w:rFonts w:ascii="宋体" w:hAnsi="宋体"/>
          <w:color w:val="000000" w:themeColor="text1"/>
          <w:highlight w:val="none"/>
          <w14:textFill>
            <w14:solidFill>
              <w14:schemeClr w14:val="tx1"/>
            </w14:solidFill>
          </w14:textFill>
        </w:rPr>
      </w:pPr>
    </w:p>
    <w:p>
      <w:pPr>
        <w:rPr>
          <w:rFonts w:ascii="宋体" w:hAnsi="宋体"/>
          <w:color w:val="000000" w:themeColor="text1"/>
          <w:sz w:val="32"/>
          <w:szCs w:val="32"/>
          <w:highlight w:val="none"/>
          <w14:textFill>
            <w14:solidFill>
              <w14:schemeClr w14:val="tx1"/>
            </w14:solidFill>
          </w14:textFill>
        </w:rPr>
      </w:pPr>
    </w:p>
    <w:p>
      <w:pPr>
        <w:spacing w:after="100" w:afterAutospacing="1" w:line="360" w:lineRule="auto"/>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pPr>
        <w:rPr>
          <w:color w:val="000000" w:themeColor="text1"/>
          <w:highlight w:val="none"/>
          <w14:textFill>
            <w14:solidFill>
              <w14:schemeClr w14:val="tx1"/>
            </w14:solidFill>
          </w14:textFill>
        </w:rPr>
      </w:pPr>
    </w:p>
    <w:p>
      <w:pPr>
        <w:spacing w:after="100" w:afterAutospacing="1"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五、法定代表人授权委托书</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本授权委托书声明：</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我</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（姓名）系</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名称）的法定代表人，现授权委托</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（姓名）为我公司代表，以</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名称）的名义参加</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eastAsia="宋体" w:cs="宋体"/>
          <w:sz w:val="21"/>
          <w:szCs w:val="21"/>
          <w:highlight w:val="none"/>
          <w:u w:val="single"/>
        </w:rPr>
        <w:t>（</w:t>
      </w:r>
      <w:r>
        <w:rPr>
          <w:rFonts w:hint="eastAsia" w:ascii="宋体" w:cs="宋体"/>
          <w:sz w:val="21"/>
          <w:szCs w:val="21"/>
          <w:highlight w:val="none"/>
          <w:u w:val="single"/>
          <w:lang w:val="en-US" w:eastAsia="zh-CN"/>
        </w:rPr>
        <w:t>项目</w:t>
      </w:r>
      <w:r>
        <w:rPr>
          <w:rFonts w:hint="eastAsia" w:ascii="宋体" w:eastAsia="宋体" w:cs="宋体"/>
          <w:sz w:val="21"/>
          <w:szCs w:val="21"/>
          <w:highlight w:val="none"/>
          <w:u w:val="single"/>
        </w:rPr>
        <w:t>名称）</w:t>
      </w:r>
      <w:r>
        <w:rPr>
          <w:rFonts w:hint="eastAsia" w:ascii="宋体" w:cs="宋体"/>
          <w:sz w:val="21"/>
          <w:szCs w:val="21"/>
          <w:highlight w:val="none"/>
          <w:u w:val="single"/>
          <w:lang w:val="en-US" w:eastAsia="zh-CN"/>
        </w:rPr>
        <w:t xml:space="preserve">  </w:t>
      </w:r>
      <w:r>
        <w:rPr>
          <w:rFonts w:hint="eastAsia" w:ascii="宋体" w:eastAsia="宋体" w:cs="宋体"/>
          <w:sz w:val="21"/>
          <w:szCs w:val="21"/>
          <w:highlight w:val="none"/>
        </w:rPr>
        <w:t>（</w:t>
      </w: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eastAsia="宋体" w:cs="宋体"/>
          <w:sz w:val="21"/>
          <w:szCs w:val="21"/>
          <w:highlight w:val="none"/>
        </w:rPr>
        <w:t>编号：</w:t>
      </w:r>
      <w:r>
        <w:rPr>
          <w:rFonts w:hint="eastAsia" w:ascii="宋体" w:eastAsia="宋体" w:cs="宋体"/>
          <w:sz w:val="21"/>
          <w:szCs w:val="21"/>
          <w:highlight w:val="none"/>
          <w:u w:val="single"/>
        </w:rPr>
        <w:t>　　　</w:t>
      </w:r>
      <w:r>
        <w:rPr>
          <w:rFonts w:hint="eastAsia" w:ascii="宋体" w:eastAsia="宋体" w:cs="宋体"/>
          <w:sz w:val="21"/>
          <w:szCs w:val="21"/>
          <w:highlight w:val="none"/>
        </w:rPr>
        <w:t>）</w:t>
      </w:r>
      <w:r>
        <w:rPr>
          <w:rFonts w:hint="eastAsia" w:ascii="宋体" w:hAnsi="宋体"/>
          <w:color w:val="000000" w:themeColor="text1"/>
          <w:sz w:val="21"/>
          <w:szCs w:val="21"/>
          <w:highlight w:val="none"/>
          <w14:textFill>
            <w14:solidFill>
              <w14:schemeClr w14:val="tx1"/>
            </w14:solidFill>
          </w14:textFill>
        </w:rPr>
        <w:t>本项目投标活动。</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委托代理人在开标、评标、合同谈判过程中签署的一切文件和处理与之有关的一切事务，我均予以承认。</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委托代理人无转委托权。</w:t>
      </w:r>
    </w:p>
    <w:p>
      <w:pPr>
        <w:spacing w:line="360" w:lineRule="auto"/>
        <w:rPr>
          <w:rFonts w:ascii="宋体" w:hAnsi="宋体"/>
          <w:color w:val="000000" w:themeColor="text1"/>
          <w:sz w:val="21"/>
          <w:szCs w:val="21"/>
          <w:highlight w:val="none"/>
          <w14:textFill>
            <w14:solidFill>
              <w14:schemeClr w14:val="tx1"/>
            </w14:solidFill>
          </w14:textFill>
        </w:rPr>
      </w:pP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特此委托。</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4" w:hRule="atLeast"/>
        </w:trPr>
        <w:tc>
          <w:tcPr>
            <w:tcW w:w="9969" w:type="dxa"/>
          </w:tcPr>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附：委托代理人身份证复印件</w:t>
            </w:r>
          </w:p>
        </w:tc>
      </w:tr>
    </w:tbl>
    <w:p>
      <w:pPr>
        <w:spacing w:line="360" w:lineRule="auto"/>
        <w:ind w:firstLine="400" w:firstLineChars="200"/>
        <w:rPr>
          <w:rFonts w:ascii="宋体" w:hAnsi="宋体"/>
          <w:color w:val="000000" w:themeColor="text1"/>
          <w:szCs w:val="21"/>
          <w:highlight w:val="none"/>
          <w14:textFill>
            <w14:solidFill>
              <w14:schemeClr w14:val="tx1"/>
            </w14:solidFill>
          </w14:textFill>
        </w:rPr>
      </w:pPr>
    </w:p>
    <w:p>
      <w:pPr>
        <w:spacing w:line="360" w:lineRule="auto"/>
        <w:ind w:firstLine="400" w:firstLineChars="200"/>
        <w:rPr>
          <w:rFonts w:ascii="宋体" w:hAnsi="宋体"/>
          <w:color w:val="000000" w:themeColor="text1"/>
          <w:szCs w:val="21"/>
          <w:highlight w:val="none"/>
          <w14:textFill>
            <w14:solidFill>
              <w14:schemeClr w14:val="tx1"/>
            </w14:solidFill>
          </w14:textFill>
        </w:rPr>
      </w:pPr>
    </w:p>
    <w:p>
      <w:pPr>
        <w:spacing w:line="360" w:lineRule="auto"/>
        <w:ind w:firstLine="400" w:firstLineChars="200"/>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sz w:val="21"/>
          <w:szCs w:val="21"/>
          <w:highlight w:val="none"/>
        </w:rPr>
        <w:t>供应商名称</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（公章）</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（签字）</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pPr>
        <w:autoSpaceDE w:val="0"/>
        <w:autoSpaceDN w:val="0"/>
        <w:adjustRightInd w:val="0"/>
        <w:snapToGrid w:val="0"/>
        <w:spacing w:line="249"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日      期： </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pPr>
        <w:autoSpaceDE w:val="0"/>
        <w:autoSpaceDN w:val="0"/>
        <w:adjustRightInd w:val="0"/>
        <w:snapToGrid w:val="0"/>
        <w:spacing w:line="249" w:lineRule="exact"/>
        <w:rPr>
          <w:rFonts w:ascii="宋体" w:hAnsi="宋体" w:cs="宋体"/>
          <w:color w:val="000000" w:themeColor="text1"/>
          <w:sz w:val="24"/>
          <w:highlight w:val="none"/>
          <w14:textFill>
            <w14:solidFill>
              <w14:schemeClr w14:val="tx1"/>
            </w14:solidFill>
          </w14:textFill>
        </w:rPr>
      </w:pPr>
    </w:p>
    <w:p>
      <w:pPr>
        <w:rPr>
          <w:rFonts w:ascii="宋体" w:hAnsi="宋体"/>
          <w:b/>
          <w:color w:val="000000" w:themeColor="text1"/>
          <w:highlight w:val="none"/>
          <w14:textFill>
            <w14:solidFill>
              <w14:schemeClr w14:val="tx1"/>
            </w14:solidFill>
          </w14:textFill>
        </w:rPr>
      </w:pPr>
    </w:p>
    <w:p>
      <w:pPr>
        <w:rPr>
          <w:rFonts w:ascii="宋体" w:hAnsi="宋体" w:cs="仿宋_GB2312"/>
          <w:color w:val="000000" w:themeColor="text1"/>
          <w:spacing w:val="14"/>
          <w:sz w:val="32"/>
          <w:szCs w:val="32"/>
          <w:highlight w:val="none"/>
          <w14:textFill>
            <w14:solidFill>
              <w14:schemeClr w14:val="tx1"/>
            </w14:solidFill>
          </w14:textFill>
        </w:rPr>
      </w:pPr>
    </w:p>
    <w:p>
      <w:pPr>
        <w:jc w:val="center"/>
        <w:rPr>
          <w:color w:val="000000" w:themeColor="text1"/>
          <w:highlight w:val="none"/>
          <w14:textFill>
            <w14:solidFill>
              <w14:schemeClr w14:val="tx1"/>
            </w14:solidFill>
          </w14:textFill>
        </w:rPr>
      </w:pPr>
      <w:bookmarkStart w:id="80" w:name="_Toc455576013"/>
      <w:bookmarkStart w:id="81" w:name="_Toc201719190"/>
      <w:bookmarkStart w:id="82" w:name="_Toc455496977"/>
      <w:r>
        <w:rPr>
          <w:color w:val="000000" w:themeColor="text1"/>
          <w:highlight w:val="none"/>
          <w14:textFill>
            <w14:solidFill>
              <w14:schemeClr w14:val="tx1"/>
            </w14:solidFill>
          </w14:textFill>
        </w:rPr>
        <w:br w:type="page"/>
      </w:r>
      <w:bookmarkStart w:id="83" w:name="_Toc476591081"/>
    </w:p>
    <w:p>
      <w:pPr>
        <w:jc w:val="center"/>
        <w:rPr>
          <w:color w:val="000000" w:themeColor="text1"/>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六、投标保证金</w:t>
      </w:r>
      <w:bookmarkEnd w:id="80"/>
      <w:bookmarkEnd w:id="81"/>
      <w:bookmarkEnd w:id="82"/>
      <w:bookmarkEnd w:id="83"/>
    </w:p>
    <w:p>
      <w:pPr>
        <w:autoSpaceDE w:val="0"/>
        <w:autoSpaceDN w:val="0"/>
        <w:adjustRightInd w:val="0"/>
        <w:spacing w:line="400" w:lineRule="exact"/>
        <w:rPr>
          <w:rFonts w:ascii="宋体" w:hAnsi="宋体" w:cs="MS Sans Serif"/>
          <w:color w:val="000000" w:themeColor="text1"/>
          <w:szCs w:val="18"/>
          <w:highlight w:val="none"/>
          <w:u w:val="single"/>
          <w:lang w:val="zh-CN"/>
          <w14:textFill>
            <w14:solidFill>
              <w14:schemeClr w14:val="tx1"/>
            </w14:solidFill>
          </w14:textFill>
        </w:rPr>
      </w:pPr>
    </w:p>
    <w:p>
      <w:pPr>
        <w:spacing w:line="360" w:lineRule="auto"/>
        <w:ind w:firstLine="420" w:firstLineChars="200"/>
        <w:rPr>
          <w:rFonts w:ascii="宋体" w:hAnsi="宋体" w:cs="宋体"/>
          <w:bCs/>
          <w:sz w:val="21"/>
          <w:szCs w:val="21"/>
          <w:highlight w:val="none"/>
        </w:rPr>
      </w:pPr>
      <w:r>
        <w:rPr>
          <w:rFonts w:hint="eastAsia" w:ascii="宋体" w:hAnsi="宋体" w:cs="宋体"/>
          <w:bCs/>
          <w:sz w:val="21"/>
          <w:szCs w:val="21"/>
          <w:highlight w:val="none"/>
        </w:rPr>
        <w:t>根据长春市财政局发布的长财采购〔2021〕695 号文件要求，诚信记录良好的供应商不收取投标保证金，对于满足《中华人民共和国政府采购法》第二十二条有关规定，经“信用中国”网站查询存在行政处罚信息的供应商，采购人、采购代理机构可以按规定收取投标保证金。</w:t>
      </w:r>
    </w:p>
    <w:p>
      <w:pPr>
        <w:spacing w:line="360" w:lineRule="auto"/>
        <w:rPr>
          <w:rFonts w:ascii="宋体" w:hAnsi="宋体" w:cs="宋体"/>
          <w:bCs/>
          <w:color w:val="000000"/>
          <w:szCs w:val="21"/>
          <w:highlight w:val="none"/>
          <w:lang w:val="zh-CN"/>
        </w:rPr>
      </w:pPr>
    </w:p>
    <w:p>
      <w:pPr>
        <w:spacing w:before="240" w:beforeLines="100" w:after="120" w:afterLines="50" w:line="360" w:lineRule="auto"/>
        <w:ind w:firstLine="420" w:firstLineChars="200"/>
        <w:rPr>
          <w:rFonts w:ascii="宋体" w:hAnsi="宋体" w:cs="宋体"/>
          <w:bCs/>
          <w:sz w:val="24"/>
          <w:highlight w:val="none"/>
        </w:rPr>
      </w:pPr>
      <w:r>
        <w:rPr>
          <w:rFonts w:hint="eastAsia" w:ascii="宋体" w:hAnsi="宋体" w:cs="宋体"/>
          <w:sz w:val="21"/>
          <w:szCs w:val="21"/>
          <w:highlight w:val="none"/>
          <w:lang w:val="zh-CN"/>
        </w:rPr>
        <w:t>符合要求的供应商在投标文件中提供“信用中国”网站查询无行政处罚信息的证明材料。</w:t>
      </w:r>
    </w:p>
    <w:p>
      <w:pPr>
        <w:spacing w:before="240" w:beforeLines="100" w:after="120" w:afterLines="50" w:line="360" w:lineRule="auto"/>
        <w:ind w:firstLine="480" w:firstLineChars="200"/>
        <w:rPr>
          <w:rFonts w:ascii="宋体" w:hAnsi="宋体" w:cs="宋体"/>
          <w:bCs/>
          <w:sz w:val="24"/>
          <w:highlight w:val="none"/>
        </w:rPr>
      </w:pPr>
    </w:p>
    <w:p>
      <w:pPr>
        <w:spacing w:before="240" w:beforeLines="100" w:after="120" w:afterLines="50" w:line="360" w:lineRule="auto"/>
        <w:ind w:firstLine="480" w:firstLineChars="200"/>
        <w:rPr>
          <w:rFonts w:ascii="宋体" w:hAnsi="宋体" w:cs="宋体"/>
          <w:bCs/>
          <w:sz w:val="24"/>
          <w:highlight w:val="none"/>
        </w:rPr>
      </w:pPr>
    </w:p>
    <w:p>
      <w:pPr>
        <w:spacing w:before="240" w:beforeLines="100" w:after="120" w:afterLines="50" w:line="360" w:lineRule="auto"/>
        <w:ind w:firstLine="480" w:firstLineChars="200"/>
        <w:rPr>
          <w:rFonts w:ascii="宋体" w:hAnsi="宋体" w:cs="宋体"/>
          <w:bCs/>
          <w:sz w:val="24"/>
          <w:highlight w:val="none"/>
        </w:rPr>
      </w:pPr>
    </w:p>
    <w:p>
      <w:pPr>
        <w:spacing w:before="240" w:beforeLines="100" w:after="120" w:afterLines="50" w:line="360" w:lineRule="auto"/>
        <w:ind w:firstLine="480" w:firstLineChars="200"/>
        <w:rPr>
          <w:rFonts w:ascii="宋体" w:hAnsi="宋体" w:cs="宋体"/>
          <w:bCs/>
          <w:sz w:val="24"/>
          <w:highlight w:val="none"/>
        </w:rPr>
      </w:pPr>
    </w:p>
    <w:p>
      <w:pPr>
        <w:spacing w:before="240" w:beforeLines="100" w:after="120" w:afterLines="50" w:line="360" w:lineRule="auto"/>
        <w:ind w:firstLine="480" w:firstLineChars="200"/>
        <w:rPr>
          <w:rFonts w:ascii="宋体" w:hAnsi="宋体" w:cs="宋体"/>
          <w:bCs/>
          <w:sz w:val="24"/>
          <w:highlight w:val="none"/>
        </w:rPr>
      </w:pPr>
    </w:p>
    <w:p>
      <w:pPr>
        <w:spacing w:before="240" w:beforeLines="100" w:after="120" w:afterLines="50" w:line="360" w:lineRule="auto"/>
        <w:ind w:firstLine="480" w:firstLineChars="200"/>
        <w:rPr>
          <w:rFonts w:ascii="宋体" w:hAnsi="宋体" w:cs="宋体"/>
          <w:bCs/>
          <w:sz w:val="24"/>
          <w:highlight w:val="none"/>
        </w:rPr>
      </w:pPr>
    </w:p>
    <w:p>
      <w:pPr>
        <w:spacing w:before="240" w:beforeLines="100" w:after="120" w:afterLines="50" w:line="360" w:lineRule="auto"/>
        <w:ind w:firstLine="480" w:firstLineChars="200"/>
        <w:rPr>
          <w:rFonts w:ascii="宋体" w:hAnsi="宋体" w:cs="宋体"/>
          <w:bCs/>
          <w:sz w:val="24"/>
          <w:highlight w:val="none"/>
        </w:rPr>
      </w:pPr>
    </w:p>
    <w:p>
      <w:pPr>
        <w:spacing w:before="240" w:beforeLines="100" w:after="120" w:afterLines="50" w:line="360" w:lineRule="auto"/>
        <w:ind w:firstLine="480" w:firstLineChars="200"/>
        <w:rPr>
          <w:rFonts w:ascii="宋体" w:hAnsi="宋体" w:cs="宋体"/>
          <w:bCs/>
          <w:sz w:val="24"/>
          <w:highlight w:val="none"/>
        </w:rPr>
      </w:pPr>
    </w:p>
    <w:p>
      <w:pPr>
        <w:spacing w:before="240" w:beforeLines="100" w:after="120" w:afterLines="50" w:line="360" w:lineRule="auto"/>
        <w:ind w:firstLine="480" w:firstLineChars="200"/>
        <w:rPr>
          <w:rFonts w:ascii="宋体" w:hAnsi="宋体" w:cs="宋体"/>
          <w:bCs/>
          <w:sz w:val="24"/>
          <w:highlight w:val="none"/>
        </w:rPr>
      </w:pPr>
    </w:p>
    <w:p>
      <w:pPr>
        <w:spacing w:before="240" w:beforeLines="100" w:after="120" w:afterLines="50" w:line="360" w:lineRule="auto"/>
        <w:ind w:firstLine="480" w:firstLineChars="200"/>
        <w:rPr>
          <w:rFonts w:ascii="宋体" w:hAnsi="宋体" w:cs="宋体"/>
          <w:bCs/>
          <w:sz w:val="24"/>
          <w:highlight w:val="none"/>
        </w:rPr>
      </w:pPr>
    </w:p>
    <w:p>
      <w:pPr>
        <w:spacing w:before="240" w:beforeLines="100" w:after="120" w:afterLines="50" w:line="360" w:lineRule="auto"/>
        <w:ind w:firstLine="420" w:firstLineChars="200"/>
        <w:rPr>
          <w:rFonts w:ascii="宋体" w:hAnsi="宋体" w:cs="宋体"/>
          <w:sz w:val="21"/>
          <w:szCs w:val="21"/>
          <w:highlight w:val="none"/>
        </w:rPr>
      </w:pPr>
      <w:r>
        <w:rPr>
          <w:rFonts w:hint="eastAsia" w:ascii="宋体" w:hAnsi="宋体" w:cs="宋体"/>
          <w:bCs/>
          <w:sz w:val="21"/>
          <w:szCs w:val="21"/>
          <w:highlight w:val="none"/>
        </w:rPr>
        <w:t>注：后附</w:t>
      </w:r>
      <w:r>
        <w:rPr>
          <w:rFonts w:hint="eastAsia" w:ascii="宋体" w:hAnsi="宋体" w:cs="宋体"/>
          <w:bCs/>
          <w:sz w:val="21"/>
          <w:szCs w:val="21"/>
          <w:highlight w:val="none"/>
          <w:lang w:val="zh-CN"/>
        </w:rPr>
        <w:t>银行基本账户开户许可证或银行基本账户信息，</w:t>
      </w:r>
      <w:r>
        <w:rPr>
          <w:rFonts w:hint="eastAsia" w:ascii="宋体" w:hAnsi="宋体" w:cs="宋体"/>
          <w:bCs/>
          <w:sz w:val="21"/>
          <w:szCs w:val="21"/>
          <w:highlight w:val="none"/>
        </w:rPr>
        <w:t>如有投标</w:t>
      </w:r>
      <w:r>
        <w:rPr>
          <w:rFonts w:hint="eastAsia" w:ascii="宋体" w:hAnsi="宋体" w:cs="宋体"/>
          <w:bCs/>
          <w:sz w:val="21"/>
          <w:szCs w:val="21"/>
          <w:highlight w:val="none"/>
          <w:lang w:val="zh-CN"/>
        </w:rPr>
        <w:t>保证金（适用于存在行政处罚信息的供应商），</w:t>
      </w:r>
      <w:r>
        <w:rPr>
          <w:rFonts w:hint="eastAsia" w:ascii="宋体" w:hAnsi="宋体" w:cs="宋体"/>
          <w:bCs/>
          <w:sz w:val="21"/>
          <w:szCs w:val="21"/>
          <w:highlight w:val="none"/>
        </w:rPr>
        <w:t>提供</w:t>
      </w:r>
      <w:r>
        <w:rPr>
          <w:rFonts w:hint="eastAsia" w:ascii="宋体" w:hAnsi="宋体" w:cs="宋体"/>
          <w:bCs/>
          <w:sz w:val="21"/>
          <w:szCs w:val="21"/>
          <w:highlight w:val="none"/>
          <w:lang w:val="zh-CN"/>
        </w:rPr>
        <w:t>转账凭证</w:t>
      </w:r>
      <w:r>
        <w:rPr>
          <w:rFonts w:hint="eastAsia" w:ascii="宋体" w:hAnsi="宋体" w:cs="宋体"/>
          <w:bCs/>
          <w:sz w:val="21"/>
          <w:szCs w:val="21"/>
          <w:highlight w:val="none"/>
        </w:rPr>
        <w:t>复印件加盖公章。</w:t>
      </w:r>
    </w:p>
    <w:p>
      <w:pPr>
        <w:autoSpaceDE w:val="0"/>
        <w:autoSpaceDN w:val="0"/>
        <w:adjustRightInd w:val="0"/>
        <w:spacing w:line="400" w:lineRule="exact"/>
        <w:rPr>
          <w:rFonts w:ascii="宋体" w:hAnsi="宋体"/>
          <w:color w:val="000000" w:themeColor="text1"/>
          <w:szCs w:val="21"/>
          <w:highlight w:val="none"/>
          <w14:textFill>
            <w14:solidFill>
              <w14:schemeClr w14:val="tx1"/>
            </w14:solidFill>
          </w14:textFill>
        </w:rPr>
      </w:pPr>
    </w:p>
    <w:p>
      <w:pPr>
        <w:autoSpaceDE w:val="0"/>
        <w:autoSpaceDN w:val="0"/>
        <w:adjustRightInd w:val="0"/>
        <w:spacing w:line="400" w:lineRule="exact"/>
        <w:rPr>
          <w:rFonts w:ascii="宋体" w:hAnsi="宋体" w:cs="仿宋_GB2312"/>
          <w:color w:val="000000" w:themeColor="text1"/>
          <w:spacing w:val="14"/>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pPr>
        <w:autoSpaceDE w:val="0"/>
        <w:autoSpaceDN w:val="0"/>
        <w:adjustRightInd w:val="0"/>
        <w:spacing w:line="400" w:lineRule="exact"/>
        <w:rPr>
          <w:color w:val="000000" w:themeColor="text1"/>
          <w:highlight w:val="none"/>
          <w14:textFill>
            <w14:solidFill>
              <w14:schemeClr w14:val="tx1"/>
            </w14:solidFill>
          </w14:textFill>
        </w:rPr>
      </w:pPr>
      <w:r>
        <w:rPr>
          <w:rFonts w:hint="eastAsia" w:ascii="宋体" w:hAnsi="宋体" w:cs="MS Sans Serif"/>
          <w:bCs/>
          <w:color w:val="000000" w:themeColor="text1"/>
          <w:sz w:val="24"/>
          <w:highlight w:val="none"/>
          <w:lang w:val="zh-CN"/>
          <w14:textFill>
            <w14:solidFill>
              <w14:schemeClr w14:val="tx1"/>
            </w14:solidFill>
          </w14:textFill>
        </w:rPr>
        <w:t xml:space="preserve"> </w:t>
      </w:r>
    </w:p>
    <w:p>
      <w:pPr>
        <w:numPr>
          <w:ilvl w:val="0"/>
          <w:numId w:val="14"/>
        </w:numPr>
        <w:spacing w:after="100" w:afterAutospacing="1"/>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资格审查资料</w:t>
      </w:r>
    </w:p>
    <w:p>
      <w:pPr>
        <w:adjustRightInd w:val="0"/>
        <w:snapToGrid w:val="0"/>
        <w:spacing w:line="300" w:lineRule="auto"/>
        <w:jc w:val="center"/>
        <w:outlineLvl w:val="0"/>
        <w:rPr>
          <w:rFonts w:ascii="宋体" w:hAnsi="宋体" w:cs="宋体"/>
          <w:b/>
          <w:bCs/>
          <w:sz w:val="24"/>
          <w:szCs w:val="24"/>
          <w:highlight w:val="none"/>
        </w:rPr>
      </w:pPr>
      <w:bookmarkStart w:id="84" w:name="_bookmark204"/>
      <w:bookmarkEnd w:id="84"/>
      <w:bookmarkStart w:id="85" w:name="_Toc4621"/>
      <w:r>
        <w:rPr>
          <w:rFonts w:hint="eastAsia" w:ascii="宋体" w:hAnsi="宋体" w:cs="宋体"/>
          <w:b/>
          <w:bCs/>
          <w:sz w:val="24"/>
          <w:szCs w:val="24"/>
          <w:highlight w:val="none"/>
        </w:rPr>
        <w:t>（一）基本情况表</w:t>
      </w:r>
      <w:bookmarkEnd w:id="85"/>
    </w:p>
    <w:tbl>
      <w:tblPr>
        <w:tblStyle w:val="4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97"/>
        <w:gridCol w:w="1021"/>
        <w:gridCol w:w="1276"/>
        <w:gridCol w:w="195"/>
        <w:gridCol w:w="1246"/>
        <w:gridCol w:w="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pPr>
              <w:jc w:val="center"/>
              <w:rPr>
                <w:rFonts w:ascii="宋体" w:hAnsi="宋体" w:cs="宋体"/>
                <w:sz w:val="21"/>
                <w:szCs w:val="21"/>
                <w:highlight w:val="none"/>
              </w:rPr>
            </w:pPr>
            <w:r>
              <w:rPr>
                <w:rFonts w:hint="eastAsia" w:ascii="宋体" w:hAnsi="宋体" w:cs="宋体"/>
                <w:sz w:val="21"/>
                <w:szCs w:val="21"/>
                <w:highlight w:val="none"/>
              </w:rPr>
              <w:t>供应商名称</w:t>
            </w:r>
          </w:p>
        </w:tc>
        <w:tc>
          <w:tcPr>
            <w:tcW w:w="7305" w:type="dxa"/>
            <w:gridSpan w:val="7"/>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pPr>
              <w:jc w:val="center"/>
              <w:rPr>
                <w:rFonts w:ascii="宋体" w:hAnsi="宋体" w:cs="宋体"/>
                <w:sz w:val="21"/>
                <w:szCs w:val="21"/>
                <w:highlight w:val="none"/>
              </w:rPr>
            </w:pPr>
            <w:r>
              <w:rPr>
                <w:rFonts w:hint="eastAsia" w:ascii="宋体" w:hAnsi="宋体" w:cs="宋体"/>
                <w:sz w:val="21"/>
                <w:szCs w:val="21"/>
                <w:highlight w:val="none"/>
              </w:rPr>
              <w:t>注册地址</w:t>
            </w:r>
          </w:p>
        </w:tc>
        <w:tc>
          <w:tcPr>
            <w:tcW w:w="3389" w:type="dxa"/>
            <w:gridSpan w:val="4"/>
            <w:vAlign w:val="center"/>
          </w:tcPr>
          <w:p>
            <w:pPr>
              <w:jc w:val="center"/>
              <w:rPr>
                <w:rFonts w:ascii="宋体" w:hAnsi="宋体" w:cs="宋体"/>
                <w:sz w:val="21"/>
                <w:szCs w:val="21"/>
                <w:highlight w:val="none"/>
              </w:rPr>
            </w:pPr>
          </w:p>
        </w:tc>
        <w:tc>
          <w:tcPr>
            <w:tcW w:w="1246" w:type="dxa"/>
            <w:vAlign w:val="center"/>
          </w:tcPr>
          <w:p>
            <w:pPr>
              <w:jc w:val="center"/>
              <w:rPr>
                <w:rFonts w:ascii="宋体" w:hAnsi="宋体" w:cs="宋体"/>
                <w:sz w:val="21"/>
                <w:szCs w:val="21"/>
                <w:highlight w:val="none"/>
              </w:rPr>
            </w:pPr>
            <w:r>
              <w:rPr>
                <w:rFonts w:hint="eastAsia" w:ascii="宋体" w:hAnsi="宋体" w:cs="宋体"/>
                <w:sz w:val="21"/>
                <w:szCs w:val="21"/>
                <w:highlight w:val="none"/>
              </w:rPr>
              <w:t>邮政编码</w:t>
            </w:r>
          </w:p>
        </w:tc>
        <w:tc>
          <w:tcPr>
            <w:tcW w:w="2670" w:type="dxa"/>
            <w:gridSpan w:val="2"/>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restart"/>
            <w:vAlign w:val="center"/>
          </w:tcPr>
          <w:p>
            <w:pPr>
              <w:jc w:val="center"/>
              <w:rPr>
                <w:rFonts w:ascii="宋体" w:hAnsi="宋体" w:cs="宋体"/>
                <w:sz w:val="21"/>
                <w:szCs w:val="21"/>
                <w:highlight w:val="none"/>
              </w:rPr>
            </w:pPr>
            <w:r>
              <w:rPr>
                <w:rFonts w:hint="eastAsia" w:ascii="宋体" w:hAnsi="宋体" w:cs="宋体"/>
                <w:sz w:val="21"/>
                <w:szCs w:val="21"/>
                <w:highlight w:val="none"/>
              </w:rPr>
              <w:t>联系方式</w:t>
            </w:r>
          </w:p>
        </w:tc>
        <w:tc>
          <w:tcPr>
            <w:tcW w:w="897" w:type="dxa"/>
            <w:vAlign w:val="center"/>
          </w:tcPr>
          <w:p>
            <w:pPr>
              <w:jc w:val="center"/>
              <w:rPr>
                <w:rFonts w:ascii="宋体" w:hAnsi="宋体" w:cs="宋体"/>
                <w:sz w:val="21"/>
                <w:szCs w:val="21"/>
                <w:highlight w:val="none"/>
              </w:rPr>
            </w:pPr>
            <w:r>
              <w:rPr>
                <w:rFonts w:hint="eastAsia" w:ascii="宋体" w:hAnsi="宋体" w:cs="宋体"/>
                <w:sz w:val="21"/>
                <w:szCs w:val="21"/>
                <w:highlight w:val="none"/>
              </w:rPr>
              <w:t>联系人</w:t>
            </w:r>
          </w:p>
        </w:tc>
        <w:tc>
          <w:tcPr>
            <w:tcW w:w="2492" w:type="dxa"/>
            <w:gridSpan w:val="3"/>
            <w:vAlign w:val="center"/>
          </w:tcPr>
          <w:p>
            <w:pPr>
              <w:jc w:val="center"/>
              <w:rPr>
                <w:rFonts w:ascii="宋体" w:hAnsi="宋体" w:cs="宋体"/>
                <w:sz w:val="21"/>
                <w:szCs w:val="21"/>
                <w:highlight w:val="none"/>
              </w:rPr>
            </w:pPr>
          </w:p>
        </w:tc>
        <w:tc>
          <w:tcPr>
            <w:tcW w:w="1246" w:type="dxa"/>
            <w:vAlign w:val="center"/>
          </w:tcPr>
          <w:p>
            <w:pPr>
              <w:jc w:val="center"/>
              <w:rPr>
                <w:rFonts w:ascii="宋体" w:hAnsi="宋体" w:cs="宋体"/>
                <w:sz w:val="21"/>
                <w:szCs w:val="21"/>
                <w:highlight w:val="none"/>
              </w:rPr>
            </w:pPr>
            <w:r>
              <w:rPr>
                <w:rFonts w:hint="eastAsia" w:ascii="宋体" w:hAnsi="宋体" w:cs="宋体"/>
                <w:sz w:val="21"/>
                <w:szCs w:val="21"/>
                <w:highlight w:val="none"/>
              </w:rPr>
              <w:t>电  话</w:t>
            </w:r>
          </w:p>
        </w:tc>
        <w:tc>
          <w:tcPr>
            <w:tcW w:w="2670" w:type="dxa"/>
            <w:gridSpan w:val="2"/>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continue"/>
            <w:vAlign w:val="center"/>
          </w:tcPr>
          <w:p>
            <w:pPr>
              <w:jc w:val="center"/>
              <w:rPr>
                <w:rFonts w:ascii="宋体" w:hAnsi="宋体" w:cs="宋体"/>
                <w:sz w:val="21"/>
                <w:szCs w:val="21"/>
                <w:highlight w:val="none"/>
              </w:rPr>
            </w:pPr>
          </w:p>
        </w:tc>
        <w:tc>
          <w:tcPr>
            <w:tcW w:w="897" w:type="dxa"/>
            <w:vAlign w:val="center"/>
          </w:tcPr>
          <w:p>
            <w:pPr>
              <w:jc w:val="center"/>
              <w:rPr>
                <w:rFonts w:ascii="宋体" w:hAnsi="宋体" w:cs="宋体"/>
                <w:sz w:val="21"/>
                <w:szCs w:val="21"/>
                <w:highlight w:val="none"/>
              </w:rPr>
            </w:pPr>
            <w:r>
              <w:rPr>
                <w:rFonts w:hint="eastAsia" w:ascii="宋体" w:hAnsi="宋体" w:cs="宋体"/>
                <w:sz w:val="21"/>
                <w:szCs w:val="21"/>
                <w:highlight w:val="none"/>
              </w:rPr>
              <w:t>传  真</w:t>
            </w:r>
          </w:p>
        </w:tc>
        <w:tc>
          <w:tcPr>
            <w:tcW w:w="2492" w:type="dxa"/>
            <w:gridSpan w:val="3"/>
            <w:vAlign w:val="center"/>
          </w:tcPr>
          <w:p>
            <w:pPr>
              <w:jc w:val="center"/>
              <w:rPr>
                <w:rFonts w:ascii="宋体" w:hAnsi="宋体" w:cs="宋体"/>
                <w:sz w:val="21"/>
                <w:szCs w:val="21"/>
                <w:highlight w:val="none"/>
              </w:rPr>
            </w:pPr>
          </w:p>
        </w:tc>
        <w:tc>
          <w:tcPr>
            <w:tcW w:w="1246" w:type="dxa"/>
            <w:vAlign w:val="center"/>
          </w:tcPr>
          <w:p>
            <w:pPr>
              <w:jc w:val="center"/>
              <w:rPr>
                <w:rFonts w:ascii="宋体" w:hAnsi="宋体" w:cs="宋体"/>
                <w:sz w:val="21"/>
                <w:szCs w:val="21"/>
                <w:highlight w:val="none"/>
              </w:rPr>
            </w:pPr>
            <w:r>
              <w:rPr>
                <w:rFonts w:hint="eastAsia" w:ascii="宋体" w:hAnsi="宋体" w:cs="宋体"/>
                <w:sz w:val="21"/>
                <w:szCs w:val="21"/>
                <w:highlight w:val="none"/>
              </w:rPr>
              <w:t>网  址</w:t>
            </w:r>
          </w:p>
        </w:tc>
        <w:tc>
          <w:tcPr>
            <w:tcW w:w="2670" w:type="dxa"/>
            <w:gridSpan w:val="2"/>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pPr>
              <w:jc w:val="center"/>
              <w:rPr>
                <w:rFonts w:ascii="宋体" w:hAnsi="宋体" w:cs="宋体"/>
                <w:sz w:val="21"/>
                <w:szCs w:val="21"/>
                <w:highlight w:val="none"/>
              </w:rPr>
            </w:pPr>
            <w:r>
              <w:rPr>
                <w:rFonts w:hint="eastAsia" w:ascii="宋体" w:hAnsi="宋体" w:cs="宋体"/>
                <w:sz w:val="21"/>
                <w:szCs w:val="21"/>
                <w:highlight w:val="none"/>
              </w:rPr>
              <w:t>组织结构</w:t>
            </w:r>
          </w:p>
        </w:tc>
        <w:tc>
          <w:tcPr>
            <w:tcW w:w="7305" w:type="dxa"/>
            <w:gridSpan w:val="7"/>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pPr>
              <w:jc w:val="center"/>
              <w:rPr>
                <w:rFonts w:ascii="宋体" w:hAnsi="宋体" w:cs="宋体"/>
                <w:sz w:val="21"/>
                <w:szCs w:val="21"/>
                <w:highlight w:val="none"/>
              </w:rPr>
            </w:pPr>
            <w:r>
              <w:rPr>
                <w:rFonts w:hint="eastAsia" w:ascii="宋体" w:hAnsi="宋体" w:cs="宋体"/>
                <w:sz w:val="21"/>
                <w:szCs w:val="21"/>
                <w:highlight w:val="none"/>
              </w:rPr>
              <w:t>法定代表人</w:t>
            </w:r>
          </w:p>
        </w:tc>
        <w:tc>
          <w:tcPr>
            <w:tcW w:w="897" w:type="dxa"/>
            <w:vAlign w:val="center"/>
          </w:tcPr>
          <w:p>
            <w:pPr>
              <w:jc w:val="center"/>
              <w:rPr>
                <w:rFonts w:ascii="宋体" w:hAnsi="宋体" w:cs="宋体"/>
                <w:sz w:val="21"/>
                <w:szCs w:val="21"/>
                <w:highlight w:val="none"/>
              </w:rPr>
            </w:pPr>
            <w:r>
              <w:rPr>
                <w:rFonts w:hint="eastAsia" w:ascii="宋体" w:hAnsi="宋体" w:cs="宋体"/>
                <w:sz w:val="21"/>
                <w:szCs w:val="21"/>
                <w:highlight w:val="none"/>
              </w:rPr>
              <w:t>姓名</w:t>
            </w:r>
          </w:p>
        </w:tc>
        <w:tc>
          <w:tcPr>
            <w:tcW w:w="2297" w:type="dxa"/>
            <w:gridSpan w:val="2"/>
            <w:vAlign w:val="center"/>
          </w:tcPr>
          <w:p>
            <w:pPr>
              <w:jc w:val="center"/>
              <w:rPr>
                <w:rFonts w:ascii="宋体" w:hAnsi="宋体" w:cs="宋体"/>
                <w:sz w:val="21"/>
                <w:szCs w:val="21"/>
                <w:highlight w:val="none"/>
              </w:rPr>
            </w:pPr>
          </w:p>
        </w:tc>
        <w:tc>
          <w:tcPr>
            <w:tcW w:w="1701" w:type="dxa"/>
            <w:gridSpan w:val="3"/>
            <w:vAlign w:val="center"/>
          </w:tcPr>
          <w:p>
            <w:pPr>
              <w:jc w:val="center"/>
              <w:rPr>
                <w:rFonts w:ascii="宋体" w:hAnsi="宋体" w:cs="宋体"/>
                <w:kern w:val="2"/>
                <w:sz w:val="21"/>
                <w:szCs w:val="21"/>
                <w:highlight w:val="none"/>
              </w:rPr>
            </w:pPr>
            <w:r>
              <w:rPr>
                <w:rFonts w:hint="eastAsia" w:ascii="宋体" w:hAnsi="宋体" w:cs="宋体"/>
                <w:sz w:val="21"/>
                <w:szCs w:val="21"/>
                <w:highlight w:val="none"/>
              </w:rPr>
              <w:t>电话</w:t>
            </w:r>
          </w:p>
        </w:tc>
        <w:tc>
          <w:tcPr>
            <w:tcW w:w="2410" w:type="dxa"/>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pPr>
              <w:jc w:val="center"/>
              <w:rPr>
                <w:rFonts w:ascii="宋体" w:hAnsi="宋体" w:cs="宋体"/>
                <w:sz w:val="21"/>
                <w:szCs w:val="21"/>
                <w:highlight w:val="none"/>
              </w:rPr>
            </w:pPr>
            <w:r>
              <w:rPr>
                <w:rFonts w:hint="eastAsia" w:ascii="宋体" w:hAnsi="宋体" w:cs="宋体"/>
                <w:sz w:val="21"/>
                <w:szCs w:val="21"/>
                <w:highlight w:val="none"/>
              </w:rPr>
              <w:t>成立时间</w:t>
            </w:r>
          </w:p>
        </w:tc>
        <w:tc>
          <w:tcPr>
            <w:tcW w:w="1918" w:type="dxa"/>
            <w:gridSpan w:val="2"/>
            <w:vAlign w:val="center"/>
          </w:tcPr>
          <w:p>
            <w:pPr>
              <w:jc w:val="center"/>
              <w:rPr>
                <w:rFonts w:ascii="宋体" w:hAnsi="宋体" w:cs="宋体"/>
                <w:sz w:val="21"/>
                <w:szCs w:val="21"/>
                <w:highlight w:val="none"/>
              </w:rPr>
            </w:pPr>
          </w:p>
        </w:tc>
        <w:tc>
          <w:tcPr>
            <w:tcW w:w="5387" w:type="dxa"/>
            <w:gridSpan w:val="5"/>
            <w:vAlign w:val="center"/>
          </w:tcPr>
          <w:p>
            <w:pPr>
              <w:jc w:val="both"/>
              <w:rPr>
                <w:rFonts w:ascii="宋体" w:hAnsi="宋体" w:cs="宋体"/>
                <w:sz w:val="21"/>
                <w:szCs w:val="21"/>
                <w:highlight w:val="none"/>
              </w:rPr>
            </w:pPr>
            <w:r>
              <w:rPr>
                <w:rFonts w:hint="eastAsia" w:ascii="宋体" w:hAnsi="宋体" w:cs="宋体"/>
                <w:sz w:val="21"/>
                <w:szCs w:val="21"/>
                <w:highlight w:val="none"/>
              </w:rPr>
              <w:t>员工总人数：              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pPr>
              <w:jc w:val="center"/>
              <w:rPr>
                <w:rFonts w:ascii="宋体" w:hAnsi="宋体" w:cs="宋体"/>
                <w:sz w:val="21"/>
                <w:szCs w:val="21"/>
                <w:highlight w:val="none"/>
              </w:rPr>
            </w:pPr>
            <w:r>
              <w:rPr>
                <w:rFonts w:hint="eastAsia" w:ascii="宋体" w:hAnsi="宋体" w:cs="宋体"/>
                <w:sz w:val="21"/>
                <w:szCs w:val="21"/>
                <w:highlight w:val="none"/>
              </w:rPr>
              <w:t>营业执照号</w:t>
            </w:r>
          </w:p>
        </w:tc>
        <w:tc>
          <w:tcPr>
            <w:tcW w:w="7305" w:type="dxa"/>
            <w:gridSpan w:val="7"/>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pPr>
              <w:jc w:val="center"/>
              <w:rPr>
                <w:rFonts w:ascii="宋体" w:hAnsi="宋体" w:cs="宋体"/>
                <w:sz w:val="21"/>
                <w:szCs w:val="21"/>
                <w:highlight w:val="none"/>
              </w:rPr>
            </w:pPr>
            <w:r>
              <w:rPr>
                <w:rFonts w:hint="eastAsia" w:ascii="宋体" w:hAnsi="宋体" w:cs="宋体"/>
                <w:sz w:val="21"/>
                <w:szCs w:val="21"/>
                <w:highlight w:val="none"/>
              </w:rPr>
              <w:t>注册资金</w:t>
            </w:r>
          </w:p>
        </w:tc>
        <w:tc>
          <w:tcPr>
            <w:tcW w:w="7305" w:type="dxa"/>
            <w:gridSpan w:val="7"/>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pPr>
              <w:jc w:val="center"/>
              <w:rPr>
                <w:rFonts w:ascii="宋体" w:hAnsi="宋体" w:cs="宋体"/>
                <w:sz w:val="21"/>
                <w:szCs w:val="21"/>
                <w:highlight w:val="none"/>
              </w:rPr>
            </w:pPr>
            <w:r>
              <w:rPr>
                <w:rFonts w:hint="eastAsia" w:ascii="宋体" w:hAnsi="宋体" w:cs="宋体"/>
                <w:sz w:val="21"/>
                <w:szCs w:val="21"/>
                <w:highlight w:val="none"/>
              </w:rPr>
              <w:t>开户银行</w:t>
            </w:r>
          </w:p>
        </w:tc>
        <w:tc>
          <w:tcPr>
            <w:tcW w:w="7305" w:type="dxa"/>
            <w:gridSpan w:val="7"/>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pPr>
              <w:jc w:val="center"/>
              <w:rPr>
                <w:rFonts w:ascii="宋体" w:hAnsi="宋体" w:cs="宋体"/>
                <w:sz w:val="21"/>
                <w:szCs w:val="21"/>
                <w:highlight w:val="none"/>
              </w:rPr>
            </w:pPr>
            <w:r>
              <w:rPr>
                <w:rFonts w:hint="eastAsia" w:ascii="宋体" w:hAnsi="宋体" w:cs="宋体"/>
                <w:sz w:val="21"/>
                <w:szCs w:val="21"/>
                <w:highlight w:val="none"/>
              </w:rPr>
              <w:t>账号</w:t>
            </w:r>
          </w:p>
        </w:tc>
        <w:tc>
          <w:tcPr>
            <w:tcW w:w="7305" w:type="dxa"/>
            <w:gridSpan w:val="7"/>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95" w:type="dxa"/>
            <w:vAlign w:val="center"/>
          </w:tcPr>
          <w:p>
            <w:pPr>
              <w:jc w:val="center"/>
              <w:rPr>
                <w:rFonts w:ascii="宋体" w:hAnsi="宋体" w:cs="宋体"/>
                <w:sz w:val="21"/>
                <w:szCs w:val="21"/>
                <w:highlight w:val="none"/>
              </w:rPr>
            </w:pPr>
            <w:r>
              <w:rPr>
                <w:rFonts w:hint="eastAsia" w:ascii="宋体" w:hAnsi="宋体" w:cs="宋体"/>
                <w:sz w:val="21"/>
                <w:szCs w:val="21"/>
                <w:highlight w:val="none"/>
              </w:rPr>
              <w:t>经营范围</w:t>
            </w:r>
          </w:p>
        </w:tc>
        <w:tc>
          <w:tcPr>
            <w:tcW w:w="7305" w:type="dxa"/>
            <w:gridSpan w:val="7"/>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pPr>
              <w:jc w:val="center"/>
              <w:rPr>
                <w:rFonts w:ascii="宋体" w:hAnsi="宋体" w:cs="宋体"/>
                <w:sz w:val="21"/>
                <w:szCs w:val="21"/>
                <w:highlight w:val="none"/>
              </w:rPr>
            </w:pPr>
            <w:r>
              <w:rPr>
                <w:rFonts w:hint="eastAsia" w:ascii="宋体" w:hAnsi="宋体" w:cs="宋体"/>
                <w:sz w:val="21"/>
                <w:szCs w:val="21"/>
                <w:highlight w:val="none"/>
              </w:rPr>
              <w:t>备注</w:t>
            </w:r>
          </w:p>
        </w:tc>
        <w:tc>
          <w:tcPr>
            <w:tcW w:w="7305" w:type="dxa"/>
            <w:gridSpan w:val="7"/>
            <w:vAlign w:val="center"/>
          </w:tcPr>
          <w:p>
            <w:pPr>
              <w:jc w:val="center"/>
              <w:rPr>
                <w:rFonts w:ascii="宋体" w:hAnsi="宋体" w:cs="宋体"/>
                <w:sz w:val="21"/>
                <w:szCs w:val="21"/>
                <w:highlight w:val="none"/>
              </w:rPr>
            </w:pPr>
          </w:p>
        </w:tc>
      </w:tr>
    </w:tbl>
    <w:p>
      <w:pPr>
        <w:pStyle w:val="17"/>
        <w:wordWrap w:val="0"/>
        <w:spacing w:before="74" w:line="331" w:lineRule="auto"/>
        <w:ind w:left="240"/>
        <w:rPr>
          <w:rFonts w:ascii="宋体" w:hAnsi="宋体" w:cs="宋体"/>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5"/>
          <w:highlight w:val="none"/>
          <w14:textFill>
            <w14:solidFill>
              <w14:schemeClr w14:val="tx1"/>
            </w14:solidFill>
          </w14:textFill>
        </w:rPr>
        <w:t>注：</w:t>
      </w:r>
      <w:r>
        <w:rPr>
          <w:rFonts w:hint="eastAsia" w:cs="宋体"/>
          <w:spacing w:val="-5"/>
          <w:highlight w:val="none"/>
        </w:rPr>
        <w:t>后附营业执照、医疗器械相关证书或凭证等</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 xml:space="preserve">。 </w:t>
      </w:r>
    </w:p>
    <w:p>
      <w:pPr>
        <w:rPr>
          <w:color w:val="000000" w:themeColor="text1"/>
          <w:highlight w:val="none"/>
          <w14:textFill>
            <w14:solidFill>
              <w14:schemeClr w14:val="tx1"/>
            </w14:solidFill>
          </w14:textFill>
        </w:rPr>
      </w:pPr>
    </w:p>
    <w:p>
      <w:pPr>
        <w:adjustRightInd w:val="0"/>
        <w:snapToGrid w:val="0"/>
        <w:spacing w:line="300" w:lineRule="auto"/>
        <w:jc w:val="center"/>
        <w:outlineLvl w:val="0"/>
        <w:rPr>
          <w:rFonts w:ascii="宋体" w:hAnsi="宋体" w:cs="宋体"/>
          <w:b/>
          <w:bCs/>
          <w:sz w:val="32"/>
          <w:szCs w:val="32"/>
          <w:highlight w:val="none"/>
        </w:rPr>
      </w:pPr>
      <w:r>
        <w:rPr>
          <w:rFonts w:hint="eastAsia" w:ascii="宋体" w:hAnsi="宋体" w:cs="宋体"/>
          <w:b/>
          <w:color w:val="000000" w:themeColor="text1"/>
          <w:sz w:val="32"/>
          <w:szCs w:val="32"/>
          <w:highlight w:val="none"/>
          <w14:textFill>
            <w14:solidFill>
              <w14:schemeClr w14:val="tx1"/>
            </w14:solidFill>
          </w14:textFill>
        </w:rPr>
        <w:br w:type="page"/>
      </w:r>
      <w:r>
        <w:rPr>
          <w:rFonts w:hint="eastAsia" w:ascii="宋体" w:hAnsi="宋体" w:cs="宋体"/>
          <w:b/>
          <w:bCs/>
          <w:sz w:val="32"/>
          <w:szCs w:val="32"/>
          <w:highlight w:val="none"/>
        </w:rPr>
        <w:t>（</w:t>
      </w:r>
      <w:r>
        <w:rPr>
          <w:rFonts w:hint="eastAsia" w:cs="宋体"/>
          <w:b/>
          <w:bCs/>
          <w:sz w:val="32"/>
          <w:szCs w:val="32"/>
          <w:highlight w:val="none"/>
        </w:rPr>
        <w:t>二</w:t>
      </w:r>
      <w:r>
        <w:rPr>
          <w:rFonts w:hint="eastAsia" w:ascii="宋体" w:hAnsi="宋体" w:cs="宋体"/>
          <w:b/>
          <w:bCs/>
          <w:sz w:val="32"/>
          <w:szCs w:val="32"/>
          <w:highlight w:val="none"/>
        </w:rPr>
        <w:t>）</w:t>
      </w:r>
      <w:r>
        <w:rPr>
          <w:rFonts w:hint="eastAsia" w:cs="宋体"/>
          <w:b/>
          <w:bCs/>
          <w:sz w:val="32"/>
          <w:szCs w:val="32"/>
          <w:highlight w:val="none"/>
        </w:rPr>
        <w:t>资格条件承诺函</w:t>
      </w:r>
    </w:p>
    <w:p>
      <w:pPr>
        <w:spacing w:line="360" w:lineRule="auto"/>
        <w:rPr>
          <w:rFonts w:ascii="宋体" w:hAnsi="宋体" w:cs="宋体"/>
          <w:sz w:val="21"/>
          <w:szCs w:val="21"/>
          <w:highlight w:val="none"/>
        </w:rPr>
      </w:pPr>
      <w:bookmarkStart w:id="86" w:name="_bookmark206"/>
      <w:bookmarkEnd w:id="86"/>
    </w:p>
    <w:p>
      <w:pPr>
        <w:spacing w:line="480" w:lineRule="auto"/>
        <w:rPr>
          <w:rFonts w:ascii="宋体" w:hAnsi="宋体" w:cs="宋体"/>
          <w:sz w:val="21"/>
          <w:szCs w:val="21"/>
          <w:highlight w:val="none"/>
        </w:rPr>
      </w:pPr>
      <w:r>
        <w:rPr>
          <w:rFonts w:hint="eastAsia" w:ascii="宋体" w:hAnsi="宋体" w:cs="宋体"/>
          <w:sz w:val="21"/>
          <w:szCs w:val="21"/>
          <w:highlight w:val="none"/>
        </w:rPr>
        <w:t>致：</w:t>
      </w:r>
      <w:r>
        <w:rPr>
          <w:rFonts w:hint="eastAsia" w:ascii="宋体" w:hAnsi="宋体" w:cs="宋体"/>
          <w:sz w:val="21"/>
          <w:szCs w:val="21"/>
          <w:highlight w:val="none"/>
          <w:u w:val="single"/>
        </w:rPr>
        <w:t>（采购人、采购代理机构）</w:t>
      </w:r>
      <w:r>
        <w:rPr>
          <w:rFonts w:hint="eastAsia" w:ascii="宋体" w:hAnsi="宋体" w:cs="宋体"/>
          <w:sz w:val="21"/>
          <w:szCs w:val="21"/>
          <w:highlight w:val="none"/>
        </w:rPr>
        <w:t>:</w:t>
      </w:r>
    </w:p>
    <w:p>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我单位</w:t>
      </w:r>
      <w:r>
        <w:rPr>
          <w:rFonts w:hint="eastAsia" w:cs="宋体"/>
          <w:sz w:val="21"/>
          <w:szCs w:val="21"/>
          <w:highlight w:val="none"/>
          <w:u w:val="single"/>
        </w:rPr>
        <w:t xml:space="preserve">    </w:t>
      </w:r>
      <w:r>
        <w:rPr>
          <w:rFonts w:hint="eastAsia" w:ascii="宋体" w:hAnsi="宋体" w:cs="宋体"/>
          <w:sz w:val="21"/>
          <w:szCs w:val="21"/>
          <w:highlight w:val="none"/>
          <w:u w:val="single"/>
        </w:rPr>
        <w:t>（公司）</w:t>
      </w:r>
      <w:r>
        <w:rPr>
          <w:rFonts w:hint="eastAsia" w:cs="宋体"/>
          <w:sz w:val="21"/>
          <w:szCs w:val="21"/>
          <w:highlight w:val="none"/>
          <w:u w:val="single"/>
        </w:rPr>
        <w:t xml:space="preserve">   </w:t>
      </w:r>
      <w:r>
        <w:rPr>
          <w:rFonts w:hint="eastAsia" w:ascii="宋体" w:hAnsi="宋体" w:cs="宋体"/>
          <w:sz w:val="21"/>
          <w:szCs w:val="21"/>
          <w:highlight w:val="none"/>
        </w:rPr>
        <w:t>参与</w:t>
      </w:r>
      <w:r>
        <w:rPr>
          <w:rFonts w:hint="eastAsia" w:ascii="宋体" w:hAnsi="宋体" w:cs="宋体"/>
          <w:sz w:val="21"/>
          <w:szCs w:val="21"/>
          <w:highlight w:val="none"/>
          <w:u w:val="single"/>
        </w:rPr>
        <w:t>（采购项目名称</w:t>
      </w:r>
      <w:r>
        <w:rPr>
          <w:rFonts w:hint="eastAsia" w:cs="宋体"/>
          <w:sz w:val="21"/>
          <w:szCs w:val="21"/>
          <w:highlight w:val="none"/>
          <w:u w:val="single"/>
        </w:rPr>
        <w:t xml:space="preserve">  </w:t>
      </w:r>
      <w:r>
        <w:rPr>
          <w:rFonts w:hint="eastAsia" w:cs="宋体"/>
          <w:sz w:val="21"/>
          <w:szCs w:val="21"/>
          <w:highlight w:val="none"/>
          <w:u w:val="single"/>
          <w:lang w:val="en-US" w:eastAsia="zh-CN"/>
        </w:rPr>
        <w:t>项目</w:t>
      </w:r>
      <w:r>
        <w:rPr>
          <w:rFonts w:hint="eastAsia" w:ascii="宋体" w:hAnsi="宋体" w:cs="宋体"/>
          <w:sz w:val="21"/>
          <w:szCs w:val="21"/>
          <w:highlight w:val="none"/>
          <w:u w:val="single"/>
        </w:rPr>
        <w:t>编号）</w:t>
      </w:r>
      <w:r>
        <w:rPr>
          <w:rFonts w:hint="eastAsia" w:ascii="宋体" w:hAnsi="宋体" w:cs="宋体"/>
          <w:sz w:val="21"/>
          <w:szCs w:val="21"/>
          <w:highlight w:val="none"/>
        </w:rPr>
        <w:t>采购项目的政府采购活动，现承诺如下：</w:t>
      </w:r>
    </w:p>
    <w:p>
      <w:pPr>
        <w:spacing w:line="480" w:lineRule="auto"/>
        <w:ind w:firstLine="420" w:firstLineChars="200"/>
        <w:rPr>
          <w:rFonts w:ascii="宋体" w:hAnsi="宋体" w:cs="宋体"/>
          <w:sz w:val="21"/>
          <w:szCs w:val="21"/>
          <w:highlight w:val="none"/>
        </w:rPr>
      </w:pPr>
      <w:r>
        <w:rPr>
          <w:rFonts w:hint="eastAsia" w:cs="宋体"/>
          <w:sz w:val="21"/>
          <w:szCs w:val="21"/>
          <w:highlight w:val="none"/>
        </w:rPr>
        <w:t>1.</w:t>
      </w:r>
      <w:r>
        <w:rPr>
          <w:rFonts w:hint="eastAsia" w:ascii="宋体" w:hAnsi="宋体" w:cs="宋体"/>
          <w:sz w:val="21"/>
          <w:szCs w:val="21"/>
          <w:highlight w:val="none"/>
        </w:rPr>
        <w:t>具有良好的商业信誉和健全的财务会计制度；</w:t>
      </w:r>
    </w:p>
    <w:p>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2</w:t>
      </w:r>
      <w:r>
        <w:rPr>
          <w:rFonts w:hint="eastAsia" w:cs="宋体"/>
          <w:sz w:val="21"/>
          <w:szCs w:val="21"/>
          <w:highlight w:val="none"/>
        </w:rPr>
        <w:t>.</w:t>
      </w:r>
      <w:r>
        <w:rPr>
          <w:rFonts w:hint="eastAsia" w:ascii="宋体" w:hAnsi="宋体" w:cs="宋体"/>
          <w:sz w:val="21"/>
          <w:szCs w:val="21"/>
          <w:highlight w:val="none"/>
        </w:rPr>
        <w:t>具有依法缴纳税收的良好记录；</w:t>
      </w:r>
    </w:p>
    <w:p>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3</w:t>
      </w:r>
      <w:r>
        <w:rPr>
          <w:rFonts w:hint="eastAsia" w:cs="宋体"/>
          <w:sz w:val="21"/>
          <w:szCs w:val="21"/>
          <w:highlight w:val="none"/>
        </w:rPr>
        <w:t>.</w:t>
      </w:r>
      <w:r>
        <w:rPr>
          <w:rFonts w:hint="eastAsia" w:ascii="宋体" w:hAnsi="宋体" w:cs="宋体"/>
          <w:sz w:val="21"/>
          <w:szCs w:val="21"/>
          <w:highlight w:val="none"/>
        </w:rPr>
        <w:t>具有依法缴纳社会保障金的良好记录。</w:t>
      </w:r>
    </w:p>
    <w:p>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我方在采购项目评审（评标）环节结束后，随时接受采购人、采购代理机构的检查验证，配合提供相关证明材料，证明符合《中华人民共和国政府采购法》规定的供应商基本资格条件。</w:t>
      </w:r>
    </w:p>
    <w:p>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我单位</w:t>
      </w:r>
      <w:r>
        <w:rPr>
          <w:rFonts w:hint="eastAsia" w:cs="宋体"/>
          <w:sz w:val="21"/>
          <w:szCs w:val="21"/>
          <w:highlight w:val="none"/>
          <w:u w:val="single"/>
        </w:rPr>
        <w:t xml:space="preserve">    </w:t>
      </w:r>
      <w:r>
        <w:rPr>
          <w:rFonts w:hint="eastAsia" w:ascii="宋体" w:hAnsi="宋体" w:cs="宋体"/>
          <w:sz w:val="21"/>
          <w:szCs w:val="21"/>
          <w:highlight w:val="none"/>
          <w:u w:val="single"/>
        </w:rPr>
        <w:t>（公司）</w:t>
      </w:r>
      <w:r>
        <w:rPr>
          <w:rFonts w:hint="eastAsia" w:cs="宋体"/>
          <w:sz w:val="21"/>
          <w:szCs w:val="21"/>
          <w:highlight w:val="none"/>
          <w:u w:val="single"/>
        </w:rPr>
        <w:t xml:space="preserve">    </w:t>
      </w:r>
      <w:r>
        <w:rPr>
          <w:rFonts w:hint="eastAsia" w:ascii="宋体" w:hAnsi="宋体" w:cs="宋体"/>
          <w:sz w:val="21"/>
          <w:szCs w:val="21"/>
          <w:highlight w:val="none"/>
        </w:rPr>
        <w:t>对上述承诺的真实性负责。如有虚假，将依法承担相应责任。</w:t>
      </w:r>
    </w:p>
    <w:p>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特此承诺。</w:t>
      </w:r>
    </w:p>
    <w:p>
      <w:pPr>
        <w:wordWrap w:val="0"/>
        <w:spacing w:line="480" w:lineRule="auto"/>
        <w:jc w:val="right"/>
        <w:rPr>
          <w:rFonts w:ascii="宋体" w:hAnsi="宋体" w:cs="宋体"/>
          <w:sz w:val="21"/>
          <w:szCs w:val="21"/>
          <w:highlight w:val="none"/>
        </w:rPr>
      </w:pPr>
    </w:p>
    <w:p>
      <w:pPr>
        <w:wordWrap w:val="0"/>
        <w:spacing w:line="360" w:lineRule="auto"/>
        <w:jc w:val="right"/>
        <w:rPr>
          <w:rFonts w:ascii="宋体" w:hAnsi="宋体" w:cs="宋体"/>
          <w:sz w:val="21"/>
          <w:szCs w:val="21"/>
          <w:highlight w:val="none"/>
        </w:rPr>
      </w:pPr>
    </w:p>
    <w:p>
      <w:pPr>
        <w:wordWrap w:val="0"/>
        <w:spacing w:line="360" w:lineRule="auto"/>
        <w:jc w:val="right"/>
        <w:rPr>
          <w:rFonts w:ascii="宋体" w:hAnsi="宋体" w:cs="宋体"/>
          <w:sz w:val="21"/>
          <w:szCs w:val="21"/>
          <w:highlight w:val="none"/>
        </w:rPr>
      </w:pPr>
    </w:p>
    <w:p>
      <w:pPr>
        <w:wordWrap w:val="0"/>
        <w:spacing w:line="360" w:lineRule="auto"/>
        <w:jc w:val="right"/>
        <w:rPr>
          <w:rFonts w:ascii="宋体" w:hAnsi="宋体" w:cs="宋体"/>
          <w:sz w:val="21"/>
          <w:szCs w:val="21"/>
          <w:highlight w:val="none"/>
        </w:rPr>
      </w:pPr>
    </w:p>
    <w:p>
      <w:pPr>
        <w:wordWrap w:val="0"/>
        <w:spacing w:line="360" w:lineRule="auto"/>
        <w:jc w:val="right"/>
        <w:rPr>
          <w:rFonts w:ascii="宋体" w:hAnsi="宋体" w:cs="宋体"/>
          <w:sz w:val="21"/>
          <w:szCs w:val="21"/>
          <w:highlight w:val="none"/>
        </w:rPr>
      </w:pPr>
    </w:p>
    <w:p>
      <w:pPr>
        <w:wordWrap w:val="0"/>
        <w:spacing w:line="360" w:lineRule="auto"/>
        <w:jc w:val="right"/>
        <w:rPr>
          <w:rFonts w:ascii="宋体" w:hAnsi="宋体" w:cs="宋体"/>
          <w:sz w:val="21"/>
          <w:szCs w:val="21"/>
          <w:highlight w:val="none"/>
        </w:rPr>
      </w:pPr>
    </w:p>
    <w:p>
      <w:pPr>
        <w:wordWrap w:val="0"/>
        <w:spacing w:line="360" w:lineRule="auto"/>
        <w:jc w:val="right"/>
        <w:rPr>
          <w:rFonts w:ascii="宋体" w:hAnsi="宋体" w:cs="宋体"/>
          <w:sz w:val="21"/>
          <w:szCs w:val="21"/>
          <w:highlight w:val="none"/>
        </w:rPr>
      </w:pPr>
      <w:r>
        <w:rPr>
          <w:rFonts w:hint="eastAsia" w:ascii="宋体" w:hAnsi="宋体" w:cs="宋体"/>
          <w:sz w:val="21"/>
          <w:szCs w:val="21"/>
          <w:highlight w:val="none"/>
        </w:rPr>
        <w:t>盖章：</w:t>
      </w:r>
      <w:r>
        <w:rPr>
          <w:rFonts w:hint="eastAsia" w:cs="宋体"/>
          <w:sz w:val="21"/>
          <w:szCs w:val="21"/>
          <w:highlight w:val="none"/>
        </w:rPr>
        <w:t xml:space="preserve">                      </w:t>
      </w:r>
    </w:p>
    <w:p>
      <w:pPr>
        <w:wordWrap w:val="0"/>
        <w:spacing w:line="360" w:lineRule="auto"/>
        <w:jc w:val="right"/>
        <w:rPr>
          <w:rFonts w:ascii="宋体" w:hAnsi="宋体" w:cs="宋体"/>
          <w:sz w:val="21"/>
          <w:szCs w:val="21"/>
          <w:highlight w:val="none"/>
        </w:rPr>
      </w:pPr>
      <w:r>
        <w:rPr>
          <w:rFonts w:hint="eastAsia" w:ascii="宋体" w:hAnsi="宋体" w:cs="宋体"/>
          <w:sz w:val="21"/>
          <w:szCs w:val="21"/>
          <w:highlight w:val="none"/>
        </w:rPr>
        <w:t>签字：</w:t>
      </w:r>
      <w:r>
        <w:rPr>
          <w:rFonts w:hint="eastAsia" w:cs="宋体"/>
          <w:sz w:val="21"/>
          <w:szCs w:val="21"/>
          <w:highlight w:val="none"/>
        </w:rPr>
        <w:t xml:space="preserve">                      </w:t>
      </w:r>
    </w:p>
    <w:p>
      <w:pPr>
        <w:rPr>
          <w:rFonts w:ascii="宋体" w:hAnsi="宋体" w:cs="宋体"/>
          <w:b/>
          <w:color w:val="000000" w:themeColor="text1"/>
          <w:sz w:val="32"/>
          <w:szCs w:val="32"/>
          <w:highlight w:val="none"/>
          <w14:textFill>
            <w14:solidFill>
              <w14:schemeClr w14:val="tx1"/>
            </w14:solidFill>
          </w14:textFill>
        </w:rPr>
      </w:pPr>
      <w:r>
        <w:rPr>
          <w:rFonts w:hint="eastAsia" w:cs="宋体"/>
          <w:sz w:val="21"/>
          <w:szCs w:val="21"/>
          <w:highlight w:val="none"/>
        </w:rPr>
        <w:t xml:space="preserve">                                                          </w:t>
      </w:r>
      <w:r>
        <w:rPr>
          <w:rFonts w:hint="eastAsia" w:ascii="宋体" w:hAnsi="宋体" w:cs="宋体"/>
          <w:sz w:val="21"/>
          <w:szCs w:val="21"/>
          <w:highlight w:val="none"/>
        </w:rPr>
        <w:t>日期：</w:t>
      </w:r>
      <w:r>
        <w:rPr>
          <w:rFonts w:hint="eastAsia" w:cs="宋体"/>
          <w:sz w:val="21"/>
          <w:szCs w:val="21"/>
          <w:highlight w:val="none"/>
        </w:rPr>
        <w:t xml:space="preserve">        </w:t>
      </w:r>
    </w:p>
    <w:p>
      <w:pP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pPr>
        <w:spacing w:after="100" w:afterAutospacing="1" w:line="48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bCs/>
          <w:sz w:val="32"/>
          <w:szCs w:val="32"/>
          <w:highlight w:val="none"/>
        </w:rPr>
        <w:t>（</w:t>
      </w:r>
      <w:r>
        <w:rPr>
          <w:rFonts w:hint="eastAsia" w:cs="宋体"/>
          <w:b/>
          <w:bCs/>
          <w:sz w:val="32"/>
          <w:szCs w:val="32"/>
          <w:highlight w:val="none"/>
        </w:rPr>
        <w:t>三</w:t>
      </w:r>
      <w:r>
        <w:rPr>
          <w:rFonts w:hint="eastAsia" w:ascii="宋体" w:hAnsi="宋体" w:cs="宋体"/>
          <w:b/>
          <w:bCs/>
          <w:sz w:val="32"/>
          <w:szCs w:val="32"/>
          <w:highlight w:val="none"/>
        </w:rPr>
        <w:t>）近年完成的类似项目情况表</w:t>
      </w:r>
    </w:p>
    <w:tbl>
      <w:tblPr>
        <w:tblStyle w:val="43"/>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18"/>
        <w:gridCol w:w="6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pPr>
              <w:pStyle w:val="185"/>
              <w:wordWrap w:val="0"/>
              <w:rPr>
                <w:rFonts w:ascii="宋体" w:hAnsi="宋体" w:cs="宋体"/>
                <w:color w:val="000000" w:themeColor="text1"/>
                <w:sz w:val="17"/>
                <w:highlight w:val="none"/>
                <w14:textFill>
                  <w14:solidFill>
                    <w14:schemeClr w14:val="tx1"/>
                  </w14:solidFill>
                </w14:textFill>
              </w:rPr>
            </w:pPr>
          </w:p>
          <w:p>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项目名称</w:t>
            </w:r>
          </w:p>
        </w:tc>
        <w:tc>
          <w:tcPr>
            <w:tcW w:w="3669" w:type="pct"/>
          </w:tcPr>
          <w:p>
            <w:pPr>
              <w:wordWrap w:val="0"/>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pPr>
              <w:pStyle w:val="185"/>
              <w:wordWrap w:val="0"/>
              <w:rPr>
                <w:rFonts w:ascii="宋体" w:hAnsi="宋体" w:cs="宋体"/>
                <w:color w:val="000000" w:themeColor="text1"/>
                <w:sz w:val="17"/>
                <w:highlight w:val="none"/>
                <w14:textFill>
                  <w14:solidFill>
                    <w14:schemeClr w14:val="tx1"/>
                  </w14:solidFill>
                </w14:textFill>
              </w:rPr>
            </w:pPr>
          </w:p>
          <w:p>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项目所在地</w:t>
            </w:r>
          </w:p>
        </w:tc>
        <w:tc>
          <w:tcPr>
            <w:tcW w:w="3669" w:type="pct"/>
          </w:tcPr>
          <w:p>
            <w:pPr>
              <w:wordWrap w:val="0"/>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pPr>
              <w:pStyle w:val="185"/>
              <w:wordWrap w:val="0"/>
              <w:rPr>
                <w:rFonts w:ascii="宋体" w:hAnsi="宋体" w:cs="宋体"/>
                <w:color w:val="000000" w:themeColor="text1"/>
                <w:sz w:val="17"/>
                <w:highlight w:val="none"/>
                <w14:textFill>
                  <w14:solidFill>
                    <w14:schemeClr w14:val="tx1"/>
                  </w14:solidFill>
                </w14:textFill>
              </w:rPr>
            </w:pPr>
          </w:p>
          <w:p>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发包人名称</w:t>
            </w:r>
          </w:p>
        </w:tc>
        <w:tc>
          <w:tcPr>
            <w:tcW w:w="3669" w:type="pct"/>
          </w:tcPr>
          <w:p>
            <w:pPr>
              <w:wordWrap w:val="0"/>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1330" w:type="pct"/>
          </w:tcPr>
          <w:p>
            <w:pPr>
              <w:pStyle w:val="185"/>
              <w:wordWrap w:val="0"/>
              <w:rPr>
                <w:rFonts w:ascii="宋体" w:hAnsi="宋体" w:cs="宋体"/>
                <w:color w:val="000000" w:themeColor="text1"/>
                <w:sz w:val="17"/>
                <w:highlight w:val="none"/>
                <w14:textFill>
                  <w14:solidFill>
                    <w14:schemeClr w14:val="tx1"/>
                  </w14:solidFill>
                </w14:textFill>
              </w:rPr>
            </w:pPr>
          </w:p>
          <w:p>
            <w:pPr>
              <w:pStyle w:val="185"/>
              <w:wordWrap w:val="0"/>
              <w:spacing w:before="1"/>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发包人地址</w:t>
            </w:r>
          </w:p>
        </w:tc>
        <w:tc>
          <w:tcPr>
            <w:tcW w:w="3669" w:type="pct"/>
          </w:tcPr>
          <w:p>
            <w:pPr>
              <w:wordWrap w:val="0"/>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pPr>
              <w:pStyle w:val="185"/>
              <w:wordWrap w:val="0"/>
              <w:rPr>
                <w:rFonts w:ascii="宋体" w:hAnsi="宋体" w:cs="宋体"/>
                <w:color w:val="000000" w:themeColor="text1"/>
                <w:sz w:val="17"/>
                <w:highlight w:val="none"/>
                <w14:textFill>
                  <w14:solidFill>
                    <w14:schemeClr w14:val="tx1"/>
                  </w14:solidFill>
                </w14:textFill>
              </w:rPr>
            </w:pPr>
          </w:p>
          <w:p>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发包人电话</w:t>
            </w:r>
          </w:p>
        </w:tc>
        <w:tc>
          <w:tcPr>
            <w:tcW w:w="3669" w:type="pct"/>
          </w:tcPr>
          <w:p>
            <w:pPr>
              <w:wordWrap w:val="0"/>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pPr>
              <w:pStyle w:val="185"/>
              <w:wordWrap w:val="0"/>
              <w:rPr>
                <w:rFonts w:ascii="宋体" w:hAnsi="宋体" w:cs="宋体"/>
                <w:color w:val="000000" w:themeColor="text1"/>
                <w:sz w:val="17"/>
                <w:highlight w:val="none"/>
                <w14:textFill>
                  <w14:solidFill>
                    <w14:schemeClr w14:val="tx1"/>
                  </w14:solidFill>
                </w14:textFill>
              </w:rPr>
            </w:pPr>
          </w:p>
          <w:p>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合同价格</w:t>
            </w:r>
          </w:p>
        </w:tc>
        <w:tc>
          <w:tcPr>
            <w:tcW w:w="3669" w:type="pct"/>
          </w:tcPr>
          <w:p>
            <w:pPr>
              <w:wordWrap w:val="0"/>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pPr>
              <w:pStyle w:val="185"/>
              <w:wordWrap w:val="0"/>
              <w:rPr>
                <w:rFonts w:ascii="宋体" w:hAnsi="宋体" w:cs="宋体"/>
                <w:color w:val="000000" w:themeColor="text1"/>
                <w:sz w:val="17"/>
                <w:highlight w:val="none"/>
                <w14:textFill>
                  <w14:solidFill>
                    <w14:schemeClr w14:val="tx1"/>
                  </w14:solidFill>
                </w14:textFill>
              </w:rPr>
            </w:pPr>
          </w:p>
          <w:p>
            <w:pPr>
              <w:pStyle w:val="185"/>
              <w:wordWrap w:val="0"/>
              <w:ind w:left="479"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合同履行期限</w:t>
            </w:r>
          </w:p>
        </w:tc>
        <w:tc>
          <w:tcPr>
            <w:tcW w:w="3669" w:type="pct"/>
          </w:tcPr>
          <w:p>
            <w:pPr>
              <w:wordWrap w:val="0"/>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pPr>
              <w:pStyle w:val="185"/>
              <w:wordWrap w:val="0"/>
              <w:rPr>
                <w:rFonts w:ascii="宋体" w:hAnsi="宋体" w:cs="宋体"/>
                <w:color w:val="000000" w:themeColor="text1"/>
                <w:sz w:val="17"/>
                <w:highlight w:val="none"/>
                <w14:textFill>
                  <w14:solidFill>
                    <w14:schemeClr w14:val="tx1"/>
                  </w14:solidFill>
                </w14:textFill>
              </w:rPr>
            </w:pPr>
          </w:p>
          <w:p>
            <w:pPr>
              <w:pStyle w:val="185"/>
              <w:wordWrap w:val="0"/>
              <w:ind w:left="477"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工作内容</w:t>
            </w:r>
          </w:p>
        </w:tc>
        <w:tc>
          <w:tcPr>
            <w:tcW w:w="3669" w:type="pct"/>
          </w:tcPr>
          <w:p>
            <w:pPr>
              <w:wordWrap w:val="0"/>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1330" w:type="pct"/>
          </w:tcPr>
          <w:p>
            <w:pPr>
              <w:pStyle w:val="185"/>
              <w:wordWrap w:val="0"/>
              <w:rPr>
                <w:rFonts w:ascii="宋体" w:hAnsi="宋体" w:cs="宋体"/>
                <w:color w:val="000000" w:themeColor="text1"/>
                <w:highlight w:val="none"/>
                <w14:textFill>
                  <w14:solidFill>
                    <w14:schemeClr w14:val="tx1"/>
                  </w14:solidFill>
                </w14:textFill>
              </w:rPr>
            </w:pPr>
          </w:p>
          <w:p>
            <w:pPr>
              <w:pStyle w:val="185"/>
              <w:wordWrap w:val="0"/>
              <w:rPr>
                <w:rFonts w:ascii="宋体" w:hAnsi="宋体" w:cs="宋体"/>
                <w:color w:val="000000" w:themeColor="text1"/>
                <w:highlight w:val="none"/>
                <w14:textFill>
                  <w14:solidFill>
                    <w14:schemeClr w14:val="tx1"/>
                  </w14:solidFill>
                </w14:textFill>
              </w:rPr>
            </w:pPr>
          </w:p>
          <w:p>
            <w:pPr>
              <w:pStyle w:val="185"/>
              <w:wordWrap w:val="0"/>
              <w:rPr>
                <w:rFonts w:ascii="宋体" w:hAnsi="宋体" w:cs="宋体"/>
                <w:color w:val="000000" w:themeColor="text1"/>
                <w:highlight w:val="none"/>
                <w14:textFill>
                  <w14:solidFill>
                    <w14:schemeClr w14:val="tx1"/>
                  </w14:solidFill>
                </w14:textFill>
              </w:rPr>
            </w:pPr>
          </w:p>
          <w:p>
            <w:pPr>
              <w:pStyle w:val="185"/>
              <w:wordWrap w:val="0"/>
              <w:rPr>
                <w:rFonts w:ascii="宋体" w:hAnsi="宋体" w:cs="宋体"/>
                <w:color w:val="000000" w:themeColor="text1"/>
                <w:highlight w:val="none"/>
                <w14:textFill>
                  <w14:solidFill>
                    <w14:schemeClr w14:val="tx1"/>
                  </w14:solidFill>
                </w14:textFill>
              </w:rPr>
            </w:pPr>
          </w:p>
          <w:p>
            <w:pPr>
              <w:pStyle w:val="185"/>
              <w:wordWrap w:val="0"/>
              <w:spacing w:before="1"/>
              <w:rPr>
                <w:rFonts w:ascii="宋体" w:hAnsi="宋体" w:cs="宋体"/>
                <w:color w:val="000000" w:themeColor="text1"/>
                <w:sz w:val="29"/>
                <w:highlight w:val="none"/>
                <w14:textFill>
                  <w14:solidFill>
                    <w14:schemeClr w14:val="tx1"/>
                  </w14:solidFill>
                </w14:textFill>
              </w:rPr>
            </w:pPr>
          </w:p>
          <w:p>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项目描述</w:t>
            </w:r>
          </w:p>
        </w:tc>
        <w:tc>
          <w:tcPr>
            <w:tcW w:w="3669" w:type="pct"/>
          </w:tcPr>
          <w:p>
            <w:pPr>
              <w:wordWrap w:val="0"/>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pPr>
              <w:pStyle w:val="185"/>
              <w:wordWrap w:val="0"/>
              <w:rPr>
                <w:rFonts w:ascii="宋体" w:hAnsi="宋体" w:cs="宋体"/>
                <w:color w:val="000000" w:themeColor="text1"/>
                <w:sz w:val="17"/>
                <w:highlight w:val="none"/>
                <w14:textFill>
                  <w14:solidFill>
                    <w14:schemeClr w14:val="tx1"/>
                  </w14:solidFill>
                </w14:textFill>
              </w:rPr>
            </w:pPr>
          </w:p>
          <w:p>
            <w:pPr>
              <w:pStyle w:val="185"/>
              <w:wordWrap w:val="0"/>
              <w:ind w:left="479"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备注</w:t>
            </w:r>
          </w:p>
        </w:tc>
        <w:tc>
          <w:tcPr>
            <w:tcW w:w="3669" w:type="pct"/>
          </w:tcPr>
          <w:p>
            <w:pPr>
              <w:wordWrap w:val="0"/>
              <w:rPr>
                <w:rFonts w:ascii="宋体" w:hAnsi="宋体" w:cs="宋体"/>
                <w:color w:val="000000" w:themeColor="text1"/>
                <w:highlight w:val="none"/>
                <w14:textFill>
                  <w14:solidFill>
                    <w14:schemeClr w14:val="tx1"/>
                  </w14:solidFill>
                </w14:textFill>
              </w:rPr>
            </w:pPr>
          </w:p>
        </w:tc>
      </w:tr>
    </w:tbl>
    <w:p>
      <w:pPr>
        <w:pStyle w:val="17"/>
        <w:wordWrap w:val="0"/>
        <w:spacing w:before="37"/>
        <w:ind w:left="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注：</w:t>
      </w:r>
      <w:r>
        <w:rPr>
          <w:rFonts w:hint="eastAsia" w:ascii="宋体" w:hAnsi="宋体" w:cs="宋体"/>
          <w:spacing w:val="-5"/>
          <w:highlight w:val="none"/>
        </w:rPr>
        <w:t>需提供证明资料内容详见评标方法</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ind w:left="687" w:hanging="687" w:hangingChars="34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p>
    <w:p>
      <w:pPr>
        <w:ind w:left="687" w:hanging="687" w:hangingChars="342"/>
        <w:rPr>
          <w:rFonts w:ascii="宋体" w:hAnsi="宋体"/>
          <w:b/>
          <w:color w:val="000000" w:themeColor="text1"/>
          <w:szCs w:val="21"/>
          <w:highlight w:val="none"/>
          <w14:textFill>
            <w14:solidFill>
              <w14:schemeClr w14:val="tx1"/>
            </w14:solidFill>
          </w14:textFill>
        </w:rPr>
      </w:pPr>
    </w:p>
    <w:p>
      <w:pPr>
        <w:rPr>
          <w:rFonts w:ascii="宋体" w:hAnsi="宋体" w:cs="宋体"/>
          <w:b/>
          <w:color w:val="000000" w:themeColor="text1"/>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rPr>
          <w:color w:val="000000" w:themeColor="text1"/>
          <w:highlight w:val="none"/>
          <w14:textFill>
            <w14:solidFill>
              <w14:schemeClr w14:val="tx1"/>
            </w14:solidFill>
          </w14:textFill>
        </w:rPr>
      </w:pPr>
      <w:bookmarkStart w:id="87" w:name="_Toc284060544"/>
      <w:bookmarkStart w:id="88" w:name="_Toc60537410"/>
    </w:p>
    <w:p>
      <w:pPr>
        <w:adjustRightInd w:val="0"/>
        <w:snapToGrid w:val="0"/>
        <w:spacing w:line="300" w:lineRule="auto"/>
        <w:jc w:val="center"/>
        <w:outlineLvl w:val="0"/>
        <w:rPr>
          <w:rFonts w:ascii="华文中宋" w:hAnsi="华文中宋" w:eastAsia="华文中宋"/>
          <w:b/>
          <w:sz w:val="28"/>
          <w:highlight w:val="none"/>
        </w:rPr>
      </w:pPr>
      <w:r>
        <w:rPr>
          <w:rFonts w:hint="eastAsia" w:ascii="宋体" w:hAnsi="宋体" w:cs="宋体"/>
          <w:b/>
          <w:color w:val="000000" w:themeColor="text1"/>
          <w:sz w:val="32"/>
          <w:szCs w:val="32"/>
          <w:highlight w:val="none"/>
          <w14:textFill>
            <w14:solidFill>
              <w14:schemeClr w14:val="tx1"/>
            </w14:solidFill>
          </w14:textFill>
        </w:rPr>
        <w:t>八、</w:t>
      </w:r>
      <w:r>
        <w:rPr>
          <w:rFonts w:hint="eastAsia" w:cs="宋体"/>
          <w:b/>
          <w:bCs/>
          <w:sz w:val="32"/>
          <w:szCs w:val="32"/>
          <w:highlight w:val="none"/>
        </w:rPr>
        <w:t>商务、技术</w:t>
      </w:r>
      <w:r>
        <w:rPr>
          <w:rFonts w:hint="eastAsia" w:ascii="宋体" w:hAnsi="宋体" w:cs="宋体"/>
          <w:b/>
          <w:bCs/>
          <w:kern w:val="2"/>
          <w:sz w:val="32"/>
          <w:szCs w:val="32"/>
          <w:highlight w:val="none"/>
        </w:rPr>
        <w:t>偏离表</w:t>
      </w:r>
    </w:p>
    <w:p>
      <w:pPr>
        <w:adjustRightInd w:val="0"/>
        <w:snapToGrid w:val="0"/>
        <w:spacing w:line="300" w:lineRule="auto"/>
        <w:rPr>
          <w:rFonts w:ascii="宋体"/>
          <w:sz w:val="18"/>
          <w:highlight w:val="none"/>
        </w:rPr>
      </w:pPr>
    </w:p>
    <w:p>
      <w:pPr>
        <w:adjustRightInd w:val="0"/>
        <w:snapToGrid w:val="0"/>
        <w:spacing w:line="300" w:lineRule="auto"/>
        <w:rPr>
          <w:rFonts w:ascii="宋体"/>
          <w:sz w:val="21"/>
          <w:szCs w:val="21"/>
          <w:highlight w:val="none"/>
        </w:rPr>
      </w:pPr>
    </w:p>
    <w:p>
      <w:pPr>
        <w:adjustRightInd w:val="0"/>
        <w:snapToGrid w:val="0"/>
        <w:spacing w:line="300" w:lineRule="auto"/>
        <w:jc w:val="center"/>
        <w:outlineLvl w:val="0"/>
        <w:rPr>
          <w:rFonts w:ascii="宋体" w:hAnsi="宋体" w:cs="宋体"/>
          <w:b/>
          <w:bCs/>
          <w:sz w:val="32"/>
          <w:szCs w:val="32"/>
          <w:highlight w:val="none"/>
        </w:rPr>
      </w:pPr>
      <w:r>
        <w:rPr>
          <w:rFonts w:hint="eastAsia" w:ascii="宋体" w:hAnsi="宋体" w:cs="宋体"/>
          <w:b/>
          <w:bCs/>
          <w:sz w:val="32"/>
          <w:szCs w:val="32"/>
          <w:highlight w:val="none"/>
        </w:rPr>
        <w:t>1.商务偏离表</w:t>
      </w:r>
    </w:p>
    <w:p>
      <w:pPr>
        <w:adjustRightInd w:val="0"/>
        <w:snapToGrid w:val="0"/>
        <w:spacing w:line="300" w:lineRule="auto"/>
        <w:rPr>
          <w:rFonts w:ascii="宋体"/>
          <w:sz w:val="21"/>
          <w:szCs w:val="21"/>
          <w:highlight w:val="none"/>
          <w:u w:val="single"/>
        </w:rPr>
      </w:pPr>
      <w:r>
        <w:rPr>
          <w:rFonts w:hint="eastAsia" w:ascii="宋体"/>
          <w:sz w:val="21"/>
          <w:szCs w:val="21"/>
          <w:highlight w:val="none"/>
          <w:lang w:val="en-US" w:eastAsia="zh-CN"/>
        </w:rPr>
        <w:t>项目</w:t>
      </w:r>
      <w:r>
        <w:rPr>
          <w:rFonts w:hint="eastAsia" w:ascii="宋体"/>
          <w:sz w:val="21"/>
          <w:szCs w:val="21"/>
          <w:highlight w:val="none"/>
        </w:rPr>
        <w:t xml:space="preserve">名称： </w:t>
      </w:r>
      <w:r>
        <w:rPr>
          <w:rFonts w:hint="eastAsia" w:ascii="宋体"/>
          <w:sz w:val="21"/>
          <w:szCs w:val="21"/>
          <w:highlight w:val="none"/>
          <w:u w:val="single"/>
        </w:rPr>
        <w:t xml:space="preserve">                       </w:t>
      </w:r>
    </w:p>
    <w:p>
      <w:pPr>
        <w:adjustRightInd w:val="0"/>
        <w:snapToGrid w:val="0"/>
        <w:spacing w:line="300" w:lineRule="auto"/>
        <w:rPr>
          <w:rFonts w:ascii="宋体" w:hAnsi="宋体"/>
          <w:snapToGrid w:val="0"/>
          <w:sz w:val="18"/>
          <w:highlight w:val="none"/>
        </w:rPr>
      </w:pPr>
      <w:r>
        <w:rPr>
          <w:rFonts w:hint="eastAsia" w:ascii="宋体"/>
          <w:sz w:val="21"/>
          <w:szCs w:val="21"/>
          <w:highlight w:val="none"/>
          <w:lang w:val="en-US" w:eastAsia="zh-CN"/>
        </w:rPr>
        <w:t>项目</w:t>
      </w:r>
      <w:r>
        <w:rPr>
          <w:rFonts w:hint="eastAsia" w:ascii="宋体"/>
          <w:sz w:val="21"/>
          <w:szCs w:val="21"/>
          <w:highlight w:val="none"/>
        </w:rPr>
        <w:t>编号：</w:t>
      </w:r>
      <w:r>
        <w:rPr>
          <w:rFonts w:hint="eastAsia" w:ascii="宋体"/>
          <w:i/>
          <w:iCs/>
          <w:sz w:val="21"/>
          <w:szCs w:val="21"/>
          <w:highlight w:val="none"/>
        </w:rPr>
        <w:t xml:space="preserve"> </w:t>
      </w:r>
      <w:r>
        <w:rPr>
          <w:rFonts w:hint="eastAsia" w:ascii="宋体"/>
          <w:sz w:val="21"/>
          <w:szCs w:val="21"/>
          <w:highlight w:val="none"/>
          <w:u w:val="single"/>
        </w:rPr>
        <w:t xml:space="preserve">                       </w:t>
      </w:r>
    </w:p>
    <w:tbl>
      <w:tblPr>
        <w:tblStyle w:val="43"/>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126"/>
        <w:gridCol w:w="1644"/>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pPr>
              <w:jc w:val="center"/>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序号</w:t>
            </w:r>
          </w:p>
        </w:tc>
        <w:tc>
          <w:tcPr>
            <w:tcW w:w="2352" w:type="dxa"/>
            <w:vAlign w:val="center"/>
          </w:tcPr>
          <w:p>
            <w:pPr>
              <w:jc w:val="center"/>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招标文件要求</w:t>
            </w:r>
          </w:p>
        </w:tc>
        <w:tc>
          <w:tcPr>
            <w:tcW w:w="2126" w:type="dxa"/>
            <w:vAlign w:val="center"/>
          </w:tcPr>
          <w:p>
            <w:pPr>
              <w:jc w:val="center"/>
              <w:rPr>
                <w:rFonts w:asciiTheme="minorEastAsia" w:hAnsiTheme="minorEastAsia" w:eastAsiaTheme="minorEastAsia"/>
                <w:b/>
                <w:sz w:val="21"/>
                <w:szCs w:val="21"/>
                <w:highlight w:val="none"/>
              </w:rPr>
            </w:pPr>
            <w:r>
              <w:rPr>
                <w:rFonts w:hint="eastAsia" w:asciiTheme="minorEastAsia" w:hAnsiTheme="minorEastAsia" w:eastAsiaTheme="minorEastAsia"/>
                <w:b/>
                <w:bCs/>
                <w:sz w:val="21"/>
                <w:szCs w:val="21"/>
                <w:highlight w:val="none"/>
              </w:rPr>
              <w:t>投标文件响应内容</w:t>
            </w:r>
          </w:p>
        </w:tc>
        <w:tc>
          <w:tcPr>
            <w:tcW w:w="1644" w:type="dxa"/>
            <w:vAlign w:val="center"/>
          </w:tcPr>
          <w:p>
            <w:pPr>
              <w:ind w:left="293" w:hanging="293" w:hangingChars="139"/>
              <w:jc w:val="center"/>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偏离情况</w:t>
            </w:r>
          </w:p>
        </w:tc>
        <w:tc>
          <w:tcPr>
            <w:tcW w:w="2165" w:type="dxa"/>
            <w:vAlign w:val="center"/>
          </w:tcPr>
          <w:p>
            <w:pPr>
              <w:jc w:val="center"/>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pPr>
              <w:spacing w:line="360" w:lineRule="auto"/>
              <w:jc w:val="center"/>
              <w:rPr>
                <w:rFonts w:asciiTheme="minorEastAsia" w:hAnsiTheme="minorEastAsia" w:eastAsiaTheme="minorEastAsia"/>
                <w:sz w:val="21"/>
                <w:szCs w:val="21"/>
                <w:highlight w:val="none"/>
              </w:rPr>
            </w:pPr>
          </w:p>
        </w:tc>
        <w:tc>
          <w:tcPr>
            <w:tcW w:w="2352" w:type="dxa"/>
            <w:vAlign w:val="center"/>
          </w:tcPr>
          <w:p>
            <w:pPr>
              <w:spacing w:line="360" w:lineRule="auto"/>
              <w:jc w:val="center"/>
              <w:rPr>
                <w:rFonts w:asciiTheme="minorEastAsia" w:hAnsiTheme="minorEastAsia" w:eastAsiaTheme="minorEastAsia"/>
                <w:sz w:val="21"/>
                <w:szCs w:val="21"/>
                <w:highlight w:val="none"/>
              </w:rPr>
            </w:pPr>
          </w:p>
        </w:tc>
        <w:tc>
          <w:tcPr>
            <w:tcW w:w="2126" w:type="dxa"/>
            <w:vAlign w:val="center"/>
          </w:tcPr>
          <w:p>
            <w:pPr>
              <w:spacing w:line="360" w:lineRule="auto"/>
              <w:jc w:val="center"/>
              <w:rPr>
                <w:rFonts w:asciiTheme="minorEastAsia" w:hAnsiTheme="minorEastAsia" w:eastAsiaTheme="minorEastAsia"/>
                <w:sz w:val="21"/>
                <w:szCs w:val="21"/>
                <w:highlight w:val="none"/>
              </w:rPr>
            </w:pPr>
          </w:p>
        </w:tc>
        <w:tc>
          <w:tcPr>
            <w:tcW w:w="1644" w:type="dxa"/>
            <w:vAlign w:val="center"/>
          </w:tcPr>
          <w:p>
            <w:pPr>
              <w:spacing w:line="360" w:lineRule="auto"/>
              <w:jc w:val="center"/>
              <w:rPr>
                <w:rFonts w:asciiTheme="minorEastAsia" w:hAnsiTheme="minorEastAsia" w:eastAsiaTheme="minorEastAsia"/>
                <w:sz w:val="21"/>
                <w:szCs w:val="21"/>
                <w:highlight w:val="none"/>
              </w:rPr>
            </w:pPr>
          </w:p>
        </w:tc>
        <w:tc>
          <w:tcPr>
            <w:tcW w:w="2165" w:type="dxa"/>
            <w:vAlign w:val="center"/>
          </w:tcPr>
          <w:p>
            <w:pPr>
              <w:spacing w:line="360" w:lineRule="auto"/>
              <w:jc w:val="center"/>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pPr>
              <w:spacing w:line="360" w:lineRule="auto"/>
              <w:jc w:val="center"/>
              <w:rPr>
                <w:rFonts w:asciiTheme="minorEastAsia" w:hAnsiTheme="minorEastAsia" w:eastAsiaTheme="minorEastAsia"/>
                <w:sz w:val="21"/>
                <w:szCs w:val="21"/>
                <w:highlight w:val="none"/>
              </w:rPr>
            </w:pPr>
          </w:p>
        </w:tc>
        <w:tc>
          <w:tcPr>
            <w:tcW w:w="2352" w:type="dxa"/>
            <w:vAlign w:val="center"/>
          </w:tcPr>
          <w:p>
            <w:pPr>
              <w:spacing w:line="360" w:lineRule="auto"/>
              <w:jc w:val="center"/>
              <w:rPr>
                <w:rFonts w:asciiTheme="minorEastAsia" w:hAnsiTheme="minorEastAsia" w:eastAsiaTheme="minorEastAsia"/>
                <w:sz w:val="21"/>
                <w:szCs w:val="21"/>
                <w:highlight w:val="none"/>
              </w:rPr>
            </w:pPr>
          </w:p>
        </w:tc>
        <w:tc>
          <w:tcPr>
            <w:tcW w:w="2126" w:type="dxa"/>
            <w:vAlign w:val="center"/>
          </w:tcPr>
          <w:p>
            <w:pPr>
              <w:spacing w:line="360" w:lineRule="auto"/>
              <w:jc w:val="center"/>
              <w:rPr>
                <w:rFonts w:asciiTheme="minorEastAsia" w:hAnsiTheme="minorEastAsia" w:eastAsiaTheme="minorEastAsia"/>
                <w:sz w:val="21"/>
                <w:szCs w:val="21"/>
                <w:highlight w:val="none"/>
              </w:rPr>
            </w:pPr>
          </w:p>
        </w:tc>
        <w:tc>
          <w:tcPr>
            <w:tcW w:w="1644" w:type="dxa"/>
            <w:vAlign w:val="center"/>
          </w:tcPr>
          <w:p>
            <w:pPr>
              <w:spacing w:line="360" w:lineRule="auto"/>
              <w:jc w:val="center"/>
              <w:rPr>
                <w:rFonts w:asciiTheme="minorEastAsia" w:hAnsiTheme="minorEastAsia" w:eastAsiaTheme="minorEastAsia"/>
                <w:sz w:val="21"/>
                <w:szCs w:val="21"/>
                <w:highlight w:val="none"/>
              </w:rPr>
            </w:pPr>
          </w:p>
        </w:tc>
        <w:tc>
          <w:tcPr>
            <w:tcW w:w="2165" w:type="dxa"/>
            <w:vAlign w:val="center"/>
          </w:tcPr>
          <w:p>
            <w:pPr>
              <w:spacing w:line="360" w:lineRule="auto"/>
              <w:jc w:val="center"/>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pPr>
              <w:spacing w:line="360" w:lineRule="auto"/>
              <w:jc w:val="center"/>
              <w:rPr>
                <w:rFonts w:asciiTheme="minorEastAsia" w:hAnsiTheme="minorEastAsia" w:eastAsiaTheme="minorEastAsia"/>
                <w:sz w:val="21"/>
                <w:szCs w:val="21"/>
                <w:highlight w:val="none"/>
              </w:rPr>
            </w:pPr>
          </w:p>
        </w:tc>
        <w:tc>
          <w:tcPr>
            <w:tcW w:w="2352" w:type="dxa"/>
            <w:vAlign w:val="center"/>
          </w:tcPr>
          <w:p>
            <w:pPr>
              <w:spacing w:line="360" w:lineRule="auto"/>
              <w:jc w:val="center"/>
              <w:rPr>
                <w:rFonts w:asciiTheme="minorEastAsia" w:hAnsiTheme="minorEastAsia" w:eastAsiaTheme="minorEastAsia"/>
                <w:sz w:val="21"/>
                <w:szCs w:val="21"/>
                <w:highlight w:val="none"/>
              </w:rPr>
            </w:pPr>
          </w:p>
        </w:tc>
        <w:tc>
          <w:tcPr>
            <w:tcW w:w="2126" w:type="dxa"/>
            <w:vAlign w:val="center"/>
          </w:tcPr>
          <w:p>
            <w:pPr>
              <w:spacing w:line="360" w:lineRule="auto"/>
              <w:jc w:val="center"/>
              <w:rPr>
                <w:rFonts w:asciiTheme="minorEastAsia" w:hAnsiTheme="minorEastAsia" w:eastAsiaTheme="minorEastAsia"/>
                <w:sz w:val="21"/>
                <w:szCs w:val="21"/>
                <w:highlight w:val="none"/>
              </w:rPr>
            </w:pPr>
          </w:p>
        </w:tc>
        <w:tc>
          <w:tcPr>
            <w:tcW w:w="1644" w:type="dxa"/>
            <w:vAlign w:val="center"/>
          </w:tcPr>
          <w:p>
            <w:pPr>
              <w:spacing w:line="360" w:lineRule="auto"/>
              <w:jc w:val="center"/>
              <w:rPr>
                <w:rFonts w:asciiTheme="minorEastAsia" w:hAnsiTheme="minorEastAsia" w:eastAsiaTheme="minorEastAsia"/>
                <w:sz w:val="21"/>
                <w:szCs w:val="21"/>
                <w:highlight w:val="none"/>
              </w:rPr>
            </w:pPr>
          </w:p>
        </w:tc>
        <w:tc>
          <w:tcPr>
            <w:tcW w:w="2165" w:type="dxa"/>
            <w:vAlign w:val="center"/>
          </w:tcPr>
          <w:p>
            <w:pPr>
              <w:spacing w:line="360" w:lineRule="auto"/>
              <w:jc w:val="center"/>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pPr>
              <w:spacing w:line="360" w:lineRule="auto"/>
              <w:jc w:val="center"/>
              <w:rPr>
                <w:rFonts w:asciiTheme="minorEastAsia" w:hAnsiTheme="minorEastAsia" w:eastAsiaTheme="minorEastAsia"/>
                <w:sz w:val="21"/>
                <w:szCs w:val="21"/>
                <w:highlight w:val="none"/>
              </w:rPr>
            </w:pPr>
          </w:p>
        </w:tc>
        <w:tc>
          <w:tcPr>
            <w:tcW w:w="2352" w:type="dxa"/>
            <w:vAlign w:val="center"/>
          </w:tcPr>
          <w:p>
            <w:pPr>
              <w:spacing w:line="360" w:lineRule="auto"/>
              <w:jc w:val="center"/>
              <w:rPr>
                <w:rFonts w:asciiTheme="minorEastAsia" w:hAnsiTheme="minorEastAsia" w:eastAsiaTheme="minorEastAsia"/>
                <w:sz w:val="21"/>
                <w:szCs w:val="21"/>
                <w:highlight w:val="none"/>
              </w:rPr>
            </w:pPr>
          </w:p>
        </w:tc>
        <w:tc>
          <w:tcPr>
            <w:tcW w:w="2126" w:type="dxa"/>
            <w:vAlign w:val="center"/>
          </w:tcPr>
          <w:p>
            <w:pPr>
              <w:spacing w:line="360" w:lineRule="auto"/>
              <w:jc w:val="center"/>
              <w:rPr>
                <w:rFonts w:asciiTheme="minorEastAsia" w:hAnsiTheme="minorEastAsia" w:eastAsiaTheme="minorEastAsia"/>
                <w:sz w:val="21"/>
                <w:szCs w:val="21"/>
                <w:highlight w:val="none"/>
              </w:rPr>
            </w:pPr>
          </w:p>
        </w:tc>
        <w:tc>
          <w:tcPr>
            <w:tcW w:w="1644" w:type="dxa"/>
            <w:vAlign w:val="center"/>
          </w:tcPr>
          <w:p>
            <w:pPr>
              <w:spacing w:line="360" w:lineRule="auto"/>
              <w:jc w:val="center"/>
              <w:rPr>
                <w:rFonts w:asciiTheme="minorEastAsia" w:hAnsiTheme="minorEastAsia" w:eastAsiaTheme="minorEastAsia"/>
                <w:sz w:val="21"/>
                <w:szCs w:val="21"/>
                <w:highlight w:val="none"/>
              </w:rPr>
            </w:pPr>
          </w:p>
        </w:tc>
        <w:tc>
          <w:tcPr>
            <w:tcW w:w="2165" w:type="dxa"/>
            <w:vAlign w:val="center"/>
          </w:tcPr>
          <w:p>
            <w:pPr>
              <w:spacing w:line="360" w:lineRule="auto"/>
              <w:jc w:val="center"/>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pPr>
              <w:spacing w:line="360" w:lineRule="auto"/>
              <w:jc w:val="center"/>
              <w:rPr>
                <w:rFonts w:asciiTheme="minorEastAsia" w:hAnsiTheme="minorEastAsia" w:eastAsiaTheme="minorEastAsia"/>
                <w:sz w:val="21"/>
                <w:szCs w:val="21"/>
                <w:highlight w:val="none"/>
              </w:rPr>
            </w:pPr>
          </w:p>
        </w:tc>
        <w:tc>
          <w:tcPr>
            <w:tcW w:w="2352" w:type="dxa"/>
            <w:vAlign w:val="center"/>
          </w:tcPr>
          <w:p>
            <w:pPr>
              <w:spacing w:line="360" w:lineRule="auto"/>
              <w:jc w:val="center"/>
              <w:rPr>
                <w:rFonts w:asciiTheme="minorEastAsia" w:hAnsiTheme="minorEastAsia" w:eastAsiaTheme="minorEastAsia"/>
                <w:sz w:val="21"/>
                <w:szCs w:val="21"/>
                <w:highlight w:val="none"/>
              </w:rPr>
            </w:pPr>
          </w:p>
        </w:tc>
        <w:tc>
          <w:tcPr>
            <w:tcW w:w="2126" w:type="dxa"/>
            <w:vAlign w:val="center"/>
          </w:tcPr>
          <w:p>
            <w:pPr>
              <w:spacing w:line="360" w:lineRule="auto"/>
              <w:jc w:val="center"/>
              <w:rPr>
                <w:rFonts w:asciiTheme="minorEastAsia" w:hAnsiTheme="minorEastAsia" w:eastAsiaTheme="minorEastAsia"/>
                <w:sz w:val="21"/>
                <w:szCs w:val="21"/>
                <w:highlight w:val="none"/>
              </w:rPr>
            </w:pPr>
          </w:p>
        </w:tc>
        <w:tc>
          <w:tcPr>
            <w:tcW w:w="1644" w:type="dxa"/>
            <w:vAlign w:val="center"/>
          </w:tcPr>
          <w:p>
            <w:pPr>
              <w:spacing w:line="360" w:lineRule="auto"/>
              <w:jc w:val="center"/>
              <w:rPr>
                <w:rFonts w:asciiTheme="minorEastAsia" w:hAnsiTheme="minorEastAsia" w:eastAsiaTheme="minorEastAsia"/>
                <w:sz w:val="21"/>
                <w:szCs w:val="21"/>
                <w:highlight w:val="none"/>
              </w:rPr>
            </w:pPr>
          </w:p>
        </w:tc>
        <w:tc>
          <w:tcPr>
            <w:tcW w:w="2165" w:type="dxa"/>
            <w:vAlign w:val="center"/>
          </w:tcPr>
          <w:p>
            <w:pPr>
              <w:spacing w:line="360" w:lineRule="auto"/>
              <w:jc w:val="center"/>
              <w:rPr>
                <w:rFonts w:asciiTheme="minorEastAsia" w:hAnsiTheme="minorEastAsia" w:eastAsiaTheme="minorEastAsia"/>
                <w:sz w:val="21"/>
                <w:szCs w:val="21"/>
                <w:highlight w:val="none"/>
              </w:rPr>
            </w:pPr>
          </w:p>
        </w:tc>
      </w:tr>
    </w:tbl>
    <w:p>
      <w:pPr>
        <w:spacing w:before="120" w:beforeLines="50" w:line="288" w:lineRule="auto"/>
        <w:rPr>
          <w:rFonts w:ascii="宋体" w:hAnsi="宋体" w:cs="宋体"/>
          <w:sz w:val="21"/>
          <w:szCs w:val="21"/>
          <w:highlight w:val="none"/>
        </w:rPr>
      </w:pPr>
      <w:r>
        <w:rPr>
          <w:rFonts w:hint="eastAsia" w:ascii="宋体" w:hAnsi="宋体" w:cs="宋体"/>
          <w:sz w:val="21"/>
          <w:szCs w:val="21"/>
          <w:highlight w:val="none"/>
        </w:rPr>
        <w:t>注明：</w:t>
      </w:r>
    </w:p>
    <w:p>
      <w:pPr>
        <w:pStyle w:val="91"/>
        <w:numPr>
          <w:ilvl w:val="0"/>
          <w:numId w:val="15"/>
        </w:numPr>
        <w:spacing w:line="288" w:lineRule="auto"/>
        <w:ind w:firstLineChars="0"/>
        <w:rPr>
          <w:rFonts w:ascii="宋体" w:hAnsi="宋体" w:cs="宋体"/>
          <w:szCs w:val="21"/>
          <w:highlight w:val="none"/>
        </w:rPr>
      </w:pPr>
      <w:r>
        <w:rPr>
          <w:rFonts w:hint="eastAsia" w:ascii="宋体" w:hAnsi="宋体" w:cs="宋体"/>
          <w:bCs/>
          <w:szCs w:val="21"/>
          <w:highlight w:val="none"/>
        </w:rPr>
        <w:t>偏离情况项填写“正”、“负”或“无”，说明项中填写原因。</w:t>
      </w:r>
    </w:p>
    <w:p>
      <w:pPr>
        <w:pStyle w:val="91"/>
        <w:numPr>
          <w:ilvl w:val="0"/>
          <w:numId w:val="15"/>
        </w:numPr>
        <w:spacing w:line="288" w:lineRule="auto"/>
        <w:ind w:firstLineChars="0"/>
        <w:rPr>
          <w:rFonts w:ascii="宋体" w:hAnsi="宋体" w:cs="宋体"/>
          <w:bCs/>
          <w:szCs w:val="21"/>
          <w:highlight w:val="none"/>
        </w:rPr>
      </w:pPr>
      <w:r>
        <w:rPr>
          <w:rFonts w:hint="eastAsia" w:ascii="宋体" w:hAnsi="宋体" w:cs="宋体"/>
          <w:bCs/>
          <w:szCs w:val="21"/>
          <w:highlight w:val="none"/>
        </w:rPr>
        <w:t>供应商应按照招标文件要求，对响应有偏离的，则说明偏离的内容，若有要求提供相关证明资料的，须按要求提供，否则视为负偏离。</w:t>
      </w:r>
    </w:p>
    <w:p>
      <w:pPr>
        <w:pStyle w:val="18"/>
        <w:adjustRightInd w:val="0"/>
        <w:snapToGrid w:val="0"/>
        <w:spacing w:line="300" w:lineRule="auto"/>
        <w:ind w:left="400"/>
        <w:rPr>
          <w:rFonts w:ascii="宋体" w:hAnsi="宋体"/>
          <w:b/>
          <w:bCs/>
          <w:snapToGrid w:val="0"/>
          <w:sz w:val="21"/>
          <w:szCs w:val="21"/>
          <w:highlight w:val="none"/>
        </w:rPr>
      </w:pPr>
    </w:p>
    <w:p>
      <w:pPr>
        <w:pStyle w:val="18"/>
        <w:adjustRightInd w:val="0"/>
        <w:snapToGrid w:val="0"/>
        <w:spacing w:line="300" w:lineRule="auto"/>
        <w:ind w:left="400"/>
        <w:rPr>
          <w:rFonts w:ascii="宋体" w:hAnsi="宋体"/>
          <w:b/>
          <w:bCs/>
          <w:snapToGrid w:val="0"/>
          <w:sz w:val="21"/>
          <w:szCs w:val="21"/>
          <w:highlight w:val="none"/>
        </w:rPr>
      </w:pPr>
    </w:p>
    <w:p>
      <w:pPr>
        <w:pStyle w:val="18"/>
        <w:adjustRightInd w:val="0"/>
        <w:snapToGrid w:val="0"/>
        <w:spacing w:line="300" w:lineRule="auto"/>
        <w:ind w:left="400"/>
        <w:rPr>
          <w:rFonts w:ascii="宋体" w:hAnsi="宋体"/>
          <w:b/>
          <w:bCs/>
          <w:snapToGrid w:val="0"/>
          <w:sz w:val="21"/>
          <w:szCs w:val="21"/>
          <w:highlight w:val="none"/>
        </w:rPr>
      </w:pPr>
    </w:p>
    <w:p>
      <w:pPr>
        <w:pStyle w:val="18"/>
        <w:adjustRightInd w:val="0"/>
        <w:snapToGrid w:val="0"/>
        <w:spacing w:line="300" w:lineRule="auto"/>
        <w:ind w:left="400"/>
        <w:rPr>
          <w:rFonts w:ascii="宋体" w:hAnsi="宋体"/>
          <w:b/>
          <w:bCs/>
          <w:snapToGrid w:val="0"/>
          <w:sz w:val="21"/>
          <w:szCs w:val="21"/>
          <w:highlight w:val="none"/>
        </w:rPr>
      </w:pPr>
    </w:p>
    <w:tbl>
      <w:tblPr>
        <w:tblStyle w:val="43"/>
        <w:tblW w:w="8528" w:type="dxa"/>
        <w:tblInd w:w="0" w:type="dxa"/>
        <w:tblLayout w:type="fixed"/>
        <w:tblCellMar>
          <w:top w:w="0" w:type="dxa"/>
          <w:left w:w="108" w:type="dxa"/>
          <w:bottom w:w="0" w:type="dxa"/>
          <w:right w:w="108" w:type="dxa"/>
        </w:tblCellMar>
      </w:tblPr>
      <w:tblGrid>
        <w:gridCol w:w="5353"/>
        <w:gridCol w:w="3175"/>
      </w:tblGrid>
      <w:tr>
        <w:tblPrEx>
          <w:tblCellMar>
            <w:top w:w="0" w:type="dxa"/>
            <w:left w:w="108" w:type="dxa"/>
            <w:bottom w:w="0" w:type="dxa"/>
            <w:right w:w="108" w:type="dxa"/>
          </w:tblCellMar>
        </w:tblPrEx>
        <w:trPr>
          <w:trHeight w:val="680" w:hRule="atLeast"/>
        </w:trPr>
        <w:tc>
          <w:tcPr>
            <w:tcW w:w="5353" w:type="dxa"/>
            <w:shd w:val="clear" w:color="auto" w:fill="auto"/>
          </w:tcPr>
          <w:p>
            <w:pPr>
              <w:overflowPunct w:val="0"/>
              <w:adjustRightInd w:val="0"/>
              <w:spacing w:line="288" w:lineRule="auto"/>
              <w:rPr>
                <w:rFonts w:ascii="宋体" w:hAnsi="宋体" w:cs="宋体"/>
                <w:sz w:val="21"/>
                <w:szCs w:val="21"/>
                <w:highlight w:val="none"/>
                <w:u w:val="single"/>
              </w:rPr>
            </w:pPr>
            <w:r>
              <w:rPr>
                <w:rFonts w:hint="eastAsia" w:ascii="宋体" w:hAnsi="宋体" w:cs="宋体"/>
                <w:sz w:val="21"/>
                <w:szCs w:val="21"/>
                <w:highlight w:val="none"/>
              </w:rPr>
              <w:t>供应商名称（加盖公章）：</w:t>
            </w:r>
            <w:r>
              <w:rPr>
                <w:rFonts w:hint="eastAsia" w:ascii="宋体" w:hAnsi="宋体" w:cs="宋体"/>
                <w:sz w:val="21"/>
                <w:szCs w:val="21"/>
                <w:highlight w:val="none"/>
                <w:u w:val="single"/>
              </w:rPr>
              <w:t xml:space="preserve">                         </w:t>
            </w:r>
          </w:p>
        </w:tc>
        <w:tc>
          <w:tcPr>
            <w:tcW w:w="3175" w:type="dxa"/>
            <w:shd w:val="clear" w:color="auto" w:fill="auto"/>
          </w:tcPr>
          <w:p>
            <w:pPr>
              <w:spacing w:line="288" w:lineRule="auto"/>
              <w:rPr>
                <w:rFonts w:ascii="宋体" w:hAnsi="宋体" w:cs="宋体"/>
                <w:sz w:val="21"/>
                <w:szCs w:val="21"/>
                <w:highlight w:val="none"/>
              </w:rPr>
            </w:pPr>
          </w:p>
        </w:tc>
      </w:tr>
      <w:tr>
        <w:tblPrEx>
          <w:tblCellMar>
            <w:top w:w="0" w:type="dxa"/>
            <w:left w:w="108" w:type="dxa"/>
            <w:bottom w:w="0" w:type="dxa"/>
            <w:right w:w="108" w:type="dxa"/>
          </w:tblCellMar>
        </w:tblPrEx>
        <w:trPr>
          <w:trHeight w:val="730" w:hRule="atLeast"/>
        </w:trPr>
        <w:tc>
          <w:tcPr>
            <w:tcW w:w="5353" w:type="dxa"/>
            <w:shd w:val="clear" w:color="auto" w:fill="auto"/>
          </w:tcPr>
          <w:p>
            <w:pPr>
              <w:overflowPunct w:val="0"/>
              <w:adjustRightInd w:val="0"/>
              <w:spacing w:line="288" w:lineRule="auto"/>
              <w:rPr>
                <w:rFonts w:ascii="宋体" w:hAnsi="宋体" w:cs="宋体"/>
                <w:sz w:val="21"/>
                <w:szCs w:val="21"/>
                <w:highlight w:val="none"/>
              </w:rPr>
            </w:pPr>
            <w:r>
              <w:rPr>
                <w:rFonts w:hint="eastAsia" w:ascii="宋体" w:hAnsi="宋体" w:cs="宋体"/>
                <w:sz w:val="21"/>
                <w:szCs w:val="21"/>
                <w:highlight w:val="none"/>
              </w:rPr>
              <w:t xml:space="preserve">法定代表人或其委托代理人（签字）： </w:t>
            </w:r>
            <w:r>
              <w:rPr>
                <w:rFonts w:hint="eastAsia" w:ascii="宋体" w:hAnsi="宋体" w:cs="宋体"/>
                <w:sz w:val="21"/>
                <w:szCs w:val="21"/>
                <w:highlight w:val="none"/>
                <w:u w:val="single"/>
              </w:rPr>
              <w:t xml:space="preserve">              </w:t>
            </w:r>
          </w:p>
        </w:tc>
        <w:tc>
          <w:tcPr>
            <w:tcW w:w="3175" w:type="dxa"/>
            <w:shd w:val="clear" w:color="auto" w:fill="auto"/>
          </w:tcPr>
          <w:p>
            <w:pPr>
              <w:spacing w:line="288" w:lineRule="auto"/>
              <w:rPr>
                <w:rFonts w:ascii="宋体" w:hAnsi="宋体" w:cs="宋体"/>
                <w:sz w:val="21"/>
                <w:szCs w:val="21"/>
                <w:highlight w:val="none"/>
              </w:rPr>
            </w:pPr>
          </w:p>
        </w:tc>
      </w:tr>
      <w:tr>
        <w:tblPrEx>
          <w:tblCellMar>
            <w:top w:w="0" w:type="dxa"/>
            <w:left w:w="108" w:type="dxa"/>
            <w:bottom w:w="0" w:type="dxa"/>
            <w:right w:w="108" w:type="dxa"/>
          </w:tblCellMar>
        </w:tblPrEx>
        <w:trPr>
          <w:trHeight w:val="680" w:hRule="atLeast"/>
        </w:trPr>
        <w:tc>
          <w:tcPr>
            <w:tcW w:w="5353" w:type="dxa"/>
            <w:shd w:val="clear" w:color="auto" w:fill="auto"/>
          </w:tcPr>
          <w:p>
            <w:pPr>
              <w:spacing w:line="288" w:lineRule="auto"/>
              <w:rPr>
                <w:rFonts w:ascii="宋体" w:hAnsi="宋体" w:cs="宋体"/>
                <w:sz w:val="21"/>
                <w:szCs w:val="21"/>
                <w:highlight w:val="none"/>
              </w:rPr>
            </w:pPr>
            <w:r>
              <w:rPr>
                <w:rFonts w:hint="eastAsia" w:ascii="宋体" w:hAnsi="宋体" w:cs="宋体"/>
                <w:sz w:val="21"/>
                <w:szCs w:val="21"/>
                <w:highlight w:val="none"/>
              </w:rPr>
              <w:t>日期：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月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日</w:t>
            </w:r>
          </w:p>
        </w:tc>
        <w:tc>
          <w:tcPr>
            <w:tcW w:w="3175" w:type="dxa"/>
            <w:shd w:val="clear" w:color="auto" w:fill="auto"/>
          </w:tcPr>
          <w:p>
            <w:pPr>
              <w:spacing w:line="288" w:lineRule="auto"/>
              <w:rPr>
                <w:rFonts w:ascii="宋体" w:hAnsi="宋体" w:cs="宋体"/>
                <w:sz w:val="21"/>
                <w:szCs w:val="21"/>
                <w:highlight w:val="none"/>
              </w:rPr>
            </w:pPr>
          </w:p>
        </w:tc>
      </w:tr>
    </w:tbl>
    <w:p>
      <w:pPr>
        <w:adjustRightInd w:val="0"/>
        <w:snapToGrid w:val="0"/>
        <w:spacing w:line="300" w:lineRule="auto"/>
        <w:jc w:val="center"/>
        <w:outlineLvl w:val="0"/>
        <w:rPr>
          <w:rFonts w:ascii="宋体" w:hAnsi="宋体" w:cs="宋体"/>
          <w:b/>
          <w:bCs/>
          <w:sz w:val="32"/>
          <w:szCs w:val="32"/>
          <w:highlight w:val="none"/>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r>
        <w:rPr>
          <w:rFonts w:hint="eastAsia" w:ascii="宋体" w:hAnsi="宋体" w:cs="宋体"/>
          <w:b/>
          <w:bCs/>
          <w:sz w:val="32"/>
          <w:szCs w:val="32"/>
          <w:highlight w:val="none"/>
        </w:rPr>
        <w:t>2.技术规格偏离表</w:t>
      </w:r>
    </w:p>
    <w:p>
      <w:pPr>
        <w:adjustRightInd w:val="0"/>
        <w:snapToGrid w:val="0"/>
        <w:spacing w:line="300" w:lineRule="auto"/>
        <w:rPr>
          <w:rFonts w:ascii="宋体"/>
          <w:sz w:val="21"/>
          <w:szCs w:val="21"/>
          <w:highlight w:val="none"/>
        </w:rPr>
      </w:pPr>
    </w:p>
    <w:p>
      <w:pPr>
        <w:adjustRightInd w:val="0"/>
        <w:snapToGrid w:val="0"/>
        <w:spacing w:line="300" w:lineRule="auto"/>
        <w:rPr>
          <w:rFonts w:ascii="宋体"/>
          <w:sz w:val="21"/>
          <w:szCs w:val="21"/>
          <w:highlight w:val="none"/>
        </w:rPr>
      </w:pPr>
    </w:p>
    <w:p>
      <w:pPr>
        <w:adjustRightInd w:val="0"/>
        <w:snapToGrid w:val="0"/>
        <w:spacing w:line="300" w:lineRule="auto"/>
        <w:rPr>
          <w:rFonts w:ascii="宋体" w:hAnsi="宋体" w:cs="宋体"/>
          <w:sz w:val="21"/>
          <w:szCs w:val="21"/>
          <w:highlight w:val="none"/>
          <w:u w:val="single"/>
        </w:rPr>
      </w:pPr>
      <w:r>
        <w:rPr>
          <w:rFonts w:hint="eastAsia" w:ascii="宋体" w:hAnsi="宋体" w:cs="宋体"/>
          <w:sz w:val="21"/>
          <w:szCs w:val="21"/>
          <w:highlight w:val="none"/>
          <w:lang w:val="en-US" w:eastAsia="zh-CN"/>
        </w:rPr>
        <w:t>项目</w:t>
      </w:r>
      <w:r>
        <w:rPr>
          <w:rFonts w:hint="eastAsia" w:ascii="宋体" w:hAnsi="宋体" w:cs="宋体"/>
          <w:sz w:val="21"/>
          <w:szCs w:val="21"/>
          <w:highlight w:val="none"/>
        </w:rPr>
        <w:t xml:space="preserve">名称： </w:t>
      </w:r>
      <w:r>
        <w:rPr>
          <w:rFonts w:hint="eastAsia" w:ascii="宋体" w:hAnsi="宋体" w:cs="宋体"/>
          <w:sz w:val="21"/>
          <w:szCs w:val="21"/>
          <w:highlight w:val="none"/>
          <w:u w:val="single"/>
        </w:rPr>
        <w:t xml:space="preserve">                       </w:t>
      </w:r>
    </w:p>
    <w:p>
      <w:pPr>
        <w:adjustRightInd w:val="0"/>
        <w:snapToGrid w:val="0"/>
        <w:spacing w:line="300" w:lineRule="auto"/>
        <w:rPr>
          <w:rFonts w:ascii="宋体" w:hAnsi="宋体" w:cs="宋体"/>
          <w:snapToGrid w:val="0"/>
          <w:sz w:val="21"/>
          <w:szCs w:val="21"/>
          <w:highlight w:val="none"/>
        </w:rPr>
      </w:pPr>
      <w:r>
        <w:rPr>
          <w:rFonts w:hint="eastAsia" w:ascii="宋体" w:hAnsi="宋体" w:cs="宋体"/>
          <w:sz w:val="21"/>
          <w:szCs w:val="21"/>
          <w:highlight w:val="none"/>
          <w:lang w:val="en-US" w:eastAsia="zh-CN"/>
        </w:rPr>
        <w:t>项目编号</w:t>
      </w:r>
      <w:r>
        <w:rPr>
          <w:rFonts w:hint="eastAsia" w:ascii="宋体" w:hAnsi="宋体" w:cs="宋体"/>
          <w:sz w:val="21"/>
          <w:szCs w:val="21"/>
          <w:highlight w:val="none"/>
        </w:rPr>
        <w:t>：</w:t>
      </w:r>
      <w:r>
        <w:rPr>
          <w:rFonts w:hint="eastAsia" w:ascii="宋体" w:hAnsi="宋体" w:cs="宋体"/>
          <w:i/>
          <w:iCs/>
          <w:sz w:val="21"/>
          <w:szCs w:val="21"/>
          <w:highlight w:val="none"/>
        </w:rPr>
        <w:t xml:space="preserve"> </w:t>
      </w:r>
      <w:r>
        <w:rPr>
          <w:rFonts w:hint="eastAsia" w:ascii="宋体" w:hAnsi="宋体" w:cs="宋体"/>
          <w:sz w:val="21"/>
          <w:szCs w:val="21"/>
          <w:highlight w:val="none"/>
          <w:u w:val="single"/>
        </w:rPr>
        <w:t xml:space="preserve">                       </w:t>
      </w:r>
    </w:p>
    <w:tbl>
      <w:tblPr>
        <w:tblStyle w:val="43"/>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126"/>
        <w:gridCol w:w="1644"/>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pPr>
              <w:jc w:val="center"/>
              <w:rPr>
                <w:rFonts w:ascii="宋体" w:hAnsi="宋体" w:cs="宋体"/>
                <w:b/>
                <w:sz w:val="21"/>
                <w:szCs w:val="21"/>
                <w:highlight w:val="none"/>
              </w:rPr>
            </w:pPr>
            <w:r>
              <w:rPr>
                <w:rFonts w:hint="eastAsia" w:ascii="宋体" w:hAnsi="宋体" w:cs="宋体"/>
                <w:b/>
                <w:sz w:val="21"/>
                <w:szCs w:val="21"/>
                <w:highlight w:val="none"/>
              </w:rPr>
              <w:t>序号</w:t>
            </w:r>
          </w:p>
        </w:tc>
        <w:tc>
          <w:tcPr>
            <w:tcW w:w="2352" w:type="dxa"/>
            <w:vAlign w:val="center"/>
          </w:tcPr>
          <w:p>
            <w:pPr>
              <w:jc w:val="center"/>
              <w:rPr>
                <w:rFonts w:ascii="宋体" w:hAnsi="宋体" w:cs="宋体"/>
                <w:b/>
                <w:sz w:val="21"/>
                <w:szCs w:val="21"/>
                <w:highlight w:val="none"/>
              </w:rPr>
            </w:pPr>
            <w:r>
              <w:rPr>
                <w:rFonts w:hint="eastAsia" w:ascii="宋体" w:hAnsi="宋体" w:cs="宋体"/>
                <w:b/>
                <w:sz w:val="21"/>
                <w:szCs w:val="21"/>
                <w:highlight w:val="none"/>
              </w:rPr>
              <w:t>招标文件要求</w:t>
            </w:r>
          </w:p>
        </w:tc>
        <w:tc>
          <w:tcPr>
            <w:tcW w:w="2126" w:type="dxa"/>
            <w:vAlign w:val="center"/>
          </w:tcPr>
          <w:p>
            <w:pPr>
              <w:jc w:val="center"/>
              <w:rPr>
                <w:rFonts w:ascii="宋体" w:hAnsi="宋体" w:cs="宋体"/>
                <w:b/>
                <w:sz w:val="21"/>
                <w:szCs w:val="21"/>
                <w:highlight w:val="none"/>
              </w:rPr>
            </w:pPr>
            <w:r>
              <w:rPr>
                <w:rFonts w:hint="eastAsia" w:ascii="宋体" w:hAnsi="宋体" w:cs="宋体"/>
                <w:b/>
                <w:bCs/>
                <w:sz w:val="21"/>
                <w:szCs w:val="21"/>
                <w:highlight w:val="none"/>
              </w:rPr>
              <w:t>投标文件响应内容</w:t>
            </w:r>
          </w:p>
        </w:tc>
        <w:tc>
          <w:tcPr>
            <w:tcW w:w="1644" w:type="dxa"/>
            <w:vAlign w:val="center"/>
          </w:tcPr>
          <w:p>
            <w:pPr>
              <w:ind w:left="293" w:hanging="293" w:hangingChars="139"/>
              <w:jc w:val="center"/>
              <w:rPr>
                <w:rFonts w:ascii="宋体" w:hAnsi="宋体" w:cs="宋体"/>
                <w:b/>
                <w:sz w:val="21"/>
                <w:szCs w:val="21"/>
                <w:highlight w:val="none"/>
              </w:rPr>
            </w:pPr>
            <w:r>
              <w:rPr>
                <w:rFonts w:hint="eastAsia" w:ascii="宋体" w:hAnsi="宋体" w:cs="宋体"/>
                <w:b/>
                <w:sz w:val="21"/>
                <w:szCs w:val="21"/>
                <w:highlight w:val="none"/>
              </w:rPr>
              <w:t>偏离情况</w:t>
            </w:r>
          </w:p>
        </w:tc>
        <w:tc>
          <w:tcPr>
            <w:tcW w:w="2165" w:type="dxa"/>
            <w:vAlign w:val="center"/>
          </w:tcPr>
          <w:p>
            <w:pPr>
              <w:jc w:val="center"/>
              <w:rPr>
                <w:rFonts w:ascii="宋体" w:hAnsi="宋体" w:cs="宋体"/>
                <w:b/>
                <w:sz w:val="21"/>
                <w:szCs w:val="21"/>
                <w:highlight w:val="none"/>
              </w:rPr>
            </w:pPr>
            <w:r>
              <w:rPr>
                <w:rFonts w:hint="eastAsia" w:ascii="宋体" w:hAnsi="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pPr>
              <w:spacing w:line="360" w:lineRule="auto"/>
              <w:jc w:val="center"/>
              <w:rPr>
                <w:rFonts w:ascii="宋体" w:hAnsi="宋体" w:cs="宋体"/>
                <w:sz w:val="21"/>
                <w:szCs w:val="21"/>
                <w:highlight w:val="none"/>
              </w:rPr>
            </w:pPr>
          </w:p>
        </w:tc>
        <w:tc>
          <w:tcPr>
            <w:tcW w:w="2352" w:type="dxa"/>
            <w:vAlign w:val="center"/>
          </w:tcPr>
          <w:p>
            <w:pPr>
              <w:spacing w:line="360" w:lineRule="auto"/>
              <w:jc w:val="center"/>
              <w:rPr>
                <w:rFonts w:ascii="宋体" w:hAnsi="宋体" w:cs="宋体"/>
                <w:sz w:val="21"/>
                <w:szCs w:val="21"/>
                <w:highlight w:val="none"/>
              </w:rPr>
            </w:pPr>
          </w:p>
        </w:tc>
        <w:tc>
          <w:tcPr>
            <w:tcW w:w="2126" w:type="dxa"/>
            <w:vAlign w:val="center"/>
          </w:tcPr>
          <w:p>
            <w:pPr>
              <w:spacing w:line="360" w:lineRule="auto"/>
              <w:jc w:val="center"/>
              <w:rPr>
                <w:rFonts w:ascii="宋体" w:hAnsi="宋体" w:cs="宋体"/>
                <w:sz w:val="21"/>
                <w:szCs w:val="21"/>
                <w:highlight w:val="none"/>
              </w:rPr>
            </w:pPr>
          </w:p>
        </w:tc>
        <w:tc>
          <w:tcPr>
            <w:tcW w:w="1644" w:type="dxa"/>
            <w:vAlign w:val="center"/>
          </w:tcPr>
          <w:p>
            <w:pPr>
              <w:spacing w:line="360" w:lineRule="auto"/>
              <w:jc w:val="center"/>
              <w:rPr>
                <w:rFonts w:ascii="宋体" w:hAnsi="宋体" w:cs="宋体"/>
                <w:sz w:val="21"/>
                <w:szCs w:val="21"/>
                <w:highlight w:val="none"/>
              </w:rPr>
            </w:pPr>
          </w:p>
        </w:tc>
        <w:tc>
          <w:tcPr>
            <w:tcW w:w="2165" w:type="dxa"/>
            <w:vAlign w:val="center"/>
          </w:tcPr>
          <w:p>
            <w:pPr>
              <w:spacing w:line="360" w:lineRule="auto"/>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pPr>
              <w:spacing w:line="360" w:lineRule="auto"/>
              <w:jc w:val="center"/>
              <w:rPr>
                <w:rFonts w:ascii="宋体" w:hAnsi="宋体" w:cs="宋体"/>
                <w:sz w:val="21"/>
                <w:szCs w:val="21"/>
                <w:highlight w:val="none"/>
              </w:rPr>
            </w:pPr>
          </w:p>
        </w:tc>
        <w:tc>
          <w:tcPr>
            <w:tcW w:w="2352" w:type="dxa"/>
            <w:vAlign w:val="center"/>
          </w:tcPr>
          <w:p>
            <w:pPr>
              <w:spacing w:line="360" w:lineRule="auto"/>
              <w:jc w:val="center"/>
              <w:rPr>
                <w:rFonts w:ascii="宋体" w:hAnsi="宋体" w:cs="宋体"/>
                <w:sz w:val="21"/>
                <w:szCs w:val="21"/>
                <w:highlight w:val="none"/>
              </w:rPr>
            </w:pPr>
          </w:p>
        </w:tc>
        <w:tc>
          <w:tcPr>
            <w:tcW w:w="2126" w:type="dxa"/>
            <w:vAlign w:val="center"/>
          </w:tcPr>
          <w:p>
            <w:pPr>
              <w:spacing w:line="360" w:lineRule="auto"/>
              <w:jc w:val="center"/>
              <w:rPr>
                <w:rFonts w:ascii="宋体" w:hAnsi="宋体" w:cs="宋体"/>
                <w:sz w:val="21"/>
                <w:szCs w:val="21"/>
                <w:highlight w:val="none"/>
              </w:rPr>
            </w:pPr>
          </w:p>
        </w:tc>
        <w:tc>
          <w:tcPr>
            <w:tcW w:w="1644" w:type="dxa"/>
            <w:vAlign w:val="center"/>
          </w:tcPr>
          <w:p>
            <w:pPr>
              <w:spacing w:line="360" w:lineRule="auto"/>
              <w:jc w:val="center"/>
              <w:rPr>
                <w:rFonts w:ascii="宋体" w:hAnsi="宋体" w:cs="宋体"/>
                <w:sz w:val="21"/>
                <w:szCs w:val="21"/>
                <w:highlight w:val="none"/>
              </w:rPr>
            </w:pPr>
          </w:p>
        </w:tc>
        <w:tc>
          <w:tcPr>
            <w:tcW w:w="2165" w:type="dxa"/>
            <w:vAlign w:val="center"/>
          </w:tcPr>
          <w:p>
            <w:pPr>
              <w:spacing w:line="360" w:lineRule="auto"/>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pPr>
              <w:spacing w:line="360" w:lineRule="auto"/>
              <w:jc w:val="center"/>
              <w:rPr>
                <w:rFonts w:ascii="宋体" w:hAnsi="宋体" w:cs="宋体"/>
                <w:sz w:val="21"/>
                <w:szCs w:val="21"/>
                <w:highlight w:val="none"/>
              </w:rPr>
            </w:pPr>
          </w:p>
        </w:tc>
        <w:tc>
          <w:tcPr>
            <w:tcW w:w="2352" w:type="dxa"/>
            <w:vAlign w:val="center"/>
          </w:tcPr>
          <w:p>
            <w:pPr>
              <w:spacing w:line="360" w:lineRule="auto"/>
              <w:jc w:val="center"/>
              <w:rPr>
                <w:rFonts w:ascii="宋体" w:hAnsi="宋体" w:cs="宋体"/>
                <w:sz w:val="21"/>
                <w:szCs w:val="21"/>
                <w:highlight w:val="none"/>
              </w:rPr>
            </w:pPr>
          </w:p>
        </w:tc>
        <w:tc>
          <w:tcPr>
            <w:tcW w:w="2126" w:type="dxa"/>
            <w:vAlign w:val="center"/>
          </w:tcPr>
          <w:p>
            <w:pPr>
              <w:spacing w:line="360" w:lineRule="auto"/>
              <w:jc w:val="center"/>
              <w:rPr>
                <w:rFonts w:ascii="宋体" w:hAnsi="宋体" w:cs="宋体"/>
                <w:sz w:val="21"/>
                <w:szCs w:val="21"/>
                <w:highlight w:val="none"/>
              </w:rPr>
            </w:pPr>
          </w:p>
        </w:tc>
        <w:tc>
          <w:tcPr>
            <w:tcW w:w="1644" w:type="dxa"/>
            <w:vAlign w:val="center"/>
          </w:tcPr>
          <w:p>
            <w:pPr>
              <w:spacing w:line="360" w:lineRule="auto"/>
              <w:jc w:val="center"/>
              <w:rPr>
                <w:rFonts w:ascii="宋体" w:hAnsi="宋体" w:cs="宋体"/>
                <w:sz w:val="21"/>
                <w:szCs w:val="21"/>
                <w:highlight w:val="none"/>
              </w:rPr>
            </w:pPr>
          </w:p>
        </w:tc>
        <w:tc>
          <w:tcPr>
            <w:tcW w:w="2165" w:type="dxa"/>
            <w:vAlign w:val="center"/>
          </w:tcPr>
          <w:p>
            <w:pPr>
              <w:spacing w:line="360" w:lineRule="auto"/>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pPr>
              <w:spacing w:line="360" w:lineRule="auto"/>
              <w:jc w:val="center"/>
              <w:rPr>
                <w:rFonts w:ascii="宋体" w:hAnsi="宋体" w:cs="宋体"/>
                <w:sz w:val="21"/>
                <w:szCs w:val="21"/>
                <w:highlight w:val="none"/>
              </w:rPr>
            </w:pPr>
          </w:p>
        </w:tc>
        <w:tc>
          <w:tcPr>
            <w:tcW w:w="2352" w:type="dxa"/>
            <w:vAlign w:val="center"/>
          </w:tcPr>
          <w:p>
            <w:pPr>
              <w:spacing w:line="360" w:lineRule="auto"/>
              <w:jc w:val="center"/>
              <w:rPr>
                <w:rFonts w:ascii="宋体" w:hAnsi="宋体" w:cs="宋体"/>
                <w:sz w:val="21"/>
                <w:szCs w:val="21"/>
                <w:highlight w:val="none"/>
              </w:rPr>
            </w:pPr>
          </w:p>
        </w:tc>
        <w:tc>
          <w:tcPr>
            <w:tcW w:w="2126" w:type="dxa"/>
            <w:vAlign w:val="center"/>
          </w:tcPr>
          <w:p>
            <w:pPr>
              <w:spacing w:line="360" w:lineRule="auto"/>
              <w:jc w:val="center"/>
              <w:rPr>
                <w:rFonts w:ascii="宋体" w:hAnsi="宋体" w:cs="宋体"/>
                <w:sz w:val="21"/>
                <w:szCs w:val="21"/>
                <w:highlight w:val="none"/>
              </w:rPr>
            </w:pPr>
          </w:p>
        </w:tc>
        <w:tc>
          <w:tcPr>
            <w:tcW w:w="1644" w:type="dxa"/>
            <w:vAlign w:val="center"/>
          </w:tcPr>
          <w:p>
            <w:pPr>
              <w:spacing w:line="360" w:lineRule="auto"/>
              <w:jc w:val="center"/>
              <w:rPr>
                <w:rFonts w:ascii="宋体" w:hAnsi="宋体" w:cs="宋体"/>
                <w:sz w:val="21"/>
                <w:szCs w:val="21"/>
                <w:highlight w:val="none"/>
              </w:rPr>
            </w:pPr>
          </w:p>
        </w:tc>
        <w:tc>
          <w:tcPr>
            <w:tcW w:w="2165" w:type="dxa"/>
            <w:vAlign w:val="center"/>
          </w:tcPr>
          <w:p>
            <w:pPr>
              <w:spacing w:line="360" w:lineRule="auto"/>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pPr>
              <w:spacing w:line="360" w:lineRule="auto"/>
              <w:jc w:val="center"/>
              <w:rPr>
                <w:rFonts w:ascii="宋体" w:hAnsi="宋体" w:cs="宋体"/>
                <w:sz w:val="21"/>
                <w:szCs w:val="21"/>
                <w:highlight w:val="none"/>
              </w:rPr>
            </w:pPr>
          </w:p>
        </w:tc>
        <w:tc>
          <w:tcPr>
            <w:tcW w:w="2352" w:type="dxa"/>
            <w:vAlign w:val="center"/>
          </w:tcPr>
          <w:p>
            <w:pPr>
              <w:spacing w:line="360" w:lineRule="auto"/>
              <w:jc w:val="center"/>
              <w:rPr>
                <w:rFonts w:ascii="宋体" w:hAnsi="宋体" w:cs="宋体"/>
                <w:sz w:val="21"/>
                <w:szCs w:val="21"/>
                <w:highlight w:val="none"/>
              </w:rPr>
            </w:pPr>
          </w:p>
        </w:tc>
        <w:tc>
          <w:tcPr>
            <w:tcW w:w="2126" w:type="dxa"/>
            <w:vAlign w:val="center"/>
          </w:tcPr>
          <w:p>
            <w:pPr>
              <w:spacing w:line="360" w:lineRule="auto"/>
              <w:jc w:val="center"/>
              <w:rPr>
                <w:rFonts w:ascii="宋体" w:hAnsi="宋体" w:cs="宋体"/>
                <w:sz w:val="21"/>
                <w:szCs w:val="21"/>
                <w:highlight w:val="none"/>
              </w:rPr>
            </w:pPr>
          </w:p>
        </w:tc>
        <w:tc>
          <w:tcPr>
            <w:tcW w:w="1644" w:type="dxa"/>
            <w:vAlign w:val="center"/>
          </w:tcPr>
          <w:p>
            <w:pPr>
              <w:spacing w:line="360" w:lineRule="auto"/>
              <w:jc w:val="center"/>
              <w:rPr>
                <w:rFonts w:ascii="宋体" w:hAnsi="宋体" w:cs="宋体"/>
                <w:sz w:val="21"/>
                <w:szCs w:val="21"/>
                <w:highlight w:val="none"/>
              </w:rPr>
            </w:pPr>
          </w:p>
        </w:tc>
        <w:tc>
          <w:tcPr>
            <w:tcW w:w="2165" w:type="dxa"/>
            <w:vAlign w:val="center"/>
          </w:tcPr>
          <w:p>
            <w:pPr>
              <w:spacing w:line="360" w:lineRule="auto"/>
              <w:jc w:val="center"/>
              <w:rPr>
                <w:rFonts w:ascii="宋体" w:hAnsi="宋体" w:cs="宋体"/>
                <w:sz w:val="21"/>
                <w:szCs w:val="21"/>
                <w:highlight w:val="none"/>
              </w:rPr>
            </w:pPr>
          </w:p>
        </w:tc>
      </w:tr>
    </w:tbl>
    <w:p>
      <w:pPr>
        <w:spacing w:before="120" w:beforeLines="50" w:line="288" w:lineRule="auto"/>
        <w:rPr>
          <w:rFonts w:ascii="宋体" w:hAnsi="宋体" w:cs="宋体"/>
          <w:sz w:val="21"/>
          <w:szCs w:val="21"/>
          <w:highlight w:val="none"/>
        </w:rPr>
      </w:pPr>
      <w:r>
        <w:rPr>
          <w:rFonts w:hint="eastAsia" w:ascii="宋体" w:hAnsi="宋体" w:cs="宋体"/>
          <w:sz w:val="21"/>
          <w:szCs w:val="21"/>
          <w:highlight w:val="none"/>
        </w:rPr>
        <w:t>注明：</w:t>
      </w:r>
    </w:p>
    <w:p>
      <w:pPr>
        <w:pStyle w:val="91"/>
        <w:numPr>
          <w:ilvl w:val="0"/>
          <w:numId w:val="0"/>
        </w:numPr>
        <w:spacing w:line="288" w:lineRule="auto"/>
        <w:ind w:leftChars="0"/>
        <w:rPr>
          <w:rFonts w:ascii="宋体" w:hAnsi="宋体" w:cs="宋体"/>
          <w:szCs w:val="21"/>
          <w:highlight w:val="none"/>
        </w:rPr>
      </w:pPr>
      <w:r>
        <w:rPr>
          <w:rFonts w:hint="eastAsia" w:ascii="宋体" w:hAnsi="宋体" w:cs="宋体"/>
          <w:bCs/>
          <w:szCs w:val="21"/>
          <w:highlight w:val="none"/>
          <w:lang w:val="en-US" w:eastAsia="zh-CN"/>
        </w:rPr>
        <w:t>1)</w:t>
      </w:r>
      <w:r>
        <w:rPr>
          <w:rFonts w:hint="eastAsia" w:ascii="宋体" w:hAnsi="宋体" w:cs="宋体"/>
          <w:bCs/>
          <w:szCs w:val="21"/>
          <w:highlight w:val="none"/>
        </w:rPr>
        <w:t>偏离情况项填写“正”、“负”或“无”，说明项中填写原因。</w:t>
      </w:r>
    </w:p>
    <w:p>
      <w:pPr>
        <w:pStyle w:val="91"/>
        <w:numPr>
          <w:ilvl w:val="0"/>
          <w:numId w:val="0"/>
        </w:numPr>
        <w:spacing w:line="288" w:lineRule="auto"/>
        <w:ind w:leftChars="0"/>
        <w:rPr>
          <w:rFonts w:ascii="宋体" w:hAnsi="宋体" w:cs="宋体"/>
          <w:bCs/>
          <w:szCs w:val="21"/>
          <w:highlight w:val="none"/>
        </w:rPr>
      </w:pPr>
      <w:r>
        <w:rPr>
          <w:rFonts w:hint="eastAsia" w:ascii="宋体" w:hAnsi="宋体" w:cs="宋体"/>
          <w:bCs/>
          <w:szCs w:val="21"/>
          <w:highlight w:val="none"/>
          <w:lang w:val="en-US" w:eastAsia="zh-CN"/>
        </w:rPr>
        <w:t>2)</w:t>
      </w:r>
      <w:r>
        <w:rPr>
          <w:rFonts w:hint="eastAsia" w:ascii="宋体" w:hAnsi="宋体" w:cs="宋体"/>
          <w:bCs/>
          <w:szCs w:val="21"/>
          <w:highlight w:val="none"/>
        </w:rPr>
        <w:t>供应商应按照招标文件要求逐条填写响应情况，对响应有偏离的，则说明偏离的内容，若有要求提供相关证明资料的，须按要求提供，否则视为负偏离。</w:t>
      </w:r>
    </w:p>
    <w:p>
      <w:pPr>
        <w:pStyle w:val="18"/>
        <w:adjustRightInd w:val="0"/>
        <w:snapToGrid w:val="0"/>
        <w:spacing w:line="300" w:lineRule="auto"/>
        <w:ind w:left="400"/>
        <w:rPr>
          <w:rFonts w:ascii="宋体" w:hAnsi="宋体"/>
          <w:b/>
          <w:bCs/>
          <w:snapToGrid w:val="0"/>
          <w:sz w:val="21"/>
          <w:szCs w:val="21"/>
          <w:highlight w:val="none"/>
        </w:rPr>
      </w:pPr>
    </w:p>
    <w:p>
      <w:pPr>
        <w:pStyle w:val="18"/>
        <w:adjustRightInd w:val="0"/>
        <w:snapToGrid w:val="0"/>
        <w:spacing w:line="300" w:lineRule="auto"/>
        <w:ind w:left="400"/>
        <w:rPr>
          <w:rFonts w:ascii="宋体" w:hAnsi="宋体"/>
          <w:b/>
          <w:bCs/>
          <w:snapToGrid w:val="0"/>
          <w:sz w:val="21"/>
          <w:szCs w:val="21"/>
          <w:highlight w:val="none"/>
        </w:rPr>
      </w:pPr>
    </w:p>
    <w:p>
      <w:pPr>
        <w:pStyle w:val="18"/>
        <w:adjustRightInd w:val="0"/>
        <w:snapToGrid w:val="0"/>
        <w:spacing w:line="300" w:lineRule="auto"/>
        <w:ind w:left="400"/>
        <w:rPr>
          <w:rFonts w:ascii="宋体" w:hAnsi="宋体"/>
          <w:b/>
          <w:bCs/>
          <w:snapToGrid w:val="0"/>
          <w:sz w:val="21"/>
          <w:szCs w:val="21"/>
          <w:highlight w:val="none"/>
        </w:rPr>
      </w:pPr>
    </w:p>
    <w:p>
      <w:pPr>
        <w:pStyle w:val="18"/>
        <w:adjustRightInd w:val="0"/>
        <w:snapToGrid w:val="0"/>
        <w:spacing w:line="300" w:lineRule="auto"/>
        <w:ind w:left="400"/>
        <w:rPr>
          <w:rFonts w:ascii="宋体" w:hAnsi="宋体"/>
          <w:b/>
          <w:bCs/>
          <w:snapToGrid w:val="0"/>
          <w:sz w:val="21"/>
          <w:szCs w:val="21"/>
          <w:highlight w:val="none"/>
        </w:rPr>
      </w:pPr>
    </w:p>
    <w:tbl>
      <w:tblPr>
        <w:tblStyle w:val="43"/>
        <w:tblW w:w="8528" w:type="dxa"/>
        <w:tblInd w:w="0" w:type="dxa"/>
        <w:tblLayout w:type="fixed"/>
        <w:tblCellMar>
          <w:top w:w="0" w:type="dxa"/>
          <w:left w:w="108" w:type="dxa"/>
          <w:bottom w:w="0" w:type="dxa"/>
          <w:right w:w="108" w:type="dxa"/>
        </w:tblCellMar>
      </w:tblPr>
      <w:tblGrid>
        <w:gridCol w:w="5353"/>
        <w:gridCol w:w="3175"/>
      </w:tblGrid>
      <w:tr>
        <w:tblPrEx>
          <w:tblCellMar>
            <w:top w:w="0" w:type="dxa"/>
            <w:left w:w="108" w:type="dxa"/>
            <w:bottom w:w="0" w:type="dxa"/>
            <w:right w:w="108" w:type="dxa"/>
          </w:tblCellMar>
        </w:tblPrEx>
        <w:trPr>
          <w:trHeight w:val="680" w:hRule="atLeast"/>
        </w:trPr>
        <w:tc>
          <w:tcPr>
            <w:tcW w:w="5353" w:type="dxa"/>
            <w:shd w:val="clear" w:color="auto" w:fill="auto"/>
          </w:tcPr>
          <w:p>
            <w:pPr>
              <w:overflowPunct w:val="0"/>
              <w:adjustRightInd w:val="0"/>
              <w:spacing w:line="288" w:lineRule="auto"/>
              <w:rPr>
                <w:rFonts w:ascii="宋体" w:hAnsi="宋体" w:cs="宋体"/>
                <w:sz w:val="21"/>
                <w:szCs w:val="21"/>
                <w:highlight w:val="none"/>
              </w:rPr>
            </w:pPr>
            <w:r>
              <w:rPr>
                <w:rFonts w:hint="eastAsia" w:ascii="宋体" w:hAnsi="宋体" w:cs="宋体"/>
                <w:sz w:val="21"/>
                <w:szCs w:val="21"/>
                <w:highlight w:val="none"/>
              </w:rPr>
              <w:t>供应商名称（加盖公章）：</w:t>
            </w:r>
            <w:r>
              <w:rPr>
                <w:rFonts w:hint="eastAsia" w:ascii="宋体" w:hAnsi="宋体" w:cs="宋体"/>
                <w:sz w:val="21"/>
                <w:szCs w:val="21"/>
                <w:highlight w:val="none"/>
                <w:u w:val="single"/>
              </w:rPr>
              <w:t xml:space="preserve">                         </w:t>
            </w:r>
          </w:p>
        </w:tc>
        <w:tc>
          <w:tcPr>
            <w:tcW w:w="3175" w:type="dxa"/>
            <w:shd w:val="clear" w:color="auto" w:fill="auto"/>
          </w:tcPr>
          <w:p>
            <w:pPr>
              <w:spacing w:line="288" w:lineRule="auto"/>
              <w:rPr>
                <w:rFonts w:ascii="宋体" w:hAnsi="宋体" w:cs="宋体"/>
                <w:sz w:val="21"/>
                <w:szCs w:val="21"/>
                <w:highlight w:val="none"/>
              </w:rPr>
            </w:pPr>
          </w:p>
        </w:tc>
      </w:tr>
      <w:tr>
        <w:tblPrEx>
          <w:tblCellMar>
            <w:top w:w="0" w:type="dxa"/>
            <w:left w:w="108" w:type="dxa"/>
            <w:bottom w:w="0" w:type="dxa"/>
            <w:right w:w="108" w:type="dxa"/>
          </w:tblCellMar>
        </w:tblPrEx>
        <w:trPr>
          <w:trHeight w:val="680" w:hRule="atLeast"/>
        </w:trPr>
        <w:tc>
          <w:tcPr>
            <w:tcW w:w="5353" w:type="dxa"/>
            <w:shd w:val="clear" w:color="auto" w:fill="auto"/>
          </w:tcPr>
          <w:p>
            <w:pPr>
              <w:overflowPunct w:val="0"/>
              <w:adjustRightInd w:val="0"/>
              <w:spacing w:line="288" w:lineRule="auto"/>
              <w:rPr>
                <w:rFonts w:ascii="宋体" w:hAnsi="宋体" w:cs="宋体"/>
                <w:sz w:val="21"/>
                <w:szCs w:val="21"/>
                <w:highlight w:val="none"/>
              </w:rPr>
            </w:pPr>
            <w:r>
              <w:rPr>
                <w:rFonts w:hint="eastAsia" w:ascii="宋体" w:hAnsi="宋体" w:cs="宋体"/>
                <w:sz w:val="21"/>
                <w:szCs w:val="21"/>
                <w:highlight w:val="none"/>
              </w:rPr>
              <w:t xml:space="preserve">法定代表人或其委托代理人（签字）： </w:t>
            </w:r>
            <w:r>
              <w:rPr>
                <w:rFonts w:hint="eastAsia" w:ascii="宋体" w:hAnsi="宋体" w:cs="宋体"/>
                <w:sz w:val="21"/>
                <w:szCs w:val="21"/>
                <w:highlight w:val="none"/>
                <w:u w:val="single"/>
              </w:rPr>
              <w:t xml:space="preserve">              </w:t>
            </w:r>
          </w:p>
        </w:tc>
        <w:tc>
          <w:tcPr>
            <w:tcW w:w="3175" w:type="dxa"/>
            <w:shd w:val="clear" w:color="auto" w:fill="auto"/>
          </w:tcPr>
          <w:p>
            <w:pPr>
              <w:spacing w:line="288" w:lineRule="auto"/>
              <w:rPr>
                <w:rFonts w:ascii="宋体" w:hAnsi="宋体" w:cs="宋体"/>
                <w:sz w:val="21"/>
                <w:szCs w:val="21"/>
                <w:highlight w:val="none"/>
              </w:rPr>
            </w:pPr>
          </w:p>
        </w:tc>
      </w:tr>
      <w:tr>
        <w:tblPrEx>
          <w:tblCellMar>
            <w:top w:w="0" w:type="dxa"/>
            <w:left w:w="108" w:type="dxa"/>
            <w:bottom w:w="0" w:type="dxa"/>
            <w:right w:w="108" w:type="dxa"/>
          </w:tblCellMar>
        </w:tblPrEx>
        <w:trPr>
          <w:trHeight w:val="680" w:hRule="atLeast"/>
        </w:trPr>
        <w:tc>
          <w:tcPr>
            <w:tcW w:w="5353" w:type="dxa"/>
            <w:shd w:val="clear" w:color="auto" w:fill="auto"/>
          </w:tcPr>
          <w:p>
            <w:pPr>
              <w:spacing w:line="288" w:lineRule="auto"/>
              <w:rPr>
                <w:rFonts w:ascii="宋体" w:hAnsi="宋体" w:cs="宋体"/>
                <w:sz w:val="21"/>
                <w:szCs w:val="21"/>
                <w:highlight w:val="none"/>
              </w:rPr>
            </w:pPr>
            <w:r>
              <w:rPr>
                <w:rFonts w:hint="eastAsia" w:ascii="宋体" w:hAnsi="宋体" w:cs="宋体"/>
                <w:sz w:val="21"/>
                <w:szCs w:val="21"/>
                <w:highlight w:val="none"/>
              </w:rPr>
              <w:t>日期：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月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日</w:t>
            </w:r>
          </w:p>
        </w:tc>
        <w:tc>
          <w:tcPr>
            <w:tcW w:w="3175" w:type="dxa"/>
            <w:shd w:val="clear" w:color="auto" w:fill="auto"/>
          </w:tcPr>
          <w:p>
            <w:pPr>
              <w:spacing w:line="288" w:lineRule="auto"/>
              <w:rPr>
                <w:rFonts w:ascii="宋体" w:hAnsi="宋体" w:cs="宋体"/>
                <w:sz w:val="21"/>
                <w:szCs w:val="21"/>
                <w:highlight w:val="none"/>
              </w:rPr>
            </w:pPr>
          </w:p>
        </w:tc>
      </w:tr>
    </w:tbl>
    <w:p>
      <w:pPr>
        <w:rPr>
          <w:rFonts w:asciiTheme="minorEastAsia" w:hAnsiTheme="minorEastAsia" w:eastAsiaTheme="minorEastAsia" w:cstheme="minorEastAsia"/>
          <w:color w:val="000000" w:themeColor="text1"/>
          <w:highlight w:val="none"/>
          <w14:textFill>
            <w14:solidFill>
              <w14:schemeClr w14:val="tx1"/>
            </w14:solidFill>
          </w14:textFill>
        </w:rPr>
      </w:pPr>
    </w:p>
    <w:p>
      <w:pPr>
        <w:spacing w:line="360" w:lineRule="auto"/>
        <w:rPr>
          <w:b/>
          <w:bCs/>
          <w:sz w:val="24"/>
          <w:szCs w:val="24"/>
          <w:highlight w:val="none"/>
        </w:rPr>
      </w:pPr>
    </w:p>
    <w:p>
      <w:pPr>
        <w:spacing w:line="360" w:lineRule="auto"/>
        <w:ind w:firstLine="480" w:firstLineChars="200"/>
        <w:rPr>
          <w:b/>
          <w:bCs/>
          <w:sz w:val="24"/>
          <w:szCs w:val="24"/>
          <w:highlight w:val="none"/>
        </w:rPr>
      </w:pPr>
      <w:r>
        <w:rPr>
          <w:rFonts w:hint="eastAsia"/>
          <w:sz w:val="24"/>
          <w:szCs w:val="24"/>
          <w:highlight w:val="none"/>
        </w:rPr>
        <w:t>后附：招标文件采购需求和评标办法技术部分技术响应情况评审标准要求提供的证明材料。</w:t>
      </w:r>
    </w:p>
    <w:p>
      <w:pPr>
        <w:spacing w:line="360" w:lineRule="auto"/>
        <w:ind w:firstLine="420" w:firstLineChars="200"/>
        <w:rPr>
          <w:sz w:val="21"/>
          <w:szCs w:val="21"/>
          <w:highlight w:val="none"/>
        </w:rPr>
      </w:pPr>
      <w:r>
        <w:rPr>
          <w:sz w:val="21"/>
          <w:highlight w:val="none"/>
        </w:rPr>
        <mc:AlternateContent>
          <mc:Choice Requires="wps">
            <w:drawing>
              <wp:anchor distT="0" distB="0" distL="114300" distR="114300" simplePos="0" relativeHeight="251663360" behindDoc="0" locked="0" layoutInCell="1" allowOverlap="1">
                <wp:simplePos x="0" y="0"/>
                <wp:positionH relativeFrom="column">
                  <wp:posOffset>1386205</wp:posOffset>
                </wp:positionH>
                <wp:positionV relativeFrom="paragraph">
                  <wp:posOffset>568325</wp:posOffset>
                </wp:positionV>
                <wp:extent cx="342900" cy="142240"/>
                <wp:effectExtent l="12700" t="12700" r="25400" b="16510"/>
                <wp:wrapNone/>
                <wp:docPr id="5" name="右箭头 5"/>
                <wp:cNvGraphicFramePr/>
                <a:graphic xmlns:a="http://schemas.openxmlformats.org/drawingml/2006/main">
                  <a:graphicData uri="http://schemas.microsoft.com/office/word/2010/wordprocessingShape">
                    <wps:wsp>
                      <wps:cNvSpPr/>
                      <wps:spPr>
                        <a:xfrm>
                          <a:off x="2394585" y="9459595"/>
                          <a:ext cx="342900" cy="14224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09.15pt;margin-top:44.75pt;height:11.2pt;width:27pt;z-index:251663360;v-text-anchor:middle;mso-width-relative:page;mso-height-relative:page;" fillcolor="#4F81BD [3204]" filled="t" stroked="t" coordsize="21600,21600" o:gfxdata="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rndjR1gAAAAoBAAAPAAAAAAAAAAEAIAAAACIAAABkcnMvZG93bnJl&#10;di54bWxQSwECFAAUAAAACACHTuJA5GvMdXECAADFBAAADgAAAAAAAAABACAAAAAlAQAAZHJzL2Uy&#10;b0RvYy54bWxQSwUGAAAAAAYABgBZAQAACAYAAAAA&#10;" adj="17120,5400">
                <v:fill on="t" focussize="0,0"/>
                <v:stroke weight="2pt" color="#376092 [2404]" joinstyle="round"/>
                <v:imagedata o:title=""/>
                <o:lock v:ext="edit" aspectratio="f"/>
              </v:shape>
            </w:pict>
          </mc:Fallback>
        </mc:AlternateContent>
      </w:r>
      <w:r>
        <w:rPr>
          <w:sz w:val="21"/>
          <w:highlight w:val="none"/>
        </w:rPr>
        <mc:AlternateContent>
          <mc:Choice Requires="wps">
            <w:drawing>
              <wp:anchor distT="0" distB="0" distL="114300" distR="114300" simplePos="0" relativeHeight="251662336" behindDoc="0" locked="0" layoutInCell="1" allowOverlap="1">
                <wp:simplePos x="0" y="0"/>
                <wp:positionH relativeFrom="column">
                  <wp:posOffset>776605</wp:posOffset>
                </wp:positionH>
                <wp:positionV relativeFrom="paragraph">
                  <wp:posOffset>539115</wp:posOffset>
                </wp:positionV>
                <wp:extent cx="342900" cy="161925"/>
                <wp:effectExtent l="12700" t="12700" r="25400" b="15875"/>
                <wp:wrapNone/>
                <wp:docPr id="4" name="椭圆 4"/>
                <wp:cNvGraphicFramePr/>
                <a:graphic xmlns:a="http://schemas.openxmlformats.org/drawingml/2006/main">
                  <a:graphicData uri="http://schemas.microsoft.com/office/word/2010/wordprocessingShape">
                    <wps:wsp>
                      <wps:cNvSpPr/>
                      <wps:spPr>
                        <a:xfrm>
                          <a:off x="1784985" y="9430385"/>
                          <a:ext cx="342900" cy="161925"/>
                        </a:xfrm>
                        <a:prstGeom prst="ellipse">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1.15pt;margin-top:42.45pt;height:12.75pt;width:27pt;z-index:251662336;v-text-anchor:middle;mso-width-relative:page;mso-height-relative:page;" fillcolor="#4F81BD [3204]" filled="t" stroked="t" coordsize="21600,21600" o:gfxdata="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FAcebYAAAACgEAAA8AAAAAAAAAAQAgAAAAIgAAAGRycy9kb3ducmV2Lnht&#10;bFBLAQIUABQAAAAIAIdO4kDFLbyHawIAAL8EAAAOAAAAAAAAAAEAIAAAACcBAABkcnMvZTJvRG9j&#10;LnhtbFBLBQYAAAAABgAGAFkBAAAEBgAAAAA=&#10;">
                <v:fill on="t" focussize="0,0"/>
                <v:stroke weight="2pt" color="#376092 [2404]" joinstyle="round"/>
                <v:imagedata o:title=""/>
                <o:lock v:ext="edit" aspectratio="f"/>
              </v:shape>
            </w:pict>
          </mc:Fallback>
        </mc:AlternateConten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176530</wp:posOffset>
                </wp:positionH>
                <wp:positionV relativeFrom="paragraph">
                  <wp:posOffset>548640</wp:posOffset>
                </wp:positionV>
                <wp:extent cx="257175" cy="133350"/>
                <wp:effectExtent l="12700" t="12700" r="15875" b="25400"/>
                <wp:wrapNone/>
                <wp:docPr id="3" name="矩形 3"/>
                <wp:cNvGraphicFramePr/>
                <a:graphic xmlns:a="http://schemas.openxmlformats.org/drawingml/2006/main">
                  <a:graphicData uri="http://schemas.microsoft.com/office/word/2010/wordprocessingShape">
                    <wps:wsp>
                      <wps:cNvSpPr/>
                      <wps:spPr>
                        <a:xfrm>
                          <a:off x="1184910" y="9439910"/>
                          <a:ext cx="257175" cy="13335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9pt;margin-top:43.2pt;height:10.5pt;width:20.25pt;z-index:251661312;v-text-anchor:middle;mso-width-relative:page;mso-height-relative:page;" fillcolor="#4F81BD [3204]" filled="t" stroked="t" coordsize="21600,21600" o:gfxdata="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LuOndgAAAAIAQAADwAAAAAAAAABACAAAAAiAAAAZHJzL2Rvd25yZXYueG1sUEsB&#10;AhQAFAAAAAgAh07iQJBdW59nAgAAvAQAAA4AAAAAAAAAAQAgAAAAJwEAAGRycy9lMm9Eb2MueG1s&#10;UEsFBgAAAAAGAAYAWQEAAAAGAAAAAA==&#10;">
                <v:fill on="t" focussize="0,0"/>
                <v:stroke weight="2pt" color="#376092 [2404]" joinstyle="round"/>
                <v:imagedata o:title=""/>
                <o:lock v:ext="edit" aspectratio="f"/>
              </v:rect>
            </w:pict>
          </mc:Fallback>
        </mc:AlternateContent>
      </w:r>
      <w:r>
        <w:rPr>
          <w:rFonts w:hint="eastAsia"/>
          <w:b/>
          <w:bCs/>
          <w:sz w:val="21"/>
          <w:szCs w:val="21"/>
          <w:highlight w:val="none"/>
        </w:rPr>
        <w:t>特别说明：供应商编制投标文件时请按评审标准“技术参数响应情况”要求点对点提供证明材料，并按先后顺序标明序号（例：1、***项或★项证明材料），</w:t>
      </w:r>
      <w:r>
        <w:rPr>
          <w:rFonts w:hint="eastAsia"/>
          <w:b/>
          <w:bCs/>
          <w:sz w:val="21"/>
          <w:szCs w:val="21"/>
          <w:highlight w:val="none"/>
          <w:lang w:eastAsia="zh-CN"/>
        </w:rPr>
        <w:t>请在具体参数页上标注（</w:t>
      </w:r>
      <w:r>
        <w:rPr>
          <w:rFonts w:hint="eastAsia"/>
          <w:b/>
          <w:bCs/>
          <w:sz w:val="21"/>
          <w:szCs w:val="21"/>
          <w:highlight w:val="none"/>
          <w:lang w:val="en-US" w:eastAsia="zh-CN"/>
        </w:rPr>
        <w:t xml:space="preserve">       、       、       </w:t>
      </w:r>
      <w:r>
        <w:rPr>
          <w:rFonts w:hint="eastAsia"/>
          <w:b/>
          <w:bCs/>
          <w:sz w:val="21"/>
          <w:szCs w:val="21"/>
          <w:highlight w:val="none"/>
          <w:lang w:eastAsia="zh-CN"/>
        </w:rPr>
        <w:t>）等标记，</w:t>
      </w:r>
      <w:r>
        <w:rPr>
          <w:rFonts w:hint="eastAsia"/>
          <w:b/>
          <w:bCs/>
          <w:sz w:val="21"/>
          <w:szCs w:val="21"/>
          <w:highlight w:val="none"/>
        </w:rPr>
        <w:t>因标注不清楚或未做标注将可能导致评标委员会未能赋分。</w:t>
      </w:r>
    </w:p>
    <w:p>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bCs/>
          <w:kern w:val="2"/>
          <w:sz w:val="32"/>
          <w:szCs w:val="32"/>
          <w:highlight w:val="none"/>
        </w:rPr>
        <w:br w:type="page"/>
      </w:r>
      <w:bookmarkEnd w:id="87"/>
      <w:bookmarkEnd w:id="88"/>
      <w:r>
        <w:rPr>
          <w:rFonts w:hint="eastAsia" w:ascii="宋体" w:hAnsi="宋体" w:cs="宋体"/>
          <w:b/>
          <w:color w:val="000000" w:themeColor="text1"/>
          <w:sz w:val="32"/>
          <w:szCs w:val="32"/>
          <w:highlight w:val="none"/>
          <w14:textFill>
            <w14:solidFill>
              <w14:schemeClr w14:val="tx1"/>
            </w14:solidFill>
          </w14:textFill>
        </w:rPr>
        <w:t>九、实施方案</w:t>
      </w:r>
    </w:p>
    <w:p>
      <w:pPr>
        <w:spacing w:line="360" w:lineRule="auto"/>
        <w:jc w:val="both"/>
        <w:rPr>
          <w:rFonts w:ascii="宋体" w:hAnsi="宋体" w:cs="宋体"/>
          <w:sz w:val="21"/>
          <w:szCs w:val="21"/>
          <w:highlight w:val="none"/>
        </w:rPr>
      </w:pPr>
    </w:p>
    <w:p>
      <w:pPr>
        <w:spacing w:line="360" w:lineRule="auto"/>
        <w:jc w:val="both"/>
        <w:rPr>
          <w:rFonts w:ascii="宋体" w:hAnsi="宋体" w:cs="宋体"/>
          <w:sz w:val="21"/>
          <w:szCs w:val="21"/>
          <w:highlight w:val="none"/>
        </w:rPr>
      </w:pPr>
      <w:r>
        <w:rPr>
          <w:rFonts w:hint="eastAsia" w:ascii="宋体" w:hAnsi="宋体" w:cs="宋体"/>
          <w:sz w:val="21"/>
          <w:szCs w:val="21"/>
          <w:highlight w:val="none"/>
        </w:rPr>
        <w:t>实施方案包括但不限于以下内容</w:t>
      </w:r>
    </w:p>
    <w:p>
      <w:pPr>
        <w:spacing w:line="360" w:lineRule="auto"/>
        <w:jc w:val="both"/>
        <w:rPr>
          <w:rFonts w:ascii="宋体" w:hAnsi="宋体" w:cs="宋体"/>
          <w:sz w:val="21"/>
          <w:szCs w:val="21"/>
          <w:highlight w:val="none"/>
        </w:rPr>
      </w:pPr>
      <w:r>
        <w:rPr>
          <w:rFonts w:hint="eastAsia" w:ascii="宋体" w:hAnsi="宋体" w:cs="宋体"/>
          <w:sz w:val="21"/>
          <w:szCs w:val="21"/>
          <w:highlight w:val="none"/>
        </w:rPr>
        <w:t>1、设备安装调试方案</w:t>
      </w:r>
    </w:p>
    <w:p>
      <w:pPr>
        <w:spacing w:line="360" w:lineRule="auto"/>
        <w:jc w:val="both"/>
        <w:rPr>
          <w:rFonts w:hint="default" w:ascii="宋体" w:hAnsi="宋体" w:eastAsia="宋体" w:cs="宋体"/>
          <w:sz w:val="21"/>
          <w:szCs w:val="21"/>
          <w:highlight w:val="none"/>
          <w:lang w:val="en-US" w:eastAsia="zh-CN"/>
        </w:rPr>
      </w:pPr>
      <w:r>
        <w:rPr>
          <w:rFonts w:hint="eastAsia" w:ascii="宋体" w:hAnsi="宋体" w:cs="宋体"/>
          <w:sz w:val="21"/>
          <w:szCs w:val="21"/>
          <w:highlight w:val="none"/>
        </w:rPr>
        <w:t>2、</w:t>
      </w:r>
      <w:r>
        <w:rPr>
          <w:rFonts w:hint="eastAsia" w:ascii="宋体" w:hAnsi="宋体" w:cs="宋体"/>
          <w:sz w:val="21"/>
          <w:szCs w:val="21"/>
          <w:highlight w:val="none"/>
          <w:lang w:val="en-US" w:eastAsia="zh-CN"/>
        </w:rPr>
        <w:t>技术人员配置与管理</w:t>
      </w:r>
    </w:p>
    <w:p>
      <w:pPr>
        <w:spacing w:line="360" w:lineRule="auto"/>
        <w:jc w:val="both"/>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sz w:val="21"/>
          <w:szCs w:val="21"/>
          <w:highlight w:val="none"/>
          <w:lang w:val="en-US" w:eastAsia="zh-CN"/>
        </w:rPr>
        <w:t>运维服务方案</w:t>
      </w:r>
    </w:p>
    <w:p>
      <w:pPr>
        <w:spacing w:line="360" w:lineRule="auto"/>
        <w:jc w:val="both"/>
        <w:rPr>
          <w:rFonts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、应急方案</w:t>
      </w:r>
    </w:p>
    <w:p>
      <w:pPr>
        <w:spacing w:line="360" w:lineRule="auto"/>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w:t>
      </w:r>
      <w:r>
        <w:rPr>
          <w:rFonts w:hint="eastAsia" w:ascii="宋体" w:hAnsi="宋体" w:cs="宋体"/>
          <w:sz w:val="21"/>
          <w:szCs w:val="21"/>
          <w:highlight w:val="none"/>
          <w:lang w:val="en-US" w:eastAsia="zh-CN"/>
        </w:rPr>
        <w:t>质量安全保证措施</w:t>
      </w:r>
    </w:p>
    <w:p>
      <w:pPr>
        <w:spacing w:line="360" w:lineRule="auto"/>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w:t>
      </w:r>
      <w:r>
        <w:rPr>
          <w:rFonts w:hint="eastAsia" w:ascii="宋体" w:hAnsi="宋体" w:cs="宋体"/>
          <w:color w:val="000000" w:themeColor="text1"/>
          <w:sz w:val="21"/>
          <w:szCs w:val="21"/>
          <w:highlight w:val="none"/>
          <w14:textFill>
            <w14:solidFill>
              <w14:schemeClr w14:val="tx1"/>
            </w14:solidFill>
          </w14:textFill>
        </w:rPr>
        <w:t>供货保证措施</w:t>
      </w:r>
    </w:p>
    <w:p>
      <w:pPr>
        <w:spacing w:line="360" w:lineRule="auto"/>
        <w:jc w:val="both"/>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r>
        <w:rPr>
          <w:rFonts w:hint="eastAsia" w:ascii="宋体" w:hAnsi="宋体" w:cs="宋体"/>
          <w:sz w:val="21"/>
          <w:szCs w:val="21"/>
          <w:highlight w:val="none"/>
        </w:rPr>
        <w:t>、</w:t>
      </w:r>
      <w:r>
        <w:rPr>
          <w:rFonts w:hint="eastAsia" w:ascii="宋体" w:hAnsi="宋体" w:cs="宋体"/>
          <w:color w:val="000000" w:themeColor="text1"/>
          <w:sz w:val="21"/>
          <w:szCs w:val="21"/>
          <w:highlight w:val="none"/>
          <w:lang w:val="en-US" w:eastAsia="zh-CN"/>
          <w14:textFill>
            <w14:solidFill>
              <w14:schemeClr w14:val="tx1"/>
            </w14:solidFill>
          </w14:textFill>
        </w:rPr>
        <w:t>售后服务方案</w:t>
      </w:r>
    </w:p>
    <w:p>
      <w:pPr>
        <w:spacing w:line="360" w:lineRule="auto"/>
        <w:jc w:val="both"/>
        <w:rPr>
          <w:rFonts w:ascii="宋体" w:hAnsi="宋体" w:cs="宋体"/>
          <w:b/>
          <w:color w:val="000000" w:themeColor="text1"/>
          <w:sz w:val="21"/>
          <w:szCs w:val="21"/>
          <w:highlight w:val="none"/>
          <w14:textFill>
            <w14:solidFill>
              <w14:schemeClr w14:val="tx1"/>
            </w14:solidFill>
          </w14:textFill>
        </w:rPr>
      </w:pPr>
      <w:r>
        <w:rPr>
          <w:rFonts w:ascii="宋体" w:hAnsi="宋体" w:cs="宋体"/>
          <w:b/>
          <w:color w:val="000000" w:themeColor="text1"/>
          <w:sz w:val="21"/>
          <w:szCs w:val="21"/>
          <w:highlight w:val="none"/>
          <w14:textFill>
            <w14:solidFill>
              <w14:schemeClr w14:val="tx1"/>
            </w14:solidFill>
          </w14:textFill>
        </w:rPr>
        <w:br w:type="page"/>
      </w:r>
    </w:p>
    <w:p>
      <w:pPr>
        <w:wordWrap w:val="0"/>
        <w:spacing w:after="240" w:afterLines="100"/>
        <w:jc w:val="cente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十、其他资料</w:t>
      </w:r>
    </w:p>
    <w:p>
      <w:pPr>
        <w:wordWrap w:val="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p>
      <w:pPr>
        <w:wordWrap w:val="0"/>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招标文件中要求的资料或供应商认为针对本项目有必要提供的资料，附后。</w:t>
      </w:r>
    </w:p>
    <w:p>
      <w:pPr>
        <w:spacing w:line="360" w:lineRule="auto"/>
        <w:jc w:val="center"/>
        <w:rPr>
          <w:rFonts w:ascii="宋体" w:hAnsi="宋体" w:cs="宋体"/>
          <w:b/>
          <w:color w:val="000000" w:themeColor="text1"/>
          <w:highlight w:val="none"/>
          <w14:textFill>
            <w14:solidFill>
              <w14:schemeClr w14:val="tx1"/>
            </w14:solidFill>
          </w14:textFill>
        </w:rPr>
      </w:pPr>
    </w:p>
    <w:p>
      <w:pPr>
        <w:widowControl w:val="0"/>
        <w:spacing w:line="360" w:lineRule="auto"/>
        <w:ind w:left="20"/>
        <w:rPr>
          <w:rFonts w:ascii="宋体" w:hAnsi="Calibri"/>
          <w:color w:val="000000"/>
          <w:kern w:val="2"/>
          <w:sz w:val="18"/>
          <w:szCs w:val="24"/>
          <w:highlight w:val="none"/>
        </w:rPr>
      </w:pPr>
    </w:p>
    <w:p>
      <w:pPr>
        <w:spacing w:line="360" w:lineRule="auto"/>
        <w:rPr>
          <w:rFonts w:ascii="宋体" w:hAnsi="Calibri"/>
          <w:color w:val="000000"/>
          <w:kern w:val="2"/>
          <w:sz w:val="18"/>
          <w:szCs w:val="24"/>
          <w:highlight w:val="none"/>
        </w:rPr>
      </w:pPr>
      <w:r>
        <w:rPr>
          <w:rFonts w:ascii="宋体" w:hAnsi="Calibri"/>
          <w:color w:val="000000"/>
          <w:kern w:val="2"/>
          <w:sz w:val="18"/>
          <w:szCs w:val="24"/>
          <w:highlight w:val="none"/>
        </w:rPr>
        <w:br w:type="page"/>
      </w:r>
    </w:p>
    <w:p>
      <w:pPr>
        <w:pStyle w:val="38"/>
        <w:shd w:val="clear" w:color="auto" w:fill="FFFFFF"/>
        <w:jc w:val="center"/>
        <w:rPr>
          <w:rStyle w:val="46"/>
          <w:rFonts w:ascii="黑体" w:hAnsi="黑体" w:eastAsia="黑体" w:cs="黑体"/>
          <w:b w:val="0"/>
          <w:color w:val="000000"/>
          <w:sz w:val="20"/>
          <w:szCs w:val="20"/>
          <w:highlight w:val="none"/>
          <w:shd w:val="clear" w:color="auto" w:fill="FFFFFF"/>
        </w:rPr>
      </w:pPr>
    </w:p>
    <w:p>
      <w:pPr>
        <w:spacing w:before="120" w:beforeLines="50" w:after="120" w:afterLines="50"/>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政府采购促进中小企业发展管理办法</w:t>
      </w:r>
    </w:p>
    <w:p>
      <w:pPr>
        <w:pStyle w:val="4"/>
        <w:widowControl w:val="0"/>
        <w:spacing w:before="120" w:beforeLines="50" w:after="120" w:afterLines="50" w:line="240" w:lineRule="auto"/>
        <w:jc w:val="center"/>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shd w:val="clear" w:color="auto" w:fill="FFFFFF"/>
          <w14:textFill>
            <w14:solidFill>
              <w14:schemeClr w14:val="tx1"/>
            </w14:solidFill>
          </w14:textFill>
        </w:rPr>
        <w:t>财库〔2020〕46号</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第四条 在政府采购活动中，供应商提供的货物、工程或者服务符合下列情形的，享受本办法规定的中小企业扶持政策：</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（一）在货物采购项目中，货物由中小企业制造，即货 物由中小企业生产且使用该中小企业商号或者注册商标；</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（二）在工程采购项目中，工程由中小企业承建，即工程施工单位为中小企业；</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（三）在服务采购项目中，服务由中小企业承接，即提供服务的人员为中小企业依照《中华人民共和国劳动合同法》订立劳动合同的从业人员。</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在货物采购项目中，供应商提供的货物既有中小企业制造货物，也有大型企业制造货物的，不享受本办法规定的中小企业扶持政策。</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符合下列情形之一的，可不专门面向中小企业预留采购份额：</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（一）法律法规和国家有关政策明确规定优先或者应当面向事业单位、社会组织等非企业主体采购的；</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（二）因确需使用不可替代的专利、专有技术，基础设施限制，或者提供特定公共服务等原因，只能从中小企业之外的供应商处采购的；</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（三）按照本办法规定预留采购份额无法确保充分供应、充分竞争，或者存在可能影响政府采购目标实现的情形；</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（四）框架协议采购项目；</w:t>
      </w:r>
    </w:p>
    <w:p>
      <w:pPr>
        <w:pStyle w:val="17"/>
        <w:widowControl w:val="0"/>
        <w:tabs>
          <w:tab w:val="left" w:pos="2207"/>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（五）省级以上人民政府财政部门规定的其他情形。 除上述情形外，其他均为适宜由中小企业提供的情形。第七条</w:t>
      </w:r>
      <w:r>
        <w:rPr>
          <w:rFonts w:hint="eastAsia" w:ascii="宋体" w:hAnsi="宋体" w:cs="宋体"/>
          <w:bCs/>
          <w:color w:val="000000" w:themeColor="text1"/>
          <w:sz w:val="21"/>
          <w:szCs w:val="21"/>
          <w:highlight w:val="none"/>
          <w14:textFill>
            <w14:solidFill>
              <w14:schemeClr w14:val="tx1"/>
            </w14:solidFill>
          </w14:textFill>
        </w:rPr>
        <w:tab/>
      </w:r>
      <w:r>
        <w:rPr>
          <w:rFonts w:hint="eastAsia" w:ascii="宋体" w:hAnsi="宋体" w:cs="宋体"/>
          <w:bCs/>
          <w:color w:val="000000" w:themeColor="text1"/>
          <w:sz w:val="21"/>
          <w:szCs w:val="21"/>
          <w:highlight w:val="none"/>
          <w14:textFill>
            <w14:solidFill>
              <w14:schemeClr w14:val="tx1"/>
            </w14:solidFill>
          </w14:textFill>
        </w:rPr>
        <w:t>采购限额标准以上，200 万元以下的货物和服务采购项目、400 万元以下的工程采购项目，适宜由中小企业提供的，采购人应当专门面向中小企业采购。</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（一）将采购项目整体或者设置采购包专门面向中小企业采购；</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（二）要求供应商以联合体形式参加采购活动，且联合体中中小企业承担的部分达到一定比例；</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（三）要求获得采购合同的供应商将采购项目中的一定比例分包给一家或者多家中小企业。</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组成联合体或者接受分包合同的中小企业与联合体内 其他企业、分包企业之间不得存在直接控股、管理关系。</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第十二条 采购项目涉及中小企业采购的，采购文件应当明确以下内容：</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（一）预留份额的采购项目或者采购包，明确该项目或相关采购包专门面向中小企业采购，以及相关标的及预算金额；</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（二）要求以联合体形式参加或者合同分包的，明确联</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合协议或者分包意向协议中中小企业合同金额应当达到的 比例，并作为供应商资格条件；</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（三）非预留份额的采购项目或者采购包，明确有关价格扣除比例或者价格分加分比例；</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（四）规定依据本办法规定享受扶持政策获得政府采购合同的，小微企业不得将合同分包给大中型企业，中型企业不得将合同分包给大型企业；</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（五）采购人认为具备相关条件的，明确对中小企业在资金支付期限、预付款比例等方面的优惠措施；</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（六）明确采购标的对应的中小企业划分标准所属行业；</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（七）法律法规和省级以上人民政府财政部门规定的其他事项。</w:t>
      </w:r>
    </w:p>
    <w:p>
      <w:pPr>
        <w:pStyle w:val="17"/>
        <w:widowControl w:val="0"/>
        <w:tabs>
          <w:tab w:val="left" w:pos="2526"/>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适用招标投标法的政府采购工程建设项目，应当在公示中标候选人时公开中标候选人的《中小企业声明函》。</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 部门负责。</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中小企业主管部门应当在收到财政部门或者有关招标 投标行政监督部门关于协助开展中小企业认定函后 10 个工作日内做出书面答复。</w:t>
      </w:r>
    </w:p>
    <w:p>
      <w:pPr>
        <w:pStyle w:val="17"/>
        <w:widowControl w:val="0"/>
        <w:tabs>
          <w:tab w:val="left" w:pos="2459"/>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17"/>
        <w:widowControl w:val="0"/>
        <w:tabs>
          <w:tab w:val="left" w:pos="1880"/>
          <w:tab w:val="left" w:pos="2547"/>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 xml:space="preserve">第十八条 主管预算单位应当自 2022 年起向同级财政部门报告本部门上一年度面向中小企业预留份额和采购的 具体情况，并在中国政府采购网公开预留项目执行情况(附 2)。未达到本办法规定的预留份额比例的，应当作出说明。 </w:t>
      </w:r>
    </w:p>
    <w:p>
      <w:pPr>
        <w:pStyle w:val="17"/>
        <w:widowControl w:val="0"/>
        <w:tabs>
          <w:tab w:val="left" w:pos="1880"/>
          <w:tab w:val="left" w:pos="2547"/>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第二十条 供应商按照本办法规定提供声明函内容不实的，属于提供虚假材料谋取中标、成交，依照《中华人民 共和国政府采购法》等国家有关规定追究相应责任。</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适用招标投标法的政府采购工程建设项目，</w:t>
      </w:r>
      <w:r>
        <w:rPr>
          <w:rFonts w:hint="eastAsia" w:ascii="宋体" w:hAnsi="宋体" w:cs="宋体"/>
          <w:bCs/>
          <w:color w:val="000000" w:themeColor="text1"/>
          <w:sz w:val="21"/>
          <w:szCs w:val="21"/>
          <w:highlight w:val="none"/>
          <w:lang w:eastAsia="zh-CN"/>
          <w14:textFill>
            <w14:solidFill>
              <w14:schemeClr w14:val="tx1"/>
            </w14:solidFill>
          </w14:textFill>
        </w:rPr>
        <w:t>供应商</w:t>
      </w:r>
      <w:r>
        <w:rPr>
          <w:rFonts w:hint="eastAsia" w:ascii="宋体" w:hAnsi="宋体" w:cs="宋体"/>
          <w:bCs/>
          <w:color w:val="000000" w:themeColor="text1"/>
          <w:sz w:val="21"/>
          <w:szCs w:val="21"/>
          <w:highlight w:val="none"/>
          <w14:textFill>
            <w14:solidFill>
              <w14:schemeClr w14:val="tx1"/>
            </w14:solidFill>
          </w14:textFill>
        </w:rPr>
        <w:t>按照 本办法规定提供声明函内容不实的，属于弄虚作假骗取中标， 依照《中华人民共和国招标投标法》等国家有关规定追究相 应责任。</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第二十二条 对外援助项目、国家相关资格或者资质管理制度另有规定的项目，不适用本办法。</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第二十三条 关于视同中小企业的其他主体的政府采购扶持政策，由财政部会同有关部门另行规定。</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第二十四条 省级财政部门可以会同中小企业主管部门根据本办法的规定制定具体实施办法。</w:t>
      </w:r>
    </w:p>
    <w:p>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pPr>
        <w:shd w:val="clear" w:color="auto" w:fill="FFFFFF"/>
        <w:spacing w:before="120" w:beforeLines="50" w:after="120" w:afterLines="50"/>
        <w:jc w:val="center"/>
        <w:textAlignment w:val="baseline"/>
        <w:rPr>
          <w:rFonts w:ascii="宋体" w:hAnsi="宋体" w:cs="宋体"/>
          <w:color w:val="000000" w:themeColor="text1"/>
          <w:sz w:val="30"/>
          <w:szCs w:val="30"/>
          <w:highlight w:val="none"/>
          <w:shd w:val="clear" w:color="auto" w:fill="FFFFFF"/>
          <w:lang w:bidi="ar"/>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br w:type="page"/>
      </w:r>
      <w:r>
        <w:rPr>
          <w:rFonts w:hint="eastAsia" w:ascii="宋体" w:hAnsi="宋体" w:cs="宋体"/>
          <w:b/>
          <w:bCs/>
          <w:color w:val="000000" w:themeColor="text1"/>
          <w:sz w:val="30"/>
          <w:szCs w:val="30"/>
          <w:highlight w:val="none"/>
          <w:shd w:val="clear" w:color="auto" w:fill="FFFFFF"/>
          <w:lang w:bidi="ar"/>
          <w14:textFill>
            <w14:solidFill>
              <w14:schemeClr w14:val="tx1"/>
            </w14:solidFill>
          </w14:textFill>
        </w:rPr>
        <w:t>财政部 司法部关于政府采购支持监狱企业发展有关问题的通知</w:t>
      </w:r>
    </w:p>
    <w:p>
      <w:pPr>
        <w:pStyle w:val="3"/>
        <w:keepNext w:val="0"/>
        <w:keepLines w:val="0"/>
        <w:spacing w:before="120" w:beforeLines="50" w:after="120" w:afterLines="50" w:line="240" w:lineRule="auto"/>
        <w:jc w:val="center"/>
        <w:textAlignment w:val="baseline"/>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shd w:val="clear" w:color="auto" w:fill="FFFFFF"/>
          <w14:textFill>
            <w14:solidFill>
              <w14:schemeClr w14:val="tx1"/>
            </w14:solidFill>
          </w14:textFill>
        </w:rPr>
        <w:t>财库〔2014〕68号</w:t>
      </w:r>
    </w:p>
    <w:p>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二、在政府采购活动中，监狱企业视同小型、微型企业，享受预留份额、评审中价格扣除等政府采购促进中小企业发展的政府采购政策。向监狱企业采购的金额，计入面向中小企业采购的统计数据。</w:t>
      </w:r>
    </w:p>
    <w:p>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四、各地区可以结合本地区实际，对监狱企业生产的办公用品、家具用具、车辆维修和提供的保养服务、消防设备等，提出预留份额等政府采购支持措施，加大对监狱企业产品的采购力度。</w:t>
      </w:r>
    </w:p>
    <w:p>
      <w:pPr>
        <w:pStyle w:val="38"/>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pStyle w:val="38"/>
        <w:jc w:val="righ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中华人民共和国财政部</w:t>
      </w:r>
    </w:p>
    <w:p>
      <w:pPr>
        <w:pStyle w:val="38"/>
        <w:jc w:val="righ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中华人民共和国司法部</w:t>
      </w:r>
    </w:p>
    <w:p>
      <w:pPr>
        <w:pStyle w:val="38"/>
        <w:jc w:val="righ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2014年6月10日</w:t>
      </w:r>
    </w:p>
    <w:p>
      <w:pPr>
        <w:shd w:val="clear" w:color="auto" w:fill="FFFFFF"/>
        <w:spacing w:before="48" w:beforeLines="20" w:after="48" w:afterLines="20"/>
        <w:jc w:val="center"/>
        <w:textAlignment w:val="baseline"/>
        <w:rPr>
          <w:rFonts w:ascii="华文中宋" w:hAnsi="华文中宋" w:eastAsia="华文中宋" w:cs="华文中宋"/>
          <w:color w:val="000000" w:themeColor="text1"/>
          <w:sz w:val="30"/>
          <w:szCs w:val="30"/>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br w:type="page"/>
      </w:r>
      <w:r>
        <w:rPr>
          <w:rFonts w:hint="eastAsia" w:ascii="宋体" w:hAnsi="宋体" w:cs="宋体"/>
          <w:b/>
          <w:bCs/>
          <w:color w:val="000000" w:themeColor="text1"/>
          <w:sz w:val="32"/>
          <w:szCs w:val="32"/>
          <w:highlight w:val="none"/>
          <w:shd w:val="clear" w:color="auto" w:fill="FFFFFF"/>
          <w:lang w:bidi="ar"/>
          <w14:textFill>
            <w14:solidFill>
              <w14:schemeClr w14:val="tx1"/>
            </w14:solidFill>
          </w14:textFill>
        </w:rPr>
        <w:t>关于促进残疾人就业政府采购政策的通知</w:t>
      </w:r>
    </w:p>
    <w:p>
      <w:pPr>
        <w:pStyle w:val="38"/>
        <w:spacing w:before="48" w:beforeLines="20" w:after="48" w:afterLines="20"/>
        <w:jc w:val="center"/>
        <w:textAlignment w:val="baseline"/>
        <w:rPr>
          <w:rFonts w:ascii="宋体" w:hAnsi="宋体" w:cs="宋体"/>
          <w:bCs/>
          <w:color w:val="000000" w:themeColor="text1"/>
          <w:sz w:val="21"/>
          <w:szCs w:val="21"/>
          <w:highlight w:val="none"/>
          <w14:textFill>
            <w14:solidFill>
              <w14:schemeClr w14:val="tx1"/>
            </w14:solidFill>
          </w14:textFill>
        </w:rPr>
      </w:pPr>
      <w:r>
        <w:rPr>
          <w:rStyle w:val="46"/>
          <w:rFonts w:hint="eastAsia" w:ascii="宋体" w:hAnsi="宋体" w:cs="宋体"/>
          <w:b w:val="0"/>
          <w:color w:val="000000" w:themeColor="text1"/>
          <w:sz w:val="21"/>
          <w:szCs w:val="21"/>
          <w:highlight w:val="none"/>
          <w:shd w:val="clear" w:color="auto" w:fill="FFFFFF"/>
          <w14:textFill>
            <w14:solidFill>
              <w14:schemeClr w14:val="tx1"/>
            </w14:solidFill>
          </w14:textFill>
        </w:rPr>
        <w:t>财库〔2017〕141号</w:t>
      </w:r>
    </w:p>
    <w:p>
      <w:pPr>
        <w:pStyle w:val="38"/>
        <w:jc w:val="both"/>
        <w:textAlignment w:val="baseline"/>
        <w:rPr>
          <w:rFonts w:ascii="宋体" w:hAnsi="宋体" w:cs="宋体"/>
          <w:color w:val="000000" w:themeColor="text1"/>
          <w:sz w:val="21"/>
          <w:szCs w:val="21"/>
          <w:highlight w:val="none"/>
          <w14:textFill>
            <w14:solidFill>
              <w14:schemeClr w14:val="tx1"/>
            </w14:solidFill>
          </w14:textFill>
        </w:rPr>
      </w:pPr>
      <w:bookmarkStart w:id="89" w:name="toDeptId"/>
      <w:r>
        <w:rPr>
          <w:rFonts w:hint="eastAsia" w:ascii="宋体" w:hAnsi="宋体" w:cs="宋体"/>
          <w:color w:val="000000" w:themeColor="text1"/>
          <w:sz w:val="21"/>
          <w:szCs w:val="21"/>
          <w:highlight w:val="none"/>
          <w:shd w:val="clear" w:color="auto" w:fill="FFFFFF"/>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89"/>
      <w:r>
        <w:rPr>
          <w:rFonts w:hint="eastAsia" w:ascii="宋体" w:hAnsi="宋体" w:cs="宋体"/>
          <w:color w:val="000000" w:themeColor="text1"/>
          <w:sz w:val="21"/>
          <w:szCs w:val="21"/>
          <w:highlight w:val="none"/>
          <w:shd w:val="clear" w:color="auto" w:fill="FFFFFF"/>
          <w14:textFill>
            <w14:solidFill>
              <w14:schemeClr w14:val="tx1"/>
            </w14:solidFill>
          </w14:textFill>
        </w:rPr>
        <w:t>：</w:t>
      </w:r>
    </w:p>
    <w:p>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为了发挥政府采购促进残疾人就业的作用，进一步保障残疾人权益，依照《政府采购法》、《残疾人保障法》等法律法规及相关规定，现就促进残疾人就业政府采购政策通知如下：</w:t>
      </w:r>
    </w:p>
    <w:p>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一、享受政府采购支持政策的残疾人福利性单位应当同时满足以下条件：</w:t>
      </w:r>
    </w:p>
    <w:p>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（一）安置的残疾人占本单位在职职工人数的比例不低于25%（含25%），并且安置的残疾人人数不少于10人（含10人）；</w:t>
      </w:r>
    </w:p>
    <w:p>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（二）依法与安置的每位残疾人签订了一年以上（含一年）的劳动合同或服务协议；</w:t>
      </w:r>
    </w:p>
    <w:p>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（三）为安置的每位残疾人按月足额缴纳了基本养老保险、基本医疗保险、失业保险、工伤保险和生育保险等社会保险费；</w:t>
      </w:r>
    </w:p>
    <w:p>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（四）通过银行等金融机构向安置的每位残疾人，按月支付了不低于单位所在区县适用的经省级人民政府批准的月最低工资标准的工资；</w:t>
      </w:r>
    </w:p>
    <w:p>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（五）提供本单位制造的货物、承担的工程或者服务（以下简称产品），或者提供其他残疾人福利性单位制造的货物（不包括使用非残疾人福利性单位注册商标的货物）。</w:t>
      </w:r>
    </w:p>
    <w:p>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中标、成交供应商为残疾人福利性单位的，采购人或者其委托的采购代理机构应当随中标、成交结果同时公告其《残疾人福利性单位声明函》，接受社会监督。</w:t>
      </w:r>
    </w:p>
    <w:p>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供应商提供的《残疾人福利性单位声明函》与事实不符的，依照《政府采购法》第七十七条第一款的规定追究法律责任。</w:t>
      </w:r>
    </w:p>
    <w:p>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四、采购人采购公开招标数额标准以上的货物或者服务，因落实促进残疾人就业政策的需要，依法履行有关报批程序后，可采用公开招标以外的采购方式。</w:t>
      </w:r>
    </w:p>
    <w:p>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七、本通知自2017年10月1日起执行。</w:t>
      </w:r>
    </w:p>
    <w:p>
      <w:pPr>
        <w:pStyle w:val="38"/>
        <w:jc w:val="righ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财政部 民政部 中国残疾人联合会</w:t>
      </w:r>
    </w:p>
    <w:p>
      <w:pPr>
        <w:pStyle w:val="38"/>
        <w:jc w:val="righ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2017年8月22日</w:t>
      </w:r>
    </w:p>
    <w:p>
      <w:pPr>
        <w:pStyle w:val="38"/>
        <w:widowControl w:val="0"/>
        <w:shd w:val="clear" w:color="auto" w:fill="FFFFFF"/>
        <w:spacing w:before="120" w:beforeLines="50" w:after="120" w:afterLines="50"/>
        <w:jc w:val="center"/>
        <w:rPr>
          <w:rStyle w:val="46"/>
          <w:rFonts w:ascii="宋体" w:hAnsi="宋体" w:cs="宋体"/>
          <w:b w:val="0"/>
          <w:color w:val="000000" w:themeColor="text1"/>
          <w:sz w:val="32"/>
          <w:szCs w:val="32"/>
          <w:highlight w:val="none"/>
          <w:shd w:val="clear" w:color="auto" w:fill="FFFFFF"/>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br w:type="page"/>
      </w: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中小企业划型标准规定</w:t>
      </w:r>
    </w:p>
    <w:p>
      <w:pPr>
        <w:pStyle w:val="38"/>
        <w:widowControl w:val="0"/>
        <w:shd w:val="clear" w:color="auto" w:fill="FFFFFF"/>
        <w:spacing w:before="120" w:beforeLines="50" w:after="120" w:afterLines="50"/>
        <w:jc w:val="center"/>
        <w:rPr>
          <w:rStyle w:val="46"/>
          <w:rFonts w:ascii="宋体" w:hAnsi="宋体" w:cs="宋体"/>
          <w:b w:val="0"/>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工信部联企业〔2011〕300号</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一、根据《中华人民共和国中小企业促进法》和《国务院关于进一步促进中小企业发展的若干意见》(国发〔2009〕36号)，制定本规定。</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二、中小企业划分为中型、小型、微型三种类型，具体标准根据企业从业人员、营业收入、资产总额等指标，结合行业特点制定。</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四、各行业划型标准为：</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五、企业类型的划分以统计部门的统计数据为依据。</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六、本规定适用于在中华人民共和国境内依法设立的各类所有制和各种组织形式的企业。个体工商户和本规定以外的行业，参照本规定进行划型。</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八、本规定由工业和信息化部、国家统计局会同有关部门根据《国民经济行业分类》修订情况和企业发展变化情况适时修订。</w:t>
      </w:r>
    </w:p>
    <w:p>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九、本规定由工业和信息化部、国家统计局会同有关部门负责解释。</w:t>
      </w:r>
    </w:p>
    <w:p>
      <w:pPr>
        <w:pStyle w:val="38"/>
        <w:widowControl w:val="0"/>
        <w:shd w:val="clear" w:color="auto" w:fill="FFFFFF"/>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十、本规定自发布之日起执行，原国家经贸委、原国家计委、财政部和国家统计局2003年颁布的《中小企业标准暂行规定》同时废止。</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38"/>
        <w:widowControl w:val="0"/>
        <w:shd w:val="clear" w:color="auto" w:fill="FFFFFF"/>
        <w:spacing w:before="120" w:beforeLines="50" w:after="120" w:afterLines="50"/>
        <w:jc w:val="center"/>
        <w:rPr>
          <w:rStyle w:val="46"/>
          <w:rFonts w:ascii="宋体" w:hAnsi="宋体" w:cs="宋体"/>
          <w:color w:val="000000" w:themeColor="text1"/>
          <w:sz w:val="32"/>
          <w:szCs w:val="32"/>
          <w:highlight w:val="none"/>
          <w:shd w:val="clear" w:color="auto" w:fill="FFFFFF"/>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国家统计局关于印发《统计上</w:t>
      </w:r>
    </w:p>
    <w:p>
      <w:pPr>
        <w:pStyle w:val="38"/>
        <w:widowControl w:val="0"/>
        <w:shd w:val="clear" w:color="auto" w:fill="FFFFFF"/>
        <w:spacing w:before="120" w:beforeLines="50" w:after="120" w:afterLines="50"/>
        <w:jc w:val="center"/>
        <w:rPr>
          <w:rStyle w:val="46"/>
          <w:rFonts w:ascii="宋体" w:hAnsi="宋体" w:cs="宋体"/>
          <w:color w:val="000000" w:themeColor="text1"/>
          <w:sz w:val="32"/>
          <w:szCs w:val="32"/>
          <w:highlight w:val="none"/>
          <w:shd w:val="clear" w:color="auto" w:fill="FFFFFF"/>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大中小微型企业划分办法（2017）》的通知</w:t>
      </w:r>
    </w:p>
    <w:p>
      <w:pPr>
        <w:pStyle w:val="38"/>
        <w:shd w:val="clear" w:color="auto" w:fill="FFFFFF"/>
        <w:spacing w:before="150" w:line="400" w:lineRule="exact"/>
        <w:ind w:firstLine="420" w:firstLineChars="200"/>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各省、自治区、直辖市统计局，新疆生产建设兵团统计局，国务院各有关部门，国家统计局各调查总队：</w:t>
      </w:r>
    </w:p>
    <w:p>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spacing w:line="400" w:lineRule="exact"/>
        <w:rPr>
          <w:color w:val="000000" w:themeColor="text1"/>
          <w:highlight w:val="none"/>
          <w14:textFill>
            <w14:solidFill>
              <w14:schemeClr w14:val="tx1"/>
            </w14:solidFill>
          </w14:textFill>
        </w:rPr>
      </w:pPr>
    </w:p>
    <w:p>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附件：《统计上大中小微型企业划分办法（2017）》修订说明</w:t>
      </w:r>
    </w:p>
    <w:p>
      <w:pPr>
        <w:pStyle w:val="38"/>
        <w:shd w:val="clear" w:color="auto" w:fill="FFFFFF"/>
        <w:spacing w:before="150" w:line="420" w:lineRule="atLeast"/>
        <w:ind w:right="825"/>
        <w:jc w:val="righ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国家统计局  </w:t>
      </w:r>
    </w:p>
    <w:p>
      <w:pPr>
        <w:pStyle w:val="38"/>
        <w:shd w:val="clear" w:color="auto" w:fill="FFFFFF"/>
        <w:spacing w:before="150" w:line="420" w:lineRule="atLeast"/>
        <w:ind w:right="825"/>
        <w:jc w:val="righ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2017年12月28日</w:t>
      </w:r>
    </w:p>
    <w:p>
      <w:pPr>
        <w:pStyle w:val="38"/>
        <w:shd w:val="clear" w:color="auto" w:fill="FFFFFF"/>
        <w:spacing w:before="150" w:line="42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统计上大中小微型企业划分办法（2017）</w:t>
      </w:r>
    </w:p>
    <w:p>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二、本办法适用对象为在中华人民共和国境内依法设立的各种组织形式的法人企业或单位。个体工商户参照本办法进行划分。</w:t>
      </w:r>
    </w:p>
    <w:p>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五、企业划分由政府综合统计部门根据统计年报每年确定一次，定报统计原则上不进行调整。</w:t>
      </w:r>
    </w:p>
    <w:p>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六、本办法自印发之日起执行，国家统计局2011年印发的《统计上大中小微型企业划分办法》（国统字〔2011〕75号）同时废止。</w:t>
      </w:r>
    </w:p>
    <w:p>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附表：统计上大中小微型企业划分标准</w:t>
      </w:r>
    </w:p>
    <w:p>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统计上大中小微型企业划分标准</w:t>
      </w:r>
    </w:p>
    <w:tbl>
      <w:tblPr>
        <w:tblStyle w:val="43"/>
        <w:tblW w:w="4998" w:type="pct"/>
        <w:jc w:val="center"/>
        <w:tblLayout w:type="autofit"/>
        <w:tblCellMar>
          <w:top w:w="0" w:type="dxa"/>
          <w:left w:w="0" w:type="dxa"/>
          <w:bottom w:w="0" w:type="dxa"/>
          <w:right w:w="0" w:type="dxa"/>
        </w:tblCellMar>
      </w:tblPr>
      <w:tblGrid>
        <w:gridCol w:w="1876"/>
        <w:gridCol w:w="1387"/>
        <w:gridCol w:w="872"/>
        <w:gridCol w:w="1387"/>
        <w:gridCol w:w="1411"/>
        <w:gridCol w:w="1387"/>
        <w:gridCol w:w="897"/>
      </w:tblGrid>
      <w:tr>
        <w:tblPrEx>
          <w:tblCellMar>
            <w:top w:w="0" w:type="dxa"/>
            <w:left w:w="0" w:type="dxa"/>
            <w:bottom w:w="0" w:type="dxa"/>
            <w:right w:w="0" w:type="dxa"/>
          </w:tblCellMar>
        </w:tblPrEx>
        <w:trPr>
          <w:jc w:val="center"/>
        </w:trPr>
        <w:tc>
          <w:tcPr>
            <w:tcW w:w="1017"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行业名称</w:t>
            </w:r>
          </w:p>
        </w:tc>
        <w:tc>
          <w:tcPr>
            <w:tcW w:w="752"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指标名称</w:t>
            </w:r>
          </w:p>
        </w:tc>
        <w:tc>
          <w:tcPr>
            <w:tcW w:w="473"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计量单位</w:t>
            </w:r>
          </w:p>
        </w:tc>
        <w:tc>
          <w:tcPr>
            <w:tcW w:w="752"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大型</w:t>
            </w:r>
          </w:p>
        </w:tc>
        <w:tc>
          <w:tcPr>
            <w:tcW w:w="765"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中型</w:t>
            </w:r>
          </w:p>
        </w:tc>
        <w:tc>
          <w:tcPr>
            <w:tcW w:w="752"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小型</w:t>
            </w:r>
          </w:p>
        </w:tc>
        <w:tc>
          <w:tcPr>
            <w:tcW w:w="486"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微型</w:t>
            </w:r>
          </w:p>
        </w:tc>
      </w:tr>
      <w:tr>
        <w:tblPrEx>
          <w:tblCellMar>
            <w:top w:w="0" w:type="dxa"/>
            <w:left w:w="0" w:type="dxa"/>
            <w:bottom w:w="0" w:type="dxa"/>
            <w:right w:w="0" w:type="dxa"/>
          </w:tblCellMar>
        </w:tblPrEx>
        <w:trPr>
          <w:jc w:val="center"/>
        </w:trPr>
        <w:tc>
          <w:tcPr>
            <w:tcW w:w="101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农、林、牧、渔业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Y≥20000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500≤Y＜20000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50≤Y＜500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Y＜50</w:t>
            </w:r>
          </w:p>
        </w:tc>
      </w:tr>
      <w:tr>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工业 *</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300≤X＜1000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20≤X＜300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w:t>
            </w:r>
          </w:p>
        </w:tc>
      </w:tr>
      <w:tr>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Y≥40000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2000≤Y＜40000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300≤Y＜2000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w:t>
            </w:r>
          </w:p>
        </w:tc>
      </w:tr>
      <w:tr>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建筑业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Y≥80000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6000≤Y＜80000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300≤Y＜6000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w:t>
            </w:r>
          </w:p>
        </w:tc>
      </w:tr>
      <w:tr>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资产总额(Z)</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Z≥80000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5000≤Z＜80000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300≤Z＜5000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Z＜300</w:t>
            </w:r>
          </w:p>
        </w:tc>
      </w:tr>
      <w:tr>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批发业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20≤X＜200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5≤X＜20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X＜5</w:t>
            </w:r>
          </w:p>
        </w:tc>
      </w:tr>
      <w:tr>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Y≥40000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5000≤Y＜40000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1000≤Y＜5000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w:t>
            </w:r>
          </w:p>
        </w:tc>
      </w:tr>
      <w:tr>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零售业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10≤X＜50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Y≥20000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500≤Y＜20000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100≤Y＜500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交通运输业 *</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300≤X＜1000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20≤X＜300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w:t>
            </w:r>
          </w:p>
        </w:tc>
      </w:tr>
      <w:tr>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3000≤Y＜30000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200≤Y＜3000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Y＜200</w:t>
            </w:r>
          </w:p>
        </w:tc>
      </w:tr>
      <w:tr>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仓储业*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100≤X＜200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w:t>
            </w:r>
          </w:p>
        </w:tc>
      </w:tr>
      <w:tr>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1000≤Y＜30000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邮政业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300≤X＜1000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20≤X＜300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w:t>
            </w:r>
          </w:p>
        </w:tc>
      </w:tr>
      <w:tr>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2000≤Y＜30000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100≤Y＜2000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住宿业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2000≤Y＜10000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100≤Y＜2000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餐饮业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2000≤Y＜10000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100≤Y＜2000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信息传输业 *</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100≤X＜2000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1000≤Y＜100000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软件和信息技术服务业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1000≤Y＜10000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Y＜50</w:t>
            </w:r>
          </w:p>
        </w:tc>
      </w:tr>
      <w:tr>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房地产开发经营</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Y≥200000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1000≤Y＜200000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资产总额(Z)</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Z≥10000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5000≤Z＜10000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2000≤Z＜5000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Z＜2000</w:t>
            </w:r>
          </w:p>
        </w:tc>
      </w:tr>
      <w:tr>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物业管理</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300≤X＜1000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w:t>
            </w:r>
          </w:p>
        </w:tc>
      </w:tr>
      <w:tr>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Y≥5000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1000≤Y＜5000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Y＜500</w:t>
            </w:r>
          </w:p>
        </w:tc>
      </w:tr>
      <w:tr>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租赁和商务服务业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资产总额(Z)</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Z≥120000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8000≤Z＜120000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100≤Z＜8000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Z＜100</w:t>
            </w:r>
          </w:p>
        </w:tc>
      </w:tr>
      <w:tr>
        <w:tblPrEx>
          <w:tblCellMar>
            <w:top w:w="0" w:type="dxa"/>
            <w:left w:w="0" w:type="dxa"/>
            <w:bottom w:w="0" w:type="dxa"/>
            <w:right w:w="0" w:type="dxa"/>
          </w:tblCellMar>
        </w:tblPrEx>
        <w:trPr>
          <w:jc w:val="center"/>
        </w:trPr>
        <w:tc>
          <w:tcPr>
            <w:tcW w:w="101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其他未列明行业 *</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bl>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说明： 　　</w:t>
      </w:r>
    </w:p>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1.大型、中型和小型企业须同时满足所列指标的下限，否则下划一档；微型企业只须满足所列指标中的一项即可。 　　</w:t>
      </w:r>
    </w:p>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3.企业划分指标以现行统计制度为准。 </w:t>
      </w:r>
    </w:p>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（1）从业人员，是指期末从业人员数，没有期末从业人员数的，采用全年平均人员数代替。 </w:t>
      </w:r>
    </w:p>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（3）资产总额，采用资产总计代替。</w:t>
      </w:r>
    </w:p>
    <w:p>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《统计上大中小微型企业划分办法（2017）》修订说明</w:t>
      </w:r>
    </w:p>
    <w:p>
      <w:pPr>
        <w:pStyle w:val="38"/>
        <w:shd w:val="clear" w:color="auto" w:fill="FFFFFF"/>
        <w:spacing w:before="150" w:line="540" w:lineRule="atLeast"/>
        <w:textAlignment w:val="baseline"/>
        <w:rPr>
          <w:rFonts w:ascii="宋体" w:hAnsi="宋体" w:cs="宋体"/>
          <w:b/>
          <w:bCs/>
          <w:color w:val="000000" w:themeColor="text1"/>
          <w:sz w:val="27"/>
          <w:szCs w:val="27"/>
          <w:highlight w:val="none"/>
          <w14:textFill>
            <w14:solidFill>
              <w14:schemeClr w14:val="tx1"/>
            </w14:solidFill>
          </w14:textFill>
        </w:rPr>
      </w:pPr>
      <w:r>
        <w:rPr>
          <w:rFonts w:hint="eastAsia" w:ascii="宋体" w:hAnsi="宋体" w:cs="宋体"/>
          <w:b/>
          <w:bCs/>
          <w:color w:val="000000" w:themeColor="text1"/>
          <w:sz w:val="27"/>
          <w:szCs w:val="27"/>
          <w:highlight w:val="none"/>
          <w:shd w:val="clear" w:color="auto" w:fill="FFFFFF"/>
          <w14:textFill>
            <w14:solidFill>
              <w14:schemeClr w14:val="tx1"/>
            </w14:solidFill>
          </w14:textFill>
        </w:rPr>
        <w:t>一、修订背景</w:t>
      </w:r>
    </w:p>
    <w:p>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pStyle w:val="38"/>
        <w:shd w:val="clear" w:color="auto" w:fill="FFFFFF"/>
        <w:spacing w:before="150" w:line="540" w:lineRule="atLeast"/>
        <w:textAlignment w:val="baseline"/>
        <w:rPr>
          <w:rFonts w:ascii="宋体" w:hAnsi="宋体" w:cs="宋体"/>
          <w:b/>
          <w:bCs/>
          <w:color w:val="000000" w:themeColor="text1"/>
          <w:sz w:val="27"/>
          <w:szCs w:val="27"/>
          <w:highlight w:val="none"/>
          <w14:textFill>
            <w14:solidFill>
              <w14:schemeClr w14:val="tx1"/>
            </w14:solidFill>
          </w14:textFill>
        </w:rPr>
      </w:pPr>
      <w:r>
        <w:rPr>
          <w:rFonts w:hint="eastAsia" w:ascii="宋体" w:hAnsi="宋体" w:cs="宋体"/>
          <w:b/>
          <w:bCs/>
          <w:color w:val="000000" w:themeColor="text1"/>
          <w:sz w:val="27"/>
          <w:szCs w:val="27"/>
          <w:highlight w:val="none"/>
          <w:shd w:val="clear" w:color="auto" w:fill="FFFFFF"/>
          <w14:textFill>
            <w14:solidFill>
              <w14:schemeClr w14:val="tx1"/>
            </w14:solidFill>
          </w14:textFill>
        </w:rPr>
        <w:t>二、修订主要内容</w:t>
      </w:r>
    </w:p>
    <w:p>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将交通运输业中包括的“装卸搬运和运输代理业”修改为“多式联运和运输代理业、装卸搬运”。</w:t>
      </w:r>
    </w:p>
    <w:p>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仓储业所包括的行业中类，根据《国民经济行业分类》（GB/T4754—2017）调整为“通用仓储，低温仓储，危险品仓储，谷物、棉花等农产品仓储，中药材仓储和其他仓储业”。</w:t>
      </w:r>
    </w:p>
    <w:p>
      <w:pPr>
        <w:spacing w:after="240"/>
        <w:rPr>
          <w:color w:val="000000" w:themeColor="text1"/>
          <w:highlight w:val="none"/>
          <w14:textFill>
            <w14:solidFill>
              <w14:schemeClr w14:val="tx1"/>
            </w14:solidFill>
          </w14:textFill>
        </w:rPr>
      </w:pPr>
    </w:p>
    <w:p>
      <w:pPr>
        <w:pStyle w:val="38"/>
        <w:shd w:val="clear" w:color="auto" w:fill="FFFFFF"/>
        <w:spacing w:before="150" w:line="440" w:lineRule="exact"/>
        <w:jc w:val="center"/>
        <w:textAlignment w:val="baseline"/>
        <w:rPr>
          <w:rStyle w:val="46"/>
          <w:rFonts w:ascii="宋体" w:hAnsi="宋体" w:cs="宋体"/>
          <w:color w:val="000000" w:themeColor="text1"/>
          <w:sz w:val="32"/>
          <w:szCs w:val="32"/>
          <w:highlight w:val="none"/>
          <w:shd w:val="clear" w:color="auto" w:fill="FFFFFF"/>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中国人民银行中国银行业监督管理委员会 </w:t>
      </w:r>
    </w:p>
    <w:p>
      <w:pPr>
        <w:pStyle w:val="38"/>
        <w:shd w:val="clear" w:color="auto" w:fill="FFFFFF"/>
        <w:spacing w:before="150" w:line="440" w:lineRule="exact"/>
        <w:jc w:val="center"/>
        <w:textAlignment w:val="baseline"/>
        <w:rPr>
          <w:rStyle w:val="46"/>
          <w:rFonts w:ascii="宋体" w:hAnsi="宋体" w:cs="宋体"/>
          <w:color w:val="000000" w:themeColor="text1"/>
          <w:sz w:val="32"/>
          <w:szCs w:val="32"/>
          <w:highlight w:val="none"/>
          <w:shd w:val="clear" w:color="auto" w:fill="FFFFFF"/>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中国证券监督管理委员会中国保险监督管理委员会 </w:t>
      </w:r>
    </w:p>
    <w:p>
      <w:pPr>
        <w:pStyle w:val="38"/>
        <w:shd w:val="clear" w:color="auto" w:fill="FFFFFF"/>
        <w:spacing w:before="150" w:line="440" w:lineRule="exact"/>
        <w:jc w:val="center"/>
        <w:textAlignment w:val="baseline"/>
        <w:rPr>
          <w:rFonts w:ascii="宋体" w:hAnsi="宋体" w:cs="宋体"/>
          <w:b/>
          <w:bCs/>
          <w:color w:val="000000" w:themeColor="text1"/>
          <w:sz w:val="51"/>
          <w:szCs w:val="51"/>
          <w:highlight w:val="none"/>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国家统计局关于印发《金融业企业划型标准规定》的通知</w:t>
      </w:r>
    </w:p>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 </w:t>
      </w:r>
    </w:p>
    <w:p>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请人民银行上海总部，各分行、营业管理部、省会（首府）城市中心支行、副省级城市中心支行会同所在省（区、市）银监局、证监局、保监局、统计局将本通知联合转发至辖内相关机构。</w:t>
      </w:r>
    </w:p>
    <w:p>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附件：金融业企业划型标准规定</w:t>
      </w:r>
    </w:p>
    <w:p>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金融业企业划型标准规定</w:t>
      </w:r>
    </w:p>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 根据《中华人民共和国中小企业促进法》、《国务院关于进一步促进中小企业发展的若干意见》（国发〔2009〕36号）和《国务院办公厅关于金融支持小微企业发展的实施意见》（国办发〔2013〕87号），制定本规定。 </w:t>
      </w:r>
    </w:p>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 适用范围。本规定适用于从事《国民经济行业分类》(GB/T4754-2011)中J门类（金融业）活动的企业。 </w:t>
      </w:r>
    </w:p>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 </w:t>
      </w:r>
    </w:p>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四、划型标准指标。采用一个完整会计年度中四个季度末法人并表口径的资产总额（信托公司为信托资产）平均值作为划型指标，该指标以监管部门数据为准。 </w:t>
      </w:r>
    </w:p>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五、指标标准值。依据指标标准值，将各类金融业企业划分为大、中、小、微四个规模类型，中型企业标准上限及以上的为大型企业。 </w:t>
      </w:r>
    </w:p>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 银行业存款类金融机构。资产总额40000亿元以下的为中小微型企业。其中，资产总额5000亿元及以上的为中型企业，资产总额50亿元及以上的为小型企业，资产总额50亿元以下的为微型企业。 </w:t>
      </w:r>
    </w:p>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 银行业非存款类金融机构。资产总额1000亿元以下的为中小微型企业。其中，资产总额200亿元及以上的为中型企业，资产总额50亿元及以上的为小型企业，资产总额50亿元以下的为微型企业。 </w:t>
      </w:r>
    </w:p>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 贷款公司、小额贷款公司及典当行。资产总额1000亿元以下的为中小微型企业。其中，资产总额200亿元及以上的为中型企业，资产总额50亿元及以上的为小型企业，资产总额50亿元以下的为微型企业。 </w:t>
      </w:r>
    </w:p>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 证券业金融机构。资产总额1000亿元以下的为中小微型企业。其中，资产总额100亿元及以上的为中型企业，资产总额10亿元及以上的为小型企业，资产总额10亿元以下的为微型企业。 </w:t>
      </w:r>
    </w:p>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 保险业金融机构。资产总额5000亿元以下的为中小微型企业。其中，资产总额400亿元及以上的为中型企业，资产总额20亿元及以上的为小型企业，资产总额20亿元以下的为微型企业。 </w:t>
      </w:r>
    </w:p>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 信托公司。信托资产1000亿元以下的为中小微型企业。其中，信托资产400亿元及以上的为中型企业，信托资产20亿元及以上的为小型企业，信托资产20亿元以下的为微型企业。 </w:t>
      </w:r>
    </w:p>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 金融控股公司。资产总额40000亿元以下的为中小微型企业。其中，资产总额5000亿元及以上的为中型企业，资产总额50亿元及以上的为小型企业，资产总额50亿元以下的为微型企业。 </w:t>
      </w:r>
    </w:p>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(八) 除贷款公司、小额贷款公司，典当行以外的其他金融机构。资产总额1000亿元以下的为中小微型企业。其中，资产总额200亿元及以上的为中型企业，资产总额50亿元及以上的为小型企业，资产总额50亿元以下的为微型企业。 </w:t>
      </w:r>
    </w:p>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 </w:t>
      </w:r>
    </w:p>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 标准值的评估和调整。金融业企业划型标准工作组毎五年对划型标准值受经济发展与通货膨胀等因素的响程度进行评估和调整。 </w:t>
      </w:r>
    </w:p>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八、 本规定的中型金融业企业标准上限即为大型金融业企业下限。国务院有关部门据此进行相关数据的统计分析，不得制定与本规定不一致的金融业企业划型标准。 </w:t>
      </w:r>
    </w:p>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九、 融资担保公司参照本规定中“除贷款公司、小额贷款公司、典当行以外的其他金融机构”标准划型。 </w:t>
      </w:r>
    </w:p>
    <w:p>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十、本规定由人民银行会同银监会，证监会、保监会和统计局负责解释。 </w:t>
      </w:r>
    </w:p>
    <w:p>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十一、本规定自发布之日起实施。</w:t>
      </w:r>
    </w:p>
    <w:p>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附：金融业企业划型标准</w:t>
      </w:r>
    </w:p>
    <w:p>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金融业企业划型标准</w:t>
      </w:r>
    </w:p>
    <w:tbl>
      <w:tblPr>
        <w:tblStyle w:val="43"/>
        <w:tblW w:w="4997" w:type="pct"/>
        <w:jc w:val="center"/>
        <w:tblLayout w:type="autofit"/>
        <w:tblCellMar>
          <w:top w:w="0" w:type="dxa"/>
          <w:left w:w="0" w:type="dxa"/>
          <w:bottom w:w="0" w:type="dxa"/>
          <w:right w:w="0" w:type="dxa"/>
        </w:tblCellMar>
      </w:tblPr>
      <w:tblGrid>
        <w:gridCol w:w="542"/>
        <w:gridCol w:w="756"/>
        <w:gridCol w:w="4097"/>
        <w:gridCol w:w="1189"/>
        <w:gridCol w:w="2631"/>
      </w:tblGrid>
      <w:tr>
        <w:tblPrEx>
          <w:tblCellMar>
            <w:top w:w="0" w:type="dxa"/>
            <w:left w:w="0" w:type="dxa"/>
            <w:bottom w:w="0" w:type="dxa"/>
            <w:right w:w="0" w:type="dxa"/>
          </w:tblCellMar>
        </w:tblPrEx>
        <w:trPr>
          <w:jc w:val="center"/>
        </w:trPr>
        <w:tc>
          <w:tcPr>
            <w:tcW w:w="704" w:type="pct"/>
            <w:gridSpan w:val="2"/>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行业</w:t>
            </w:r>
          </w:p>
        </w:tc>
        <w:tc>
          <w:tcPr>
            <w:tcW w:w="2222"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类别</w:t>
            </w:r>
          </w:p>
        </w:tc>
        <w:tc>
          <w:tcPr>
            <w:tcW w:w="645"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类型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资产总额</w:t>
            </w:r>
          </w:p>
        </w:tc>
      </w:tr>
      <w:tr>
        <w:tblPrEx>
          <w:tblCellMar>
            <w:top w:w="0" w:type="dxa"/>
            <w:left w:w="0" w:type="dxa"/>
            <w:bottom w:w="0" w:type="dxa"/>
            <w:right w:w="0" w:type="dxa"/>
          </w:tblCellMar>
        </w:tblPrEx>
        <w:trPr>
          <w:jc w:val="center"/>
        </w:trPr>
        <w:tc>
          <w:tcPr>
            <w:tcW w:w="294"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货币金融服务</w:t>
            </w: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货币银行服务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银行业存款类金融机构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5000亿元（含）至40000亿元</w:t>
            </w:r>
          </w:p>
        </w:tc>
      </w:tr>
      <w:tr>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50亿元（含）至5000亿元</w:t>
            </w:r>
          </w:p>
        </w:tc>
      </w:tr>
      <w:tr>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r>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非货币银行服务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银行业非存款类金融机构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200亿元（含）至1000亿元</w:t>
            </w:r>
          </w:p>
        </w:tc>
      </w:tr>
      <w:tr>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50亿元（含）至200亿元</w:t>
            </w:r>
          </w:p>
        </w:tc>
      </w:tr>
      <w:tr>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r>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贷款公司、小额贷款公司及典当行</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200亿元（含）至1000亿元</w:t>
            </w:r>
          </w:p>
        </w:tc>
      </w:tr>
      <w:tr>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50亿元（含）至200亿元</w:t>
            </w:r>
          </w:p>
        </w:tc>
      </w:tr>
      <w:tr>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r>
        <w:tblPrEx>
          <w:tblCellMar>
            <w:top w:w="0" w:type="dxa"/>
            <w:left w:w="0" w:type="dxa"/>
            <w:bottom w:w="0" w:type="dxa"/>
            <w:right w:w="0" w:type="dxa"/>
          </w:tblCellMar>
        </w:tblPrEx>
        <w:trPr>
          <w:jc w:val="center"/>
        </w:trPr>
        <w:tc>
          <w:tcPr>
            <w:tcW w:w="704" w:type="pct"/>
            <w:gridSpan w:val="2"/>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资本市场服务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证券业金融机构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100亿元（含）至1000亿元</w:t>
            </w:r>
          </w:p>
        </w:tc>
      </w:tr>
      <w:tr>
        <w:tblPrEx>
          <w:tblCellMar>
            <w:top w:w="0" w:type="dxa"/>
            <w:left w:w="0" w:type="dxa"/>
            <w:bottom w:w="0" w:type="dxa"/>
            <w:right w:w="0" w:type="dxa"/>
          </w:tblCellMar>
        </w:tblPrEx>
        <w:trPr>
          <w:jc w:val="center"/>
        </w:trPr>
        <w:tc>
          <w:tcPr>
            <w:tcW w:w="704" w:type="pct"/>
            <w:gridSpan w:val="2"/>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10亿元（含）至100亿元</w:t>
            </w:r>
          </w:p>
        </w:tc>
      </w:tr>
      <w:tr>
        <w:tblPrEx>
          <w:tblCellMar>
            <w:top w:w="0" w:type="dxa"/>
            <w:left w:w="0" w:type="dxa"/>
            <w:bottom w:w="0" w:type="dxa"/>
            <w:right w:w="0" w:type="dxa"/>
          </w:tblCellMar>
        </w:tblPrEx>
        <w:trPr>
          <w:jc w:val="center"/>
        </w:trPr>
        <w:tc>
          <w:tcPr>
            <w:tcW w:w="704" w:type="pct"/>
            <w:gridSpan w:val="2"/>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10亿元以下</w:t>
            </w:r>
          </w:p>
        </w:tc>
      </w:tr>
      <w:tr>
        <w:tblPrEx>
          <w:tblCellMar>
            <w:top w:w="0" w:type="dxa"/>
            <w:left w:w="0" w:type="dxa"/>
            <w:bottom w:w="0" w:type="dxa"/>
            <w:right w:w="0" w:type="dxa"/>
          </w:tblCellMar>
        </w:tblPrEx>
        <w:trPr>
          <w:jc w:val="center"/>
        </w:trPr>
        <w:tc>
          <w:tcPr>
            <w:tcW w:w="704" w:type="pct"/>
            <w:gridSpan w:val="2"/>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保险业</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保险业金融机构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400亿元（含）至5000亿元</w:t>
            </w:r>
          </w:p>
        </w:tc>
      </w:tr>
      <w:tr>
        <w:tblPrEx>
          <w:tblCellMar>
            <w:top w:w="0" w:type="dxa"/>
            <w:left w:w="0" w:type="dxa"/>
            <w:bottom w:w="0" w:type="dxa"/>
            <w:right w:w="0" w:type="dxa"/>
          </w:tblCellMar>
        </w:tblPrEx>
        <w:trPr>
          <w:jc w:val="center"/>
        </w:trPr>
        <w:tc>
          <w:tcPr>
            <w:tcW w:w="704" w:type="pct"/>
            <w:gridSpan w:val="2"/>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20亿元（含）至400亿元</w:t>
            </w:r>
          </w:p>
        </w:tc>
      </w:tr>
      <w:tr>
        <w:tblPrEx>
          <w:tblCellMar>
            <w:top w:w="0" w:type="dxa"/>
            <w:left w:w="0" w:type="dxa"/>
            <w:bottom w:w="0" w:type="dxa"/>
            <w:right w:w="0" w:type="dxa"/>
          </w:tblCellMar>
        </w:tblPrEx>
        <w:trPr>
          <w:jc w:val="center"/>
        </w:trPr>
        <w:tc>
          <w:tcPr>
            <w:tcW w:w="704" w:type="pct"/>
            <w:gridSpan w:val="2"/>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20亿元以下</w:t>
            </w:r>
          </w:p>
        </w:tc>
      </w:tr>
      <w:tr>
        <w:tblPrEx>
          <w:tblCellMar>
            <w:top w:w="0" w:type="dxa"/>
            <w:left w:w="0" w:type="dxa"/>
            <w:bottom w:w="0" w:type="dxa"/>
            <w:right w:w="0" w:type="dxa"/>
          </w:tblCellMar>
        </w:tblPrEx>
        <w:trPr>
          <w:jc w:val="center"/>
        </w:trPr>
        <w:tc>
          <w:tcPr>
            <w:tcW w:w="294"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其他金融业</w:t>
            </w: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金融信托与管理服务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信托公司</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400亿元（含）至1000亿元</w:t>
            </w:r>
          </w:p>
        </w:tc>
      </w:tr>
      <w:tr>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20亿元（含）至400亿元</w:t>
            </w:r>
          </w:p>
        </w:tc>
      </w:tr>
      <w:tr>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20亿元以下</w:t>
            </w:r>
          </w:p>
        </w:tc>
      </w:tr>
      <w:tr>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控股公司服务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金融控股公司</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5000亿元（含）至40000亿元</w:t>
            </w:r>
          </w:p>
        </w:tc>
      </w:tr>
      <w:tr>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50亿元（含）至5000亿元</w:t>
            </w:r>
          </w:p>
        </w:tc>
      </w:tr>
      <w:tr>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r>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其他未包括的金融业</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除贷款公司、小额贷款公司及典当行以外的其他金融机构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200亿元（含）至1000亿元</w:t>
            </w:r>
          </w:p>
        </w:tc>
      </w:tr>
      <w:tr>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50亿元（含）至200亿元</w:t>
            </w:r>
          </w:p>
        </w:tc>
      </w:tr>
      <w:tr>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bl>
    <w:p>
      <w:pPr>
        <w:rPr>
          <w:color w:val="000000" w:themeColor="text1"/>
          <w:highlight w:val="none"/>
          <w14:textFill>
            <w14:solidFill>
              <w14:schemeClr w14:val="tx1"/>
            </w14:solidFill>
          </w14:textFill>
        </w:rPr>
      </w:pPr>
    </w:p>
    <w:p>
      <w:pPr>
        <w:spacing w:line="360" w:lineRule="auto"/>
        <w:ind w:firstLine="390"/>
        <w:rPr>
          <w:rFonts w:ascii="宋体" w:hAnsi="宋体" w:cs="宋体"/>
          <w:b/>
          <w:color w:val="000000" w:themeColor="text1"/>
          <w:sz w:val="32"/>
          <w:szCs w:val="32"/>
          <w:highlight w:val="none"/>
          <w14:textFill>
            <w14:solidFill>
              <w14:schemeClr w14:val="tx1"/>
            </w14:solidFill>
          </w14:textFill>
        </w:rPr>
      </w:pPr>
    </w:p>
    <w:p>
      <w:pPr>
        <w:rPr>
          <w:highlight w:val="none"/>
        </w:rPr>
      </w:pPr>
    </w:p>
    <w:sectPr>
      <w:footerReference r:id="rId8" w:type="first"/>
      <w:footerReference r:id="rId7" w:type="default"/>
      <w:pgSz w:w="11906" w:h="16838"/>
      <w:pgMar w:top="1418" w:right="1247" w:bottom="1418" w:left="158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MS Sans Serif">
    <w:altName w:val="Courier New"/>
    <w:panose1 w:val="020B05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3869"/>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6" w:space="3"/>
      </w:pBdr>
      <w:jc w:val="both"/>
    </w:pPr>
    <w:r>
      <w:rPr>
        <w:rFonts w:hint="eastAsia"/>
      </w:rPr>
      <w:t xml:space="preserve">吉林省致诚项目管理有限公司      　　                            </w:t>
    </w:r>
    <w:r>
      <w:t xml:space="preserve">  </w:t>
    </w:r>
    <w:r>
      <w:rPr>
        <w:rFonts w:hint="eastAsia"/>
      </w:rPr>
      <w:t xml:space="preserve">                 </w:t>
    </w:r>
    <w:r>
      <w:t xml:space="preserve"> </w:t>
    </w:r>
    <w:r>
      <w:rPr>
        <w:rFonts w:hint="eastAsia"/>
      </w:rPr>
      <w:t xml:space="preserve">       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61F9B5"/>
    <w:multiLevelType w:val="singleLevel"/>
    <w:tmpl w:val="CF61F9B5"/>
    <w:lvl w:ilvl="0" w:tentative="0">
      <w:start w:val="1"/>
      <w:numFmt w:val="decimal"/>
      <w:lvlText w:val="%1."/>
      <w:lvlJc w:val="left"/>
      <w:pPr>
        <w:tabs>
          <w:tab w:val="left" w:pos="312"/>
        </w:tabs>
      </w:pPr>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E"/>
    <w:multiLevelType w:val="multilevel"/>
    <w:tmpl w:val="0000000E"/>
    <w:lvl w:ilvl="0" w:tentative="0">
      <w:start w:val="1"/>
      <w:numFmt w:val="bullet"/>
      <w:pStyle w:val="6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99A1B7E"/>
    <w:multiLevelType w:val="multilevel"/>
    <w:tmpl w:val="099A1B7E"/>
    <w:lvl w:ilvl="0" w:tentative="0">
      <w:start w:val="1"/>
      <w:numFmt w:val="decimal"/>
      <w:lvlText w:val="%1."/>
      <w:lvlJc w:val="center"/>
      <w:pPr>
        <w:tabs>
          <w:tab w:val="left" w:pos="416"/>
        </w:tabs>
        <w:ind w:left="416" w:hanging="13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5167C52"/>
    <w:multiLevelType w:val="singleLevel"/>
    <w:tmpl w:val="15167C52"/>
    <w:lvl w:ilvl="0" w:tentative="0">
      <w:start w:val="1"/>
      <w:numFmt w:val="chineseCounting"/>
      <w:suff w:val="nothing"/>
      <w:lvlText w:val="%1、"/>
      <w:lvlJc w:val="left"/>
      <w:rPr>
        <w:rFonts w:hint="eastAsia"/>
      </w:rPr>
    </w:lvl>
  </w:abstractNum>
  <w:abstractNum w:abstractNumId="10">
    <w:nsid w:val="33092639"/>
    <w:multiLevelType w:val="singleLevel"/>
    <w:tmpl w:val="33092639"/>
    <w:lvl w:ilvl="0" w:tentative="0">
      <w:start w:val="1"/>
      <w:numFmt w:val="decimal"/>
      <w:lvlText w:val="（%1）"/>
      <w:lvlJc w:val="left"/>
      <w:pPr>
        <w:tabs>
          <w:tab w:val="left" w:pos="1080"/>
        </w:tabs>
        <w:ind w:left="1080" w:hanging="600"/>
      </w:pPr>
      <w:rPr>
        <w:rFonts w:hint="eastAsia"/>
        <w:lang w:val="en-US"/>
      </w:rPr>
    </w:lvl>
  </w:abstractNum>
  <w:abstractNum w:abstractNumId="11">
    <w:nsid w:val="35D21E45"/>
    <w:multiLevelType w:val="singleLevel"/>
    <w:tmpl w:val="35D21E45"/>
    <w:lvl w:ilvl="0" w:tentative="0">
      <w:start w:val="7"/>
      <w:numFmt w:val="chineseCounting"/>
      <w:suff w:val="nothing"/>
      <w:lvlText w:val="%1、"/>
      <w:lvlJc w:val="left"/>
      <w:rPr>
        <w:rFonts w:hint="eastAsia"/>
      </w:rPr>
    </w:lvl>
  </w:abstractNum>
  <w:abstractNum w:abstractNumId="12">
    <w:nsid w:val="74A24AE9"/>
    <w:multiLevelType w:val="multilevel"/>
    <w:tmpl w:val="74A24AE9"/>
    <w:lvl w:ilvl="0" w:tentative="0">
      <w:start w:val="3"/>
      <w:numFmt w:val="japaneseCounting"/>
      <w:lvlText w:val="%1、"/>
      <w:lvlJc w:val="left"/>
      <w:pPr>
        <w:tabs>
          <w:tab w:val="left" w:pos="880"/>
        </w:tabs>
        <w:ind w:left="880" w:hanging="720"/>
      </w:pPr>
      <w:rPr>
        <w:rFonts w:hint="default"/>
      </w:rPr>
    </w:lvl>
    <w:lvl w:ilvl="1" w:tentative="0">
      <w:start w:val="1"/>
      <w:numFmt w:val="lowerLetter"/>
      <w:lvlText w:val="%2)"/>
      <w:lvlJc w:val="left"/>
      <w:pPr>
        <w:tabs>
          <w:tab w:val="left" w:pos="1000"/>
        </w:tabs>
        <w:ind w:left="1000" w:hanging="420"/>
      </w:pPr>
    </w:lvl>
    <w:lvl w:ilvl="2" w:tentative="0">
      <w:start w:val="1"/>
      <w:numFmt w:val="lowerRoman"/>
      <w:lvlText w:val="%3."/>
      <w:lvlJc w:val="right"/>
      <w:pPr>
        <w:tabs>
          <w:tab w:val="left" w:pos="1420"/>
        </w:tabs>
        <w:ind w:left="1420" w:hanging="420"/>
      </w:pPr>
    </w:lvl>
    <w:lvl w:ilvl="3" w:tentative="0">
      <w:start w:val="1"/>
      <w:numFmt w:val="decimal"/>
      <w:lvlText w:val="%4."/>
      <w:lvlJc w:val="left"/>
      <w:pPr>
        <w:tabs>
          <w:tab w:val="left" w:pos="1840"/>
        </w:tabs>
        <w:ind w:left="1840" w:hanging="420"/>
      </w:pPr>
    </w:lvl>
    <w:lvl w:ilvl="4" w:tentative="0">
      <w:start w:val="1"/>
      <w:numFmt w:val="lowerLetter"/>
      <w:lvlText w:val="%5)"/>
      <w:lvlJc w:val="left"/>
      <w:pPr>
        <w:tabs>
          <w:tab w:val="left" w:pos="2260"/>
        </w:tabs>
        <w:ind w:left="2260" w:hanging="420"/>
      </w:pPr>
    </w:lvl>
    <w:lvl w:ilvl="5" w:tentative="0">
      <w:start w:val="1"/>
      <w:numFmt w:val="lowerRoman"/>
      <w:lvlText w:val="%6."/>
      <w:lvlJc w:val="right"/>
      <w:pPr>
        <w:tabs>
          <w:tab w:val="left" w:pos="2680"/>
        </w:tabs>
        <w:ind w:left="2680" w:hanging="420"/>
      </w:pPr>
    </w:lvl>
    <w:lvl w:ilvl="6" w:tentative="0">
      <w:start w:val="1"/>
      <w:numFmt w:val="decimal"/>
      <w:lvlText w:val="%7."/>
      <w:lvlJc w:val="left"/>
      <w:pPr>
        <w:tabs>
          <w:tab w:val="left" w:pos="3100"/>
        </w:tabs>
        <w:ind w:left="3100" w:hanging="420"/>
      </w:pPr>
    </w:lvl>
    <w:lvl w:ilvl="7" w:tentative="0">
      <w:start w:val="1"/>
      <w:numFmt w:val="lowerLetter"/>
      <w:lvlText w:val="%8)"/>
      <w:lvlJc w:val="left"/>
      <w:pPr>
        <w:tabs>
          <w:tab w:val="left" w:pos="3520"/>
        </w:tabs>
        <w:ind w:left="3520" w:hanging="420"/>
      </w:pPr>
    </w:lvl>
    <w:lvl w:ilvl="8" w:tentative="0">
      <w:start w:val="1"/>
      <w:numFmt w:val="lowerRoman"/>
      <w:lvlText w:val="%9."/>
      <w:lvlJc w:val="right"/>
      <w:pPr>
        <w:tabs>
          <w:tab w:val="left" w:pos="3940"/>
        </w:tabs>
        <w:ind w:left="3940" w:hanging="420"/>
      </w:pPr>
    </w:lvl>
  </w:abstractNum>
  <w:abstractNum w:abstractNumId="13">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A0F6431"/>
    <w:multiLevelType w:val="singleLevel"/>
    <w:tmpl w:val="7A0F6431"/>
    <w:lvl w:ilvl="0" w:tentative="0">
      <w:start w:val="1"/>
      <w:numFmt w:val="decimal"/>
      <w:suff w:val="space"/>
      <w:lvlText w:val="%1."/>
      <w:lvlJc w:val="left"/>
    </w:lvl>
  </w:abstractNum>
  <w:num w:numId="1">
    <w:abstractNumId w:val="7"/>
  </w:num>
  <w:num w:numId="2">
    <w:abstractNumId w:val="8"/>
  </w:num>
  <w:num w:numId="3">
    <w:abstractNumId w:val="1"/>
  </w:num>
  <w:num w:numId="4">
    <w:abstractNumId w:val="10"/>
  </w:num>
  <w:num w:numId="5">
    <w:abstractNumId w:val="14"/>
  </w:num>
  <w:num w:numId="6">
    <w:abstractNumId w:val="2"/>
  </w:num>
  <w:num w:numId="7">
    <w:abstractNumId w:val="6"/>
  </w:num>
  <w:num w:numId="8">
    <w:abstractNumId w:val="4"/>
  </w:num>
  <w:num w:numId="9">
    <w:abstractNumId w:val="3"/>
  </w:num>
  <w:num w:numId="10">
    <w:abstractNumId w:val="0"/>
  </w:num>
  <w:num w:numId="11">
    <w:abstractNumId w:val="5"/>
  </w:num>
  <w:num w:numId="12">
    <w:abstractNumId w:val="9"/>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Tc3YjFlMGY3NTY3YTg4N2QwZjU3ZjE5NGM2M2EifQ=="/>
  </w:docVars>
  <w:rsids>
    <w:rsidRoot w:val="00D37C4B"/>
    <w:rsid w:val="0000063C"/>
    <w:rsid w:val="00000B64"/>
    <w:rsid w:val="00000FB0"/>
    <w:rsid w:val="00001038"/>
    <w:rsid w:val="00001438"/>
    <w:rsid w:val="00001823"/>
    <w:rsid w:val="000023B1"/>
    <w:rsid w:val="00006F1F"/>
    <w:rsid w:val="00007AE1"/>
    <w:rsid w:val="000101BD"/>
    <w:rsid w:val="0001063A"/>
    <w:rsid w:val="00010FB2"/>
    <w:rsid w:val="00011694"/>
    <w:rsid w:val="000133AB"/>
    <w:rsid w:val="000137CF"/>
    <w:rsid w:val="000139E0"/>
    <w:rsid w:val="00013EAE"/>
    <w:rsid w:val="000144DD"/>
    <w:rsid w:val="00014C99"/>
    <w:rsid w:val="00014E67"/>
    <w:rsid w:val="0001510C"/>
    <w:rsid w:val="000157BA"/>
    <w:rsid w:val="0001631D"/>
    <w:rsid w:val="0002036F"/>
    <w:rsid w:val="00021436"/>
    <w:rsid w:val="00021C37"/>
    <w:rsid w:val="000223F9"/>
    <w:rsid w:val="00022933"/>
    <w:rsid w:val="000231ED"/>
    <w:rsid w:val="00024500"/>
    <w:rsid w:val="00026024"/>
    <w:rsid w:val="0002653C"/>
    <w:rsid w:val="00026779"/>
    <w:rsid w:val="0002782B"/>
    <w:rsid w:val="00027BD7"/>
    <w:rsid w:val="00030044"/>
    <w:rsid w:val="00030540"/>
    <w:rsid w:val="0003186C"/>
    <w:rsid w:val="00031BE2"/>
    <w:rsid w:val="0003233B"/>
    <w:rsid w:val="00032B92"/>
    <w:rsid w:val="00033FD8"/>
    <w:rsid w:val="0003441E"/>
    <w:rsid w:val="0003452C"/>
    <w:rsid w:val="000345AB"/>
    <w:rsid w:val="00036173"/>
    <w:rsid w:val="000369F2"/>
    <w:rsid w:val="00036D73"/>
    <w:rsid w:val="000402A6"/>
    <w:rsid w:val="0004321F"/>
    <w:rsid w:val="0004386B"/>
    <w:rsid w:val="00044218"/>
    <w:rsid w:val="00044541"/>
    <w:rsid w:val="0004470C"/>
    <w:rsid w:val="00044CBE"/>
    <w:rsid w:val="00044DE4"/>
    <w:rsid w:val="00045D32"/>
    <w:rsid w:val="00046687"/>
    <w:rsid w:val="00046AB3"/>
    <w:rsid w:val="00046E9D"/>
    <w:rsid w:val="000473F5"/>
    <w:rsid w:val="00047B6C"/>
    <w:rsid w:val="00047D0E"/>
    <w:rsid w:val="00050A1E"/>
    <w:rsid w:val="00050C1D"/>
    <w:rsid w:val="00051B94"/>
    <w:rsid w:val="0005210D"/>
    <w:rsid w:val="0005211E"/>
    <w:rsid w:val="000525F2"/>
    <w:rsid w:val="00054B71"/>
    <w:rsid w:val="0005531F"/>
    <w:rsid w:val="000571BC"/>
    <w:rsid w:val="00057A23"/>
    <w:rsid w:val="00057A9D"/>
    <w:rsid w:val="00057EC5"/>
    <w:rsid w:val="0006020D"/>
    <w:rsid w:val="0006042A"/>
    <w:rsid w:val="00060436"/>
    <w:rsid w:val="00061FE1"/>
    <w:rsid w:val="00061FFE"/>
    <w:rsid w:val="000624D3"/>
    <w:rsid w:val="0006334C"/>
    <w:rsid w:val="0006406C"/>
    <w:rsid w:val="000640C8"/>
    <w:rsid w:val="00064C41"/>
    <w:rsid w:val="00064EC3"/>
    <w:rsid w:val="0006528C"/>
    <w:rsid w:val="00065355"/>
    <w:rsid w:val="00065B68"/>
    <w:rsid w:val="00065E58"/>
    <w:rsid w:val="00066D80"/>
    <w:rsid w:val="00067044"/>
    <w:rsid w:val="00070B54"/>
    <w:rsid w:val="00071360"/>
    <w:rsid w:val="00071414"/>
    <w:rsid w:val="00072C89"/>
    <w:rsid w:val="00072DC4"/>
    <w:rsid w:val="00074791"/>
    <w:rsid w:val="00075905"/>
    <w:rsid w:val="00075A27"/>
    <w:rsid w:val="000818BC"/>
    <w:rsid w:val="00081C9B"/>
    <w:rsid w:val="00081DCC"/>
    <w:rsid w:val="000826E7"/>
    <w:rsid w:val="000842A6"/>
    <w:rsid w:val="00085497"/>
    <w:rsid w:val="0008577F"/>
    <w:rsid w:val="00087387"/>
    <w:rsid w:val="00090005"/>
    <w:rsid w:val="0009067A"/>
    <w:rsid w:val="00090A3B"/>
    <w:rsid w:val="00090F68"/>
    <w:rsid w:val="00091EA2"/>
    <w:rsid w:val="00093076"/>
    <w:rsid w:val="000932CA"/>
    <w:rsid w:val="00093FF9"/>
    <w:rsid w:val="00096A08"/>
    <w:rsid w:val="00096E3D"/>
    <w:rsid w:val="00096F7C"/>
    <w:rsid w:val="0009745C"/>
    <w:rsid w:val="000A1441"/>
    <w:rsid w:val="000A1ABB"/>
    <w:rsid w:val="000A24F2"/>
    <w:rsid w:val="000A2912"/>
    <w:rsid w:val="000A332E"/>
    <w:rsid w:val="000A396A"/>
    <w:rsid w:val="000A3F73"/>
    <w:rsid w:val="000A41A3"/>
    <w:rsid w:val="000A4632"/>
    <w:rsid w:val="000A7438"/>
    <w:rsid w:val="000A7811"/>
    <w:rsid w:val="000A7FF5"/>
    <w:rsid w:val="000B00B2"/>
    <w:rsid w:val="000B133E"/>
    <w:rsid w:val="000B198D"/>
    <w:rsid w:val="000B3407"/>
    <w:rsid w:val="000B3530"/>
    <w:rsid w:val="000B3B88"/>
    <w:rsid w:val="000B3CF8"/>
    <w:rsid w:val="000B52AD"/>
    <w:rsid w:val="000B5852"/>
    <w:rsid w:val="000B6FE7"/>
    <w:rsid w:val="000B7C82"/>
    <w:rsid w:val="000B7D24"/>
    <w:rsid w:val="000C023A"/>
    <w:rsid w:val="000C0B27"/>
    <w:rsid w:val="000C0DE6"/>
    <w:rsid w:val="000C248C"/>
    <w:rsid w:val="000C287B"/>
    <w:rsid w:val="000C2B24"/>
    <w:rsid w:val="000C31AA"/>
    <w:rsid w:val="000C36D1"/>
    <w:rsid w:val="000C4042"/>
    <w:rsid w:val="000C5810"/>
    <w:rsid w:val="000C5D64"/>
    <w:rsid w:val="000C5F6A"/>
    <w:rsid w:val="000C77CA"/>
    <w:rsid w:val="000D06BA"/>
    <w:rsid w:val="000D0922"/>
    <w:rsid w:val="000D0C4A"/>
    <w:rsid w:val="000D130E"/>
    <w:rsid w:val="000D158E"/>
    <w:rsid w:val="000D3A8E"/>
    <w:rsid w:val="000D40C2"/>
    <w:rsid w:val="000D477C"/>
    <w:rsid w:val="000D49B6"/>
    <w:rsid w:val="000D7693"/>
    <w:rsid w:val="000D7950"/>
    <w:rsid w:val="000E057A"/>
    <w:rsid w:val="000E1750"/>
    <w:rsid w:val="000E1781"/>
    <w:rsid w:val="000E2037"/>
    <w:rsid w:val="000E2D94"/>
    <w:rsid w:val="000E36CC"/>
    <w:rsid w:val="000E4183"/>
    <w:rsid w:val="000E4BA0"/>
    <w:rsid w:val="000E644C"/>
    <w:rsid w:val="000E666C"/>
    <w:rsid w:val="000E67B0"/>
    <w:rsid w:val="000E6FE2"/>
    <w:rsid w:val="000E7079"/>
    <w:rsid w:val="000E71D7"/>
    <w:rsid w:val="000E7342"/>
    <w:rsid w:val="000F04D7"/>
    <w:rsid w:val="000F07A1"/>
    <w:rsid w:val="000F0E75"/>
    <w:rsid w:val="000F1179"/>
    <w:rsid w:val="000F13B6"/>
    <w:rsid w:val="000F1B37"/>
    <w:rsid w:val="000F2394"/>
    <w:rsid w:val="000F26DC"/>
    <w:rsid w:val="000F2B19"/>
    <w:rsid w:val="000F3037"/>
    <w:rsid w:val="000F3213"/>
    <w:rsid w:val="000F4597"/>
    <w:rsid w:val="000F4D54"/>
    <w:rsid w:val="000F5658"/>
    <w:rsid w:val="000F5FD2"/>
    <w:rsid w:val="00101AC2"/>
    <w:rsid w:val="00102208"/>
    <w:rsid w:val="00102DE7"/>
    <w:rsid w:val="001035DB"/>
    <w:rsid w:val="0010403B"/>
    <w:rsid w:val="00104197"/>
    <w:rsid w:val="001044BD"/>
    <w:rsid w:val="001061F8"/>
    <w:rsid w:val="00110620"/>
    <w:rsid w:val="00110BBA"/>
    <w:rsid w:val="00110FFE"/>
    <w:rsid w:val="001114B9"/>
    <w:rsid w:val="00112AC0"/>
    <w:rsid w:val="0011332C"/>
    <w:rsid w:val="0011338E"/>
    <w:rsid w:val="001136AF"/>
    <w:rsid w:val="0011395F"/>
    <w:rsid w:val="00113982"/>
    <w:rsid w:val="00113E06"/>
    <w:rsid w:val="00113ED0"/>
    <w:rsid w:val="0011504E"/>
    <w:rsid w:val="0011530B"/>
    <w:rsid w:val="00115B9A"/>
    <w:rsid w:val="00116851"/>
    <w:rsid w:val="00121222"/>
    <w:rsid w:val="00121DC0"/>
    <w:rsid w:val="0012219F"/>
    <w:rsid w:val="001227E3"/>
    <w:rsid w:val="00123A74"/>
    <w:rsid w:val="001244FF"/>
    <w:rsid w:val="00124BFE"/>
    <w:rsid w:val="00124C45"/>
    <w:rsid w:val="001258F2"/>
    <w:rsid w:val="001260E7"/>
    <w:rsid w:val="00126BBD"/>
    <w:rsid w:val="001276D5"/>
    <w:rsid w:val="0013146D"/>
    <w:rsid w:val="001319A6"/>
    <w:rsid w:val="00131E40"/>
    <w:rsid w:val="00132A44"/>
    <w:rsid w:val="00135537"/>
    <w:rsid w:val="001373D4"/>
    <w:rsid w:val="00137702"/>
    <w:rsid w:val="001377DD"/>
    <w:rsid w:val="0014011A"/>
    <w:rsid w:val="001403D9"/>
    <w:rsid w:val="00140B10"/>
    <w:rsid w:val="00141467"/>
    <w:rsid w:val="00141E49"/>
    <w:rsid w:val="00142CBC"/>
    <w:rsid w:val="00143DD4"/>
    <w:rsid w:val="00144405"/>
    <w:rsid w:val="0014546C"/>
    <w:rsid w:val="001454B9"/>
    <w:rsid w:val="00146021"/>
    <w:rsid w:val="00146C13"/>
    <w:rsid w:val="00146FFB"/>
    <w:rsid w:val="00147026"/>
    <w:rsid w:val="001473EB"/>
    <w:rsid w:val="0015116F"/>
    <w:rsid w:val="001512D5"/>
    <w:rsid w:val="0015159E"/>
    <w:rsid w:val="001521C4"/>
    <w:rsid w:val="001526E7"/>
    <w:rsid w:val="0015272E"/>
    <w:rsid w:val="00153070"/>
    <w:rsid w:val="00153AC1"/>
    <w:rsid w:val="0015554C"/>
    <w:rsid w:val="00155E4D"/>
    <w:rsid w:val="001560ED"/>
    <w:rsid w:val="00160CA7"/>
    <w:rsid w:val="00161225"/>
    <w:rsid w:val="00161807"/>
    <w:rsid w:val="00161D34"/>
    <w:rsid w:val="0016317F"/>
    <w:rsid w:val="00163851"/>
    <w:rsid w:val="00163A5F"/>
    <w:rsid w:val="0016449D"/>
    <w:rsid w:val="00164A44"/>
    <w:rsid w:val="001655C8"/>
    <w:rsid w:val="00167610"/>
    <w:rsid w:val="0017126D"/>
    <w:rsid w:val="00171A35"/>
    <w:rsid w:val="00174569"/>
    <w:rsid w:val="00174DBA"/>
    <w:rsid w:val="001750AD"/>
    <w:rsid w:val="0017661F"/>
    <w:rsid w:val="00177878"/>
    <w:rsid w:val="00177CEB"/>
    <w:rsid w:val="001802AA"/>
    <w:rsid w:val="001805B6"/>
    <w:rsid w:val="00180B23"/>
    <w:rsid w:val="00180D84"/>
    <w:rsid w:val="0018144E"/>
    <w:rsid w:val="00182A9E"/>
    <w:rsid w:val="001832E4"/>
    <w:rsid w:val="0018460E"/>
    <w:rsid w:val="00184C02"/>
    <w:rsid w:val="001853DA"/>
    <w:rsid w:val="00185A61"/>
    <w:rsid w:val="00185C2A"/>
    <w:rsid w:val="00186638"/>
    <w:rsid w:val="001867F8"/>
    <w:rsid w:val="001869A1"/>
    <w:rsid w:val="00187E2F"/>
    <w:rsid w:val="00190F1F"/>
    <w:rsid w:val="00191573"/>
    <w:rsid w:val="00192B5F"/>
    <w:rsid w:val="00193EAE"/>
    <w:rsid w:val="00194AD6"/>
    <w:rsid w:val="00194B6E"/>
    <w:rsid w:val="0019791F"/>
    <w:rsid w:val="00197E0E"/>
    <w:rsid w:val="001A0B5C"/>
    <w:rsid w:val="001A1EAF"/>
    <w:rsid w:val="001A2168"/>
    <w:rsid w:val="001A2F0F"/>
    <w:rsid w:val="001A32C8"/>
    <w:rsid w:val="001A363B"/>
    <w:rsid w:val="001A3E73"/>
    <w:rsid w:val="001A58A5"/>
    <w:rsid w:val="001A58E5"/>
    <w:rsid w:val="001A6636"/>
    <w:rsid w:val="001A69E7"/>
    <w:rsid w:val="001A7230"/>
    <w:rsid w:val="001B08DD"/>
    <w:rsid w:val="001B15D1"/>
    <w:rsid w:val="001B1E0D"/>
    <w:rsid w:val="001B225D"/>
    <w:rsid w:val="001B284C"/>
    <w:rsid w:val="001B28F1"/>
    <w:rsid w:val="001B2DC0"/>
    <w:rsid w:val="001B2F54"/>
    <w:rsid w:val="001B3D89"/>
    <w:rsid w:val="001B423E"/>
    <w:rsid w:val="001B513E"/>
    <w:rsid w:val="001B6A17"/>
    <w:rsid w:val="001C0129"/>
    <w:rsid w:val="001C0229"/>
    <w:rsid w:val="001C082B"/>
    <w:rsid w:val="001C0DC9"/>
    <w:rsid w:val="001C0F0B"/>
    <w:rsid w:val="001C1539"/>
    <w:rsid w:val="001C155E"/>
    <w:rsid w:val="001C1896"/>
    <w:rsid w:val="001C1A95"/>
    <w:rsid w:val="001C2122"/>
    <w:rsid w:val="001C2DBD"/>
    <w:rsid w:val="001C2E77"/>
    <w:rsid w:val="001C5F05"/>
    <w:rsid w:val="001C61AA"/>
    <w:rsid w:val="001C6C16"/>
    <w:rsid w:val="001C6EDB"/>
    <w:rsid w:val="001C7966"/>
    <w:rsid w:val="001C7B3E"/>
    <w:rsid w:val="001D0966"/>
    <w:rsid w:val="001D0E8E"/>
    <w:rsid w:val="001D140B"/>
    <w:rsid w:val="001D54FF"/>
    <w:rsid w:val="001D578E"/>
    <w:rsid w:val="001D5DAF"/>
    <w:rsid w:val="001E0896"/>
    <w:rsid w:val="001E1B4B"/>
    <w:rsid w:val="001E3A17"/>
    <w:rsid w:val="001E3E85"/>
    <w:rsid w:val="001E406D"/>
    <w:rsid w:val="001E6F8A"/>
    <w:rsid w:val="001E7903"/>
    <w:rsid w:val="001E7942"/>
    <w:rsid w:val="001F0915"/>
    <w:rsid w:val="001F2450"/>
    <w:rsid w:val="001F3299"/>
    <w:rsid w:val="001F49D3"/>
    <w:rsid w:val="001F515E"/>
    <w:rsid w:val="001F58C1"/>
    <w:rsid w:val="001F6505"/>
    <w:rsid w:val="001F7374"/>
    <w:rsid w:val="002006B3"/>
    <w:rsid w:val="002007B5"/>
    <w:rsid w:val="00200891"/>
    <w:rsid w:val="00200F08"/>
    <w:rsid w:val="002011A0"/>
    <w:rsid w:val="00201D3C"/>
    <w:rsid w:val="00201FFF"/>
    <w:rsid w:val="00202156"/>
    <w:rsid w:val="00202DC2"/>
    <w:rsid w:val="00203578"/>
    <w:rsid w:val="00203DDB"/>
    <w:rsid w:val="0020494C"/>
    <w:rsid w:val="00204F54"/>
    <w:rsid w:val="00205291"/>
    <w:rsid w:val="00205E6C"/>
    <w:rsid w:val="00206F24"/>
    <w:rsid w:val="00206F94"/>
    <w:rsid w:val="002078B5"/>
    <w:rsid w:val="002105B4"/>
    <w:rsid w:val="00211423"/>
    <w:rsid w:val="00212E4E"/>
    <w:rsid w:val="00212F09"/>
    <w:rsid w:val="0021418A"/>
    <w:rsid w:val="00214309"/>
    <w:rsid w:val="00214376"/>
    <w:rsid w:val="002148DE"/>
    <w:rsid w:val="00214F95"/>
    <w:rsid w:val="002159CC"/>
    <w:rsid w:val="0021620B"/>
    <w:rsid w:val="0021724E"/>
    <w:rsid w:val="00217BB7"/>
    <w:rsid w:val="00217BC7"/>
    <w:rsid w:val="00220444"/>
    <w:rsid w:val="002215F6"/>
    <w:rsid w:val="00221AEA"/>
    <w:rsid w:val="002221BA"/>
    <w:rsid w:val="002222A9"/>
    <w:rsid w:val="0022269B"/>
    <w:rsid w:val="002227A0"/>
    <w:rsid w:val="0022285B"/>
    <w:rsid w:val="00223A8A"/>
    <w:rsid w:val="002247B5"/>
    <w:rsid w:val="00224F3D"/>
    <w:rsid w:val="00225EF3"/>
    <w:rsid w:val="002265B7"/>
    <w:rsid w:val="002276F1"/>
    <w:rsid w:val="0023090F"/>
    <w:rsid w:val="002312DC"/>
    <w:rsid w:val="00231322"/>
    <w:rsid w:val="00231713"/>
    <w:rsid w:val="00233135"/>
    <w:rsid w:val="0023333E"/>
    <w:rsid w:val="00235DE7"/>
    <w:rsid w:val="00236F42"/>
    <w:rsid w:val="00237D56"/>
    <w:rsid w:val="00237EA1"/>
    <w:rsid w:val="00240494"/>
    <w:rsid w:val="002411C2"/>
    <w:rsid w:val="00241466"/>
    <w:rsid w:val="0024152C"/>
    <w:rsid w:val="00241E37"/>
    <w:rsid w:val="0024225C"/>
    <w:rsid w:val="002426FF"/>
    <w:rsid w:val="002434B0"/>
    <w:rsid w:val="002443F2"/>
    <w:rsid w:val="0024461F"/>
    <w:rsid w:val="00245DE5"/>
    <w:rsid w:val="00246652"/>
    <w:rsid w:val="00246A94"/>
    <w:rsid w:val="00246CCA"/>
    <w:rsid w:val="00247AA1"/>
    <w:rsid w:val="0025197A"/>
    <w:rsid w:val="00251E8D"/>
    <w:rsid w:val="0025208A"/>
    <w:rsid w:val="0025225B"/>
    <w:rsid w:val="002529D0"/>
    <w:rsid w:val="0025413C"/>
    <w:rsid w:val="002548F5"/>
    <w:rsid w:val="0025509D"/>
    <w:rsid w:val="00255BB2"/>
    <w:rsid w:val="00255EC4"/>
    <w:rsid w:val="00256134"/>
    <w:rsid w:val="0025710A"/>
    <w:rsid w:val="00257AFE"/>
    <w:rsid w:val="002605FF"/>
    <w:rsid w:val="002606CC"/>
    <w:rsid w:val="00260E15"/>
    <w:rsid w:val="00260F25"/>
    <w:rsid w:val="00262391"/>
    <w:rsid w:val="0026275B"/>
    <w:rsid w:val="002631B3"/>
    <w:rsid w:val="00263320"/>
    <w:rsid w:val="00263BAA"/>
    <w:rsid w:val="00264344"/>
    <w:rsid w:val="002656EE"/>
    <w:rsid w:val="00265C86"/>
    <w:rsid w:val="0026640B"/>
    <w:rsid w:val="002670F3"/>
    <w:rsid w:val="00267C08"/>
    <w:rsid w:val="002701CC"/>
    <w:rsid w:val="00270238"/>
    <w:rsid w:val="00270EC7"/>
    <w:rsid w:val="00271949"/>
    <w:rsid w:val="00271D71"/>
    <w:rsid w:val="00272799"/>
    <w:rsid w:val="00272965"/>
    <w:rsid w:val="00272D1C"/>
    <w:rsid w:val="0027331D"/>
    <w:rsid w:val="002734E6"/>
    <w:rsid w:val="0027376C"/>
    <w:rsid w:val="0027377C"/>
    <w:rsid w:val="002737D1"/>
    <w:rsid w:val="00273E07"/>
    <w:rsid w:val="00273E80"/>
    <w:rsid w:val="00274730"/>
    <w:rsid w:val="00274FE5"/>
    <w:rsid w:val="0027597F"/>
    <w:rsid w:val="00275DC3"/>
    <w:rsid w:val="002761CF"/>
    <w:rsid w:val="00276A04"/>
    <w:rsid w:val="002773D1"/>
    <w:rsid w:val="00277B8E"/>
    <w:rsid w:val="00280063"/>
    <w:rsid w:val="00280529"/>
    <w:rsid w:val="00280C23"/>
    <w:rsid w:val="00281919"/>
    <w:rsid w:val="00281B5F"/>
    <w:rsid w:val="0028216E"/>
    <w:rsid w:val="00282319"/>
    <w:rsid w:val="00282904"/>
    <w:rsid w:val="002835CD"/>
    <w:rsid w:val="002845D3"/>
    <w:rsid w:val="002849E2"/>
    <w:rsid w:val="00284F4A"/>
    <w:rsid w:val="00285219"/>
    <w:rsid w:val="00285834"/>
    <w:rsid w:val="00285D46"/>
    <w:rsid w:val="0028617D"/>
    <w:rsid w:val="00286E64"/>
    <w:rsid w:val="00290413"/>
    <w:rsid w:val="00290581"/>
    <w:rsid w:val="0029124F"/>
    <w:rsid w:val="00291830"/>
    <w:rsid w:val="00291E65"/>
    <w:rsid w:val="002932FA"/>
    <w:rsid w:val="002933E1"/>
    <w:rsid w:val="002934EA"/>
    <w:rsid w:val="0029402D"/>
    <w:rsid w:val="00294D11"/>
    <w:rsid w:val="00294EAE"/>
    <w:rsid w:val="002958D6"/>
    <w:rsid w:val="00296036"/>
    <w:rsid w:val="0029689E"/>
    <w:rsid w:val="002968BE"/>
    <w:rsid w:val="00296C2A"/>
    <w:rsid w:val="002A061A"/>
    <w:rsid w:val="002A0E65"/>
    <w:rsid w:val="002A133D"/>
    <w:rsid w:val="002A194A"/>
    <w:rsid w:val="002A40B8"/>
    <w:rsid w:val="002A4AA9"/>
    <w:rsid w:val="002A4B13"/>
    <w:rsid w:val="002A5926"/>
    <w:rsid w:val="002A6561"/>
    <w:rsid w:val="002A78DA"/>
    <w:rsid w:val="002B033D"/>
    <w:rsid w:val="002B104F"/>
    <w:rsid w:val="002B319C"/>
    <w:rsid w:val="002B32CF"/>
    <w:rsid w:val="002B59E5"/>
    <w:rsid w:val="002B6910"/>
    <w:rsid w:val="002B6CFB"/>
    <w:rsid w:val="002C02AC"/>
    <w:rsid w:val="002C07CD"/>
    <w:rsid w:val="002C0889"/>
    <w:rsid w:val="002C0BC8"/>
    <w:rsid w:val="002C0FDA"/>
    <w:rsid w:val="002C2633"/>
    <w:rsid w:val="002C2B63"/>
    <w:rsid w:val="002C2F6E"/>
    <w:rsid w:val="002C35DA"/>
    <w:rsid w:val="002C39F7"/>
    <w:rsid w:val="002C4121"/>
    <w:rsid w:val="002C499D"/>
    <w:rsid w:val="002C4D45"/>
    <w:rsid w:val="002C5B71"/>
    <w:rsid w:val="002C5F58"/>
    <w:rsid w:val="002C6763"/>
    <w:rsid w:val="002C78E2"/>
    <w:rsid w:val="002C7961"/>
    <w:rsid w:val="002D08D2"/>
    <w:rsid w:val="002D13C1"/>
    <w:rsid w:val="002D1577"/>
    <w:rsid w:val="002D21B2"/>
    <w:rsid w:val="002D295A"/>
    <w:rsid w:val="002D2E45"/>
    <w:rsid w:val="002D324B"/>
    <w:rsid w:val="002D4AD2"/>
    <w:rsid w:val="002D557E"/>
    <w:rsid w:val="002D597B"/>
    <w:rsid w:val="002D6C49"/>
    <w:rsid w:val="002D7C2C"/>
    <w:rsid w:val="002E00E0"/>
    <w:rsid w:val="002E1080"/>
    <w:rsid w:val="002E15FD"/>
    <w:rsid w:val="002E1B5E"/>
    <w:rsid w:val="002E1CB9"/>
    <w:rsid w:val="002E32D6"/>
    <w:rsid w:val="002E387E"/>
    <w:rsid w:val="002E4526"/>
    <w:rsid w:val="002E460B"/>
    <w:rsid w:val="002E4B5E"/>
    <w:rsid w:val="002E4BD1"/>
    <w:rsid w:val="002E7409"/>
    <w:rsid w:val="002E7863"/>
    <w:rsid w:val="002F0354"/>
    <w:rsid w:val="002F035C"/>
    <w:rsid w:val="002F038C"/>
    <w:rsid w:val="002F0834"/>
    <w:rsid w:val="002F1A92"/>
    <w:rsid w:val="002F1C7E"/>
    <w:rsid w:val="002F1EE1"/>
    <w:rsid w:val="002F4E62"/>
    <w:rsid w:val="002F683C"/>
    <w:rsid w:val="002F68E7"/>
    <w:rsid w:val="002F6CB2"/>
    <w:rsid w:val="002F7762"/>
    <w:rsid w:val="002F7BDB"/>
    <w:rsid w:val="002F7F72"/>
    <w:rsid w:val="00300246"/>
    <w:rsid w:val="00300974"/>
    <w:rsid w:val="003014DB"/>
    <w:rsid w:val="0030167C"/>
    <w:rsid w:val="0030210A"/>
    <w:rsid w:val="00302124"/>
    <w:rsid w:val="0030281F"/>
    <w:rsid w:val="0030292A"/>
    <w:rsid w:val="00302B82"/>
    <w:rsid w:val="00302E29"/>
    <w:rsid w:val="003030F5"/>
    <w:rsid w:val="003035BF"/>
    <w:rsid w:val="0030377D"/>
    <w:rsid w:val="00304523"/>
    <w:rsid w:val="00305A18"/>
    <w:rsid w:val="0030610E"/>
    <w:rsid w:val="00307726"/>
    <w:rsid w:val="003113A5"/>
    <w:rsid w:val="00311599"/>
    <w:rsid w:val="00312283"/>
    <w:rsid w:val="003124CA"/>
    <w:rsid w:val="00313340"/>
    <w:rsid w:val="00313643"/>
    <w:rsid w:val="00314488"/>
    <w:rsid w:val="00314FC1"/>
    <w:rsid w:val="0031604F"/>
    <w:rsid w:val="003163D7"/>
    <w:rsid w:val="0031699C"/>
    <w:rsid w:val="003176CF"/>
    <w:rsid w:val="00320568"/>
    <w:rsid w:val="00320677"/>
    <w:rsid w:val="003207AD"/>
    <w:rsid w:val="00321A2A"/>
    <w:rsid w:val="00321BED"/>
    <w:rsid w:val="00321E74"/>
    <w:rsid w:val="00321FAD"/>
    <w:rsid w:val="00322743"/>
    <w:rsid w:val="003243DE"/>
    <w:rsid w:val="0032441D"/>
    <w:rsid w:val="00324762"/>
    <w:rsid w:val="00324906"/>
    <w:rsid w:val="003252EC"/>
    <w:rsid w:val="00326A31"/>
    <w:rsid w:val="00327A42"/>
    <w:rsid w:val="003307D0"/>
    <w:rsid w:val="00330984"/>
    <w:rsid w:val="00330B2E"/>
    <w:rsid w:val="003314F6"/>
    <w:rsid w:val="003319E7"/>
    <w:rsid w:val="00331E73"/>
    <w:rsid w:val="00332007"/>
    <w:rsid w:val="0033289D"/>
    <w:rsid w:val="00333D12"/>
    <w:rsid w:val="00333F75"/>
    <w:rsid w:val="00334B5F"/>
    <w:rsid w:val="00335944"/>
    <w:rsid w:val="00335AAB"/>
    <w:rsid w:val="00335F94"/>
    <w:rsid w:val="003376CD"/>
    <w:rsid w:val="00337712"/>
    <w:rsid w:val="00340513"/>
    <w:rsid w:val="00340844"/>
    <w:rsid w:val="00340C14"/>
    <w:rsid w:val="00342588"/>
    <w:rsid w:val="00342B93"/>
    <w:rsid w:val="00342F91"/>
    <w:rsid w:val="00344DCF"/>
    <w:rsid w:val="003455E5"/>
    <w:rsid w:val="003500E0"/>
    <w:rsid w:val="003502DA"/>
    <w:rsid w:val="00350537"/>
    <w:rsid w:val="00351C0F"/>
    <w:rsid w:val="00351CF4"/>
    <w:rsid w:val="00351F00"/>
    <w:rsid w:val="00352622"/>
    <w:rsid w:val="003526A9"/>
    <w:rsid w:val="00352743"/>
    <w:rsid w:val="00353557"/>
    <w:rsid w:val="00353C94"/>
    <w:rsid w:val="0035447F"/>
    <w:rsid w:val="0035559B"/>
    <w:rsid w:val="00355805"/>
    <w:rsid w:val="003560CF"/>
    <w:rsid w:val="00357827"/>
    <w:rsid w:val="00357A07"/>
    <w:rsid w:val="00357B9B"/>
    <w:rsid w:val="00360B8B"/>
    <w:rsid w:val="00360B98"/>
    <w:rsid w:val="0036166A"/>
    <w:rsid w:val="00362656"/>
    <w:rsid w:val="00362A42"/>
    <w:rsid w:val="00362F09"/>
    <w:rsid w:val="00362F21"/>
    <w:rsid w:val="00363E23"/>
    <w:rsid w:val="0036475D"/>
    <w:rsid w:val="00364FAC"/>
    <w:rsid w:val="003650DB"/>
    <w:rsid w:val="003659CB"/>
    <w:rsid w:val="00366465"/>
    <w:rsid w:val="00366579"/>
    <w:rsid w:val="003667E8"/>
    <w:rsid w:val="0036772E"/>
    <w:rsid w:val="00370326"/>
    <w:rsid w:val="0037122C"/>
    <w:rsid w:val="003717C7"/>
    <w:rsid w:val="00372158"/>
    <w:rsid w:val="0037298D"/>
    <w:rsid w:val="003732C5"/>
    <w:rsid w:val="00373D94"/>
    <w:rsid w:val="0037469C"/>
    <w:rsid w:val="00374937"/>
    <w:rsid w:val="00374AED"/>
    <w:rsid w:val="003752C8"/>
    <w:rsid w:val="00375900"/>
    <w:rsid w:val="00375EC9"/>
    <w:rsid w:val="00376602"/>
    <w:rsid w:val="00376672"/>
    <w:rsid w:val="00377AF1"/>
    <w:rsid w:val="00380157"/>
    <w:rsid w:val="003808EF"/>
    <w:rsid w:val="00382FB3"/>
    <w:rsid w:val="003837BF"/>
    <w:rsid w:val="00383DB9"/>
    <w:rsid w:val="00383FD9"/>
    <w:rsid w:val="00384809"/>
    <w:rsid w:val="0038705A"/>
    <w:rsid w:val="003871A8"/>
    <w:rsid w:val="00387816"/>
    <w:rsid w:val="00387C68"/>
    <w:rsid w:val="00387DD5"/>
    <w:rsid w:val="003908B5"/>
    <w:rsid w:val="003913F0"/>
    <w:rsid w:val="00394B8A"/>
    <w:rsid w:val="00395600"/>
    <w:rsid w:val="0039608E"/>
    <w:rsid w:val="003966CC"/>
    <w:rsid w:val="00396A14"/>
    <w:rsid w:val="00397527"/>
    <w:rsid w:val="003A05A6"/>
    <w:rsid w:val="003A0A2F"/>
    <w:rsid w:val="003A1535"/>
    <w:rsid w:val="003A17F4"/>
    <w:rsid w:val="003A2A59"/>
    <w:rsid w:val="003A2ED4"/>
    <w:rsid w:val="003A4384"/>
    <w:rsid w:val="003A47D5"/>
    <w:rsid w:val="003A48CC"/>
    <w:rsid w:val="003A4C1A"/>
    <w:rsid w:val="003A4C42"/>
    <w:rsid w:val="003A66D2"/>
    <w:rsid w:val="003A696E"/>
    <w:rsid w:val="003A6A3F"/>
    <w:rsid w:val="003A6B7A"/>
    <w:rsid w:val="003B0184"/>
    <w:rsid w:val="003B177F"/>
    <w:rsid w:val="003B1CAE"/>
    <w:rsid w:val="003B457F"/>
    <w:rsid w:val="003B4BAF"/>
    <w:rsid w:val="003B5A24"/>
    <w:rsid w:val="003B5DD0"/>
    <w:rsid w:val="003B708B"/>
    <w:rsid w:val="003B7A3A"/>
    <w:rsid w:val="003C0227"/>
    <w:rsid w:val="003C0BC8"/>
    <w:rsid w:val="003C1378"/>
    <w:rsid w:val="003C1681"/>
    <w:rsid w:val="003C1862"/>
    <w:rsid w:val="003C2894"/>
    <w:rsid w:val="003C2B24"/>
    <w:rsid w:val="003C39DB"/>
    <w:rsid w:val="003C410F"/>
    <w:rsid w:val="003C4C1B"/>
    <w:rsid w:val="003C6220"/>
    <w:rsid w:val="003C73AC"/>
    <w:rsid w:val="003D32FA"/>
    <w:rsid w:val="003D34D4"/>
    <w:rsid w:val="003D4DE2"/>
    <w:rsid w:val="003D5386"/>
    <w:rsid w:val="003D6411"/>
    <w:rsid w:val="003D6AD1"/>
    <w:rsid w:val="003D6B39"/>
    <w:rsid w:val="003D6F34"/>
    <w:rsid w:val="003E0178"/>
    <w:rsid w:val="003E0296"/>
    <w:rsid w:val="003E0568"/>
    <w:rsid w:val="003E18CF"/>
    <w:rsid w:val="003E3DDD"/>
    <w:rsid w:val="003E5B11"/>
    <w:rsid w:val="003E5FD4"/>
    <w:rsid w:val="003E6285"/>
    <w:rsid w:val="003E6501"/>
    <w:rsid w:val="003E6747"/>
    <w:rsid w:val="003E6929"/>
    <w:rsid w:val="003F0E69"/>
    <w:rsid w:val="003F169E"/>
    <w:rsid w:val="003F1B16"/>
    <w:rsid w:val="003F30A5"/>
    <w:rsid w:val="003F4088"/>
    <w:rsid w:val="003F4D1D"/>
    <w:rsid w:val="003F54D8"/>
    <w:rsid w:val="003F76C2"/>
    <w:rsid w:val="003F77D9"/>
    <w:rsid w:val="003F78FB"/>
    <w:rsid w:val="003F7D61"/>
    <w:rsid w:val="003F7FD6"/>
    <w:rsid w:val="00401670"/>
    <w:rsid w:val="004030E1"/>
    <w:rsid w:val="0040451B"/>
    <w:rsid w:val="0040455C"/>
    <w:rsid w:val="00404C1C"/>
    <w:rsid w:val="004059FE"/>
    <w:rsid w:val="004067EA"/>
    <w:rsid w:val="0040720F"/>
    <w:rsid w:val="004117A7"/>
    <w:rsid w:val="00411942"/>
    <w:rsid w:val="00411A30"/>
    <w:rsid w:val="00411F39"/>
    <w:rsid w:val="00412C62"/>
    <w:rsid w:val="0041360E"/>
    <w:rsid w:val="00414151"/>
    <w:rsid w:val="0041454B"/>
    <w:rsid w:val="00414943"/>
    <w:rsid w:val="00415B9F"/>
    <w:rsid w:val="00416CE4"/>
    <w:rsid w:val="00416DEA"/>
    <w:rsid w:val="00416EE3"/>
    <w:rsid w:val="00420331"/>
    <w:rsid w:val="00420CE6"/>
    <w:rsid w:val="00420E36"/>
    <w:rsid w:val="0042214C"/>
    <w:rsid w:val="004234B3"/>
    <w:rsid w:val="00423E2D"/>
    <w:rsid w:val="0042414B"/>
    <w:rsid w:val="00424A87"/>
    <w:rsid w:val="00424C66"/>
    <w:rsid w:val="004254AC"/>
    <w:rsid w:val="00425777"/>
    <w:rsid w:val="00426AB8"/>
    <w:rsid w:val="00426DE2"/>
    <w:rsid w:val="004276C6"/>
    <w:rsid w:val="0043014C"/>
    <w:rsid w:val="00430511"/>
    <w:rsid w:val="00430618"/>
    <w:rsid w:val="00431C9D"/>
    <w:rsid w:val="0043209F"/>
    <w:rsid w:val="0043488B"/>
    <w:rsid w:val="004357D6"/>
    <w:rsid w:val="00435B26"/>
    <w:rsid w:val="00435D3A"/>
    <w:rsid w:val="00435EF6"/>
    <w:rsid w:val="00436320"/>
    <w:rsid w:val="0043680D"/>
    <w:rsid w:val="0043755C"/>
    <w:rsid w:val="00437DBF"/>
    <w:rsid w:val="004404FA"/>
    <w:rsid w:val="0044194E"/>
    <w:rsid w:val="00442E92"/>
    <w:rsid w:val="00442F79"/>
    <w:rsid w:val="00443731"/>
    <w:rsid w:val="00443F8B"/>
    <w:rsid w:val="00444665"/>
    <w:rsid w:val="004446B2"/>
    <w:rsid w:val="00444F03"/>
    <w:rsid w:val="00445981"/>
    <w:rsid w:val="004463CE"/>
    <w:rsid w:val="004473CC"/>
    <w:rsid w:val="004509A5"/>
    <w:rsid w:val="00450BC2"/>
    <w:rsid w:val="00451107"/>
    <w:rsid w:val="004514E8"/>
    <w:rsid w:val="0045152D"/>
    <w:rsid w:val="004518C9"/>
    <w:rsid w:val="004520E5"/>
    <w:rsid w:val="004524C8"/>
    <w:rsid w:val="00453064"/>
    <w:rsid w:val="004531AF"/>
    <w:rsid w:val="00453475"/>
    <w:rsid w:val="0045415D"/>
    <w:rsid w:val="00454431"/>
    <w:rsid w:val="0045497F"/>
    <w:rsid w:val="004555B7"/>
    <w:rsid w:val="00455831"/>
    <w:rsid w:val="00455A74"/>
    <w:rsid w:val="00455D65"/>
    <w:rsid w:val="00456AA1"/>
    <w:rsid w:val="00457946"/>
    <w:rsid w:val="004600C8"/>
    <w:rsid w:val="0046019D"/>
    <w:rsid w:val="00460C2F"/>
    <w:rsid w:val="00462B32"/>
    <w:rsid w:val="00462BBE"/>
    <w:rsid w:val="0046421E"/>
    <w:rsid w:val="00465658"/>
    <w:rsid w:val="0046589A"/>
    <w:rsid w:val="0046662A"/>
    <w:rsid w:val="004700E7"/>
    <w:rsid w:val="004713D9"/>
    <w:rsid w:val="00471AB2"/>
    <w:rsid w:val="00472722"/>
    <w:rsid w:val="00472D4E"/>
    <w:rsid w:val="00473774"/>
    <w:rsid w:val="00473A76"/>
    <w:rsid w:val="00473BA5"/>
    <w:rsid w:val="00473BBB"/>
    <w:rsid w:val="0047418B"/>
    <w:rsid w:val="0047725B"/>
    <w:rsid w:val="004777DB"/>
    <w:rsid w:val="004779C4"/>
    <w:rsid w:val="004803E5"/>
    <w:rsid w:val="00480581"/>
    <w:rsid w:val="00482825"/>
    <w:rsid w:val="00482BC7"/>
    <w:rsid w:val="00482EA9"/>
    <w:rsid w:val="00483E71"/>
    <w:rsid w:val="00484F1B"/>
    <w:rsid w:val="004852D0"/>
    <w:rsid w:val="00485E1A"/>
    <w:rsid w:val="00486669"/>
    <w:rsid w:val="00486C05"/>
    <w:rsid w:val="0048781C"/>
    <w:rsid w:val="00487C42"/>
    <w:rsid w:val="004907FB"/>
    <w:rsid w:val="004916A3"/>
    <w:rsid w:val="00491A7A"/>
    <w:rsid w:val="00491CC1"/>
    <w:rsid w:val="004924CF"/>
    <w:rsid w:val="004926D1"/>
    <w:rsid w:val="0049299C"/>
    <w:rsid w:val="0049301E"/>
    <w:rsid w:val="0049373A"/>
    <w:rsid w:val="0049399F"/>
    <w:rsid w:val="00494A7A"/>
    <w:rsid w:val="004958B1"/>
    <w:rsid w:val="00495A6D"/>
    <w:rsid w:val="00496468"/>
    <w:rsid w:val="00496E7B"/>
    <w:rsid w:val="00497120"/>
    <w:rsid w:val="00497226"/>
    <w:rsid w:val="004979FC"/>
    <w:rsid w:val="00497CAC"/>
    <w:rsid w:val="00497EFA"/>
    <w:rsid w:val="004A07B9"/>
    <w:rsid w:val="004A201E"/>
    <w:rsid w:val="004A20B9"/>
    <w:rsid w:val="004A2237"/>
    <w:rsid w:val="004A2EC2"/>
    <w:rsid w:val="004A373D"/>
    <w:rsid w:val="004A3D57"/>
    <w:rsid w:val="004A4424"/>
    <w:rsid w:val="004A4A8C"/>
    <w:rsid w:val="004A5342"/>
    <w:rsid w:val="004A5B6C"/>
    <w:rsid w:val="004A77DE"/>
    <w:rsid w:val="004B0407"/>
    <w:rsid w:val="004B13CF"/>
    <w:rsid w:val="004B190B"/>
    <w:rsid w:val="004B2B1F"/>
    <w:rsid w:val="004B34CB"/>
    <w:rsid w:val="004B378D"/>
    <w:rsid w:val="004B37DC"/>
    <w:rsid w:val="004B4077"/>
    <w:rsid w:val="004B5619"/>
    <w:rsid w:val="004B5EE9"/>
    <w:rsid w:val="004B609F"/>
    <w:rsid w:val="004B6806"/>
    <w:rsid w:val="004B684E"/>
    <w:rsid w:val="004B6C1C"/>
    <w:rsid w:val="004B6D81"/>
    <w:rsid w:val="004B7305"/>
    <w:rsid w:val="004B7C90"/>
    <w:rsid w:val="004C0707"/>
    <w:rsid w:val="004C093A"/>
    <w:rsid w:val="004C0DA4"/>
    <w:rsid w:val="004C0F05"/>
    <w:rsid w:val="004C144D"/>
    <w:rsid w:val="004C1639"/>
    <w:rsid w:val="004C1929"/>
    <w:rsid w:val="004C215B"/>
    <w:rsid w:val="004C254E"/>
    <w:rsid w:val="004C27E4"/>
    <w:rsid w:val="004C2AD6"/>
    <w:rsid w:val="004C464E"/>
    <w:rsid w:val="004C4E34"/>
    <w:rsid w:val="004C5BFA"/>
    <w:rsid w:val="004C5EB3"/>
    <w:rsid w:val="004C6D30"/>
    <w:rsid w:val="004C75BE"/>
    <w:rsid w:val="004D21B2"/>
    <w:rsid w:val="004D2775"/>
    <w:rsid w:val="004D2782"/>
    <w:rsid w:val="004D3481"/>
    <w:rsid w:val="004D379F"/>
    <w:rsid w:val="004D3DA3"/>
    <w:rsid w:val="004D5C82"/>
    <w:rsid w:val="004D5F96"/>
    <w:rsid w:val="004D72F5"/>
    <w:rsid w:val="004E06A0"/>
    <w:rsid w:val="004E071F"/>
    <w:rsid w:val="004E0C93"/>
    <w:rsid w:val="004E106F"/>
    <w:rsid w:val="004E1098"/>
    <w:rsid w:val="004E220E"/>
    <w:rsid w:val="004E2ECF"/>
    <w:rsid w:val="004E3D58"/>
    <w:rsid w:val="004E431B"/>
    <w:rsid w:val="004E46B2"/>
    <w:rsid w:val="004E4E2C"/>
    <w:rsid w:val="004E5293"/>
    <w:rsid w:val="004E5A83"/>
    <w:rsid w:val="004F08B1"/>
    <w:rsid w:val="004F0B18"/>
    <w:rsid w:val="004F1F47"/>
    <w:rsid w:val="004F26FB"/>
    <w:rsid w:val="004F31BC"/>
    <w:rsid w:val="004F32A2"/>
    <w:rsid w:val="004F4215"/>
    <w:rsid w:val="004F4373"/>
    <w:rsid w:val="004F484A"/>
    <w:rsid w:val="004F4C12"/>
    <w:rsid w:val="004F4C9F"/>
    <w:rsid w:val="004F51D5"/>
    <w:rsid w:val="004F625C"/>
    <w:rsid w:val="005014FB"/>
    <w:rsid w:val="00501697"/>
    <w:rsid w:val="005017E8"/>
    <w:rsid w:val="00502169"/>
    <w:rsid w:val="005023AA"/>
    <w:rsid w:val="00502A21"/>
    <w:rsid w:val="00505E91"/>
    <w:rsid w:val="0050643B"/>
    <w:rsid w:val="00506987"/>
    <w:rsid w:val="00507B51"/>
    <w:rsid w:val="00510AD1"/>
    <w:rsid w:val="00511B57"/>
    <w:rsid w:val="00511CB7"/>
    <w:rsid w:val="00512150"/>
    <w:rsid w:val="005130CF"/>
    <w:rsid w:val="00513178"/>
    <w:rsid w:val="00513BBF"/>
    <w:rsid w:val="00513C6B"/>
    <w:rsid w:val="00514288"/>
    <w:rsid w:val="00515A38"/>
    <w:rsid w:val="00515E45"/>
    <w:rsid w:val="00517BE2"/>
    <w:rsid w:val="00517F75"/>
    <w:rsid w:val="005214E1"/>
    <w:rsid w:val="00523C46"/>
    <w:rsid w:val="0052406C"/>
    <w:rsid w:val="0052435D"/>
    <w:rsid w:val="00524822"/>
    <w:rsid w:val="00524B00"/>
    <w:rsid w:val="00524D4D"/>
    <w:rsid w:val="005258CF"/>
    <w:rsid w:val="005279B5"/>
    <w:rsid w:val="005306E5"/>
    <w:rsid w:val="00532167"/>
    <w:rsid w:val="00532643"/>
    <w:rsid w:val="00532A06"/>
    <w:rsid w:val="00532F9A"/>
    <w:rsid w:val="00533059"/>
    <w:rsid w:val="005330C2"/>
    <w:rsid w:val="00533185"/>
    <w:rsid w:val="0053425E"/>
    <w:rsid w:val="0053470D"/>
    <w:rsid w:val="00534BC8"/>
    <w:rsid w:val="00534EEE"/>
    <w:rsid w:val="00535082"/>
    <w:rsid w:val="0053517D"/>
    <w:rsid w:val="005369E6"/>
    <w:rsid w:val="00536CC3"/>
    <w:rsid w:val="00537A0A"/>
    <w:rsid w:val="00537A91"/>
    <w:rsid w:val="00540273"/>
    <w:rsid w:val="00540434"/>
    <w:rsid w:val="005406BE"/>
    <w:rsid w:val="00540992"/>
    <w:rsid w:val="00542BAF"/>
    <w:rsid w:val="00542E65"/>
    <w:rsid w:val="00542EBE"/>
    <w:rsid w:val="005437C9"/>
    <w:rsid w:val="00543906"/>
    <w:rsid w:val="00543D59"/>
    <w:rsid w:val="00545186"/>
    <w:rsid w:val="005451FA"/>
    <w:rsid w:val="0054799D"/>
    <w:rsid w:val="00550417"/>
    <w:rsid w:val="00550AD2"/>
    <w:rsid w:val="00550C75"/>
    <w:rsid w:val="00550D58"/>
    <w:rsid w:val="00551592"/>
    <w:rsid w:val="005527D0"/>
    <w:rsid w:val="00553871"/>
    <w:rsid w:val="00553F22"/>
    <w:rsid w:val="00553F66"/>
    <w:rsid w:val="00554E75"/>
    <w:rsid w:val="00554F14"/>
    <w:rsid w:val="00555326"/>
    <w:rsid w:val="005553CD"/>
    <w:rsid w:val="00555BAA"/>
    <w:rsid w:val="005561EC"/>
    <w:rsid w:val="005579D6"/>
    <w:rsid w:val="005600CE"/>
    <w:rsid w:val="00560BC6"/>
    <w:rsid w:val="0056186E"/>
    <w:rsid w:val="0056196B"/>
    <w:rsid w:val="00562CA8"/>
    <w:rsid w:val="00563CA8"/>
    <w:rsid w:val="005641F8"/>
    <w:rsid w:val="0056451B"/>
    <w:rsid w:val="00564F47"/>
    <w:rsid w:val="005654B8"/>
    <w:rsid w:val="00565E58"/>
    <w:rsid w:val="00566CA2"/>
    <w:rsid w:val="0056703E"/>
    <w:rsid w:val="00567280"/>
    <w:rsid w:val="005702B3"/>
    <w:rsid w:val="00570ACB"/>
    <w:rsid w:val="00570B45"/>
    <w:rsid w:val="00570CC9"/>
    <w:rsid w:val="0057161C"/>
    <w:rsid w:val="00571C5A"/>
    <w:rsid w:val="005720B2"/>
    <w:rsid w:val="005731FA"/>
    <w:rsid w:val="00573332"/>
    <w:rsid w:val="005743AF"/>
    <w:rsid w:val="0057456C"/>
    <w:rsid w:val="00574CE7"/>
    <w:rsid w:val="00575809"/>
    <w:rsid w:val="00575EA4"/>
    <w:rsid w:val="00575F2C"/>
    <w:rsid w:val="00576B9C"/>
    <w:rsid w:val="00576BCF"/>
    <w:rsid w:val="00576F31"/>
    <w:rsid w:val="005807BB"/>
    <w:rsid w:val="005822E6"/>
    <w:rsid w:val="00582F4D"/>
    <w:rsid w:val="0058376D"/>
    <w:rsid w:val="00584051"/>
    <w:rsid w:val="0058427C"/>
    <w:rsid w:val="00584EDA"/>
    <w:rsid w:val="005860C0"/>
    <w:rsid w:val="0058617F"/>
    <w:rsid w:val="00586389"/>
    <w:rsid w:val="005866A3"/>
    <w:rsid w:val="005868CE"/>
    <w:rsid w:val="00587269"/>
    <w:rsid w:val="00587B68"/>
    <w:rsid w:val="00587CA3"/>
    <w:rsid w:val="00590EE9"/>
    <w:rsid w:val="00591009"/>
    <w:rsid w:val="005911F5"/>
    <w:rsid w:val="005918CD"/>
    <w:rsid w:val="00591E12"/>
    <w:rsid w:val="00592032"/>
    <w:rsid w:val="00592297"/>
    <w:rsid w:val="005923FE"/>
    <w:rsid w:val="005924A9"/>
    <w:rsid w:val="0059286A"/>
    <w:rsid w:val="00592B16"/>
    <w:rsid w:val="00592DAE"/>
    <w:rsid w:val="005934CA"/>
    <w:rsid w:val="0059360F"/>
    <w:rsid w:val="00593B68"/>
    <w:rsid w:val="00593DF6"/>
    <w:rsid w:val="00594E07"/>
    <w:rsid w:val="00594E14"/>
    <w:rsid w:val="00595D61"/>
    <w:rsid w:val="00596CF6"/>
    <w:rsid w:val="00597057"/>
    <w:rsid w:val="00597148"/>
    <w:rsid w:val="0059723C"/>
    <w:rsid w:val="005973F3"/>
    <w:rsid w:val="0059772B"/>
    <w:rsid w:val="00597754"/>
    <w:rsid w:val="005979BA"/>
    <w:rsid w:val="00597A82"/>
    <w:rsid w:val="00597E0E"/>
    <w:rsid w:val="005A003B"/>
    <w:rsid w:val="005A1D5A"/>
    <w:rsid w:val="005A28B0"/>
    <w:rsid w:val="005A2EB5"/>
    <w:rsid w:val="005A2F89"/>
    <w:rsid w:val="005A368A"/>
    <w:rsid w:val="005A398C"/>
    <w:rsid w:val="005A3B70"/>
    <w:rsid w:val="005A3FD8"/>
    <w:rsid w:val="005A4B44"/>
    <w:rsid w:val="005A4E23"/>
    <w:rsid w:val="005A69F0"/>
    <w:rsid w:val="005A7CEA"/>
    <w:rsid w:val="005B0ED4"/>
    <w:rsid w:val="005B20E6"/>
    <w:rsid w:val="005B2335"/>
    <w:rsid w:val="005B2CEE"/>
    <w:rsid w:val="005B568D"/>
    <w:rsid w:val="005B6AB3"/>
    <w:rsid w:val="005B713C"/>
    <w:rsid w:val="005B77D0"/>
    <w:rsid w:val="005B7AE3"/>
    <w:rsid w:val="005B7CC7"/>
    <w:rsid w:val="005C06FF"/>
    <w:rsid w:val="005C090D"/>
    <w:rsid w:val="005C0BA6"/>
    <w:rsid w:val="005C140C"/>
    <w:rsid w:val="005C1BD9"/>
    <w:rsid w:val="005C1FFD"/>
    <w:rsid w:val="005C2D74"/>
    <w:rsid w:val="005C3310"/>
    <w:rsid w:val="005C36BB"/>
    <w:rsid w:val="005C36C2"/>
    <w:rsid w:val="005C4BD3"/>
    <w:rsid w:val="005C5B33"/>
    <w:rsid w:val="005C78AD"/>
    <w:rsid w:val="005C78CD"/>
    <w:rsid w:val="005D0171"/>
    <w:rsid w:val="005D05C4"/>
    <w:rsid w:val="005D0B27"/>
    <w:rsid w:val="005D0F2A"/>
    <w:rsid w:val="005D144C"/>
    <w:rsid w:val="005D20BD"/>
    <w:rsid w:val="005D30D3"/>
    <w:rsid w:val="005D33B9"/>
    <w:rsid w:val="005D3E49"/>
    <w:rsid w:val="005D517E"/>
    <w:rsid w:val="005D51AC"/>
    <w:rsid w:val="005D5220"/>
    <w:rsid w:val="005D5853"/>
    <w:rsid w:val="005D68F9"/>
    <w:rsid w:val="005D6E16"/>
    <w:rsid w:val="005D744E"/>
    <w:rsid w:val="005D79A4"/>
    <w:rsid w:val="005E00D6"/>
    <w:rsid w:val="005E0104"/>
    <w:rsid w:val="005E03E6"/>
    <w:rsid w:val="005E06A4"/>
    <w:rsid w:val="005E1229"/>
    <w:rsid w:val="005E152C"/>
    <w:rsid w:val="005E1ECB"/>
    <w:rsid w:val="005E21CB"/>
    <w:rsid w:val="005E297E"/>
    <w:rsid w:val="005E29B8"/>
    <w:rsid w:val="005E3D7B"/>
    <w:rsid w:val="005E45EA"/>
    <w:rsid w:val="005E5849"/>
    <w:rsid w:val="005E6809"/>
    <w:rsid w:val="005E6BF7"/>
    <w:rsid w:val="005E71AF"/>
    <w:rsid w:val="005E7FD1"/>
    <w:rsid w:val="005F1C3C"/>
    <w:rsid w:val="005F3C63"/>
    <w:rsid w:val="005F3FA6"/>
    <w:rsid w:val="005F404C"/>
    <w:rsid w:val="005F41D6"/>
    <w:rsid w:val="005F575D"/>
    <w:rsid w:val="005F6710"/>
    <w:rsid w:val="005F6F40"/>
    <w:rsid w:val="005F6F9D"/>
    <w:rsid w:val="005F7157"/>
    <w:rsid w:val="006006B1"/>
    <w:rsid w:val="00600A04"/>
    <w:rsid w:val="00601C15"/>
    <w:rsid w:val="00602842"/>
    <w:rsid w:val="00602ECA"/>
    <w:rsid w:val="006032C2"/>
    <w:rsid w:val="006053F2"/>
    <w:rsid w:val="006056E6"/>
    <w:rsid w:val="00605F40"/>
    <w:rsid w:val="00606C51"/>
    <w:rsid w:val="00606E89"/>
    <w:rsid w:val="006100E7"/>
    <w:rsid w:val="006108D4"/>
    <w:rsid w:val="00610D1E"/>
    <w:rsid w:val="00612350"/>
    <w:rsid w:val="006126A6"/>
    <w:rsid w:val="006137D0"/>
    <w:rsid w:val="00613AD3"/>
    <w:rsid w:val="00613BEF"/>
    <w:rsid w:val="006148C7"/>
    <w:rsid w:val="006153F0"/>
    <w:rsid w:val="00615745"/>
    <w:rsid w:val="00615780"/>
    <w:rsid w:val="00615B8F"/>
    <w:rsid w:val="00616B57"/>
    <w:rsid w:val="006178B8"/>
    <w:rsid w:val="00617B5D"/>
    <w:rsid w:val="006207F4"/>
    <w:rsid w:val="00621696"/>
    <w:rsid w:val="00622478"/>
    <w:rsid w:val="006225BF"/>
    <w:rsid w:val="00622783"/>
    <w:rsid w:val="00622824"/>
    <w:rsid w:val="00622A4A"/>
    <w:rsid w:val="00622B9F"/>
    <w:rsid w:val="0062345E"/>
    <w:rsid w:val="006235B2"/>
    <w:rsid w:val="00624D74"/>
    <w:rsid w:val="006253F3"/>
    <w:rsid w:val="00625A9B"/>
    <w:rsid w:val="00625C41"/>
    <w:rsid w:val="006266C0"/>
    <w:rsid w:val="00627F01"/>
    <w:rsid w:val="006301A3"/>
    <w:rsid w:val="0063084E"/>
    <w:rsid w:val="0063189C"/>
    <w:rsid w:val="00634A06"/>
    <w:rsid w:val="00635636"/>
    <w:rsid w:val="00635D59"/>
    <w:rsid w:val="006361C2"/>
    <w:rsid w:val="00636659"/>
    <w:rsid w:val="00636ACF"/>
    <w:rsid w:val="00636F3C"/>
    <w:rsid w:val="00637185"/>
    <w:rsid w:val="006372F9"/>
    <w:rsid w:val="00637E93"/>
    <w:rsid w:val="0064003C"/>
    <w:rsid w:val="00640E12"/>
    <w:rsid w:val="00640F48"/>
    <w:rsid w:val="0064111F"/>
    <w:rsid w:val="006420A9"/>
    <w:rsid w:val="00642B77"/>
    <w:rsid w:val="00642C23"/>
    <w:rsid w:val="00644D5B"/>
    <w:rsid w:val="00644DD5"/>
    <w:rsid w:val="00645900"/>
    <w:rsid w:val="006459DF"/>
    <w:rsid w:val="006460BC"/>
    <w:rsid w:val="0064617F"/>
    <w:rsid w:val="0064729C"/>
    <w:rsid w:val="006474F0"/>
    <w:rsid w:val="006511D1"/>
    <w:rsid w:val="0065190A"/>
    <w:rsid w:val="00651F60"/>
    <w:rsid w:val="00652A1E"/>
    <w:rsid w:val="00652FD7"/>
    <w:rsid w:val="00653546"/>
    <w:rsid w:val="00653817"/>
    <w:rsid w:val="00653892"/>
    <w:rsid w:val="00654EEE"/>
    <w:rsid w:val="00655EB5"/>
    <w:rsid w:val="00657887"/>
    <w:rsid w:val="0066049B"/>
    <w:rsid w:val="0066078D"/>
    <w:rsid w:val="00660B97"/>
    <w:rsid w:val="00663A8D"/>
    <w:rsid w:val="00664608"/>
    <w:rsid w:val="00664932"/>
    <w:rsid w:val="00664F2D"/>
    <w:rsid w:val="006654FC"/>
    <w:rsid w:val="00666D27"/>
    <w:rsid w:val="00667BF6"/>
    <w:rsid w:val="00667F22"/>
    <w:rsid w:val="0067066A"/>
    <w:rsid w:val="00670E56"/>
    <w:rsid w:val="006711E7"/>
    <w:rsid w:val="006712A4"/>
    <w:rsid w:val="00671366"/>
    <w:rsid w:val="006719C7"/>
    <w:rsid w:val="00671FF5"/>
    <w:rsid w:val="00672107"/>
    <w:rsid w:val="006726B4"/>
    <w:rsid w:val="00672800"/>
    <w:rsid w:val="00672B0E"/>
    <w:rsid w:val="006761C5"/>
    <w:rsid w:val="00676912"/>
    <w:rsid w:val="00677A01"/>
    <w:rsid w:val="006820D6"/>
    <w:rsid w:val="006828B7"/>
    <w:rsid w:val="00682C52"/>
    <w:rsid w:val="006869CC"/>
    <w:rsid w:val="00687AF1"/>
    <w:rsid w:val="00687B2D"/>
    <w:rsid w:val="00690892"/>
    <w:rsid w:val="00690CF1"/>
    <w:rsid w:val="00690DCC"/>
    <w:rsid w:val="00691BC8"/>
    <w:rsid w:val="006923D9"/>
    <w:rsid w:val="006926DE"/>
    <w:rsid w:val="00692D89"/>
    <w:rsid w:val="00692F61"/>
    <w:rsid w:val="00693AAD"/>
    <w:rsid w:val="00693BA5"/>
    <w:rsid w:val="00694829"/>
    <w:rsid w:val="00694B06"/>
    <w:rsid w:val="0069553E"/>
    <w:rsid w:val="00695689"/>
    <w:rsid w:val="0069637C"/>
    <w:rsid w:val="006A125C"/>
    <w:rsid w:val="006A1400"/>
    <w:rsid w:val="006A141B"/>
    <w:rsid w:val="006A1D83"/>
    <w:rsid w:val="006A1FF2"/>
    <w:rsid w:val="006A277E"/>
    <w:rsid w:val="006A3840"/>
    <w:rsid w:val="006A5689"/>
    <w:rsid w:val="006A6176"/>
    <w:rsid w:val="006A61B9"/>
    <w:rsid w:val="006A6531"/>
    <w:rsid w:val="006A6745"/>
    <w:rsid w:val="006A6A3A"/>
    <w:rsid w:val="006A7002"/>
    <w:rsid w:val="006B019D"/>
    <w:rsid w:val="006B4359"/>
    <w:rsid w:val="006B5635"/>
    <w:rsid w:val="006B6057"/>
    <w:rsid w:val="006B7334"/>
    <w:rsid w:val="006C156B"/>
    <w:rsid w:val="006C19F7"/>
    <w:rsid w:val="006C24E3"/>
    <w:rsid w:val="006C32AB"/>
    <w:rsid w:val="006C59A6"/>
    <w:rsid w:val="006C5BF8"/>
    <w:rsid w:val="006C759A"/>
    <w:rsid w:val="006D021B"/>
    <w:rsid w:val="006D0432"/>
    <w:rsid w:val="006D05CD"/>
    <w:rsid w:val="006D0A93"/>
    <w:rsid w:val="006D0FA0"/>
    <w:rsid w:val="006D1028"/>
    <w:rsid w:val="006D109A"/>
    <w:rsid w:val="006D28F6"/>
    <w:rsid w:val="006D3276"/>
    <w:rsid w:val="006D3B66"/>
    <w:rsid w:val="006D4791"/>
    <w:rsid w:val="006D547A"/>
    <w:rsid w:val="006D55EB"/>
    <w:rsid w:val="006D5667"/>
    <w:rsid w:val="006D5DD0"/>
    <w:rsid w:val="006D705A"/>
    <w:rsid w:val="006E02AA"/>
    <w:rsid w:val="006E098F"/>
    <w:rsid w:val="006E11FC"/>
    <w:rsid w:val="006E171E"/>
    <w:rsid w:val="006E2165"/>
    <w:rsid w:val="006E22EB"/>
    <w:rsid w:val="006E247A"/>
    <w:rsid w:val="006E2EA4"/>
    <w:rsid w:val="006E3040"/>
    <w:rsid w:val="006E31B9"/>
    <w:rsid w:val="006E323B"/>
    <w:rsid w:val="006E3C71"/>
    <w:rsid w:val="006E478E"/>
    <w:rsid w:val="006E7132"/>
    <w:rsid w:val="006E74BA"/>
    <w:rsid w:val="006E77DA"/>
    <w:rsid w:val="006E7A7F"/>
    <w:rsid w:val="006E7A98"/>
    <w:rsid w:val="006F11C3"/>
    <w:rsid w:val="006F1B43"/>
    <w:rsid w:val="006F25AB"/>
    <w:rsid w:val="006F2A29"/>
    <w:rsid w:val="006F395C"/>
    <w:rsid w:val="006F3C31"/>
    <w:rsid w:val="006F3C3E"/>
    <w:rsid w:val="006F3F25"/>
    <w:rsid w:val="006F3F6F"/>
    <w:rsid w:val="006F419A"/>
    <w:rsid w:val="006F472D"/>
    <w:rsid w:val="006F47B9"/>
    <w:rsid w:val="006F47ED"/>
    <w:rsid w:val="006F5070"/>
    <w:rsid w:val="006F5464"/>
    <w:rsid w:val="006F5A51"/>
    <w:rsid w:val="006F5E1E"/>
    <w:rsid w:val="006F5FCB"/>
    <w:rsid w:val="006F62BB"/>
    <w:rsid w:val="006F7F68"/>
    <w:rsid w:val="00701654"/>
    <w:rsid w:val="00701D35"/>
    <w:rsid w:val="007020FB"/>
    <w:rsid w:val="007023CD"/>
    <w:rsid w:val="00702574"/>
    <w:rsid w:val="00703206"/>
    <w:rsid w:val="00703B8F"/>
    <w:rsid w:val="00705820"/>
    <w:rsid w:val="00705CC9"/>
    <w:rsid w:val="00707D26"/>
    <w:rsid w:val="00710B35"/>
    <w:rsid w:val="00716003"/>
    <w:rsid w:val="00716380"/>
    <w:rsid w:val="00716F4A"/>
    <w:rsid w:val="00720DE2"/>
    <w:rsid w:val="007216D3"/>
    <w:rsid w:val="00721BD9"/>
    <w:rsid w:val="00722E29"/>
    <w:rsid w:val="00723BFC"/>
    <w:rsid w:val="00723C5F"/>
    <w:rsid w:val="00723E19"/>
    <w:rsid w:val="00723E36"/>
    <w:rsid w:val="00723EE7"/>
    <w:rsid w:val="00724992"/>
    <w:rsid w:val="00724DDC"/>
    <w:rsid w:val="0072504B"/>
    <w:rsid w:val="0072585D"/>
    <w:rsid w:val="007259F3"/>
    <w:rsid w:val="00726FAC"/>
    <w:rsid w:val="00727239"/>
    <w:rsid w:val="0072744E"/>
    <w:rsid w:val="007274F0"/>
    <w:rsid w:val="00727D8D"/>
    <w:rsid w:val="00730390"/>
    <w:rsid w:val="0073083B"/>
    <w:rsid w:val="00730931"/>
    <w:rsid w:val="007309BB"/>
    <w:rsid w:val="007310F2"/>
    <w:rsid w:val="00731C08"/>
    <w:rsid w:val="0073239D"/>
    <w:rsid w:val="00732811"/>
    <w:rsid w:val="00732D89"/>
    <w:rsid w:val="007330D3"/>
    <w:rsid w:val="00733E5C"/>
    <w:rsid w:val="00734DA7"/>
    <w:rsid w:val="0073649A"/>
    <w:rsid w:val="00736A33"/>
    <w:rsid w:val="0073728D"/>
    <w:rsid w:val="00737658"/>
    <w:rsid w:val="00737920"/>
    <w:rsid w:val="00737C83"/>
    <w:rsid w:val="00740DE5"/>
    <w:rsid w:val="00741536"/>
    <w:rsid w:val="007419A3"/>
    <w:rsid w:val="00741EC8"/>
    <w:rsid w:val="00742CD3"/>
    <w:rsid w:val="00742FE4"/>
    <w:rsid w:val="00743330"/>
    <w:rsid w:val="00743BA2"/>
    <w:rsid w:val="007461DD"/>
    <w:rsid w:val="00746907"/>
    <w:rsid w:val="00747A52"/>
    <w:rsid w:val="00750D78"/>
    <w:rsid w:val="00750E3D"/>
    <w:rsid w:val="00751908"/>
    <w:rsid w:val="00752157"/>
    <w:rsid w:val="0075359E"/>
    <w:rsid w:val="0075586B"/>
    <w:rsid w:val="00756708"/>
    <w:rsid w:val="00756B83"/>
    <w:rsid w:val="00757513"/>
    <w:rsid w:val="007576C4"/>
    <w:rsid w:val="00760427"/>
    <w:rsid w:val="00761560"/>
    <w:rsid w:val="00762CB2"/>
    <w:rsid w:val="007635BA"/>
    <w:rsid w:val="00763C96"/>
    <w:rsid w:val="00763F65"/>
    <w:rsid w:val="00764631"/>
    <w:rsid w:val="00764D6B"/>
    <w:rsid w:val="00765A90"/>
    <w:rsid w:val="00765B7D"/>
    <w:rsid w:val="00765B8F"/>
    <w:rsid w:val="007661BB"/>
    <w:rsid w:val="0076650C"/>
    <w:rsid w:val="00766B9D"/>
    <w:rsid w:val="00767AE9"/>
    <w:rsid w:val="00767B52"/>
    <w:rsid w:val="00771490"/>
    <w:rsid w:val="00771536"/>
    <w:rsid w:val="00771B4C"/>
    <w:rsid w:val="00771B69"/>
    <w:rsid w:val="00771C6F"/>
    <w:rsid w:val="00771FE2"/>
    <w:rsid w:val="0077314D"/>
    <w:rsid w:val="00773644"/>
    <w:rsid w:val="00773C1C"/>
    <w:rsid w:val="00774B3E"/>
    <w:rsid w:val="0077534C"/>
    <w:rsid w:val="007758F0"/>
    <w:rsid w:val="00777569"/>
    <w:rsid w:val="007813A8"/>
    <w:rsid w:val="00782BF0"/>
    <w:rsid w:val="007831EF"/>
    <w:rsid w:val="00783AEF"/>
    <w:rsid w:val="00783DA7"/>
    <w:rsid w:val="00784BEF"/>
    <w:rsid w:val="00785A4E"/>
    <w:rsid w:val="00785EA8"/>
    <w:rsid w:val="00786352"/>
    <w:rsid w:val="00786856"/>
    <w:rsid w:val="00786E41"/>
    <w:rsid w:val="00787B77"/>
    <w:rsid w:val="007905DC"/>
    <w:rsid w:val="007911F0"/>
    <w:rsid w:val="00791C90"/>
    <w:rsid w:val="00791D9F"/>
    <w:rsid w:val="007922AA"/>
    <w:rsid w:val="00792E62"/>
    <w:rsid w:val="00793804"/>
    <w:rsid w:val="00794A4B"/>
    <w:rsid w:val="007951CA"/>
    <w:rsid w:val="00795395"/>
    <w:rsid w:val="00795A73"/>
    <w:rsid w:val="00795C9A"/>
    <w:rsid w:val="00796559"/>
    <w:rsid w:val="007A18D2"/>
    <w:rsid w:val="007A1EC6"/>
    <w:rsid w:val="007A200F"/>
    <w:rsid w:val="007A268C"/>
    <w:rsid w:val="007A2DA2"/>
    <w:rsid w:val="007A3087"/>
    <w:rsid w:val="007A3306"/>
    <w:rsid w:val="007A4916"/>
    <w:rsid w:val="007A60B7"/>
    <w:rsid w:val="007A6824"/>
    <w:rsid w:val="007A6996"/>
    <w:rsid w:val="007A6FF0"/>
    <w:rsid w:val="007B24BD"/>
    <w:rsid w:val="007B28C1"/>
    <w:rsid w:val="007B2DC4"/>
    <w:rsid w:val="007B3561"/>
    <w:rsid w:val="007B46E4"/>
    <w:rsid w:val="007B525F"/>
    <w:rsid w:val="007B5F1F"/>
    <w:rsid w:val="007B6D47"/>
    <w:rsid w:val="007B72E6"/>
    <w:rsid w:val="007B742D"/>
    <w:rsid w:val="007C1FDA"/>
    <w:rsid w:val="007C20A1"/>
    <w:rsid w:val="007C24A5"/>
    <w:rsid w:val="007C2B57"/>
    <w:rsid w:val="007C3B21"/>
    <w:rsid w:val="007C492D"/>
    <w:rsid w:val="007C5517"/>
    <w:rsid w:val="007C603A"/>
    <w:rsid w:val="007C615B"/>
    <w:rsid w:val="007C63F4"/>
    <w:rsid w:val="007C76BD"/>
    <w:rsid w:val="007C7848"/>
    <w:rsid w:val="007C7DC3"/>
    <w:rsid w:val="007C7E04"/>
    <w:rsid w:val="007D012C"/>
    <w:rsid w:val="007D0745"/>
    <w:rsid w:val="007D1245"/>
    <w:rsid w:val="007D13C6"/>
    <w:rsid w:val="007D348D"/>
    <w:rsid w:val="007D3841"/>
    <w:rsid w:val="007D41B8"/>
    <w:rsid w:val="007D4B38"/>
    <w:rsid w:val="007D53EB"/>
    <w:rsid w:val="007D555E"/>
    <w:rsid w:val="007D63FA"/>
    <w:rsid w:val="007D68F7"/>
    <w:rsid w:val="007D766A"/>
    <w:rsid w:val="007D77C1"/>
    <w:rsid w:val="007D7D3C"/>
    <w:rsid w:val="007D7FDD"/>
    <w:rsid w:val="007E0604"/>
    <w:rsid w:val="007E0CE2"/>
    <w:rsid w:val="007E0D8B"/>
    <w:rsid w:val="007E15AA"/>
    <w:rsid w:val="007E1F87"/>
    <w:rsid w:val="007E2018"/>
    <w:rsid w:val="007E2B8C"/>
    <w:rsid w:val="007E4843"/>
    <w:rsid w:val="007E50C9"/>
    <w:rsid w:val="007E5921"/>
    <w:rsid w:val="007E6276"/>
    <w:rsid w:val="007E7748"/>
    <w:rsid w:val="007E7E1B"/>
    <w:rsid w:val="007F0144"/>
    <w:rsid w:val="007F17CB"/>
    <w:rsid w:val="007F40B8"/>
    <w:rsid w:val="007F47B5"/>
    <w:rsid w:val="007F48E8"/>
    <w:rsid w:val="007F50D4"/>
    <w:rsid w:val="007F5290"/>
    <w:rsid w:val="007F5E5D"/>
    <w:rsid w:val="007F6443"/>
    <w:rsid w:val="007F657D"/>
    <w:rsid w:val="007F6F31"/>
    <w:rsid w:val="007F7F65"/>
    <w:rsid w:val="008009B8"/>
    <w:rsid w:val="00800FE1"/>
    <w:rsid w:val="00802667"/>
    <w:rsid w:val="008028A7"/>
    <w:rsid w:val="008044E4"/>
    <w:rsid w:val="00804AB1"/>
    <w:rsid w:val="00805541"/>
    <w:rsid w:val="00806066"/>
    <w:rsid w:val="00806232"/>
    <w:rsid w:val="008067B3"/>
    <w:rsid w:val="00806AA5"/>
    <w:rsid w:val="008071F4"/>
    <w:rsid w:val="008101BD"/>
    <w:rsid w:val="00810A38"/>
    <w:rsid w:val="00810EB1"/>
    <w:rsid w:val="008118A2"/>
    <w:rsid w:val="00811F09"/>
    <w:rsid w:val="008125BA"/>
    <w:rsid w:val="00812C70"/>
    <w:rsid w:val="0081367A"/>
    <w:rsid w:val="00813BFB"/>
    <w:rsid w:val="008146E3"/>
    <w:rsid w:val="00814C0C"/>
    <w:rsid w:val="00814ED7"/>
    <w:rsid w:val="008159BD"/>
    <w:rsid w:val="00815FFC"/>
    <w:rsid w:val="008168A6"/>
    <w:rsid w:val="00816D6A"/>
    <w:rsid w:val="0081742E"/>
    <w:rsid w:val="00817535"/>
    <w:rsid w:val="008176F0"/>
    <w:rsid w:val="0082041E"/>
    <w:rsid w:val="008207D8"/>
    <w:rsid w:val="00821BFB"/>
    <w:rsid w:val="0082285B"/>
    <w:rsid w:val="008235F9"/>
    <w:rsid w:val="00823F7D"/>
    <w:rsid w:val="00824F08"/>
    <w:rsid w:val="00825305"/>
    <w:rsid w:val="00825ABB"/>
    <w:rsid w:val="00825D61"/>
    <w:rsid w:val="0082640F"/>
    <w:rsid w:val="0082647D"/>
    <w:rsid w:val="008275D6"/>
    <w:rsid w:val="00827781"/>
    <w:rsid w:val="00827B16"/>
    <w:rsid w:val="00827CE0"/>
    <w:rsid w:val="00830E25"/>
    <w:rsid w:val="0083228C"/>
    <w:rsid w:val="00832AF9"/>
    <w:rsid w:val="00832F37"/>
    <w:rsid w:val="008347E1"/>
    <w:rsid w:val="00835835"/>
    <w:rsid w:val="00835A6D"/>
    <w:rsid w:val="00835CEF"/>
    <w:rsid w:val="00835FE4"/>
    <w:rsid w:val="008362CD"/>
    <w:rsid w:val="008364E7"/>
    <w:rsid w:val="0083661E"/>
    <w:rsid w:val="00836F3B"/>
    <w:rsid w:val="00840E75"/>
    <w:rsid w:val="00840E76"/>
    <w:rsid w:val="00840ED1"/>
    <w:rsid w:val="00841282"/>
    <w:rsid w:val="00841668"/>
    <w:rsid w:val="0084191E"/>
    <w:rsid w:val="00841A96"/>
    <w:rsid w:val="00842FFE"/>
    <w:rsid w:val="0084330C"/>
    <w:rsid w:val="008435D6"/>
    <w:rsid w:val="00843E65"/>
    <w:rsid w:val="008440FA"/>
    <w:rsid w:val="00844B4F"/>
    <w:rsid w:val="00844C5D"/>
    <w:rsid w:val="008451BC"/>
    <w:rsid w:val="00845C6C"/>
    <w:rsid w:val="00845E86"/>
    <w:rsid w:val="00846A4C"/>
    <w:rsid w:val="00846A9F"/>
    <w:rsid w:val="008502BC"/>
    <w:rsid w:val="008514D1"/>
    <w:rsid w:val="0085178A"/>
    <w:rsid w:val="00851CC5"/>
    <w:rsid w:val="00851FDA"/>
    <w:rsid w:val="0085274E"/>
    <w:rsid w:val="00853088"/>
    <w:rsid w:val="00853B58"/>
    <w:rsid w:val="0085439A"/>
    <w:rsid w:val="008549D7"/>
    <w:rsid w:val="00854C07"/>
    <w:rsid w:val="008564D4"/>
    <w:rsid w:val="00857F04"/>
    <w:rsid w:val="008602B1"/>
    <w:rsid w:val="00860476"/>
    <w:rsid w:val="00860731"/>
    <w:rsid w:val="0086097D"/>
    <w:rsid w:val="008616E7"/>
    <w:rsid w:val="00861CFE"/>
    <w:rsid w:val="0086322A"/>
    <w:rsid w:val="00863360"/>
    <w:rsid w:val="00863820"/>
    <w:rsid w:val="008640AD"/>
    <w:rsid w:val="0086630B"/>
    <w:rsid w:val="00867BD3"/>
    <w:rsid w:val="008703C2"/>
    <w:rsid w:val="008706B6"/>
    <w:rsid w:val="00870F85"/>
    <w:rsid w:val="00871A21"/>
    <w:rsid w:val="008730B5"/>
    <w:rsid w:val="008733A3"/>
    <w:rsid w:val="0087342E"/>
    <w:rsid w:val="008739F0"/>
    <w:rsid w:val="00873D83"/>
    <w:rsid w:val="00875196"/>
    <w:rsid w:val="00876A67"/>
    <w:rsid w:val="00880FCB"/>
    <w:rsid w:val="0088174C"/>
    <w:rsid w:val="00881980"/>
    <w:rsid w:val="0088264A"/>
    <w:rsid w:val="00882890"/>
    <w:rsid w:val="00882F50"/>
    <w:rsid w:val="00883FE8"/>
    <w:rsid w:val="008844C2"/>
    <w:rsid w:val="00884AA8"/>
    <w:rsid w:val="00884B90"/>
    <w:rsid w:val="0088554E"/>
    <w:rsid w:val="00885737"/>
    <w:rsid w:val="0088574C"/>
    <w:rsid w:val="0088633E"/>
    <w:rsid w:val="008900FB"/>
    <w:rsid w:val="00890D04"/>
    <w:rsid w:val="00892045"/>
    <w:rsid w:val="008926BE"/>
    <w:rsid w:val="008927B3"/>
    <w:rsid w:val="00892819"/>
    <w:rsid w:val="00892B5F"/>
    <w:rsid w:val="0089307F"/>
    <w:rsid w:val="00894016"/>
    <w:rsid w:val="00894121"/>
    <w:rsid w:val="008945F0"/>
    <w:rsid w:val="00896773"/>
    <w:rsid w:val="00896C3D"/>
    <w:rsid w:val="0089752D"/>
    <w:rsid w:val="00897539"/>
    <w:rsid w:val="008A0F9A"/>
    <w:rsid w:val="008A1E87"/>
    <w:rsid w:val="008A1EB7"/>
    <w:rsid w:val="008A2591"/>
    <w:rsid w:val="008A326B"/>
    <w:rsid w:val="008A334C"/>
    <w:rsid w:val="008A3414"/>
    <w:rsid w:val="008A347C"/>
    <w:rsid w:val="008A3AED"/>
    <w:rsid w:val="008A3B00"/>
    <w:rsid w:val="008A4A9B"/>
    <w:rsid w:val="008A6931"/>
    <w:rsid w:val="008A6B77"/>
    <w:rsid w:val="008A71EF"/>
    <w:rsid w:val="008A7558"/>
    <w:rsid w:val="008A7801"/>
    <w:rsid w:val="008A7C8D"/>
    <w:rsid w:val="008B07BD"/>
    <w:rsid w:val="008B1CD1"/>
    <w:rsid w:val="008B2C96"/>
    <w:rsid w:val="008B2DBE"/>
    <w:rsid w:val="008B2E36"/>
    <w:rsid w:val="008B3B0D"/>
    <w:rsid w:val="008B4AC7"/>
    <w:rsid w:val="008B4D8D"/>
    <w:rsid w:val="008B548A"/>
    <w:rsid w:val="008B5527"/>
    <w:rsid w:val="008B5693"/>
    <w:rsid w:val="008B5CF5"/>
    <w:rsid w:val="008B5DF2"/>
    <w:rsid w:val="008B64C7"/>
    <w:rsid w:val="008B6E94"/>
    <w:rsid w:val="008B757C"/>
    <w:rsid w:val="008B796A"/>
    <w:rsid w:val="008B7D41"/>
    <w:rsid w:val="008C0CC9"/>
    <w:rsid w:val="008C1514"/>
    <w:rsid w:val="008C17DD"/>
    <w:rsid w:val="008C30CA"/>
    <w:rsid w:val="008C440A"/>
    <w:rsid w:val="008C464E"/>
    <w:rsid w:val="008C5304"/>
    <w:rsid w:val="008C5497"/>
    <w:rsid w:val="008C59C5"/>
    <w:rsid w:val="008C5AA1"/>
    <w:rsid w:val="008C5DF4"/>
    <w:rsid w:val="008D00F6"/>
    <w:rsid w:val="008D0443"/>
    <w:rsid w:val="008D0822"/>
    <w:rsid w:val="008D0B68"/>
    <w:rsid w:val="008D2802"/>
    <w:rsid w:val="008D2E3A"/>
    <w:rsid w:val="008D41AE"/>
    <w:rsid w:val="008D5618"/>
    <w:rsid w:val="008D594C"/>
    <w:rsid w:val="008D61CD"/>
    <w:rsid w:val="008D6300"/>
    <w:rsid w:val="008D673D"/>
    <w:rsid w:val="008D6EB2"/>
    <w:rsid w:val="008D7850"/>
    <w:rsid w:val="008D7BDF"/>
    <w:rsid w:val="008E11E7"/>
    <w:rsid w:val="008E1EA6"/>
    <w:rsid w:val="008E38E5"/>
    <w:rsid w:val="008E4E28"/>
    <w:rsid w:val="008E6C0B"/>
    <w:rsid w:val="008F0ADD"/>
    <w:rsid w:val="008F1469"/>
    <w:rsid w:val="008F22A1"/>
    <w:rsid w:val="008F2DAB"/>
    <w:rsid w:val="008F3863"/>
    <w:rsid w:val="008F3A00"/>
    <w:rsid w:val="008F3B5F"/>
    <w:rsid w:val="008F4F15"/>
    <w:rsid w:val="008F5814"/>
    <w:rsid w:val="008F61BD"/>
    <w:rsid w:val="008F798C"/>
    <w:rsid w:val="00900A57"/>
    <w:rsid w:val="00901E35"/>
    <w:rsid w:val="00901FDA"/>
    <w:rsid w:val="00902207"/>
    <w:rsid w:val="00904106"/>
    <w:rsid w:val="0090473E"/>
    <w:rsid w:val="00905192"/>
    <w:rsid w:val="009056C7"/>
    <w:rsid w:val="009068CC"/>
    <w:rsid w:val="00906E7A"/>
    <w:rsid w:val="0090731C"/>
    <w:rsid w:val="00907D44"/>
    <w:rsid w:val="009102F6"/>
    <w:rsid w:val="00910866"/>
    <w:rsid w:val="00911107"/>
    <w:rsid w:val="00911181"/>
    <w:rsid w:val="0091271D"/>
    <w:rsid w:val="00912E7A"/>
    <w:rsid w:val="00914BF0"/>
    <w:rsid w:val="009151C2"/>
    <w:rsid w:val="00916461"/>
    <w:rsid w:val="00921140"/>
    <w:rsid w:val="009216F5"/>
    <w:rsid w:val="00921F7E"/>
    <w:rsid w:val="009229FE"/>
    <w:rsid w:val="00922FEB"/>
    <w:rsid w:val="00923950"/>
    <w:rsid w:val="00924AF4"/>
    <w:rsid w:val="00925BEE"/>
    <w:rsid w:val="009264AC"/>
    <w:rsid w:val="00927069"/>
    <w:rsid w:val="009273A8"/>
    <w:rsid w:val="009273B5"/>
    <w:rsid w:val="00930CE2"/>
    <w:rsid w:val="00932510"/>
    <w:rsid w:val="009330AE"/>
    <w:rsid w:val="009345EE"/>
    <w:rsid w:val="009346B4"/>
    <w:rsid w:val="00937375"/>
    <w:rsid w:val="00940C73"/>
    <w:rsid w:val="00940DB9"/>
    <w:rsid w:val="00941A59"/>
    <w:rsid w:val="00941C8F"/>
    <w:rsid w:val="0094209B"/>
    <w:rsid w:val="00942732"/>
    <w:rsid w:val="0094283D"/>
    <w:rsid w:val="0094312E"/>
    <w:rsid w:val="00943218"/>
    <w:rsid w:val="00943F8A"/>
    <w:rsid w:val="009444C8"/>
    <w:rsid w:val="00944A69"/>
    <w:rsid w:val="00944C33"/>
    <w:rsid w:val="00944E1D"/>
    <w:rsid w:val="00946D34"/>
    <w:rsid w:val="00946E39"/>
    <w:rsid w:val="0094719E"/>
    <w:rsid w:val="009473D1"/>
    <w:rsid w:val="009478D6"/>
    <w:rsid w:val="00947A26"/>
    <w:rsid w:val="00950BC9"/>
    <w:rsid w:val="00951CEE"/>
    <w:rsid w:val="00951E3B"/>
    <w:rsid w:val="00951F31"/>
    <w:rsid w:val="0095238E"/>
    <w:rsid w:val="00952F35"/>
    <w:rsid w:val="00952FF7"/>
    <w:rsid w:val="009537E5"/>
    <w:rsid w:val="009540A3"/>
    <w:rsid w:val="0095528A"/>
    <w:rsid w:val="00955480"/>
    <w:rsid w:val="009561B1"/>
    <w:rsid w:val="00956A29"/>
    <w:rsid w:val="009614C7"/>
    <w:rsid w:val="00963869"/>
    <w:rsid w:val="00963BC7"/>
    <w:rsid w:val="00963E75"/>
    <w:rsid w:val="00964014"/>
    <w:rsid w:val="00964189"/>
    <w:rsid w:val="00965262"/>
    <w:rsid w:val="00965C38"/>
    <w:rsid w:val="00970C60"/>
    <w:rsid w:val="00971BC1"/>
    <w:rsid w:val="0097203A"/>
    <w:rsid w:val="0097217D"/>
    <w:rsid w:val="00972C7D"/>
    <w:rsid w:val="00974038"/>
    <w:rsid w:val="00974897"/>
    <w:rsid w:val="00974D1F"/>
    <w:rsid w:val="00975D58"/>
    <w:rsid w:val="00975EB7"/>
    <w:rsid w:val="00975F9B"/>
    <w:rsid w:val="0097613E"/>
    <w:rsid w:val="0097629F"/>
    <w:rsid w:val="00977BAA"/>
    <w:rsid w:val="00980002"/>
    <w:rsid w:val="0098064F"/>
    <w:rsid w:val="00980E58"/>
    <w:rsid w:val="009814EF"/>
    <w:rsid w:val="00981F07"/>
    <w:rsid w:val="0098408A"/>
    <w:rsid w:val="0098434D"/>
    <w:rsid w:val="00984855"/>
    <w:rsid w:val="00984F1E"/>
    <w:rsid w:val="00985675"/>
    <w:rsid w:val="009859A4"/>
    <w:rsid w:val="00986204"/>
    <w:rsid w:val="0098649A"/>
    <w:rsid w:val="00986845"/>
    <w:rsid w:val="00986DD9"/>
    <w:rsid w:val="00986E74"/>
    <w:rsid w:val="00987249"/>
    <w:rsid w:val="009873B9"/>
    <w:rsid w:val="00987F64"/>
    <w:rsid w:val="00990A48"/>
    <w:rsid w:val="00990B64"/>
    <w:rsid w:val="009913C0"/>
    <w:rsid w:val="009922EC"/>
    <w:rsid w:val="009924B2"/>
    <w:rsid w:val="0099261C"/>
    <w:rsid w:val="00992787"/>
    <w:rsid w:val="00992837"/>
    <w:rsid w:val="009929E9"/>
    <w:rsid w:val="00992BB2"/>
    <w:rsid w:val="00993418"/>
    <w:rsid w:val="00993456"/>
    <w:rsid w:val="00993796"/>
    <w:rsid w:val="00993806"/>
    <w:rsid w:val="00993D41"/>
    <w:rsid w:val="00994774"/>
    <w:rsid w:val="0099625B"/>
    <w:rsid w:val="00996D85"/>
    <w:rsid w:val="00997177"/>
    <w:rsid w:val="0099759F"/>
    <w:rsid w:val="00997912"/>
    <w:rsid w:val="00997956"/>
    <w:rsid w:val="00997C1B"/>
    <w:rsid w:val="00997C6F"/>
    <w:rsid w:val="009A0EAC"/>
    <w:rsid w:val="009A2A5D"/>
    <w:rsid w:val="009A2AEC"/>
    <w:rsid w:val="009A4EFA"/>
    <w:rsid w:val="009A6365"/>
    <w:rsid w:val="009A7384"/>
    <w:rsid w:val="009B29D4"/>
    <w:rsid w:val="009B2C8A"/>
    <w:rsid w:val="009B3C6A"/>
    <w:rsid w:val="009B53BE"/>
    <w:rsid w:val="009B599D"/>
    <w:rsid w:val="009B7EF2"/>
    <w:rsid w:val="009C0CD1"/>
    <w:rsid w:val="009C1458"/>
    <w:rsid w:val="009C2C4F"/>
    <w:rsid w:val="009C2D7E"/>
    <w:rsid w:val="009C313C"/>
    <w:rsid w:val="009C32D5"/>
    <w:rsid w:val="009C4170"/>
    <w:rsid w:val="009C4EEF"/>
    <w:rsid w:val="009C50B9"/>
    <w:rsid w:val="009D047A"/>
    <w:rsid w:val="009D0AD7"/>
    <w:rsid w:val="009D0C08"/>
    <w:rsid w:val="009D1DFD"/>
    <w:rsid w:val="009D20DB"/>
    <w:rsid w:val="009D2DEB"/>
    <w:rsid w:val="009D37A3"/>
    <w:rsid w:val="009D3ACB"/>
    <w:rsid w:val="009D4B0C"/>
    <w:rsid w:val="009D5269"/>
    <w:rsid w:val="009D5582"/>
    <w:rsid w:val="009D79E5"/>
    <w:rsid w:val="009D7AB0"/>
    <w:rsid w:val="009E00EC"/>
    <w:rsid w:val="009E040F"/>
    <w:rsid w:val="009E0FA2"/>
    <w:rsid w:val="009E1001"/>
    <w:rsid w:val="009E15C9"/>
    <w:rsid w:val="009E2416"/>
    <w:rsid w:val="009E252C"/>
    <w:rsid w:val="009E2B70"/>
    <w:rsid w:val="009E381F"/>
    <w:rsid w:val="009E4062"/>
    <w:rsid w:val="009E49E6"/>
    <w:rsid w:val="009E4E8B"/>
    <w:rsid w:val="009E6022"/>
    <w:rsid w:val="009E616D"/>
    <w:rsid w:val="009E69C2"/>
    <w:rsid w:val="009F03C9"/>
    <w:rsid w:val="009F16E0"/>
    <w:rsid w:val="009F206B"/>
    <w:rsid w:val="009F357D"/>
    <w:rsid w:val="009F3A2F"/>
    <w:rsid w:val="009F45EF"/>
    <w:rsid w:val="009F4C63"/>
    <w:rsid w:val="009F51A3"/>
    <w:rsid w:val="009F5401"/>
    <w:rsid w:val="009F61BC"/>
    <w:rsid w:val="009F6FDE"/>
    <w:rsid w:val="009F79A2"/>
    <w:rsid w:val="009F7A7D"/>
    <w:rsid w:val="00A00015"/>
    <w:rsid w:val="00A00114"/>
    <w:rsid w:val="00A0109F"/>
    <w:rsid w:val="00A01361"/>
    <w:rsid w:val="00A014C9"/>
    <w:rsid w:val="00A03199"/>
    <w:rsid w:val="00A035F9"/>
    <w:rsid w:val="00A03B35"/>
    <w:rsid w:val="00A04082"/>
    <w:rsid w:val="00A04276"/>
    <w:rsid w:val="00A053C8"/>
    <w:rsid w:val="00A06532"/>
    <w:rsid w:val="00A100B0"/>
    <w:rsid w:val="00A10950"/>
    <w:rsid w:val="00A10C86"/>
    <w:rsid w:val="00A11E94"/>
    <w:rsid w:val="00A126DB"/>
    <w:rsid w:val="00A12BFC"/>
    <w:rsid w:val="00A13387"/>
    <w:rsid w:val="00A13F4C"/>
    <w:rsid w:val="00A13F4D"/>
    <w:rsid w:val="00A1437D"/>
    <w:rsid w:val="00A14724"/>
    <w:rsid w:val="00A15456"/>
    <w:rsid w:val="00A15864"/>
    <w:rsid w:val="00A15EF0"/>
    <w:rsid w:val="00A162FC"/>
    <w:rsid w:val="00A165D8"/>
    <w:rsid w:val="00A16F3C"/>
    <w:rsid w:val="00A17A6E"/>
    <w:rsid w:val="00A20872"/>
    <w:rsid w:val="00A209AB"/>
    <w:rsid w:val="00A20E09"/>
    <w:rsid w:val="00A21CD6"/>
    <w:rsid w:val="00A224AA"/>
    <w:rsid w:val="00A22623"/>
    <w:rsid w:val="00A22B7B"/>
    <w:rsid w:val="00A230BB"/>
    <w:rsid w:val="00A23267"/>
    <w:rsid w:val="00A237BE"/>
    <w:rsid w:val="00A23957"/>
    <w:rsid w:val="00A25FA8"/>
    <w:rsid w:val="00A261A1"/>
    <w:rsid w:val="00A265D4"/>
    <w:rsid w:val="00A27A7B"/>
    <w:rsid w:val="00A3039F"/>
    <w:rsid w:val="00A30639"/>
    <w:rsid w:val="00A32090"/>
    <w:rsid w:val="00A32F30"/>
    <w:rsid w:val="00A33312"/>
    <w:rsid w:val="00A3375C"/>
    <w:rsid w:val="00A33974"/>
    <w:rsid w:val="00A33DBE"/>
    <w:rsid w:val="00A3527A"/>
    <w:rsid w:val="00A35F3A"/>
    <w:rsid w:val="00A3717E"/>
    <w:rsid w:val="00A37301"/>
    <w:rsid w:val="00A40328"/>
    <w:rsid w:val="00A411C0"/>
    <w:rsid w:val="00A41B7E"/>
    <w:rsid w:val="00A421F2"/>
    <w:rsid w:val="00A43204"/>
    <w:rsid w:val="00A434C4"/>
    <w:rsid w:val="00A443CC"/>
    <w:rsid w:val="00A445D8"/>
    <w:rsid w:val="00A44CF5"/>
    <w:rsid w:val="00A45812"/>
    <w:rsid w:val="00A45BE7"/>
    <w:rsid w:val="00A50581"/>
    <w:rsid w:val="00A528DD"/>
    <w:rsid w:val="00A529D8"/>
    <w:rsid w:val="00A529F7"/>
    <w:rsid w:val="00A52D1B"/>
    <w:rsid w:val="00A53236"/>
    <w:rsid w:val="00A54931"/>
    <w:rsid w:val="00A55043"/>
    <w:rsid w:val="00A55974"/>
    <w:rsid w:val="00A55A85"/>
    <w:rsid w:val="00A55AEE"/>
    <w:rsid w:val="00A55EA7"/>
    <w:rsid w:val="00A571ED"/>
    <w:rsid w:val="00A578F8"/>
    <w:rsid w:val="00A57AB0"/>
    <w:rsid w:val="00A57BA6"/>
    <w:rsid w:val="00A6096D"/>
    <w:rsid w:val="00A61C17"/>
    <w:rsid w:val="00A62934"/>
    <w:rsid w:val="00A62A00"/>
    <w:rsid w:val="00A63E74"/>
    <w:rsid w:val="00A641BD"/>
    <w:rsid w:val="00A6499E"/>
    <w:rsid w:val="00A6507B"/>
    <w:rsid w:val="00A6521E"/>
    <w:rsid w:val="00A67633"/>
    <w:rsid w:val="00A677BE"/>
    <w:rsid w:val="00A67CA8"/>
    <w:rsid w:val="00A7120C"/>
    <w:rsid w:val="00A7181F"/>
    <w:rsid w:val="00A71D82"/>
    <w:rsid w:val="00A73487"/>
    <w:rsid w:val="00A7373B"/>
    <w:rsid w:val="00A73CAD"/>
    <w:rsid w:val="00A743E7"/>
    <w:rsid w:val="00A74D2C"/>
    <w:rsid w:val="00A74EE8"/>
    <w:rsid w:val="00A750B6"/>
    <w:rsid w:val="00A751C5"/>
    <w:rsid w:val="00A75A4B"/>
    <w:rsid w:val="00A76234"/>
    <w:rsid w:val="00A76975"/>
    <w:rsid w:val="00A7714C"/>
    <w:rsid w:val="00A77754"/>
    <w:rsid w:val="00A7788C"/>
    <w:rsid w:val="00A80AB1"/>
    <w:rsid w:val="00A80EE7"/>
    <w:rsid w:val="00A819EB"/>
    <w:rsid w:val="00A830A4"/>
    <w:rsid w:val="00A8321D"/>
    <w:rsid w:val="00A843A1"/>
    <w:rsid w:val="00A843BF"/>
    <w:rsid w:val="00A846ED"/>
    <w:rsid w:val="00A855F8"/>
    <w:rsid w:val="00A85664"/>
    <w:rsid w:val="00A85CA2"/>
    <w:rsid w:val="00A8601A"/>
    <w:rsid w:val="00A8632A"/>
    <w:rsid w:val="00A864EB"/>
    <w:rsid w:val="00A86FFE"/>
    <w:rsid w:val="00A87536"/>
    <w:rsid w:val="00A901A5"/>
    <w:rsid w:val="00A91610"/>
    <w:rsid w:val="00A91864"/>
    <w:rsid w:val="00A92280"/>
    <w:rsid w:val="00A92526"/>
    <w:rsid w:val="00A92CA7"/>
    <w:rsid w:val="00A92D66"/>
    <w:rsid w:val="00A9302A"/>
    <w:rsid w:val="00A93429"/>
    <w:rsid w:val="00A93A58"/>
    <w:rsid w:val="00A94766"/>
    <w:rsid w:val="00A94C1B"/>
    <w:rsid w:val="00A94FCD"/>
    <w:rsid w:val="00A94FE0"/>
    <w:rsid w:val="00A956BD"/>
    <w:rsid w:val="00A95E28"/>
    <w:rsid w:val="00A96B89"/>
    <w:rsid w:val="00A96DD8"/>
    <w:rsid w:val="00A97AEA"/>
    <w:rsid w:val="00A97B54"/>
    <w:rsid w:val="00A97E8F"/>
    <w:rsid w:val="00AA1480"/>
    <w:rsid w:val="00AA26E7"/>
    <w:rsid w:val="00AA2A9D"/>
    <w:rsid w:val="00AA2D6B"/>
    <w:rsid w:val="00AA35D9"/>
    <w:rsid w:val="00AA5016"/>
    <w:rsid w:val="00AA5017"/>
    <w:rsid w:val="00AA54F0"/>
    <w:rsid w:val="00AA688B"/>
    <w:rsid w:val="00AA6B7A"/>
    <w:rsid w:val="00AA6F63"/>
    <w:rsid w:val="00AB08D1"/>
    <w:rsid w:val="00AB0EEC"/>
    <w:rsid w:val="00AB2093"/>
    <w:rsid w:val="00AB3E38"/>
    <w:rsid w:val="00AB43FD"/>
    <w:rsid w:val="00AB55F5"/>
    <w:rsid w:val="00AB5AA2"/>
    <w:rsid w:val="00AB5AE2"/>
    <w:rsid w:val="00AB5F69"/>
    <w:rsid w:val="00AB6064"/>
    <w:rsid w:val="00AB62CE"/>
    <w:rsid w:val="00AB6856"/>
    <w:rsid w:val="00AB6E58"/>
    <w:rsid w:val="00AB77F7"/>
    <w:rsid w:val="00AB7E11"/>
    <w:rsid w:val="00AC13F4"/>
    <w:rsid w:val="00AC2975"/>
    <w:rsid w:val="00AC3756"/>
    <w:rsid w:val="00AC420E"/>
    <w:rsid w:val="00AC5065"/>
    <w:rsid w:val="00AC5247"/>
    <w:rsid w:val="00AC57E9"/>
    <w:rsid w:val="00AC645E"/>
    <w:rsid w:val="00AC6EFC"/>
    <w:rsid w:val="00AC717F"/>
    <w:rsid w:val="00AC78FA"/>
    <w:rsid w:val="00AD3835"/>
    <w:rsid w:val="00AD4339"/>
    <w:rsid w:val="00AD4A76"/>
    <w:rsid w:val="00AD5854"/>
    <w:rsid w:val="00AD5936"/>
    <w:rsid w:val="00AD5FBA"/>
    <w:rsid w:val="00AD66AA"/>
    <w:rsid w:val="00AD777A"/>
    <w:rsid w:val="00AE087E"/>
    <w:rsid w:val="00AE0B43"/>
    <w:rsid w:val="00AE1FA1"/>
    <w:rsid w:val="00AE2A92"/>
    <w:rsid w:val="00AE5070"/>
    <w:rsid w:val="00AE52A9"/>
    <w:rsid w:val="00AE63BB"/>
    <w:rsid w:val="00AE73FA"/>
    <w:rsid w:val="00AE75BF"/>
    <w:rsid w:val="00AF0208"/>
    <w:rsid w:val="00AF1251"/>
    <w:rsid w:val="00AF1D7E"/>
    <w:rsid w:val="00AF1DDF"/>
    <w:rsid w:val="00AF247C"/>
    <w:rsid w:val="00AF2746"/>
    <w:rsid w:val="00AF4194"/>
    <w:rsid w:val="00AF4DCB"/>
    <w:rsid w:val="00AF6046"/>
    <w:rsid w:val="00AF6250"/>
    <w:rsid w:val="00AF660D"/>
    <w:rsid w:val="00AF66F4"/>
    <w:rsid w:val="00AF705E"/>
    <w:rsid w:val="00AF707B"/>
    <w:rsid w:val="00B004A9"/>
    <w:rsid w:val="00B00943"/>
    <w:rsid w:val="00B00BC0"/>
    <w:rsid w:val="00B00BF1"/>
    <w:rsid w:val="00B014EA"/>
    <w:rsid w:val="00B01C63"/>
    <w:rsid w:val="00B01F26"/>
    <w:rsid w:val="00B025AA"/>
    <w:rsid w:val="00B02D05"/>
    <w:rsid w:val="00B030B3"/>
    <w:rsid w:val="00B030C2"/>
    <w:rsid w:val="00B0371C"/>
    <w:rsid w:val="00B0388F"/>
    <w:rsid w:val="00B04160"/>
    <w:rsid w:val="00B04815"/>
    <w:rsid w:val="00B04C28"/>
    <w:rsid w:val="00B05531"/>
    <w:rsid w:val="00B05B10"/>
    <w:rsid w:val="00B072D9"/>
    <w:rsid w:val="00B076B3"/>
    <w:rsid w:val="00B10565"/>
    <w:rsid w:val="00B1056C"/>
    <w:rsid w:val="00B10E88"/>
    <w:rsid w:val="00B1228D"/>
    <w:rsid w:val="00B124E3"/>
    <w:rsid w:val="00B1292C"/>
    <w:rsid w:val="00B14548"/>
    <w:rsid w:val="00B14C34"/>
    <w:rsid w:val="00B155C7"/>
    <w:rsid w:val="00B161EF"/>
    <w:rsid w:val="00B16E4E"/>
    <w:rsid w:val="00B176DF"/>
    <w:rsid w:val="00B17AC8"/>
    <w:rsid w:val="00B20392"/>
    <w:rsid w:val="00B2039E"/>
    <w:rsid w:val="00B2151C"/>
    <w:rsid w:val="00B21C50"/>
    <w:rsid w:val="00B21D6D"/>
    <w:rsid w:val="00B223AB"/>
    <w:rsid w:val="00B2285E"/>
    <w:rsid w:val="00B22B1A"/>
    <w:rsid w:val="00B22C03"/>
    <w:rsid w:val="00B22D68"/>
    <w:rsid w:val="00B22F70"/>
    <w:rsid w:val="00B2385C"/>
    <w:rsid w:val="00B23DC6"/>
    <w:rsid w:val="00B24298"/>
    <w:rsid w:val="00B2432F"/>
    <w:rsid w:val="00B24733"/>
    <w:rsid w:val="00B2483E"/>
    <w:rsid w:val="00B249E5"/>
    <w:rsid w:val="00B25250"/>
    <w:rsid w:val="00B2553B"/>
    <w:rsid w:val="00B25576"/>
    <w:rsid w:val="00B259CE"/>
    <w:rsid w:val="00B25EFB"/>
    <w:rsid w:val="00B261CD"/>
    <w:rsid w:val="00B2665C"/>
    <w:rsid w:val="00B26893"/>
    <w:rsid w:val="00B26A6D"/>
    <w:rsid w:val="00B2727B"/>
    <w:rsid w:val="00B30BA3"/>
    <w:rsid w:val="00B30BED"/>
    <w:rsid w:val="00B311D3"/>
    <w:rsid w:val="00B31246"/>
    <w:rsid w:val="00B31837"/>
    <w:rsid w:val="00B318F9"/>
    <w:rsid w:val="00B32669"/>
    <w:rsid w:val="00B337E3"/>
    <w:rsid w:val="00B33C33"/>
    <w:rsid w:val="00B33E07"/>
    <w:rsid w:val="00B3491E"/>
    <w:rsid w:val="00B35091"/>
    <w:rsid w:val="00B357FD"/>
    <w:rsid w:val="00B41D76"/>
    <w:rsid w:val="00B4321A"/>
    <w:rsid w:val="00B432BE"/>
    <w:rsid w:val="00B44CA3"/>
    <w:rsid w:val="00B44F0C"/>
    <w:rsid w:val="00B464F6"/>
    <w:rsid w:val="00B46E23"/>
    <w:rsid w:val="00B470BF"/>
    <w:rsid w:val="00B47EB6"/>
    <w:rsid w:val="00B509E0"/>
    <w:rsid w:val="00B526CA"/>
    <w:rsid w:val="00B526FE"/>
    <w:rsid w:val="00B53D5C"/>
    <w:rsid w:val="00B54103"/>
    <w:rsid w:val="00B5457C"/>
    <w:rsid w:val="00B545A6"/>
    <w:rsid w:val="00B5512A"/>
    <w:rsid w:val="00B559E7"/>
    <w:rsid w:val="00B5679B"/>
    <w:rsid w:val="00B5738E"/>
    <w:rsid w:val="00B57637"/>
    <w:rsid w:val="00B604E0"/>
    <w:rsid w:val="00B61F89"/>
    <w:rsid w:val="00B6233B"/>
    <w:rsid w:val="00B6292F"/>
    <w:rsid w:val="00B6327C"/>
    <w:rsid w:val="00B63579"/>
    <w:rsid w:val="00B65067"/>
    <w:rsid w:val="00B6506C"/>
    <w:rsid w:val="00B65C38"/>
    <w:rsid w:val="00B66512"/>
    <w:rsid w:val="00B668D0"/>
    <w:rsid w:val="00B669F7"/>
    <w:rsid w:val="00B674C5"/>
    <w:rsid w:val="00B67FF3"/>
    <w:rsid w:val="00B7059F"/>
    <w:rsid w:val="00B70A29"/>
    <w:rsid w:val="00B71828"/>
    <w:rsid w:val="00B71F21"/>
    <w:rsid w:val="00B72938"/>
    <w:rsid w:val="00B76144"/>
    <w:rsid w:val="00B767E2"/>
    <w:rsid w:val="00B76BB1"/>
    <w:rsid w:val="00B77050"/>
    <w:rsid w:val="00B77C3C"/>
    <w:rsid w:val="00B8003A"/>
    <w:rsid w:val="00B80041"/>
    <w:rsid w:val="00B80D13"/>
    <w:rsid w:val="00B810D7"/>
    <w:rsid w:val="00B81577"/>
    <w:rsid w:val="00B820EB"/>
    <w:rsid w:val="00B8246D"/>
    <w:rsid w:val="00B82518"/>
    <w:rsid w:val="00B8353A"/>
    <w:rsid w:val="00B837DB"/>
    <w:rsid w:val="00B849C9"/>
    <w:rsid w:val="00B84A7B"/>
    <w:rsid w:val="00B84CC5"/>
    <w:rsid w:val="00B84F2D"/>
    <w:rsid w:val="00B8542E"/>
    <w:rsid w:val="00B8660B"/>
    <w:rsid w:val="00B86E8C"/>
    <w:rsid w:val="00B871CC"/>
    <w:rsid w:val="00B87DAA"/>
    <w:rsid w:val="00B87FD2"/>
    <w:rsid w:val="00B9003E"/>
    <w:rsid w:val="00B91180"/>
    <w:rsid w:val="00B91412"/>
    <w:rsid w:val="00B91919"/>
    <w:rsid w:val="00B92023"/>
    <w:rsid w:val="00B92080"/>
    <w:rsid w:val="00B93074"/>
    <w:rsid w:val="00B93191"/>
    <w:rsid w:val="00B947F9"/>
    <w:rsid w:val="00B94998"/>
    <w:rsid w:val="00B955E1"/>
    <w:rsid w:val="00B955F7"/>
    <w:rsid w:val="00B95AF7"/>
    <w:rsid w:val="00B95E85"/>
    <w:rsid w:val="00B96BEC"/>
    <w:rsid w:val="00B9732B"/>
    <w:rsid w:val="00B97577"/>
    <w:rsid w:val="00B978E5"/>
    <w:rsid w:val="00B9790D"/>
    <w:rsid w:val="00BA0286"/>
    <w:rsid w:val="00BA0846"/>
    <w:rsid w:val="00BA15DA"/>
    <w:rsid w:val="00BA1E57"/>
    <w:rsid w:val="00BA269D"/>
    <w:rsid w:val="00BA2CA9"/>
    <w:rsid w:val="00BA32EC"/>
    <w:rsid w:val="00BA3E30"/>
    <w:rsid w:val="00BA41AC"/>
    <w:rsid w:val="00BA4C27"/>
    <w:rsid w:val="00BA53E2"/>
    <w:rsid w:val="00BA53F3"/>
    <w:rsid w:val="00BA57C9"/>
    <w:rsid w:val="00BA5D5B"/>
    <w:rsid w:val="00BA687C"/>
    <w:rsid w:val="00BA747D"/>
    <w:rsid w:val="00BA7A30"/>
    <w:rsid w:val="00BB08A8"/>
    <w:rsid w:val="00BB0B06"/>
    <w:rsid w:val="00BB1DCB"/>
    <w:rsid w:val="00BB25ED"/>
    <w:rsid w:val="00BB2D81"/>
    <w:rsid w:val="00BB3160"/>
    <w:rsid w:val="00BB3551"/>
    <w:rsid w:val="00BB37B1"/>
    <w:rsid w:val="00BB5736"/>
    <w:rsid w:val="00BB62B6"/>
    <w:rsid w:val="00BB7070"/>
    <w:rsid w:val="00BB76CA"/>
    <w:rsid w:val="00BB77BB"/>
    <w:rsid w:val="00BB78D8"/>
    <w:rsid w:val="00BC0C44"/>
    <w:rsid w:val="00BC189A"/>
    <w:rsid w:val="00BC284F"/>
    <w:rsid w:val="00BC2E60"/>
    <w:rsid w:val="00BC2F19"/>
    <w:rsid w:val="00BC3BDE"/>
    <w:rsid w:val="00BC51CD"/>
    <w:rsid w:val="00BC5421"/>
    <w:rsid w:val="00BC60C3"/>
    <w:rsid w:val="00BC7064"/>
    <w:rsid w:val="00BC7AE5"/>
    <w:rsid w:val="00BD0850"/>
    <w:rsid w:val="00BD08A3"/>
    <w:rsid w:val="00BD21A0"/>
    <w:rsid w:val="00BD298E"/>
    <w:rsid w:val="00BD2A44"/>
    <w:rsid w:val="00BD4312"/>
    <w:rsid w:val="00BD516D"/>
    <w:rsid w:val="00BD51E8"/>
    <w:rsid w:val="00BD6334"/>
    <w:rsid w:val="00BD6848"/>
    <w:rsid w:val="00BD6A5D"/>
    <w:rsid w:val="00BD7E72"/>
    <w:rsid w:val="00BE25E8"/>
    <w:rsid w:val="00BE382C"/>
    <w:rsid w:val="00BE469D"/>
    <w:rsid w:val="00BE51B7"/>
    <w:rsid w:val="00BE5324"/>
    <w:rsid w:val="00BE581D"/>
    <w:rsid w:val="00BE5C9C"/>
    <w:rsid w:val="00BE6895"/>
    <w:rsid w:val="00BE6FA8"/>
    <w:rsid w:val="00BE7954"/>
    <w:rsid w:val="00BF01D8"/>
    <w:rsid w:val="00BF069E"/>
    <w:rsid w:val="00BF1E49"/>
    <w:rsid w:val="00BF2D73"/>
    <w:rsid w:val="00BF2F3E"/>
    <w:rsid w:val="00BF311F"/>
    <w:rsid w:val="00BF3F48"/>
    <w:rsid w:val="00BF5543"/>
    <w:rsid w:val="00BF5550"/>
    <w:rsid w:val="00BF5A7F"/>
    <w:rsid w:val="00BF5C4E"/>
    <w:rsid w:val="00BF60A4"/>
    <w:rsid w:val="00BF7067"/>
    <w:rsid w:val="00BF730E"/>
    <w:rsid w:val="00C0008F"/>
    <w:rsid w:val="00C0012E"/>
    <w:rsid w:val="00C013A1"/>
    <w:rsid w:val="00C01FF9"/>
    <w:rsid w:val="00C02EB3"/>
    <w:rsid w:val="00C03363"/>
    <w:rsid w:val="00C04A88"/>
    <w:rsid w:val="00C04C90"/>
    <w:rsid w:val="00C04CD2"/>
    <w:rsid w:val="00C05870"/>
    <w:rsid w:val="00C05D23"/>
    <w:rsid w:val="00C062B8"/>
    <w:rsid w:val="00C1030B"/>
    <w:rsid w:val="00C103A8"/>
    <w:rsid w:val="00C1064E"/>
    <w:rsid w:val="00C1158B"/>
    <w:rsid w:val="00C117C2"/>
    <w:rsid w:val="00C119ED"/>
    <w:rsid w:val="00C12046"/>
    <w:rsid w:val="00C135C8"/>
    <w:rsid w:val="00C152A9"/>
    <w:rsid w:val="00C15662"/>
    <w:rsid w:val="00C15E3C"/>
    <w:rsid w:val="00C168FC"/>
    <w:rsid w:val="00C204A9"/>
    <w:rsid w:val="00C20C6A"/>
    <w:rsid w:val="00C245EA"/>
    <w:rsid w:val="00C246F1"/>
    <w:rsid w:val="00C25B06"/>
    <w:rsid w:val="00C266E6"/>
    <w:rsid w:val="00C26846"/>
    <w:rsid w:val="00C275C4"/>
    <w:rsid w:val="00C27F0E"/>
    <w:rsid w:val="00C27FFC"/>
    <w:rsid w:val="00C30131"/>
    <w:rsid w:val="00C307AA"/>
    <w:rsid w:val="00C30CED"/>
    <w:rsid w:val="00C327B7"/>
    <w:rsid w:val="00C3283F"/>
    <w:rsid w:val="00C33122"/>
    <w:rsid w:val="00C3368E"/>
    <w:rsid w:val="00C3383B"/>
    <w:rsid w:val="00C338D5"/>
    <w:rsid w:val="00C33A6D"/>
    <w:rsid w:val="00C349C9"/>
    <w:rsid w:val="00C36A72"/>
    <w:rsid w:val="00C36FCE"/>
    <w:rsid w:val="00C3723C"/>
    <w:rsid w:val="00C37940"/>
    <w:rsid w:val="00C40642"/>
    <w:rsid w:val="00C4075D"/>
    <w:rsid w:val="00C41300"/>
    <w:rsid w:val="00C41957"/>
    <w:rsid w:val="00C41A8C"/>
    <w:rsid w:val="00C424AE"/>
    <w:rsid w:val="00C43986"/>
    <w:rsid w:val="00C44A4D"/>
    <w:rsid w:val="00C454D3"/>
    <w:rsid w:val="00C45780"/>
    <w:rsid w:val="00C45E8D"/>
    <w:rsid w:val="00C46F88"/>
    <w:rsid w:val="00C476EA"/>
    <w:rsid w:val="00C4780E"/>
    <w:rsid w:val="00C47C38"/>
    <w:rsid w:val="00C47FA0"/>
    <w:rsid w:val="00C502E0"/>
    <w:rsid w:val="00C51DF9"/>
    <w:rsid w:val="00C51FD5"/>
    <w:rsid w:val="00C52FCE"/>
    <w:rsid w:val="00C530CA"/>
    <w:rsid w:val="00C548DF"/>
    <w:rsid w:val="00C54D59"/>
    <w:rsid w:val="00C55B85"/>
    <w:rsid w:val="00C56BE8"/>
    <w:rsid w:val="00C57515"/>
    <w:rsid w:val="00C5791B"/>
    <w:rsid w:val="00C57C86"/>
    <w:rsid w:val="00C57E70"/>
    <w:rsid w:val="00C6120F"/>
    <w:rsid w:val="00C62463"/>
    <w:rsid w:val="00C63961"/>
    <w:rsid w:val="00C63B21"/>
    <w:rsid w:val="00C64218"/>
    <w:rsid w:val="00C6571F"/>
    <w:rsid w:val="00C65B56"/>
    <w:rsid w:val="00C660C5"/>
    <w:rsid w:val="00C66D3C"/>
    <w:rsid w:val="00C67DEC"/>
    <w:rsid w:val="00C70074"/>
    <w:rsid w:val="00C701D5"/>
    <w:rsid w:val="00C708D4"/>
    <w:rsid w:val="00C70932"/>
    <w:rsid w:val="00C71040"/>
    <w:rsid w:val="00C71333"/>
    <w:rsid w:val="00C7176E"/>
    <w:rsid w:val="00C71DC2"/>
    <w:rsid w:val="00C71FF6"/>
    <w:rsid w:val="00C724AA"/>
    <w:rsid w:val="00C72BAB"/>
    <w:rsid w:val="00C72F15"/>
    <w:rsid w:val="00C74047"/>
    <w:rsid w:val="00C74152"/>
    <w:rsid w:val="00C745A2"/>
    <w:rsid w:val="00C74731"/>
    <w:rsid w:val="00C76D01"/>
    <w:rsid w:val="00C779FA"/>
    <w:rsid w:val="00C804C8"/>
    <w:rsid w:val="00C813AE"/>
    <w:rsid w:val="00C82936"/>
    <w:rsid w:val="00C82EAF"/>
    <w:rsid w:val="00C83974"/>
    <w:rsid w:val="00C83B9E"/>
    <w:rsid w:val="00C84C1F"/>
    <w:rsid w:val="00C84FC6"/>
    <w:rsid w:val="00C85242"/>
    <w:rsid w:val="00C85BD1"/>
    <w:rsid w:val="00C85E7D"/>
    <w:rsid w:val="00C86BB1"/>
    <w:rsid w:val="00C86C41"/>
    <w:rsid w:val="00C871F0"/>
    <w:rsid w:val="00C8722C"/>
    <w:rsid w:val="00C90045"/>
    <w:rsid w:val="00C907CB"/>
    <w:rsid w:val="00C90BA7"/>
    <w:rsid w:val="00C91D07"/>
    <w:rsid w:val="00C91F82"/>
    <w:rsid w:val="00C92129"/>
    <w:rsid w:val="00C921BD"/>
    <w:rsid w:val="00C92AE6"/>
    <w:rsid w:val="00C934EB"/>
    <w:rsid w:val="00C93A07"/>
    <w:rsid w:val="00C94CF6"/>
    <w:rsid w:val="00C9604B"/>
    <w:rsid w:val="00C96375"/>
    <w:rsid w:val="00C978AD"/>
    <w:rsid w:val="00C97C58"/>
    <w:rsid w:val="00CA02FB"/>
    <w:rsid w:val="00CA04BE"/>
    <w:rsid w:val="00CA0EDF"/>
    <w:rsid w:val="00CA21B3"/>
    <w:rsid w:val="00CA35A7"/>
    <w:rsid w:val="00CA3A38"/>
    <w:rsid w:val="00CA465D"/>
    <w:rsid w:val="00CA4E43"/>
    <w:rsid w:val="00CA753D"/>
    <w:rsid w:val="00CA7AD8"/>
    <w:rsid w:val="00CB1601"/>
    <w:rsid w:val="00CB3DA3"/>
    <w:rsid w:val="00CB3DE2"/>
    <w:rsid w:val="00CB40AB"/>
    <w:rsid w:val="00CB451E"/>
    <w:rsid w:val="00CB543B"/>
    <w:rsid w:val="00CB5A10"/>
    <w:rsid w:val="00CB6FAE"/>
    <w:rsid w:val="00CC14A0"/>
    <w:rsid w:val="00CC1638"/>
    <w:rsid w:val="00CC2061"/>
    <w:rsid w:val="00CC36EE"/>
    <w:rsid w:val="00CC3BC8"/>
    <w:rsid w:val="00CC5599"/>
    <w:rsid w:val="00CC60DB"/>
    <w:rsid w:val="00CC6596"/>
    <w:rsid w:val="00CD12BF"/>
    <w:rsid w:val="00CD17AB"/>
    <w:rsid w:val="00CD184E"/>
    <w:rsid w:val="00CD1E0E"/>
    <w:rsid w:val="00CD2078"/>
    <w:rsid w:val="00CD228A"/>
    <w:rsid w:val="00CD25C7"/>
    <w:rsid w:val="00CD2F6D"/>
    <w:rsid w:val="00CD419A"/>
    <w:rsid w:val="00CD522F"/>
    <w:rsid w:val="00CD56E3"/>
    <w:rsid w:val="00CD5983"/>
    <w:rsid w:val="00CD6D28"/>
    <w:rsid w:val="00CD7C60"/>
    <w:rsid w:val="00CE029F"/>
    <w:rsid w:val="00CE02A6"/>
    <w:rsid w:val="00CE059F"/>
    <w:rsid w:val="00CE172A"/>
    <w:rsid w:val="00CE304C"/>
    <w:rsid w:val="00CE305E"/>
    <w:rsid w:val="00CE492E"/>
    <w:rsid w:val="00CE4A21"/>
    <w:rsid w:val="00CE4A89"/>
    <w:rsid w:val="00CE650A"/>
    <w:rsid w:val="00CE6742"/>
    <w:rsid w:val="00CE6F75"/>
    <w:rsid w:val="00CE6F76"/>
    <w:rsid w:val="00CE72AE"/>
    <w:rsid w:val="00CE76CA"/>
    <w:rsid w:val="00CF00E9"/>
    <w:rsid w:val="00CF0428"/>
    <w:rsid w:val="00CF057B"/>
    <w:rsid w:val="00CF073D"/>
    <w:rsid w:val="00CF1B2D"/>
    <w:rsid w:val="00CF1D6E"/>
    <w:rsid w:val="00CF1D8A"/>
    <w:rsid w:val="00CF24FD"/>
    <w:rsid w:val="00CF2D8B"/>
    <w:rsid w:val="00CF304D"/>
    <w:rsid w:val="00CF3B15"/>
    <w:rsid w:val="00CF3EBE"/>
    <w:rsid w:val="00CF4CA8"/>
    <w:rsid w:val="00CF561D"/>
    <w:rsid w:val="00CF62D0"/>
    <w:rsid w:val="00CF7664"/>
    <w:rsid w:val="00D00058"/>
    <w:rsid w:val="00D003BD"/>
    <w:rsid w:val="00D029C8"/>
    <w:rsid w:val="00D02E51"/>
    <w:rsid w:val="00D03925"/>
    <w:rsid w:val="00D04595"/>
    <w:rsid w:val="00D04A72"/>
    <w:rsid w:val="00D05A9A"/>
    <w:rsid w:val="00D0797E"/>
    <w:rsid w:val="00D11F40"/>
    <w:rsid w:val="00D127EF"/>
    <w:rsid w:val="00D139E9"/>
    <w:rsid w:val="00D13FCD"/>
    <w:rsid w:val="00D13FDD"/>
    <w:rsid w:val="00D14F48"/>
    <w:rsid w:val="00D15109"/>
    <w:rsid w:val="00D15D24"/>
    <w:rsid w:val="00D16329"/>
    <w:rsid w:val="00D17322"/>
    <w:rsid w:val="00D1772C"/>
    <w:rsid w:val="00D20196"/>
    <w:rsid w:val="00D213FF"/>
    <w:rsid w:val="00D223E2"/>
    <w:rsid w:val="00D2337B"/>
    <w:rsid w:val="00D23ED4"/>
    <w:rsid w:val="00D23F7B"/>
    <w:rsid w:val="00D24438"/>
    <w:rsid w:val="00D24916"/>
    <w:rsid w:val="00D24CDD"/>
    <w:rsid w:val="00D26787"/>
    <w:rsid w:val="00D26C3E"/>
    <w:rsid w:val="00D27F07"/>
    <w:rsid w:val="00D30F2D"/>
    <w:rsid w:val="00D31244"/>
    <w:rsid w:val="00D31308"/>
    <w:rsid w:val="00D3144A"/>
    <w:rsid w:val="00D32079"/>
    <w:rsid w:val="00D323A4"/>
    <w:rsid w:val="00D3272B"/>
    <w:rsid w:val="00D333BE"/>
    <w:rsid w:val="00D341D2"/>
    <w:rsid w:val="00D354FD"/>
    <w:rsid w:val="00D36149"/>
    <w:rsid w:val="00D377DD"/>
    <w:rsid w:val="00D37A3B"/>
    <w:rsid w:val="00D37C4B"/>
    <w:rsid w:val="00D40BF8"/>
    <w:rsid w:val="00D41883"/>
    <w:rsid w:val="00D41C01"/>
    <w:rsid w:val="00D41DBA"/>
    <w:rsid w:val="00D41E3A"/>
    <w:rsid w:val="00D42559"/>
    <w:rsid w:val="00D43023"/>
    <w:rsid w:val="00D44599"/>
    <w:rsid w:val="00D45555"/>
    <w:rsid w:val="00D4591A"/>
    <w:rsid w:val="00D45A24"/>
    <w:rsid w:val="00D45B24"/>
    <w:rsid w:val="00D466D6"/>
    <w:rsid w:val="00D51874"/>
    <w:rsid w:val="00D52D6C"/>
    <w:rsid w:val="00D5407D"/>
    <w:rsid w:val="00D540C1"/>
    <w:rsid w:val="00D545E5"/>
    <w:rsid w:val="00D550D0"/>
    <w:rsid w:val="00D55DA9"/>
    <w:rsid w:val="00D56B9F"/>
    <w:rsid w:val="00D56BF3"/>
    <w:rsid w:val="00D56D40"/>
    <w:rsid w:val="00D605CA"/>
    <w:rsid w:val="00D609FB"/>
    <w:rsid w:val="00D60CF2"/>
    <w:rsid w:val="00D6101D"/>
    <w:rsid w:val="00D61127"/>
    <w:rsid w:val="00D614FA"/>
    <w:rsid w:val="00D621A6"/>
    <w:rsid w:val="00D629EE"/>
    <w:rsid w:val="00D632FB"/>
    <w:rsid w:val="00D638AC"/>
    <w:rsid w:val="00D640D6"/>
    <w:rsid w:val="00D64B14"/>
    <w:rsid w:val="00D66EBE"/>
    <w:rsid w:val="00D67E4B"/>
    <w:rsid w:val="00D7067E"/>
    <w:rsid w:val="00D70AB6"/>
    <w:rsid w:val="00D72722"/>
    <w:rsid w:val="00D72982"/>
    <w:rsid w:val="00D72DC9"/>
    <w:rsid w:val="00D72FAB"/>
    <w:rsid w:val="00D73553"/>
    <w:rsid w:val="00D740DC"/>
    <w:rsid w:val="00D74648"/>
    <w:rsid w:val="00D747BC"/>
    <w:rsid w:val="00D74ED1"/>
    <w:rsid w:val="00D7545D"/>
    <w:rsid w:val="00D756F2"/>
    <w:rsid w:val="00D75945"/>
    <w:rsid w:val="00D766CF"/>
    <w:rsid w:val="00D76987"/>
    <w:rsid w:val="00D76B6C"/>
    <w:rsid w:val="00D7713C"/>
    <w:rsid w:val="00D80491"/>
    <w:rsid w:val="00D805B3"/>
    <w:rsid w:val="00D811D6"/>
    <w:rsid w:val="00D81609"/>
    <w:rsid w:val="00D817DF"/>
    <w:rsid w:val="00D8187F"/>
    <w:rsid w:val="00D81FD5"/>
    <w:rsid w:val="00D829C2"/>
    <w:rsid w:val="00D83723"/>
    <w:rsid w:val="00D844A8"/>
    <w:rsid w:val="00D84B05"/>
    <w:rsid w:val="00D85638"/>
    <w:rsid w:val="00D85D76"/>
    <w:rsid w:val="00D864D1"/>
    <w:rsid w:val="00D86868"/>
    <w:rsid w:val="00D90B42"/>
    <w:rsid w:val="00D90B9D"/>
    <w:rsid w:val="00D91B20"/>
    <w:rsid w:val="00D92116"/>
    <w:rsid w:val="00D93091"/>
    <w:rsid w:val="00D9431E"/>
    <w:rsid w:val="00D94F5D"/>
    <w:rsid w:val="00D959FD"/>
    <w:rsid w:val="00D96655"/>
    <w:rsid w:val="00D972F7"/>
    <w:rsid w:val="00D97766"/>
    <w:rsid w:val="00DA0884"/>
    <w:rsid w:val="00DA14E3"/>
    <w:rsid w:val="00DA1885"/>
    <w:rsid w:val="00DA2632"/>
    <w:rsid w:val="00DA2857"/>
    <w:rsid w:val="00DA2DC5"/>
    <w:rsid w:val="00DA4978"/>
    <w:rsid w:val="00DA5426"/>
    <w:rsid w:val="00DA6087"/>
    <w:rsid w:val="00DA6388"/>
    <w:rsid w:val="00DA6789"/>
    <w:rsid w:val="00DA6A18"/>
    <w:rsid w:val="00DA7D61"/>
    <w:rsid w:val="00DA7F70"/>
    <w:rsid w:val="00DB017B"/>
    <w:rsid w:val="00DB0246"/>
    <w:rsid w:val="00DB0919"/>
    <w:rsid w:val="00DB0D26"/>
    <w:rsid w:val="00DB0F64"/>
    <w:rsid w:val="00DB1043"/>
    <w:rsid w:val="00DB1502"/>
    <w:rsid w:val="00DB1514"/>
    <w:rsid w:val="00DB1D5B"/>
    <w:rsid w:val="00DB2ED7"/>
    <w:rsid w:val="00DB30F3"/>
    <w:rsid w:val="00DB36EB"/>
    <w:rsid w:val="00DB3DD1"/>
    <w:rsid w:val="00DB3FB2"/>
    <w:rsid w:val="00DB423C"/>
    <w:rsid w:val="00DB4FF2"/>
    <w:rsid w:val="00DB72CE"/>
    <w:rsid w:val="00DB7A4C"/>
    <w:rsid w:val="00DB7E72"/>
    <w:rsid w:val="00DC04E6"/>
    <w:rsid w:val="00DC19CB"/>
    <w:rsid w:val="00DC1F90"/>
    <w:rsid w:val="00DC2F9A"/>
    <w:rsid w:val="00DC3202"/>
    <w:rsid w:val="00DC3825"/>
    <w:rsid w:val="00DC39C7"/>
    <w:rsid w:val="00DC3E6F"/>
    <w:rsid w:val="00DC44CC"/>
    <w:rsid w:val="00DC44F3"/>
    <w:rsid w:val="00DC6290"/>
    <w:rsid w:val="00DC6F2F"/>
    <w:rsid w:val="00DC7185"/>
    <w:rsid w:val="00DC7556"/>
    <w:rsid w:val="00DC7AB4"/>
    <w:rsid w:val="00DD0E6E"/>
    <w:rsid w:val="00DD1D0B"/>
    <w:rsid w:val="00DD2ABE"/>
    <w:rsid w:val="00DD32F8"/>
    <w:rsid w:val="00DD34EE"/>
    <w:rsid w:val="00DD3E7A"/>
    <w:rsid w:val="00DD606C"/>
    <w:rsid w:val="00DD61F7"/>
    <w:rsid w:val="00DD66D5"/>
    <w:rsid w:val="00DD6AC6"/>
    <w:rsid w:val="00DD6F53"/>
    <w:rsid w:val="00DD7731"/>
    <w:rsid w:val="00DD7857"/>
    <w:rsid w:val="00DD7E5C"/>
    <w:rsid w:val="00DE023C"/>
    <w:rsid w:val="00DE05D9"/>
    <w:rsid w:val="00DE092B"/>
    <w:rsid w:val="00DE0947"/>
    <w:rsid w:val="00DE0C63"/>
    <w:rsid w:val="00DE195B"/>
    <w:rsid w:val="00DE1AFB"/>
    <w:rsid w:val="00DE1E38"/>
    <w:rsid w:val="00DE4983"/>
    <w:rsid w:val="00DE4B67"/>
    <w:rsid w:val="00DE4F1A"/>
    <w:rsid w:val="00DE5226"/>
    <w:rsid w:val="00DE5975"/>
    <w:rsid w:val="00DE5C6E"/>
    <w:rsid w:val="00DE6567"/>
    <w:rsid w:val="00DE755B"/>
    <w:rsid w:val="00DF0A76"/>
    <w:rsid w:val="00DF13BE"/>
    <w:rsid w:val="00DF25BE"/>
    <w:rsid w:val="00DF2BF9"/>
    <w:rsid w:val="00DF37D1"/>
    <w:rsid w:val="00DF3E4D"/>
    <w:rsid w:val="00DF5A53"/>
    <w:rsid w:val="00DF6580"/>
    <w:rsid w:val="00DF6617"/>
    <w:rsid w:val="00DF76F7"/>
    <w:rsid w:val="00E00FCA"/>
    <w:rsid w:val="00E01727"/>
    <w:rsid w:val="00E0245D"/>
    <w:rsid w:val="00E02FC4"/>
    <w:rsid w:val="00E03384"/>
    <w:rsid w:val="00E04912"/>
    <w:rsid w:val="00E04B60"/>
    <w:rsid w:val="00E057E0"/>
    <w:rsid w:val="00E059FB"/>
    <w:rsid w:val="00E05ABB"/>
    <w:rsid w:val="00E07875"/>
    <w:rsid w:val="00E1027E"/>
    <w:rsid w:val="00E107A3"/>
    <w:rsid w:val="00E10DD6"/>
    <w:rsid w:val="00E11B8F"/>
    <w:rsid w:val="00E11CBE"/>
    <w:rsid w:val="00E12419"/>
    <w:rsid w:val="00E126E0"/>
    <w:rsid w:val="00E13264"/>
    <w:rsid w:val="00E13486"/>
    <w:rsid w:val="00E136E6"/>
    <w:rsid w:val="00E141C1"/>
    <w:rsid w:val="00E141C6"/>
    <w:rsid w:val="00E142EA"/>
    <w:rsid w:val="00E14397"/>
    <w:rsid w:val="00E14816"/>
    <w:rsid w:val="00E14E1A"/>
    <w:rsid w:val="00E15C96"/>
    <w:rsid w:val="00E15D16"/>
    <w:rsid w:val="00E1728C"/>
    <w:rsid w:val="00E1797D"/>
    <w:rsid w:val="00E207A4"/>
    <w:rsid w:val="00E2164A"/>
    <w:rsid w:val="00E21F35"/>
    <w:rsid w:val="00E22E25"/>
    <w:rsid w:val="00E23A9E"/>
    <w:rsid w:val="00E23E13"/>
    <w:rsid w:val="00E23E67"/>
    <w:rsid w:val="00E240C6"/>
    <w:rsid w:val="00E2461C"/>
    <w:rsid w:val="00E246B9"/>
    <w:rsid w:val="00E249FC"/>
    <w:rsid w:val="00E24B5F"/>
    <w:rsid w:val="00E25044"/>
    <w:rsid w:val="00E25594"/>
    <w:rsid w:val="00E26247"/>
    <w:rsid w:val="00E26595"/>
    <w:rsid w:val="00E27E1B"/>
    <w:rsid w:val="00E31366"/>
    <w:rsid w:val="00E31AE4"/>
    <w:rsid w:val="00E322A1"/>
    <w:rsid w:val="00E35DA5"/>
    <w:rsid w:val="00E36021"/>
    <w:rsid w:val="00E36AF0"/>
    <w:rsid w:val="00E37F83"/>
    <w:rsid w:val="00E40192"/>
    <w:rsid w:val="00E4032E"/>
    <w:rsid w:val="00E41542"/>
    <w:rsid w:val="00E41625"/>
    <w:rsid w:val="00E41CAC"/>
    <w:rsid w:val="00E4244D"/>
    <w:rsid w:val="00E446BE"/>
    <w:rsid w:val="00E44B25"/>
    <w:rsid w:val="00E45C91"/>
    <w:rsid w:val="00E45CFD"/>
    <w:rsid w:val="00E46132"/>
    <w:rsid w:val="00E46589"/>
    <w:rsid w:val="00E46914"/>
    <w:rsid w:val="00E46EE2"/>
    <w:rsid w:val="00E50243"/>
    <w:rsid w:val="00E50294"/>
    <w:rsid w:val="00E5094E"/>
    <w:rsid w:val="00E50AB2"/>
    <w:rsid w:val="00E50C71"/>
    <w:rsid w:val="00E51092"/>
    <w:rsid w:val="00E5112B"/>
    <w:rsid w:val="00E51D18"/>
    <w:rsid w:val="00E52082"/>
    <w:rsid w:val="00E52289"/>
    <w:rsid w:val="00E5289D"/>
    <w:rsid w:val="00E52B57"/>
    <w:rsid w:val="00E52DB5"/>
    <w:rsid w:val="00E54170"/>
    <w:rsid w:val="00E54612"/>
    <w:rsid w:val="00E547F4"/>
    <w:rsid w:val="00E549F0"/>
    <w:rsid w:val="00E55F27"/>
    <w:rsid w:val="00E56804"/>
    <w:rsid w:val="00E5744C"/>
    <w:rsid w:val="00E57964"/>
    <w:rsid w:val="00E605D2"/>
    <w:rsid w:val="00E61B41"/>
    <w:rsid w:val="00E61E5D"/>
    <w:rsid w:val="00E6225E"/>
    <w:rsid w:val="00E6442F"/>
    <w:rsid w:val="00E64648"/>
    <w:rsid w:val="00E668A3"/>
    <w:rsid w:val="00E66B89"/>
    <w:rsid w:val="00E66CD7"/>
    <w:rsid w:val="00E674D6"/>
    <w:rsid w:val="00E67C64"/>
    <w:rsid w:val="00E67C9E"/>
    <w:rsid w:val="00E706A5"/>
    <w:rsid w:val="00E71A61"/>
    <w:rsid w:val="00E72FA6"/>
    <w:rsid w:val="00E737F8"/>
    <w:rsid w:val="00E7485F"/>
    <w:rsid w:val="00E7522B"/>
    <w:rsid w:val="00E759E6"/>
    <w:rsid w:val="00E76048"/>
    <w:rsid w:val="00E76588"/>
    <w:rsid w:val="00E772DE"/>
    <w:rsid w:val="00E77334"/>
    <w:rsid w:val="00E775D6"/>
    <w:rsid w:val="00E807A5"/>
    <w:rsid w:val="00E8084E"/>
    <w:rsid w:val="00E80B30"/>
    <w:rsid w:val="00E80C2A"/>
    <w:rsid w:val="00E80D4C"/>
    <w:rsid w:val="00E82062"/>
    <w:rsid w:val="00E83C03"/>
    <w:rsid w:val="00E85468"/>
    <w:rsid w:val="00E8748B"/>
    <w:rsid w:val="00E87C9C"/>
    <w:rsid w:val="00E9022B"/>
    <w:rsid w:val="00E90525"/>
    <w:rsid w:val="00E90672"/>
    <w:rsid w:val="00E91107"/>
    <w:rsid w:val="00E91638"/>
    <w:rsid w:val="00E922F6"/>
    <w:rsid w:val="00E924D4"/>
    <w:rsid w:val="00E92BC6"/>
    <w:rsid w:val="00E92CCF"/>
    <w:rsid w:val="00E932D3"/>
    <w:rsid w:val="00E9347C"/>
    <w:rsid w:val="00E9457E"/>
    <w:rsid w:val="00E95191"/>
    <w:rsid w:val="00E956AB"/>
    <w:rsid w:val="00E96CAB"/>
    <w:rsid w:val="00E96E9B"/>
    <w:rsid w:val="00EA0EE3"/>
    <w:rsid w:val="00EA0F80"/>
    <w:rsid w:val="00EA240D"/>
    <w:rsid w:val="00EA3B1C"/>
    <w:rsid w:val="00EA499F"/>
    <w:rsid w:val="00EA6B69"/>
    <w:rsid w:val="00EB1476"/>
    <w:rsid w:val="00EB1479"/>
    <w:rsid w:val="00EB16FF"/>
    <w:rsid w:val="00EB1C55"/>
    <w:rsid w:val="00EB2A07"/>
    <w:rsid w:val="00EB4FAC"/>
    <w:rsid w:val="00EB54D4"/>
    <w:rsid w:val="00EB7552"/>
    <w:rsid w:val="00EB7899"/>
    <w:rsid w:val="00EC05DA"/>
    <w:rsid w:val="00EC06F9"/>
    <w:rsid w:val="00EC0CB8"/>
    <w:rsid w:val="00EC0D6C"/>
    <w:rsid w:val="00EC1452"/>
    <w:rsid w:val="00EC1787"/>
    <w:rsid w:val="00EC195D"/>
    <w:rsid w:val="00EC29A3"/>
    <w:rsid w:val="00EC2C2E"/>
    <w:rsid w:val="00EC3537"/>
    <w:rsid w:val="00EC3713"/>
    <w:rsid w:val="00EC3D0C"/>
    <w:rsid w:val="00EC4C19"/>
    <w:rsid w:val="00EC5371"/>
    <w:rsid w:val="00EC61CA"/>
    <w:rsid w:val="00EC6334"/>
    <w:rsid w:val="00EC747F"/>
    <w:rsid w:val="00EC7CD7"/>
    <w:rsid w:val="00ED0FFE"/>
    <w:rsid w:val="00ED151D"/>
    <w:rsid w:val="00ED1AAB"/>
    <w:rsid w:val="00ED1BB6"/>
    <w:rsid w:val="00ED2586"/>
    <w:rsid w:val="00ED327A"/>
    <w:rsid w:val="00ED3694"/>
    <w:rsid w:val="00ED375E"/>
    <w:rsid w:val="00ED377A"/>
    <w:rsid w:val="00ED38C4"/>
    <w:rsid w:val="00ED4498"/>
    <w:rsid w:val="00ED4D12"/>
    <w:rsid w:val="00ED54A4"/>
    <w:rsid w:val="00ED571C"/>
    <w:rsid w:val="00ED5E33"/>
    <w:rsid w:val="00ED652E"/>
    <w:rsid w:val="00ED6B44"/>
    <w:rsid w:val="00ED75DF"/>
    <w:rsid w:val="00EE0136"/>
    <w:rsid w:val="00EE0A08"/>
    <w:rsid w:val="00EE15CD"/>
    <w:rsid w:val="00EE1A8E"/>
    <w:rsid w:val="00EE2933"/>
    <w:rsid w:val="00EE5396"/>
    <w:rsid w:val="00EE5535"/>
    <w:rsid w:val="00EE76C9"/>
    <w:rsid w:val="00EF081C"/>
    <w:rsid w:val="00EF0D2C"/>
    <w:rsid w:val="00EF23D4"/>
    <w:rsid w:val="00EF37BB"/>
    <w:rsid w:val="00EF3DD7"/>
    <w:rsid w:val="00EF49A8"/>
    <w:rsid w:val="00EF58C8"/>
    <w:rsid w:val="00EF60CE"/>
    <w:rsid w:val="00EF672B"/>
    <w:rsid w:val="00EF69B1"/>
    <w:rsid w:val="00EF7772"/>
    <w:rsid w:val="00F0094B"/>
    <w:rsid w:val="00F014CE"/>
    <w:rsid w:val="00F056EC"/>
    <w:rsid w:val="00F05718"/>
    <w:rsid w:val="00F05809"/>
    <w:rsid w:val="00F05FA8"/>
    <w:rsid w:val="00F0654F"/>
    <w:rsid w:val="00F0680C"/>
    <w:rsid w:val="00F06C7F"/>
    <w:rsid w:val="00F0798D"/>
    <w:rsid w:val="00F07C62"/>
    <w:rsid w:val="00F10901"/>
    <w:rsid w:val="00F10FCE"/>
    <w:rsid w:val="00F12D6B"/>
    <w:rsid w:val="00F12D9B"/>
    <w:rsid w:val="00F13754"/>
    <w:rsid w:val="00F13969"/>
    <w:rsid w:val="00F14A1F"/>
    <w:rsid w:val="00F14A92"/>
    <w:rsid w:val="00F14FAB"/>
    <w:rsid w:val="00F15090"/>
    <w:rsid w:val="00F176B9"/>
    <w:rsid w:val="00F17848"/>
    <w:rsid w:val="00F213AE"/>
    <w:rsid w:val="00F21BC6"/>
    <w:rsid w:val="00F221BC"/>
    <w:rsid w:val="00F22414"/>
    <w:rsid w:val="00F22F79"/>
    <w:rsid w:val="00F232FB"/>
    <w:rsid w:val="00F23958"/>
    <w:rsid w:val="00F23CF4"/>
    <w:rsid w:val="00F24A2B"/>
    <w:rsid w:val="00F25679"/>
    <w:rsid w:val="00F258FA"/>
    <w:rsid w:val="00F25F13"/>
    <w:rsid w:val="00F25FCE"/>
    <w:rsid w:val="00F26124"/>
    <w:rsid w:val="00F3193E"/>
    <w:rsid w:val="00F31A79"/>
    <w:rsid w:val="00F31BCD"/>
    <w:rsid w:val="00F335C1"/>
    <w:rsid w:val="00F340F8"/>
    <w:rsid w:val="00F34B28"/>
    <w:rsid w:val="00F34E6F"/>
    <w:rsid w:val="00F35889"/>
    <w:rsid w:val="00F36208"/>
    <w:rsid w:val="00F36886"/>
    <w:rsid w:val="00F36E3C"/>
    <w:rsid w:val="00F36FA6"/>
    <w:rsid w:val="00F3705D"/>
    <w:rsid w:val="00F371BA"/>
    <w:rsid w:val="00F3729C"/>
    <w:rsid w:val="00F403D1"/>
    <w:rsid w:val="00F40C7F"/>
    <w:rsid w:val="00F41273"/>
    <w:rsid w:val="00F415CF"/>
    <w:rsid w:val="00F41E76"/>
    <w:rsid w:val="00F4309A"/>
    <w:rsid w:val="00F43EE3"/>
    <w:rsid w:val="00F43FD9"/>
    <w:rsid w:val="00F4517F"/>
    <w:rsid w:val="00F45D2C"/>
    <w:rsid w:val="00F46B57"/>
    <w:rsid w:val="00F46FE1"/>
    <w:rsid w:val="00F47ADE"/>
    <w:rsid w:val="00F47CFF"/>
    <w:rsid w:val="00F51614"/>
    <w:rsid w:val="00F51F1B"/>
    <w:rsid w:val="00F524D6"/>
    <w:rsid w:val="00F52518"/>
    <w:rsid w:val="00F52805"/>
    <w:rsid w:val="00F52B84"/>
    <w:rsid w:val="00F52C54"/>
    <w:rsid w:val="00F533B5"/>
    <w:rsid w:val="00F559AC"/>
    <w:rsid w:val="00F56BBE"/>
    <w:rsid w:val="00F572E5"/>
    <w:rsid w:val="00F60A14"/>
    <w:rsid w:val="00F61708"/>
    <w:rsid w:val="00F617AA"/>
    <w:rsid w:val="00F61D19"/>
    <w:rsid w:val="00F6440D"/>
    <w:rsid w:val="00F64D88"/>
    <w:rsid w:val="00F66D2F"/>
    <w:rsid w:val="00F66DFD"/>
    <w:rsid w:val="00F67F65"/>
    <w:rsid w:val="00F700AE"/>
    <w:rsid w:val="00F70345"/>
    <w:rsid w:val="00F7081D"/>
    <w:rsid w:val="00F709AA"/>
    <w:rsid w:val="00F71DC2"/>
    <w:rsid w:val="00F71F0F"/>
    <w:rsid w:val="00F7238B"/>
    <w:rsid w:val="00F72B19"/>
    <w:rsid w:val="00F72B4D"/>
    <w:rsid w:val="00F72EAB"/>
    <w:rsid w:val="00F738AD"/>
    <w:rsid w:val="00F738EA"/>
    <w:rsid w:val="00F742B8"/>
    <w:rsid w:val="00F745D2"/>
    <w:rsid w:val="00F76622"/>
    <w:rsid w:val="00F805E0"/>
    <w:rsid w:val="00F81C9E"/>
    <w:rsid w:val="00F826C3"/>
    <w:rsid w:val="00F831C3"/>
    <w:rsid w:val="00F832ED"/>
    <w:rsid w:val="00F8591D"/>
    <w:rsid w:val="00F8652A"/>
    <w:rsid w:val="00F86781"/>
    <w:rsid w:val="00F86B73"/>
    <w:rsid w:val="00F8703C"/>
    <w:rsid w:val="00F8718B"/>
    <w:rsid w:val="00F874AE"/>
    <w:rsid w:val="00F87669"/>
    <w:rsid w:val="00F87E99"/>
    <w:rsid w:val="00F87EDF"/>
    <w:rsid w:val="00F90707"/>
    <w:rsid w:val="00F91565"/>
    <w:rsid w:val="00F91B05"/>
    <w:rsid w:val="00F929A7"/>
    <w:rsid w:val="00F937E7"/>
    <w:rsid w:val="00F938EE"/>
    <w:rsid w:val="00F93E0B"/>
    <w:rsid w:val="00F94060"/>
    <w:rsid w:val="00F949F6"/>
    <w:rsid w:val="00F94D97"/>
    <w:rsid w:val="00F96DD4"/>
    <w:rsid w:val="00F97085"/>
    <w:rsid w:val="00F97792"/>
    <w:rsid w:val="00F979E0"/>
    <w:rsid w:val="00FA09E6"/>
    <w:rsid w:val="00FA1B17"/>
    <w:rsid w:val="00FA26E1"/>
    <w:rsid w:val="00FA2D09"/>
    <w:rsid w:val="00FA2ED8"/>
    <w:rsid w:val="00FA53CD"/>
    <w:rsid w:val="00FA5F9F"/>
    <w:rsid w:val="00FA6D05"/>
    <w:rsid w:val="00FB09C1"/>
    <w:rsid w:val="00FB1083"/>
    <w:rsid w:val="00FB13EF"/>
    <w:rsid w:val="00FB2CFC"/>
    <w:rsid w:val="00FB3124"/>
    <w:rsid w:val="00FB3795"/>
    <w:rsid w:val="00FB40E4"/>
    <w:rsid w:val="00FB52A1"/>
    <w:rsid w:val="00FB5468"/>
    <w:rsid w:val="00FB5484"/>
    <w:rsid w:val="00FB5874"/>
    <w:rsid w:val="00FB6269"/>
    <w:rsid w:val="00FB644D"/>
    <w:rsid w:val="00FB66F1"/>
    <w:rsid w:val="00FB6D89"/>
    <w:rsid w:val="00FB731E"/>
    <w:rsid w:val="00FC02A7"/>
    <w:rsid w:val="00FC0688"/>
    <w:rsid w:val="00FC2415"/>
    <w:rsid w:val="00FC31B9"/>
    <w:rsid w:val="00FC3983"/>
    <w:rsid w:val="00FC5686"/>
    <w:rsid w:val="00FC57AB"/>
    <w:rsid w:val="00FC5FCC"/>
    <w:rsid w:val="00FC6BFE"/>
    <w:rsid w:val="00FC6E6D"/>
    <w:rsid w:val="00FC73C1"/>
    <w:rsid w:val="00FC7BC8"/>
    <w:rsid w:val="00FD0FCD"/>
    <w:rsid w:val="00FD1874"/>
    <w:rsid w:val="00FD2550"/>
    <w:rsid w:val="00FD2EDF"/>
    <w:rsid w:val="00FD2F4C"/>
    <w:rsid w:val="00FD3173"/>
    <w:rsid w:val="00FD4494"/>
    <w:rsid w:val="00FD48F3"/>
    <w:rsid w:val="00FD4D2A"/>
    <w:rsid w:val="00FD54AE"/>
    <w:rsid w:val="00FD7276"/>
    <w:rsid w:val="00FD7FD7"/>
    <w:rsid w:val="00FE067C"/>
    <w:rsid w:val="00FE1222"/>
    <w:rsid w:val="00FE1567"/>
    <w:rsid w:val="00FE2664"/>
    <w:rsid w:val="00FE2B21"/>
    <w:rsid w:val="00FE4408"/>
    <w:rsid w:val="00FE4A8C"/>
    <w:rsid w:val="00FE4AC9"/>
    <w:rsid w:val="00FE4E8F"/>
    <w:rsid w:val="00FE5909"/>
    <w:rsid w:val="00FE64DD"/>
    <w:rsid w:val="00FE65BA"/>
    <w:rsid w:val="00FE7437"/>
    <w:rsid w:val="00FE7B12"/>
    <w:rsid w:val="00FE7EA6"/>
    <w:rsid w:val="00FF1291"/>
    <w:rsid w:val="00FF131B"/>
    <w:rsid w:val="00FF1562"/>
    <w:rsid w:val="00FF1A3B"/>
    <w:rsid w:val="00FF1B4C"/>
    <w:rsid w:val="00FF1B87"/>
    <w:rsid w:val="00FF1E2B"/>
    <w:rsid w:val="00FF3E29"/>
    <w:rsid w:val="00FF3E4B"/>
    <w:rsid w:val="00FF4257"/>
    <w:rsid w:val="00FF654B"/>
    <w:rsid w:val="00FF66A2"/>
    <w:rsid w:val="00FF6CD5"/>
    <w:rsid w:val="00FF7204"/>
    <w:rsid w:val="00FF726E"/>
    <w:rsid w:val="01092DE8"/>
    <w:rsid w:val="011B0745"/>
    <w:rsid w:val="016A7BF0"/>
    <w:rsid w:val="0183477F"/>
    <w:rsid w:val="018E1EA2"/>
    <w:rsid w:val="01926154"/>
    <w:rsid w:val="01981D96"/>
    <w:rsid w:val="01E66FA5"/>
    <w:rsid w:val="024B446E"/>
    <w:rsid w:val="02571C51"/>
    <w:rsid w:val="026659F0"/>
    <w:rsid w:val="027F2F56"/>
    <w:rsid w:val="028440C8"/>
    <w:rsid w:val="028916DF"/>
    <w:rsid w:val="029D7C98"/>
    <w:rsid w:val="02CD3CC1"/>
    <w:rsid w:val="02F13230"/>
    <w:rsid w:val="03082F4B"/>
    <w:rsid w:val="0317318F"/>
    <w:rsid w:val="0358511F"/>
    <w:rsid w:val="039B323B"/>
    <w:rsid w:val="03CC315E"/>
    <w:rsid w:val="03E7444B"/>
    <w:rsid w:val="04221DEB"/>
    <w:rsid w:val="0438160E"/>
    <w:rsid w:val="04446205"/>
    <w:rsid w:val="046406D1"/>
    <w:rsid w:val="046823DA"/>
    <w:rsid w:val="047F723D"/>
    <w:rsid w:val="04910DFE"/>
    <w:rsid w:val="04B97507"/>
    <w:rsid w:val="04D66460"/>
    <w:rsid w:val="04E62CFC"/>
    <w:rsid w:val="04ED4F45"/>
    <w:rsid w:val="05232258"/>
    <w:rsid w:val="05542478"/>
    <w:rsid w:val="05926AFC"/>
    <w:rsid w:val="059A72D7"/>
    <w:rsid w:val="05B922DB"/>
    <w:rsid w:val="05C23605"/>
    <w:rsid w:val="05D435B9"/>
    <w:rsid w:val="05D851F7"/>
    <w:rsid w:val="05F2114A"/>
    <w:rsid w:val="05FE4192"/>
    <w:rsid w:val="06687B07"/>
    <w:rsid w:val="0672167D"/>
    <w:rsid w:val="06774DCA"/>
    <w:rsid w:val="067D77AC"/>
    <w:rsid w:val="06874187"/>
    <w:rsid w:val="068F72AD"/>
    <w:rsid w:val="06A27213"/>
    <w:rsid w:val="06C822EA"/>
    <w:rsid w:val="06CE1DB6"/>
    <w:rsid w:val="06F1464C"/>
    <w:rsid w:val="072C4328"/>
    <w:rsid w:val="074C3905"/>
    <w:rsid w:val="075A5A3E"/>
    <w:rsid w:val="075E75DE"/>
    <w:rsid w:val="075F5104"/>
    <w:rsid w:val="07632E46"/>
    <w:rsid w:val="07A80859"/>
    <w:rsid w:val="08042CA2"/>
    <w:rsid w:val="080B2B96"/>
    <w:rsid w:val="084A5DB4"/>
    <w:rsid w:val="087C3485"/>
    <w:rsid w:val="08CC4A1B"/>
    <w:rsid w:val="08F54FFF"/>
    <w:rsid w:val="08FF1C4F"/>
    <w:rsid w:val="08FF7541"/>
    <w:rsid w:val="090221EB"/>
    <w:rsid w:val="09177D3F"/>
    <w:rsid w:val="091A12E3"/>
    <w:rsid w:val="092B1742"/>
    <w:rsid w:val="093700E7"/>
    <w:rsid w:val="09576AD2"/>
    <w:rsid w:val="098E4DDC"/>
    <w:rsid w:val="0993176D"/>
    <w:rsid w:val="09B64B07"/>
    <w:rsid w:val="09D41DD9"/>
    <w:rsid w:val="09D81C01"/>
    <w:rsid w:val="0A0C24FF"/>
    <w:rsid w:val="0A2649D7"/>
    <w:rsid w:val="0A4047F0"/>
    <w:rsid w:val="0A690774"/>
    <w:rsid w:val="0A7F7F97"/>
    <w:rsid w:val="0A892BC4"/>
    <w:rsid w:val="0A895661"/>
    <w:rsid w:val="0B293A5F"/>
    <w:rsid w:val="0B362A3B"/>
    <w:rsid w:val="0B440899"/>
    <w:rsid w:val="0B597B84"/>
    <w:rsid w:val="0B5A4560"/>
    <w:rsid w:val="0B6D5629"/>
    <w:rsid w:val="0B8A1735"/>
    <w:rsid w:val="0BBC023E"/>
    <w:rsid w:val="0BBC2B25"/>
    <w:rsid w:val="0BC3726F"/>
    <w:rsid w:val="0C046A34"/>
    <w:rsid w:val="0C1464BD"/>
    <w:rsid w:val="0C1D3048"/>
    <w:rsid w:val="0C6F7B97"/>
    <w:rsid w:val="0C71390F"/>
    <w:rsid w:val="0C7E427E"/>
    <w:rsid w:val="0C8E44C1"/>
    <w:rsid w:val="0CEB6545"/>
    <w:rsid w:val="0D1464D3"/>
    <w:rsid w:val="0D1633A0"/>
    <w:rsid w:val="0D1C63F3"/>
    <w:rsid w:val="0D3A117D"/>
    <w:rsid w:val="0D49663A"/>
    <w:rsid w:val="0D652B25"/>
    <w:rsid w:val="0DA87365"/>
    <w:rsid w:val="0E4136CA"/>
    <w:rsid w:val="0E6C1F74"/>
    <w:rsid w:val="0E8D5C3B"/>
    <w:rsid w:val="0EA11202"/>
    <w:rsid w:val="0EA20DE0"/>
    <w:rsid w:val="0EA578A0"/>
    <w:rsid w:val="0EB61AAE"/>
    <w:rsid w:val="0EBD108E"/>
    <w:rsid w:val="0EF56A7A"/>
    <w:rsid w:val="0EFB5712"/>
    <w:rsid w:val="0EFE4D24"/>
    <w:rsid w:val="0F205690"/>
    <w:rsid w:val="0F2111A8"/>
    <w:rsid w:val="0F661726"/>
    <w:rsid w:val="0F715023"/>
    <w:rsid w:val="0F815DA9"/>
    <w:rsid w:val="0F9564DC"/>
    <w:rsid w:val="0FB83603"/>
    <w:rsid w:val="0FBA381F"/>
    <w:rsid w:val="0FCF7C3B"/>
    <w:rsid w:val="0FD74C28"/>
    <w:rsid w:val="0FE513FC"/>
    <w:rsid w:val="100F5919"/>
    <w:rsid w:val="100F5E76"/>
    <w:rsid w:val="103507FE"/>
    <w:rsid w:val="10424777"/>
    <w:rsid w:val="106F63B8"/>
    <w:rsid w:val="11050ACA"/>
    <w:rsid w:val="113160C0"/>
    <w:rsid w:val="113E5D8A"/>
    <w:rsid w:val="11427629"/>
    <w:rsid w:val="11627CCB"/>
    <w:rsid w:val="116577BB"/>
    <w:rsid w:val="11A958FA"/>
    <w:rsid w:val="11B0043B"/>
    <w:rsid w:val="11DF756D"/>
    <w:rsid w:val="11E12AF0"/>
    <w:rsid w:val="120F3367"/>
    <w:rsid w:val="12135F22"/>
    <w:rsid w:val="12605E9D"/>
    <w:rsid w:val="126E17D7"/>
    <w:rsid w:val="12712C3F"/>
    <w:rsid w:val="128E09D9"/>
    <w:rsid w:val="12930F4F"/>
    <w:rsid w:val="12977E48"/>
    <w:rsid w:val="12A146D5"/>
    <w:rsid w:val="12AD766B"/>
    <w:rsid w:val="12BC0240"/>
    <w:rsid w:val="12E267A6"/>
    <w:rsid w:val="12E74E6B"/>
    <w:rsid w:val="12F2265E"/>
    <w:rsid w:val="12FB7246"/>
    <w:rsid w:val="13050CDE"/>
    <w:rsid w:val="130C7D63"/>
    <w:rsid w:val="13407938"/>
    <w:rsid w:val="13433B2C"/>
    <w:rsid w:val="1351449B"/>
    <w:rsid w:val="135D699C"/>
    <w:rsid w:val="1379016E"/>
    <w:rsid w:val="13A04ADA"/>
    <w:rsid w:val="13CC69F5"/>
    <w:rsid w:val="13D93BF1"/>
    <w:rsid w:val="13E75FB2"/>
    <w:rsid w:val="1402475B"/>
    <w:rsid w:val="14025795"/>
    <w:rsid w:val="140D6614"/>
    <w:rsid w:val="141325EC"/>
    <w:rsid w:val="14191E7C"/>
    <w:rsid w:val="141A488D"/>
    <w:rsid w:val="142B450A"/>
    <w:rsid w:val="14470E31"/>
    <w:rsid w:val="14634F83"/>
    <w:rsid w:val="146B333A"/>
    <w:rsid w:val="148D1503"/>
    <w:rsid w:val="14A97CD9"/>
    <w:rsid w:val="14C26FAF"/>
    <w:rsid w:val="150C0679"/>
    <w:rsid w:val="1544458E"/>
    <w:rsid w:val="156B2F10"/>
    <w:rsid w:val="15911B8B"/>
    <w:rsid w:val="15995C85"/>
    <w:rsid w:val="15B36D47"/>
    <w:rsid w:val="15D60C87"/>
    <w:rsid w:val="15E11B06"/>
    <w:rsid w:val="15E55C9A"/>
    <w:rsid w:val="15EA4303"/>
    <w:rsid w:val="15EA4C8F"/>
    <w:rsid w:val="15EE29BF"/>
    <w:rsid w:val="15F44AD5"/>
    <w:rsid w:val="16175D54"/>
    <w:rsid w:val="16467BBB"/>
    <w:rsid w:val="165878EE"/>
    <w:rsid w:val="165A3666"/>
    <w:rsid w:val="167F10BD"/>
    <w:rsid w:val="169A1CB5"/>
    <w:rsid w:val="16A545F0"/>
    <w:rsid w:val="16CF5E02"/>
    <w:rsid w:val="16D25783"/>
    <w:rsid w:val="1707192A"/>
    <w:rsid w:val="170D23F1"/>
    <w:rsid w:val="17533C12"/>
    <w:rsid w:val="17996C28"/>
    <w:rsid w:val="17A50638"/>
    <w:rsid w:val="17A51577"/>
    <w:rsid w:val="17B617BC"/>
    <w:rsid w:val="17C52CBF"/>
    <w:rsid w:val="17F13B56"/>
    <w:rsid w:val="180A6356"/>
    <w:rsid w:val="180E64B6"/>
    <w:rsid w:val="1820443C"/>
    <w:rsid w:val="18441A34"/>
    <w:rsid w:val="18616D75"/>
    <w:rsid w:val="186C142F"/>
    <w:rsid w:val="18803DEB"/>
    <w:rsid w:val="18820E45"/>
    <w:rsid w:val="18A07277"/>
    <w:rsid w:val="18A64941"/>
    <w:rsid w:val="18A706B9"/>
    <w:rsid w:val="18AB0608"/>
    <w:rsid w:val="18DB1B9C"/>
    <w:rsid w:val="18F70D97"/>
    <w:rsid w:val="1901397F"/>
    <w:rsid w:val="19013F18"/>
    <w:rsid w:val="19121FD6"/>
    <w:rsid w:val="19240BBF"/>
    <w:rsid w:val="19597C05"/>
    <w:rsid w:val="196275FE"/>
    <w:rsid w:val="196F43D6"/>
    <w:rsid w:val="19832B7B"/>
    <w:rsid w:val="199C5D44"/>
    <w:rsid w:val="19BB266E"/>
    <w:rsid w:val="19ED03B4"/>
    <w:rsid w:val="1A437ED6"/>
    <w:rsid w:val="1A663D17"/>
    <w:rsid w:val="1A6D66CD"/>
    <w:rsid w:val="1A9122CA"/>
    <w:rsid w:val="1AA66E7A"/>
    <w:rsid w:val="1AB64BE3"/>
    <w:rsid w:val="1AD05CA5"/>
    <w:rsid w:val="1AD4308C"/>
    <w:rsid w:val="1B2315E5"/>
    <w:rsid w:val="1B2B737F"/>
    <w:rsid w:val="1B3B6807"/>
    <w:rsid w:val="1B3C79A3"/>
    <w:rsid w:val="1B444488"/>
    <w:rsid w:val="1B4A3CA9"/>
    <w:rsid w:val="1B7D1804"/>
    <w:rsid w:val="1B9E2247"/>
    <w:rsid w:val="1BAF1D5E"/>
    <w:rsid w:val="1BD45C69"/>
    <w:rsid w:val="1BEA723A"/>
    <w:rsid w:val="1BF34341"/>
    <w:rsid w:val="1C4C57FF"/>
    <w:rsid w:val="1C7549F6"/>
    <w:rsid w:val="1C786A3B"/>
    <w:rsid w:val="1C827736"/>
    <w:rsid w:val="1C84456A"/>
    <w:rsid w:val="1C8E5E18"/>
    <w:rsid w:val="1C9B1C69"/>
    <w:rsid w:val="1CB3587E"/>
    <w:rsid w:val="1D2642A2"/>
    <w:rsid w:val="1D350AA3"/>
    <w:rsid w:val="1D5C5F16"/>
    <w:rsid w:val="1D5C6D72"/>
    <w:rsid w:val="1D77549B"/>
    <w:rsid w:val="1D890952"/>
    <w:rsid w:val="1DA10FA1"/>
    <w:rsid w:val="1DC353C9"/>
    <w:rsid w:val="1DDC7057"/>
    <w:rsid w:val="1E0C4109"/>
    <w:rsid w:val="1EAE27A1"/>
    <w:rsid w:val="1EB17F54"/>
    <w:rsid w:val="1ECA3515"/>
    <w:rsid w:val="1ED33FB6"/>
    <w:rsid w:val="1ED6095A"/>
    <w:rsid w:val="1EFC09A8"/>
    <w:rsid w:val="1F542D83"/>
    <w:rsid w:val="1F813A12"/>
    <w:rsid w:val="1F9F6B3E"/>
    <w:rsid w:val="1FC550BE"/>
    <w:rsid w:val="206155F1"/>
    <w:rsid w:val="2090355A"/>
    <w:rsid w:val="20915ED7"/>
    <w:rsid w:val="20AD2576"/>
    <w:rsid w:val="20CB77E1"/>
    <w:rsid w:val="20CD4FA8"/>
    <w:rsid w:val="20D65FDF"/>
    <w:rsid w:val="20EE3329"/>
    <w:rsid w:val="20F52909"/>
    <w:rsid w:val="210E7527"/>
    <w:rsid w:val="21117017"/>
    <w:rsid w:val="21492FB1"/>
    <w:rsid w:val="21495609"/>
    <w:rsid w:val="216A06D1"/>
    <w:rsid w:val="21725D08"/>
    <w:rsid w:val="21751B2E"/>
    <w:rsid w:val="21843C8D"/>
    <w:rsid w:val="21846D50"/>
    <w:rsid w:val="21BF6A73"/>
    <w:rsid w:val="21DC13D3"/>
    <w:rsid w:val="21E559DB"/>
    <w:rsid w:val="21F029E2"/>
    <w:rsid w:val="21F15CAB"/>
    <w:rsid w:val="21F9443D"/>
    <w:rsid w:val="22244596"/>
    <w:rsid w:val="22394A78"/>
    <w:rsid w:val="224A0A33"/>
    <w:rsid w:val="22517AAF"/>
    <w:rsid w:val="22623FCE"/>
    <w:rsid w:val="22636AE2"/>
    <w:rsid w:val="229135AD"/>
    <w:rsid w:val="22B365D8"/>
    <w:rsid w:val="23046E34"/>
    <w:rsid w:val="2309444A"/>
    <w:rsid w:val="233012E3"/>
    <w:rsid w:val="2331574F"/>
    <w:rsid w:val="23450EDC"/>
    <w:rsid w:val="23682531"/>
    <w:rsid w:val="238A4A63"/>
    <w:rsid w:val="239D5442"/>
    <w:rsid w:val="239F6B5C"/>
    <w:rsid w:val="23A66992"/>
    <w:rsid w:val="23C44E13"/>
    <w:rsid w:val="23CD52D2"/>
    <w:rsid w:val="23E822B1"/>
    <w:rsid w:val="23FE1AD5"/>
    <w:rsid w:val="240D4A99"/>
    <w:rsid w:val="2419493C"/>
    <w:rsid w:val="24207C9D"/>
    <w:rsid w:val="247679F6"/>
    <w:rsid w:val="247C6E9E"/>
    <w:rsid w:val="24946921"/>
    <w:rsid w:val="24A6668C"/>
    <w:rsid w:val="24B473B2"/>
    <w:rsid w:val="24D171E9"/>
    <w:rsid w:val="24E9150F"/>
    <w:rsid w:val="24F21193"/>
    <w:rsid w:val="24F609FE"/>
    <w:rsid w:val="250421EB"/>
    <w:rsid w:val="25374485"/>
    <w:rsid w:val="25553977"/>
    <w:rsid w:val="25875AFA"/>
    <w:rsid w:val="25927805"/>
    <w:rsid w:val="25B10E34"/>
    <w:rsid w:val="25D25B74"/>
    <w:rsid w:val="2642191D"/>
    <w:rsid w:val="26844111"/>
    <w:rsid w:val="268B33C8"/>
    <w:rsid w:val="26937225"/>
    <w:rsid w:val="26AB5818"/>
    <w:rsid w:val="26BE379D"/>
    <w:rsid w:val="26BE7476"/>
    <w:rsid w:val="26D62895"/>
    <w:rsid w:val="26DC3C24"/>
    <w:rsid w:val="26DE7F7F"/>
    <w:rsid w:val="27027B2E"/>
    <w:rsid w:val="2707220D"/>
    <w:rsid w:val="27165388"/>
    <w:rsid w:val="272918A9"/>
    <w:rsid w:val="27391076"/>
    <w:rsid w:val="27C90FEC"/>
    <w:rsid w:val="27D02DB7"/>
    <w:rsid w:val="27E93D2B"/>
    <w:rsid w:val="27EE1451"/>
    <w:rsid w:val="280653FC"/>
    <w:rsid w:val="280D24E3"/>
    <w:rsid w:val="280D2C22"/>
    <w:rsid w:val="28245882"/>
    <w:rsid w:val="28292E99"/>
    <w:rsid w:val="283133A6"/>
    <w:rsid w:val="283A382A"/>
    <w:rsid w:val="28450E2E"/>
    <w:rsid w:val="286A598B"/>
    <w:rsid w:val="286F1880"/>
    <w:rsid w:val="288F719F"/>
    <w:rsid w:val="28A32C4B"/>
    <w:rsid w:val="28A35F08"/>
    <w:rsid w:val="28AF339E"/>
    <w:rsid w:val="28CF4E80"/>
    <w:rsid w:val="28E84B02"/>
    <w:rsid w:val="290C4C94"/>
    <w:rsid w:val="29310257"/>
    <w:rsid w:val="294D7198"/>
    <w:rsid w:val="294E705B"/>
    <w:rsid w:val="2969668D"/>
    <w:rsid w:val="299B2F17"/>
    <w:rsid w:val="29A0362E"/>
    <w:rsid w:val="29A15F3D"/>
    <w:rsid w:val="29A96C5C"/>
    <w:rsid w:val="29C56BF1"/>
    <w:rsid w:val="29F86FC6"/>
    <w:rsid w:val="2A0C1546"/>
    <w:rsid w:val="2A232A17"/>
    <w:rsid w:val="2A4A6B02"/>
    <w:rsid w:val="2A5561C7"/>
    <w:rsid w:val="2A610E75"/>
    <w:rsid w:val="2A9767DF"/>
    <w:rsid w:val="2A9C3DF6"/>
    <w:rsid w:val="2A9E13F0"/>
    <w:rsid w:val="2AD27734"/>
    <w:rsid w:val="2B006133"/>
    <w:rsid w:val="2B054B6B"/>
    <w:rsid w:val="2B0C2C87"/>
    <w:rsid w:val="2B255B99"/>
    <w:rsid w:val="2B41674B"/>
    <w:rsid w:val="2B570FA2"/>
    <w:rsid w:val="2BBC3B2C"/>
    <w:rsid w:val="2BF069EC"/>
    <w:rsid w:val="2C372028"/>
    <w:rsid w:val="2C425EFD"/>
    <w:rsid w:val="2C487B06"/>
    <w:rsid w:val="2C90798A"/>
    <w:rsid w:val="2C9A6113"/>
    <w:rsid w:val="2CAD0FE3"/>
    <w:rsid w:val="2CD72CCD"/>
    <w:rsid w:val="2CDD0162"/>
    <w:rsid w:val="2D0F08AF"/>
    <w:rsid w:val="2D4744ED"/>
    <w:rsid w:val="2D66545A"/>
    <w:rsid w:val="2DAA4A7C"/>
    <w:rsid w:val="2DAA682A"/>
    <w:rsid w:val="2DBC56AA"/>
    <w:rsid w:val="2DE22CA2"/>
    <w:rsid w:val="2DF61A6F"/>
    <w:rsid w:val="2DF960CB"/>
    <w:rsid w:val="2E156399"/>
    <w:rsid w:val="2E227124"/>
    <w:rsid w:val="2E6D24D1"/>
    <w:rsid w:val="2E9F138C"/>
    <w:rsid w:val="2EA712DE"/>
    <w:rsid w:val="2ED316F4"/>
    <w:rsid w:val="2EDB6FB6"/>
    <w:rsid w:val="2EDF69A7"/>
    <w:rsid w:val="2F115C1D"/>
    <w:rsid w:val="2F2B626B"/>
    <w:rsid w:val="2F2D7712"/>
    <w:rsid w:val="2F3F2FA2"/>
    <w:rsid w:val="2F4607D4"/>
    <w:rsid w:val="2F463BCE"/>
    <w:rsid w:val="2F4E7C05"/>
    <w:rsid w:val="2F6D3FB3"/>
    <w:rsid w:val="2FEE50F3"/>
    <w:rsid w:val="301E705B"/>
    <w:rsid w:val="30590D3B"/>
    <w:rsid w:val="30737D3B"/>
    <w:rsid w:val="30751371"/>
    <w:rsid w:val="309F4840"/>
    <w:rsid w:val="30A25EDE"/>
    <w:rsid w:val="30A9101A"/>
    <w:rsid w:val="30E87E7C"/>
    <w:rsid w:val="30FC01F6"/>
    <w:rsid w:val="31224929"/>
    <w:rsid w:val="312A1CE8"/>
    <w:rsid w:val="31376626"/>
    <w:rsid w:val="313F7907"/>
    <w:rsid w:val="316771C6"/>
    <w:rsid w:val="317038E6"/>
    <w:rsid w:val="317C228B"/>
    <w:rsid w:val="319805E6"/>
    <w:rsid w:val="319E0453"/>
    <w:rsid w:val="31A740D8"/>
    <w:rsid w:val="31AA4AFD"/>
    <w:rsid w:val="31AF08B2"/>
    <w:rsid w:val="31BC2BEC"/>
    <w:rsid w:val="31BE0AF5"/>
    <w:rsid w:val="31D976DD"/>
    <w:rsid w:val="31FE63E8"/>
    <w:rsid w:val="320C0483"/>
    <w:rsid w:val="321E0D93"/>
    <w:rsid w:val="3243100D"/>
    <w:rsid w:val="324A4137"/>
    <w:rsid w:val="324F79A0"/>
    <w:rsid w:val="32695D76"/>
    <w:rsid w:val="32760F95"/>
    <w:rsid w:val="329934D8"/>
    <w:rsid w:val="32BB4322"/>
    <w:rsid w:val="32C04272"/>
    <w:rsid w:val="32DF2AD1"/>
    <w:rsid w:val="32F10A57"/>
    <w:rsid w:val="32FB0021"/>
    <w:rsid w:val="33042538"/>
    <w:rsid w:val="33125324"/>
    <w:rsid w:val="33264770"/>
    <w:rsid w:val="333A41AC"/>
    <w:rsid w:val="335943FA"/>
    <w:rsid w:val="33673093"/>
    <w:rsid w:val="337663FE"/>
    <w:rsid w:val="3381627F"/>
    <w:rsid w:val="3385640A"/>
    <w:rsid w:val="33892053"/>
    <w:rsid w:val="33B26438"/>
    <w:rsid w:val="33D453FD"/>
    <w:rsid w:val="33E67E90"/>
    <w:rsid w:val="33F109F7"/>
    <w:rsid w:val="33F842D9"/>
    <w:rsid w:val="342002E1"/>
    <w:rsid w:val="34256150"/>
    <w:rsid w:val="34270BD4"/>
    <w:rsid w:val="343F6B5B"/>
    <w:rsid w:val="34454F45"/>
    <w:rsid w:val="34562B0B"/>
    <w:rsid w:val="34655C26"/>
    <w:rsid w:val="34806E53"/>
    <w:rsid w:val="34C75F13"/>
    <w:rsid w:val="34CE2DFE"/>
    <w:rsid w:val="34E37753"/>
    <w:rsid w:val="35374E47"/>
    <w:rsid w:val="354B444E"/>
    <w:rsid w:val="35507C9C"/>
    <w:rsid w:val="35633E8E"/>
    <w:rsid w:val="357323D9"/>
    <w:rsid w:val="358B2E3D"/>
    <w:rsid w:val="358C1F9B"/>
    <w:rsid w:val="35A71011"/>
    <w:rsid w:val="35BA15D4"/>
    <w:rsid w:val="35C010CE"/>
    <w:rsid w:val="35C81F43"/>
    <w:rsid w:val="35D445C7"/>
    <w:rsid w:val="35EF5186"/>
    <w:rsid w:val="36073225"/>
    <w:rsid w:val="360F223A"/>
    <w:rsid w:val="362509BD"/>
    <w:rsid w:val="36287EA7"/>
    <w:rsid w:val="36332873"/>
    <w:rsid w:val="363B2715"/>
    <w:rsid w:val="364E4909"/>
    <w:rsid w:val="365657A0"/>
    <w:rsid w:val="36973D02"/>
    <w:rsid w:val="36E7289C"/>
    <w:rsid w:val="370B27C8"/>
    <w:rsid w:val="37182A56"/>
    <w:rsid w:val="371F2036"/>
    <w:rsid w:val="372F0F36"/>
    <w:rsid w:val="3753277D"/>
    <w:rsid w:val="375515B4"/>
    <w:rsid w:val="37A12A4B"/>
    <w:rsid w:val="37ED5C91"/>
    <w:rsid w:val="38135D20"/>
    <w:rsid w:val="38172D0E"/>
    <w:rsid w:val="38187D2E"/>
    <w:rsid w:val="3837515E"/>
    <w:rsid w:val="384927A0"/>
    <w:rsid w:val="38B14F10"/>
    <w:rsid w:val="38B7004D"/>
    <w:rsid w:val="38B90269"/>
    <w:rsid w:val="38B92017"/>
    <w:rsid w:val="38CD161E"/>
    <w:rsid w:val="38F64A1A"/>
    <w:rsid w:val="38F848ED"/>
    <w:rsid w:val="39227BBC"/>
    <w:rsid w:val="39505958"/>
    <w:rsid w:val="396C7089"/>
    <w:rsid w:val="397B5273"/>
    <w:rsid w:val="397C551E"/>
    <w:rsid w:val="39812B34"/>
    <w:rsid w:val="39844181"/>
    <w:rsid w:val="39903935"/>
    <w:rsid w:val="39B06F76"/>
    <w:rsid w:val="39F55DED"/>
    <w:rsid w:val="3A176FF5"/>
    <w:rsid w:val="3A2D1E7A"/>
    <w:rsid w:val="3A340FF7"/>
    <w:rsid w:val="3A3F6B21"/>
    <w:rsid w:val="3A7B57D6"/>
    <w:rsid w:val="3A9A190D"/>
    <w:rsid w:val="3AB72586"/>
    <w:rsid w:val="3AD13648"/>
    <w:rsid w:val="3AF66579"/>
    <w:rsid w:val="3AF91BA6"/>
    <w:rsid w:val="3B0752BB"/>
    <w:rsid w:val="3B1F2605"/>
    <w:rsid w:val="3B424B80"/>
    <w:rsid w:val="3B954675"/>
    <w:rsid w:val="3BA0301A"/>
    <w:rsid w:val="3BBC60A6"/>
    <w:rsid w:val="3BE455FD"/>
    <w:rsid w:val="3BE60C08"/>
    <w:rsid w:val="3C157564"/>
    <w:rsid w:val="3C280707"/>
    <w:rsid w:val="3C767DED"/>
    <w:rsid w:val="3C860462"/>
    <w:rsid w:val="3CE11114"/>
    <w:rsid w:val="3CEC296C"/>
    <w:rsid w:val="3CFE26EE"/>
    <w:rsid w:val="3D1B66CA"/>
    <w:rsid w:val="3D1F2647"/>
    <w:rsid w:val="3D2739F3"/>
    <w:rsid w:val="3D3C316D"/>
    <w:rsid w:val="3D8175A7"/>
    <w:rsid w:val="3D8E5AC5"/>
    <w:rsid w:val="3DC94AAA"/>
    <w:rsid w:val="3E1C2105"/>
    <w:rsid w:val="3E38578C"/>
    <w:rsid w:val="3E391743"/>
    <w:rsid w:val="3E4A2A81"/>
    <w:rsid w:val="3E640EDA"/>
    <w:rsid w:val="3E9F580B"/>
    <w:rsid w:val="3EA1729E"/>
    <w:rsid w:val="3ED71449"/>
    <w:rsid w:val="3ED8360B"/>
    <w:rsid w:val="3EE53B65"/>
    <w:rsid w:val="3F1E2BD3"/>
    <w:rsid w:val="3F2A3E42"/>
    <w:rsid w:val="3F3348D1"/>
    <w:rsid w:val="3F3B3785"/>
    <w:rsid w:val="3F8663DE"/>
    <w:rsid w:val="3FAF7CCF"/>
    <w:rsid w:val="3FDB6D16"/>
    <w:rsid w:val="3FE71217"/>
    <w:rsid w:val="3FEC4338"/>
    <w:rsid w:val="3FF11EBC"/>
    <w:rsid w:val="3FF57DD8"/>
    <w:rsid w:val="405C03BC"/>
    <w:rsid w:val="406C796F"/>
    <w:rsid w:val="409072AC"/>
    <w:rsid w:val="40FD6DCE"/>
    <w:rsid w:val="41006A35"/>
    <w:rsid w:val="41171FD0"/>
    <w:rsid w:val="411C3143"/>
    <w:rsid w:val="413D639B"/>
    <w:rsid w:val="414A5F02"/>
    <w:rsid w:val="41792343"/>
    <w:rsid w:val="41831414"/>
    <w:rsid w:val="4198167F"/>
    <w:rsid w:val="41A05B22"/>
    <w:rsid w:val="41BF4055"/>
    <w:rsid w:val="41DB79A1"/>
    <w:rsid w:val="41E52780"/>
    <w:rsid w:val="41FB0E2F"/>
    <w:rsid w:val="420A5691"/>
    <w:rsid w:val="42110A7D"/>
    <w:rsid w:val="421729DE"/>
    <w:rsid w:val="42552DB0"/>
    <w:rsid w:val="42663C8A"/>
    <w:rsid w:val="426C3C56"/>
    <w:rsid w:val="427005BB"/>
    <w:rsid w:val="429338D8"/>
    <w:rsid w:val="42A726BC"/>
    <w:rsid w:val="42B11027"/>
    <w:rsid w:val="42B23D5F"/>
    <w:rsid w:val="42C22487"/>
    <w:rsid w:val="42DA32B5"/>
    <w:rsid w:val="42EB256B"/>
    <w:rsid w:val="430F56AE"/>
    <w:rsid w:val="43104F29"/>
    <w:rsid w:val="431E13F4"/>
    <w:rsid w:val="43672D9B"/>
    <w:rsid w:val="43707776"/>
    <w:rsid w:val="43770B04"/>
    <w:rsid w:val="43865F28"/>
    <w:rsid w:val="43B8443A"/>
    <w:rsid w:val="43BE2B29"/>
    <w:rsid w:val="43D44D4F"/>
    <w:rsid w:val="43DF61E6"/>
    <w:rsid w:val="43F61030"/>
    <w:rsid w:val="442210CE"/>
    <w:rsid w:val="442A5B77"/>
    <w:rsid w:val="443E41B9"/>
    <w:rsid w:val="44406040"/>
    <w:rsid w:val="445A645C"/>
    <w:rsid w:val="44846E7B"/>
    <w:rsid w:val="449175CA"/>
    <w:rsid w:val="44A54CDD"/>
    <w:rsid w:val="44BD2E10"/>
    <w:rsid w:val="44DE1B9E"/>
    <w:rsid w:val="44F56185"/>
    <w:rsid w:val="45132B74"/>
    <w:rsid w:val="451A3E3D"/>
    <w:rsid w:val="4545710C"/>
    <w:rsid w:val="45717F01"/>
    <w:rsid w:val="4582403C"/>
    <w:rsid w:val="45AC34E5"/>
    <w:rsid w:val="45B340AB"/>
    <w:rsid w:val="45C218AE"/>
    <w:rsid w:val="45C90447"/>
    <w:rsid w:val="45E43CB8"/>
    <w:rsid w:val="45EF7078"/>
    <w:rsid w:val="460D74FE"/>
    <w:rsid w:val="463352C3"/>
    <w:rsid w:val="46555E19"/>
    <w:rsid w:val="46647A66"/>
    <w:rsid w:val="46777892"/>
    <w:rsid w:val="468974CC"/>
    <w:rsid w:val="469009AD"/>
    <w:rsid w:val="46AD0328"/>
    <w:rsid w:val="46B94C58"/>
    <w:rsid w:val="46FC7F77"/>
    <w:rsid w:val="471A6376"/>
    <w:rsid w:val="47356D0C"/>
    <w:rsid w:val="473E02B7"/>
    <w:rsid w:val="474463BB"/>
    <w:rsid w:val="474E6020"/>
    <w:rsid w:val="476E78FE"/>
    <w:rsid w:val="47830381"/>
    <w:rsid w:val="47A125F4"/>
    <w:rsid w:val="47CD6BD8"/>
    <w:rsid w:val="47CF53B3"/>
    <w:rsid w:val="480908C5"/>
    <w:rsid w:val="480D36B8"/>
    <w:rsid w:val="48115913"/>
    <w:rsid w:val="486D4757"/>
    <w:rsid w:val="48733054"/>
    <w:rsid w:val="48B8308E"/>
    <w:rsid w:val="48EB7FCA"/>
    <w:rsid w:val="4901159C"/>
    <w:rsid w:val="491A440C"/>
    <w:rsid w:val="493227EC"/>
    <w:rsid w:val="494E0559"/>
    <w:rsid w:val="495A0CAC"/>
    <w:rsid w:val="49956188"/>
    <w:rsid w:val="499A554C"/>
    <w:rsid w:val="499A72FA"/>
    <w:rsid w:val="49D071C0"/>
    <w:rsid w:val="4A001853"/>
    <w:rsid w:val="4A080708"/>
    <w:rsid w:val="4A1452FF"/>
    <w:rsid w:val="4A3474F0"/>
    <w:rsid w:val="4A34774F"/>
    <w:rsid w:val="4A392FB7"/>
    <w:rsid w:val="4A78588E"/>
    <w:rsid w:val="4AA97B59"/>
    <w:rsid w:val="4AAA7C87"/>
    <w:rsid w:val="4ABA6F52"/>
    <w:rsid w:val="4ACD7C7C"/>
    <w:rsid w:val="4ADD7DE7"/>
    <w:rsid w:val="4B3D6AD7"/>
    <w:rsid w:val="4B72387A"/>
    <w:rsid w:val="4B85158D"/>
    <w:rsid w:val="4C013661"/>
    <w:rsid w:val="4C1B203D"/>
    <w:rsid w:val="4C516396"/>
    <w:rsid w:val="4CA3296A"/>
    <w:rsid w:val="4CAA019C"/>
    <w:rsid w:val="4CAE1A3B"/>
    <w:rsid w:val="4CC3062E"/>
    <w:rsid w:val="4CD026A6"/>
    <w:rsid w:val="4D027691"/>
    <w:rsid w:val="4D13189E"/>
    <w:rsid w:val="4D2C0BB1"/>
    <w:rsid w:val="4D77007F"/>
    <w:rsid w:val="4D8C2F83"/>
    <w:rsid w:val="4D9F75D5"/>
    <w:rsid w:val="4DC43168"/>
    <w:rsid w:val="4DC67CB4"/>
    <w:rsid w:val="4E113D5D"/>
    <w:rsid w:val="4E1E7219"/>
    <w:rsid w:val="4E2D4BE1"/>
    <w:rsid w:val="4E51243A"/>
    <w:rsid w:val="4E517186"/>
    <w:rsid w:val="4E920637"/>
    <w:rsid w:val="4E980D90"/>
    <w:rsid w:val="4EA967EB"/>
    <w:rsid w:val="4EB96475"/>
    <w:rsid w:val="4EBD703D"/>
    <w:rsid w:val="4ECA741E"/>
    <w:rsid w:val="4EEC23A6"/>
    <w:rsid w:val="4F361873"/>
    <w:rsid w:val="4F455F5A"/>
    <w:rsid w:val="4F4E005F"/>
    <w:rsid w:val="4F700C72"/>
    <w:rsid w:val="4F836FD1"/>
    <w:rsid w:val="4FAD422B"/>
    <w:rsid w:val="4FCD042A"/>
    <w:rsid w:val="4FD55642"/>
    <w:rsid w:val="4FE23BDC"/>
    <w:rsid w:val="4FEF63C4"/>
    <w:rsid w:val="50047DE1"/>
    <w:rsid w:val="5014473A"/>
    <w:rsid w:val="50267B3A"/>
    <w:rsid w:val="50551558"/>
    <w:rsid w:val="505620F6"/>
    <w:rsid w:val="50680152"/>
    <w:rsid w:val="50783C60"/>
    <w:rsid w:val="508A593E"/>
    <w:rsid w:val="509E354F"/>
    <w:rsid w:val="509E7E74"/>
    <w:rsid w:val="50B60EBE"/>
    <w:rsid w:val="50EA5EA6"/>
    <w:rsid w:val="5119769F"/>
    <w:rsid w:val="511C02C4"/>
    <w:rsid w:val="512A746A"/>
    <w:rsid w:val="513B13C3"/>
    <w:rsid w:val="515A47AB"/>
    <w:rsid w:val="518D7D5A"/>
    <w:rsid w:val="51AA57AB"/>
    <w:rsid w:val="51AE0344"/>
    <w:rsid w:val="51D97F9F"/>
    <w:rsid w:val="521F6F37"/>
    <w:rsid w:val="525C76C9"/>
    <w:rsid w:val="52AB2578"/>
    <w:rsid w:val="52B9356C"/>
    <w:rsid w:val="52BE482B"/>
    <w:rsid w:val="5327235A"/>
    <w:rsid w:val="537A08C9"/>
    <w:rsid w:val="53B86CFB"/>
    <w:rsid w:val="53E667F9"/>
    <w:rsid w:val="540939FA"/>
    <w:rsid w:val="543B72B9"/>
    <w:rsid w:val="544455CE"/>
    <w:rsid w:val="544E5F04"/>
    <w:rsid w:val="54530666"/>
    <w:rsid w:val="54741D03"/>
    <w:rsid w:val="54A159E1"/>
    <w:rsid w:val="54AB2D04"/>
    <w:rsid w:val="54AD082A"/>
    <w:rsid w:val="54AE0FDD"/>
    <w:rsid w:val="54CB198F"/>
    <w:rsid w:val="551E1403"/>
    <w:rsid w:val="556A671B"/>
    <w:rsid w:val="558275C0"/>
    <w:rsid w:val="5593102F"/>
    <w:rsid w:val="55B915A0"/>
    <w:rsid w:val="55F12998"/>
    <w:rsid w:val="56191C53"/>
    <w:rsid w:val="56525419"/>
    <w:rsid w:val="56817962"/>
    <w:rsid w:val="568C59F3"/>
    <w:rsid w:val="56D007FF"/>
    <w:rsid w:val="56DA179D"/>
    <w:rsid w:val="56E524FD"/>
    <w:rsid w:val="56F3629C"/>
    <w:rsid w:val="57095CAB"/>
    <w:rsid w:val="570F562D"/>
    <w:rsid w:val="571C1C97"/>
    <w:rsid w:val="5726041F"/>
    <w:rsid w:val="574E5D37"/>
    <w:rsid w:val="57643691"/>
    <w:rsid w:val="576B42C3"/>
    <w:rsid w:val="57711FE2"/>
    <w:rsid w:val="57792C45"/>
    <w:rsid w:val="57A96194"/>
    <w:rsid w:val="57BB500C"/>
    <w:rsid w:val="57D1482F"/>
    <w:rsid w:val="57D85BBE"/>
    <w:rsid w:val="57F4510A"/>
    <w:rsid w:val="580A5F38"/>
    <w:rsid w:val="581A61D6"/>
    <w:rsid w:val="582C415B"/>
    <w:rsid w:val="5858730C"/>
    <w:rsid w:val="587358E6"/>
    <w:rsid w:val="587F33E7"/>
    <w:rsid w:val="5886561A"/>
    <w:rsid w:val="58A5001E"/>
    <w:rsid w:val="58CD4FF7"/>
    <w:rsid w:val="58DD0FB2"/>
    <w:rsid w:val="58DD5E06"/>
    <w:rsid w:val="59022143"/>
    <w:rsid w:val="592B226D"/>
    <w:rsid w:val="59506A60"/>
    <w:rsid w:val="59701E26"/>
    <w:rsid w:val="597F0A98"/>
    <w:rsid w:val="59923323"/>
    <w:rsid w:val="59CC108C"/>
    <w:rsid w:val="59CC3FC8"/>
    <w:rsid w:val="59D70321"/>
    <w:rsid w:val="59DA36DD"/>
    <w:rsid w:val="5A230B9F"/>
    <w:rsid w:val="5A7410B4"/>
    <w:rsid w:val="5A9543EF"/>
    <w:rsid w:val="5A9B11BD"/>
    <w:rsid w:val="5AAE0E58"/>
    <w:rsid w:val="5AFD6893"/>
    <w:rsid w:val="5B1433B1"/>
    <w:rsid w:val="5B445318"/>
    <w:rsid w:val="5B503CBD"/>
    <w:rsid w:val="5B70585B"/>
    <w:rsid w:val="5B9A06E1"/>
    <w:rsid w:val="5BA5225B"/>
    <w:rsid w:val="5BC671A5"/>
    <w:rsid w:val="5BE7262C"/>
    <w:rsid w:val="5BEC478B"/>
    <w:rsid w:val="5C0A6562"/>
    <w:rsid w:val="5C413EE3"/>
    <w:rsid w:val="5C9A5B38"/>
    <w:rsid w:val="5C9B365E"/>
    <w:rsid w:val="5CBF734C"/>
    <w:rsid w:val="5CC937C3"/>
    <w:rsid w:val="5CE86853"/>
    <w:rsid w:val="5CF50FC0"/>
    <w:rsid w:val="5CF61D0D"/>
    <w:rsid w:val="5D0E2082"/>
    <w:rsid w:val="5D135E9A"/>
    <w:rsid w:val="5D156F6C"/>
    <w:rsid w:val="5D1574A0"/>
    <w:rsid w:val="5D1F428F"/>
    <w:rsid w:val="5D411F85"/>
    <w:rsid w:val="5DEA05A2"/>
    <w:rsid w:val="5DFB2606"/>
    <w:rsid w:val="5E0B450A"/>
    <w:rsid w:val="5E1831B8"/>
    <w:rsid w:val="5E3B0C54"/>
    <w:rsid w:val="5E6D4B86"/>
    <w:rsid w:val="5E9B16F3"/>
    <w:rsid w:val="5E9F6493"/>
    <w:rsid w:val="5EAA7B88"/>
    <w:rsid w:val="5EBA3FE4"/>
    <w:rsid w:val="5F3821EF"/>
    <w:rsid w:val="5F505DEE"/>
    <w:rsid w:val="5F5D4BFA"/>
    <w:rsid w:val="5FAE5456"/>
    <w:rsid w:val="5FD92C57"/>
    <w:rsid w:val="5FDE4B10"/>
    <w:rsid w:val="5FE01AB3"/>
    <w:rsid w:val="600F70A7"/>
    <w:rsid w:val="6011625E"/>
    <w:rsid w:val="60180424"/>
    <w:rsid w:val="60326087"/>
    <w:rsid w:val="60487608"/>
    <w:rsid w:val="604B7DE5"/>
    <w:rsid w:val="606306D7"/>
    <w:rsid w:val="607F289B"/>
    <w:rsid w:val="608C5C6B"/>
    <w:rsid w:val="60A06F83"/>
    <w:rsid w:val="60D32015"/>
    <w:rsid w:val="60D86C2E"/>
    <w:rsid w:val="60DC26AF"/>
    <w:rsid w:val="60DD5FF3"/>
    <w:rsid w:val="61016DEA"/>
    <w:rsid w:val="610338C8"/>
    <w:rsid w:val="610F14C6"/>
    <w:rsid w:val="61137C66"/>
    <w:rsid w:val="61243C22"/>
    <w:rsid w:val="613E2DAE"/>
    <w:rsid w:val="613E2F72"/>
    <w:rsid w:val="6155027F"/>
    <w:rsid w:val="618E54C4"/>
    <w:rsid w:val="61943B37"/>
    <w:rsid w:val="619743F4"/>
    <w:rsid w:val="61E4459E"/>
    <w:rsid w:val="61E57855"/>
    <w:rsid w:val="620121B5"/>
    <w:rsid w:val="620677CB"/>
    <w:rsid w:val="621D7142"/>
    <w:rsid w:val="62220B09"/>
    <w:rsid w:val="623E6F65"/>
    <w:rsid w:val="62476747"/>
    <w:rsid w:val="62853336"/>
    <w:rsid w:val="62966DA1"/>
    <w:rsid w:val="62BF00A6"/>
    <w:rsid w:val="62C626F4"/>
    <w:rsid w:val="62EA49F7"/>
    <w:rsid w:val="62F92E8C"/>
    <w:rsid w:val="630261E5"/>
    <w:rsid w:val="63217532"/>
    <w:rsid w:val="63260125"/>
    <w:rsid w:val="632C3261"/>
    <w:rsid w:val="634047A4"/>
    <w:rsid w:val="634F023D"/>
    <w:rsid w:val="63554566"/>
    <w:rsid w:val="6395126D"/>
    <w:rsid w:val="639D00B9"/>
    <w:rsid w:val="63A12D94"/>
    <w:rsid w:val="63BA086D"/>
    <w:rsid w:val="63D062E3"/>
    <w:rsid w:val="63DD630A"/>
    <w:rsid w:val="63E6179B"/>
    <w:rsid w:val="63F518A5"/>
    <w:rsid w:val="641C1DB4"/>
    <w:rsid w:val="6429154F"/>
    <w:rsid w:val="643832AE"/>
    <w:rsid w:val="644C4667"/>
    <w:rsid w:val="645D22AF"/>
    <w:rsid w:val="64966BE4"/>
    <w:rsid w:val="64B057DE"/>
    <w:rsid w:val="64B96D77"/>
    <w:rsid w:val="64CE2C89"/>
    <w:rsid w:val="651A5A67"/>
    <w:rsid w:val="652F1BCA"/>
    <w:rsid w:val="653D4A71"/>
    <w:rsid w:val="654F3A66"/>
    <w:rsid w:val="656D375E"/>
    <w:rsid w:val="65EB11B2"/>
    <w:rsid w:val="65FC33BF"/>
    <w:rsid w:val="6615622F"/>
    <w:rsid w:val="6640476F"/>
    <w:rsid w:val="66484177"/>
    <w:rsid w:val="66611474"/>
    <w:rsid w:val="66680A54"/>
    <w:rsid w:val="66715025"/>
    <w:rsid w:val="668138C4"/>
    <w:rsid w:val="66903B07"/>
    <w:rsid w:val="66AB08E7"/>
    <w:rsid w:val="66AC6B93"/>
    <w:rsid w:val="66B45A48"/>
    <w:rsid w:val="66DC57F7"/>
    <w:rsid w:val="67334BBF"/>
    <w:rsid w:val="674566A0"/>
    <w:rsid w:val="6746367B"/>
    <w:rsid w:val="675B2367"/>
    <w:rsid w:val="677A0A3F"/>
    <w:rsid w:val="677E5755"/>
    <w:rsid w:val="67BC7A52"/>
    <w:rsid w:val="68143268"/>
    <w:rsid w:val="68150768"/>
    <w:rsid w:val="6821545C"/>
    <w:rsid w:val="68572B2F"/>
    <w:rsid w:val="68582403"/>
    <w:rsid w:val="6861575B"/>
    <w:rsid w:val="686B2D87"/>
    <w:rsid w:val="688C3A50"/>
    <w:rsid w:val="68AC2CF6"/>
    <w:rsid w:val="68B735CD"/>
    <w:rsid w:val="68CB194B"/>
    <w:rsid w:val="690305C1"/>
    <w:rsid w:val="690A6175"/>
    <w:rsid w:val="692109DB"/>
    <w:rsid w:val="693C3AD3"/>
    <w:rsid w:val="69603C65"/>
    <w:rsid w:val="6973347C"/>
    <w:rsid w:val="697D0373"/>
    <w:rsid w:val="69A73642"/>
    <w:rsid w:val="69B95123"/>
    <w:rsid w:val="69DC778F"/>
    <w:rsid w:val="69EB1780"/>
    <w:rsid w:val="6A0501B7"/>
    <w:rsid w:val="6A10568B"/>
    <w:rsid w:val="6A425452"/>
    <w:rsid w:val="6A437567"/>
    <w:rsid w:val="6A952066"/>
    <w:rsid w:val="6AA3205B"/>
    <w:rsid w:val="6AB44268"/>
    <w:rsid w:val="6AB53970"/>
    <w:rsid w:val="6AD246EE"/>
    <w:rsid w:val="6AD93563"/>
    <w:rsid w:val="6ADC731B"/>
    <w:rsid w:val="6B133F57"/>
    <w:rsid w:val="6B3638C9"/>
    <w:rsid w:val="6B5222C8"/>
    <w:rsid w:val="6B560E7C"/>
    <w:rsid w:val="6B916358"/>
    <w:rsid w:val="6BAE1C75"/>
    <w:rsid w:val="6C030E69"/>
    <w:rsid w:val="6C360CAD"/>
    <w:rsid w:val="6C5555D7"/>
    <w:rsid w:val="6C77379F"/>
    <w:rsid w:val="6C8201B8"/>
    <w:rsid w:val="6CA9147F"/>
    <w:rsid w:val="6CED2B82"/>
    <w:rsid w:val="6D497EC6"/>
    <w:rsid w:val="6D5533B5"/>
    <w:rsid w:val="6DA60DCF"/>
    <w:rsid w:val="6DC3789B"/>
    <w:rsid w:val="6DC41C0E"/>
    <w:rsid w:val="6DEA61F3"/>
    <w:rsid w:val="6DED64EA"/>
    <w:rsid w:val="6DF57072"/>
    <w:rsid w:val="6E443B55"/>
    <w:rsid w:val="6E6E2980"/>
    <w:rsid w:val="6EB505AF"/>
    <w:rsid w:val="6ED749C9"/>
    <w:rsid w:val="6EED5F9B"/>
    <w:rsid w:val="6EEE15BE"/>
    <w:rsid w:val="6F34735B"/>
    <w:rsid w:val="6F693FEF"/>
    <w:rsid w:val="6F6B7162"/>
    <w:rsid w:val="6F9B1553"/>
    <w:rsid w:val="6FC36CFC"/>
    <w:rsid w:val="6FD26F3F"/>
    <w:rsid w:val="6FE07E43"/>
    <w:rsid w:val="6FF735EA"/>
    <w:rsid w:val="701778DC"/>
    <w:rsid w:val="70291255"/>
    <w:rsid w:val="702A3280"/>
    <w:rsid w:val="70463DEA"/>
    <w:rsid w:val="705E3501"/>
    <w:rsid w:val="706763E8"/>
    <w:rsid w:val="70A73F27"/>
    <w:rsid w:val="70F01D72"/>
    <w:rsid w:val="715A27F3"/>
    <w:rsid w:val="71B171DF"/>
    <w:rsid w:val="71D65BB8"/>
    <w:rsid w:val="725325B9"/>
    <w:rsid w:val="72615139"/>
    <w:rsid w:val="726245AA"/>
    <w:rsid w:val="7271138A"/>
    <w:rsid w:val="72755DC2"/>
    <w:rsid w:val="728D7D7F"/>
    <w:rsid w:val="729624A5"/>
    <w:rsid w:val="72F316A6"/>
    <w:rsid w:val="72F6011D"/>
    <w:rsid w:val="73010267"/>
    <w:rsid w:val="730731B7"/>
    <w:rsid w:val="731A30D6"/>
    <w:rsid w:val="732775A1"/>
    <w:rsid w:val="733C0FA4"/>
    <w:rsid w:val="73506AF8"/>
    <w:rsid w:val="735B3FFC"/>
    <w:rsid w:val="73905147"/>
    <w:rsid w:val="739A7D73"/>
    <w:rsid w:val="73B21561"/>
    <w:rsid w:val="73D17C39"/>
    <w:rsid w:val="73D56FFD"/>
    <w:rsid w:val="74212243"/>
    <w:rsid w:val="74257F85"/>
    <w:rsid w:val="7460720F"/>
    <w:rsid w:val="747D56CB"/>
    <w:rsid w:val="74AE06FF"/>
    <w:rsid w:val="74B85EE0"/>
    <w:rsid w:val="74BC2C75"/>
    <w:rsid w:val="74C26893"/>
    <w:rsid w:val="74C4779E"/>
    <w:rsid w:val="74CE23CA"/>
    <w:rsid w:val="74D472B5"/>
    <w:rsid w:val="74F51F3E"/>
    <w:rsid w:val="750722DF"/>
    <w:rsid w:val="75534576"/>
    <w:rsid w:val="757C2C68"/>
    <w:rsid w:val="75B17978"/>
    <w:rsid w:val="75CB2646"/>
    <w:rsid w:val="7621477C"/>
    <w:rsid w:val="762D3121"/>
    <w:rsid w:val="76345020"/>
    <w:rsid w:val="7657019E"/>
    <w:rsid w:val="76813BAB"/>
    <w:rsid w:val="768C388F"/>
    <w:rsid w:val="76A64435"/>
    <w:rsid w:val="76B97DEF"/>
    <w:rsid w:val="76CD0A00"/>
    <w:rsid w:val="76E539FB"/>
    <w:rsid w:val="771334D2"/>
    <w:rsid w:val="775D17E4"/>
    <w:rsid w:val="7763680E"/>
    <w:rsid w:val="776C1A27"/>
    <w:rsid w:val="77756B2D"/>
    <w:rsid w:val="777D6AC4"/>
    <w:rsid w:val="779C40BA"/>
    <w:rsid w:val="779C4FA5"/>
    <w:rsid w:val="77A94803"/>
    <w:rsid w:val="77AB3E76"/>
    <w:rsid w:val="77C975EC"/>
    <w:rsid w:val="77D54725"/>
    <w:rsid w:val="77DA0571"/>
    <w:rsid w:val="77FD0061"/>
    <w:rsid w:val="781138F8"/>
    <w:rsid w:val="78177BE5"/>
    <w:rsid w:val="7821344E"/>
    <w:rsid w:val="78564BB1"/>
    <w:rsid w:val="78954B9F"/>
    <w:rsid w:val="78BA3601"/>
    <w:rsid w:val="78F02670"/>
    <w:rsid w:val="78F61EF0"/>
    <w:rsid w:val="78FB0AB1"/>
    <w:rsid w:val="792E51E6"/>
    <w:rsid w:val="797A042B"/>
    <w:rsid w:val="798A3867"/>
    <w:rsid w:val="799A6D1F"/>
    <w:rsid w:val="79D5515E"/>
    <w:rsid w:val="79E32CF8"/>
    <w:rsid w:val="79F24605"/>
    <w:rsid w:val="7A170370"/>
    <w:rsid w:val="7A1A1C0E"/>
    <w:rsid w:val="7A3B22B0"/>
    <w:rsid w:val="7A546ECE"/>
    <w:rsid w:val="7A7C01D3"/>
    <w:rsid w:val="7A8377B3"/>
    <w:rsid w:val="7A8A0B42"/>
    <w:rsid w:val="7A903C7E"/>
    <w:rsid w:val="7AAF2BC9"/>
    <w:rsid w:val="7AB51C50"/>
    <w:rsid w:val="7ACB5CFF"/>
    <w:rsid w:val="7ACD1873"/>
    <w:rsid w:val="7AE00762"/>
    <w:rsid w:val="7B2B0145"/>
    <w:rsid w:val="7B3A24AD"/>
    <w:rsid w:val="7B9A4DB4"/>
    <w:rsid w:val="7BB830BA"/>
    <w:rsid w:val="7BBF0CBF"/>
    <w:rsid w:val="7C255C9F"/>
    <w:rsid w:val="7C690BD8"/>
    <w:rsid w:val="7C740E33"/>
    <w:rsid w:val="7CAD5AAD"/>
    <w:rsid w:val="7CC42B1F"/>
    <w:rsid w:val="7CE979E6"/>
    <w:rsid w:val="7D142945"/>
    <w:rsid w:val="7D1A6F58"/>
    <w:rsid w:val="7D517499"/>
    <w:rsid w:val="7D8B36E0"/>
    <w:rsid w:val="7DBF4FA6"/>
    <w:rsid w:val="7DC73E5B"/>
    <w:rsid w:val="7DCD5A40"/>
    <w:rsid w:val="7DD345AE"/>
    <w:rsid w:val="7DDD71DA"/>
    <w:rsid w:val="7DF764EE"/>
    <w:rsid w:val="7E0546B0"/>
    <w:rsid w:val="7E1C41A7"/>
    <w:rsid w:val="7E233A0A"/>
    <w:rsid w:val="7E4234E1"/>
    <w:rsid w:val="7E665422"/>
    <w:rsid w:val="7E7067B4"/>
    <w:rsid w:val="7ED20D09"/>
    <w:rsid w:val="7ED30121"/>
    <w:rsid w:val="7EE7398F"/>
    <w:rsid w:val="7EEB3B79"/>
    <w:rsid w:val="7EEE33D2"/>
    <w:rsid w:val="7EF14EEE"/>
    <w:rsid w:val="7EFE0786"/>
    <w:rsid w:val="7F1615DE"/>
    <w:rsid w:val="7F7917BB"/>
    <w:rsid w:val="7FD269B4"/>
    <w:rsid w:val="7FD840FD"/>
    <w:rsid w:val="7FF204C4"/>
    <w:rsid w:val="7FF67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61"/>
    <w:qFormat/>
    <w:uiPriority w:val="9"/>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link w:val="187"/>
    <w:qFormat/>
    <w:uiPriority w:val="0"/>
    <w:pPr>
      <w:keepNext/>
      <w:keepLines/>
      <w:spacing w:before="260" w:after="260" w:line="416" w:lineRule="auto"/>
      <w:outlineLvl w:val="2"/>
    </w:pPr>
    <w:rPr>
      <w:b/>
      <w:sz w:val="32"/>
    </w:rPr>
  </w:style>
  <w:style w:type="paragraph" w:styleId="5">
    <w:name w:val="heading 4"/>
    <w:basedOn w:val="1"/>
    <w:next w:val="1"/>
    <w:qFormat/>
    <w:uiPriority w:val="0"/>
    <w:pPr>
      <w:keepNext/>
      <w:spacing w:line="460" w:lineRule="exact"/>
      <w:jc w:val="both"/>
      <w:outlineLvl w:val="3"/>
    </w:pPr>
    <w:rPr>
      <w:rFonts w:ascii="宋体"/>
      <w:sz w:val="24"/>
    </w:rPr>
  </w:style>
  <w:style w:type="paragraph" w:styleId="6">
    <w:name w:val="heading 5"/>
    <w:basedOn w:val="1"/>
    <w:next w:val="7"/>
    <w:qFormat/>
    <w:uiPriority w:val="0"/>
    <w:pPr>
      <w:keepNext/>
      <w:keepLines/>
      <w:widowControl w:val="0"/>
      <w:spacing w:before="280" w:after="290" w:line="376" w:lineRule="auto"/>
      <w:jc w:val="both"/>
      <w:outlineLvl w:val="4"/>
    </w:pPr>
    <w:rPr>
      <w:b/>
      <w:kern w:val="2"/>
      <w:sz w:val="24"/>
    </w:rPr>
  </w:style>
  <w:style w:type="paragraph" w:styleId="9">
    <w:name w:val="heading 6"/>
    <w:basedOn w:val="1"/>
    <w:next w:val="7"/>
    <w:qFormat/>
    <w:uiPriority w:val="0"/>
    <w:pPr>
      <w:keepNext/>
      <w:keepLines/>
      <w:widowControl w:val="0"/>
      <w:tabs>
        <w:tab w:val="left" w:pos="360"/>
      </w:tabs>
      <w:spacing w:before="240" w:after="64" w:line="320" w:lineRule="auto"/>
      <w:ind w:left="360" w:hanging="360"/>
      <w:jc w:val="both"/>
      <w:outlineLvl w:val="5"/>
    </w:pPr>
    <w:rPr>
      <w:rFonts w:ascii="Arial" w:hAnsi="Arial" w:eastAsia="黑体"/>
      <w:b/>
      <w:kern w:val="2"/>
      <w:sz w:val="24"/>
    </w:rPr>
  </w:style>
  <w:style w:type="paragraph" w:styleId="10">
    <w:name w:val="heading 7"/>
    <w:basedOn w:val="1"/>
    <w:next w:val="7"/>
    <w:qFormat/>
    <w:uiPriority w:val="0"/>
    <w:pPr>
      <w:keepNext/>
      <w:keepLines/>
      <w:widowControl w:val="0"/>
      <w:tabs>
        <w:tab w:val="left" w:pos="360"/>
      </w:tabs>
      <w:spacing w:before="240" w:after="64" w:line="320" w:lineRule="auto"/>
      <w:ind w:left="360" w:hanging="360"/>
      <w:jc w:val="both"/>
      <w:outlineLvl w:val="6"/>
    </w:pPr>
    <w:rPr>
      <w:b/>
      <w:kern w:val="2"/>
      <w:sz w:val="24"/>
    </w:rPr>
  </w:style>
  <w:style w:type="paragraph" w:styleId="11">
    <w:name w:val="heading 8"/>
    <w:basedOn w:val="1"/>
    <w:next w:val="7"/>
    <w:qFormat/>
    <w:uiPriority w:val="0"/>
    <w:pPr>
      <w:keepNext/>
      <w:keepLines/>
      <w:widowControl w:val="0"/>
      <w:tabs>
        <w:tab w:val="left" w:pos="360"/>
      </w:tabs>
      <w:spacing w:before="240" w:after="64" w:line="320" w:lineRule="auto"/>
      <w:ind w:left="360" w:hanging="360"/>
      <w:jc w:val="both"/>
      <w:outlineLvl w:val="7"/>
    </w:pPr>
    <w:rPr>
      <w:rFonts w:ascii="Arial" w:hAnsi="Arial" w:eastAsia="黑体"/>
      <w:kern w:val="2"/>
      <w:sz w:val="24"/>
    </w:rPr>
  </w:style>
  <w:style w:type="paragraph" w:styleId="12">
    <w:name w:val="heading 9"/>
    <w:basedOn w:val="1"/>
    <w:next w:val="7"/>
    <w:qFormat/>
    <w:uiPriority w:val="0"/>
    <w:pPr>
      <w:keepNext/>
      <w:keepLines/>
      <w:widowControl w:val="0"/>
      <w:tabs>
        <w:tab w:val="left" w:pos="360"/>
      </w:tabs>
      <w:spacing w:before="240" w:after="64" w:line="320" w:lineRule="auto"/>
      <w:ind w:left="360" w:hanging="360"/>
      <w:jc w:val="both"/>
      <w:outlineLvl w:val="8"/>
    </w:pPr>
    <w:rPr>
      <w:rFonts w:ascii="Arial" w:hAnsi="Arial" w:eastAsia="黑体"/>
      <w:kern w:val="2"/>
      <w:sz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ind w:firstLine="420"/>
    </w:pPr>
  </w:style>
  <w:style w:type="paragraph" w:styleId="8">
    <w:name w:val="toc 2"/>
    <w:basedOn w:val="1"/>
    <w:next w:val="1"/>
    <w:qFormat/>
    <w:uiPriority w:val="39"/>
    <w:pPr>
      <w:ind w:left="200"/>
    </w:pPr>
    <w:rPr>
      <w:rFonts w:ascii="Calibri" w:hAnsi="Calibri" w:cs="Calibri"/>
      <w:smallCaps/>
    </w:rPr>
  </w:style>
  <w:style w:type="paragraph" w:styleId="13">
    <w:name w:val="toc 7"/>
    <w:basedOn w:val="1"/>
    <w:next w:val="1"/>
    <w:qFormat/>
    <w:uiPriority w:val="0"/>
    <w:pPr>
      <w:ind w:left="1200"/>
    </w:pPr>
    <w:rPr>
      <w:rFonts w:ascii="Calibri" w:hAnsi="Calibri" w:cs="Calibri"/>
      <w:sz w:val="18"/>
      <w:szCs w:val="18"/>
    </w:rPr>
  </w:style>
  <w:style w:type="paragraph" w:styleId="14">
    <w:name w:val="Document Map"/>
    <w:basedOn w:val="1"/>
    <w:semiHidden/>
    <w:qFormat/>
    <w:uiPriority w:val="0"/>
    <w:pPr>
      <w:shd w:val="clear" w:color="auto" w:fill="000080"/>
    </w:pPr>
  </w:style>
  <w:style w:type="paragraph" w:styleId="15">
    <w:name w:val="annotation text"/>
    <w:basedOn w:val="1"/>
    <w:qFormat/>
    <w:uiPriority w:val="0"/>
  </w:style>
  <w:style w:type="paragraph" w:styleId="16">
    <w:name w:val="Body Text 3"/>
    <w:basedOn w:val="1"/>
    <w:qFormat/>
    <w:uiPriority w:val="0"/>
    <w:pPr>
      <w:spacing w:after="120"/>
    </w:pPr>
    <w:rPr>
      <w:sz w:val="16"/>
      <w:szCs w:val="16"/>
    </w:rPr>
  </w:style>
  <w:style w:type="paragraph" w:styleId="17">
    <w:name w:val="Body Text"/>
    <w:basedOn w:val="1"/>
    <w:next w:val="1"/>
    <w:link w:val="70"/>
    <w:qFormat/>
    <w:uiPriority w:val="0"/>
    <w:pPr>
      <w:spacing w:after="120"/>
    </w:pPr>
  </w:style>
  <w:style w:type="paragraph" w:styleId="18">
    <w:name w:val="Body Text Indent"/>
    <w:basedOn w:val="1"/>
    <w:qFormat/>
    <w:uiPriority w:val="0"/>
    <w:pPr>
      <w:spacing w:after="120"/>
      <w:ind w:left="420" w:leftChars="200"/>
    </w:pPr>
  </w:style>
  <w:style w:type="paragraph" w:styleId="19">
    <w:name w:val="List 2"/>
    <w:basedOn w:val="1"/>
    <w:qFormat/>
    <w:uiPriority w:val="0"/>
    <w:pPr>
      <w:widowControl w:val="0"/>
      <w:adjustRightInd w:val="0"/>
      <w:spacing w:line="360" w:lineRule="auto"/>
      <w:jc w:val="both"/>
      <w:textAlignment w:val="baseline"/>
    </w:pPr>
    <w:rPr>
      <w:sz w:val="24"/>
    </w:rPr>
  </w:style>
  <w:style w:type="paragraph" w:styleId="20">
    <w:name w:val="Block Text"/>
    <w:basedOn w:val="1"/>
    <w:qFormat/>
    <w:uiPriority w:val="0"/>
    <w:pPr>
      <w:widowControl w:val="0"/>
      <w:ind w:left="1155" w:right="40" w:rightChars="19"/>
      <w:jc w:val="both"/>
    </w:pPr>
    <w:rPr>
      <w:kern w:val="2"/>
      <w:sz w:val="21"/>
      <w:szCs w:val="24"/>
    </w:rPr>
  </w:style>
  <w:style w:type="paragraph" w:styleId="21">
    <w:name w:val="toc 5"/>
    <w:basedOn w:val="1"/>
    <w:next w:val="1"/>
    <w:qFormat/>
    <w:uiPriority w:val="0"/>
    <w:pPr>
      <w:ind w:left="800"/>
    </w:pPr>
    <w:rPr>
      <w:rFonts w:ascii="Calibri" w:hAnsi="Calibri" w:cs="Calibri"/>
      <w:sz w:val="18"/>
      <w:szCs w:val="18"/>
    </w:rPr>
  </w:style>
  <w:style w:type="paragraph" w:styleId="22">
    <w:name w:val="toc 3"/>
    <w:basedOn w:val="1"/>
    <w:next w:val="1"/>
    <w:semiHidden/>
    <w:qFormat/>
    <w:uiPriority w:val="0"/>
    <w:pPr>
      <w:ind w:left="400"/>
    </w:pPr>
    <w:rPr>
      <w:rFonts w:ascii="Calibri" w:hAnsi="Calibri" w:cs="Calibri"/>
      <w:i/>
      <w:iCs/>
    </w:rPr>
  </w:style>
  <w:style w:type="paragraph" w:styleId="23">
    <w:name w:val="Plain Text"/>
    <w:basedOn w:val="1"/>
    <w:link w:val="71"/>
    <w:qFormat/>
    <w:uiPriority w:val="0"/>
    <w:rPr>
      <w:rFonts w:ascii="宋体" w:hAnsi="Courier New" w:cs="Century"/>
      <w:sz w:val="21"/>
      <w:szCs w:val="21"/>
    </w:rPr>
  </w:style>
  <w:style w:type="paragraph" w:styleId="24">
    <w:name w:val="toc 8"/>
    <w:basedOn w:val="1"/>
    <w:next w:val="1"/>
    <w:qFormat/>
    <w:uiPriority w:val="0"/>
    <w:pPr>
      <w:ind w:left="1400"/>
    </w:pPr>
    <w:rPr>
      <w:rFonts w:ascii="Calibri" w:hAnsi="Calibri" w:cs="Calibri"/>
      <w:sz w:val="18"/>
      <w:szCs w:val="18"/>
    </w:rPr>
  </w:style>
  <w:style w:type="paragraph" w:styleId="25">
    <w:name w:val="Date"/>
    <w:basedOn w:val="1"/>
    <w:next w:val="1"/>
    <w:link w:val="68"/>
    <w:qFormat/>
    <w:uiPriority w:val="0"/>
    <w:pPr>
      <w:jc w:val="both"/>
    </w:pPr>
    <w:rPr>
      <w:rFonts w:ascii="宋体"/>
      <w:sz w:val="24"/>
    </w:rPr>
  </w:style>
  <w:style w:type="paragraph" w:styleId="26">
    <w:name w:val="Body Text Indent 2"/>
    <w:basedOn w:val="1"/>
    <w:qFormat/>
    <w:uiPriority w:val="0"/>
    <w:pPr>
      <w:spacing w:after="120" w:line="480" w:lineRule="auto"/>
      <w:ind w:left="420" w:leftChars="200"/>
    </w:pPr>
  </w:style>
  <w:style w:type="paragraph" w:styleId="27">
    <w:name w:val="Balloon Text"/>
    <w:basedOn w:val="1"/>
    <w:semiHidden/>
    <w:qFormat/>
    <w:uiPriority w:val="0"/>
    <w:rPr>
      <w:sz w:val="18"/>
      <w:szCs w:val="18"/>
    </w:rPr>
  </w:style>
  <w:style w:type="paragraph" w:styleId="28">
    <w:name w:val="footer"/>
    <w:basedOn w:val="1"/>
    <w:link w:val="178"/>
    <w:qFormat/>
    <w:uiPriority w:val="99"/>
    <w:pPr>
      <w:tabs>
        <w:tab w:val="center" w:pos="4153"/>
        <w:tab w:val="right" w:pos="8306"/>
      </w:tabs>
      <w:snapToGrid w:val="0"/>
    </w:pPr>
    <w:rPr>
      <w:sz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pPr>
      <w:spacing w:before="120" w:after="120"/>
    </w:pPr>
    <w:rPr>
      <w:rFonts w:ascii="Calibri" w:hAnsi="Calibri" w:cs="Calibri"/>
      <w:b/>
      <w:bCs/>
      <w:caps/>
    </w:rPr>
  </w:style>
  <w:style w:type="paragraph" w:styleId="31">
    <w:name w:val="toc 4"/>
    <w:basedOn w:val="1"/>
    <w:next w:val="1"/>
    <w:qFormat/>
    <w:uiPriority w:val="0"/>
    <w:pPr>
      <w:ind w:left="600"/>
    </w:pPr>
    <w:rPr>
      <w:rFonts w:ascii="Calibri" w:hAnsi="Calibri" w:cs="Calibri"/>
      <w:sz w:val="18"/>
      <w:szCs w:val="18"/>
    </w:rPr>
  </w:style>
  <w:style w:type="paragraph" w:styleId="32">
    <w:name w:val="List"/>
    <w:basedOn w:val="1"/>
    <w:qFormat/>
    <w:uiPriority w:val="0"/>
    <w:pPr>
      <w:widowControl w:val="0"/>
      <w:adjustRightInd w:val="0"/>
      <w:spacing w:line="360" w:lineRule="auto"/>
      <w:jc w:val="both"/>
      <w:textAlignment w:val="baseline"/>
    </w:pPr>
    <w:rPr>
      <w:sz w:val="24"/>
    </w:rPr>
  </w:style>
  <w:style w:type="paragraph" w:styleId="33">
    <w:name w:val="toc 6"/>
    <w:basedOn w:val="1"/>
    <w:next w:val="1"/>
    <w:qFormat/>
    <w:uiPriority w:val="0"/>
    <w:pPr>
      <w:ind w:left="1000"/>
    </w:pPr>
    <w:rPr>
      <w:rFonts w:ascii="Calibri" w:hAnsi="Calibri" w:cs="Calibri"/>
      <w:sz w:val="18"/>
      <w:szCs w:val="18"/>
    </w:rPr>
  </w:style>
  <w:style w:type="paragraph" w:styleId="34">
    <w:name w:val="Body Text Indent 3"/>
    <w:basedOn w:val="1"/>
    <w:qFormat/>
    <w:uiPriority w:val="0"/>
    <w:pPr>
      <w:spacing w:after="120"/>
      <w:ind w:left="420" w:leftChars="200"/>
    </w:pPr>
    <w:rPr>
      <w:sz w:val="16"/>
      <w:szCs w:val="16"/>
    </w:rPr>
  </w:style>
  <w:style w:type="paragraph" w:styleId="35">
    <w:name w:val="toc 9"/>
    <w:basedOn w:val="1"/>
    <w:next w:val="1"/>
    <w:qFormat/>
    <w:uiPriority w:val="0"/>
    <w:pPr>
      <w:ind w:left="1600"/>
    </w:pPr>
    <w:rPr>
      <w:rFonts w:ascii="Calibri" w:hAnsi="Calibri" w:cs="Calibri"/>
      <w:sz w:val="18"/>
      <w:szCs w:val="18"/>
    </w:rPr>
  </w:style>
  <w:style w:type="paragraph" w:styleId="36">
    <w:name w:val="Body Text 2"/>
    <w:basedOn w:val="1"/>
    <w:qFormat/>
    <w:uiPriority w:val="0"/>
    <w:pPr>
      <w:spacing w:after="120" w:line="480" w:lineRule="auto"/>
    </w:pPr>
  </w:style>
  <w:style w:type="paragraph" w:styleId="37">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left" w:pos="738"/>
      </w:tabs>
      <w:ind w:left="1080" w:leftChars="500" w:hanging="1080" w:hangingChars="500"/>
      <w:jc w:val="both"/>
    </w:pPr>
    <w:rPr>
      <w:rFonts w:ascii="Arial" w:hAnsi="Arial" w:cs="Arial"/>
      <w:kern w:val="2"/>
      <w:sz w:val="24"/>
      <w:szCs w:val="24"/>
    </w:rPr>
  </w:style>
  <w:style w:type="paragraph" w:styleId="38">
    <w:name w:val="Normal (Web)"/>
    <w:basedOn w:val="1"/>
    <w:qFormat/>
    <w:uiPriority w:val="99"/>
    <w:rPr>
      <w:sz w:val="24"/>
      <w:szCs w:val="24"/>
    </w:rPr>
  </w:style>
  <w:style w:type="paragraph" w:styleId="39">
    <w:name w:val="index 1"/>
    <w:basedOn w:val="1"/>
    <w:next w:val="1"/>
    <w:semiHidden/>
    <w:qFormat/>
    <w:uiPriority w:val="0"/>
  </w:style>
  <w:style w:type="paragraph" w:styleId="40">
    <w:name w:val="Title"/>
    <w:basedOn w:val="1"/>
    <w:qFormat/>
    <w:uiPriority w:val="1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41">
    <w:name w:val="Body Text First Indent"/>
    <w:basedOn w:val="17"/>
    <w:qFormat/>
    <w:uiPriority w:val="0"/>
    <w:pPr>
      <w:widowControl w:val="0"/>
      <w:adjustRightInd w:val="0"/>
      <w:spacing w:after="0" w:line="312" w:lineRule="auto"/>
      <w:ind w:firstLine="567"/>
      <w:jc w:val="both"/>
      <w:textAlignment w:val="baseline"/>
    </w:pPr>
    <w:rPr>
      <w:sz w:val="28"/>
    </w:rPr>
  </w:style>
  <w:style w:type="paragraph" w:styleId="42">
    <w:name w:val="Body Text First Indent 2"/>
    <w:basedOn w:val="18"/>
    <w:next w:val="1"/>
    <w:unhideWhenUsed/>
    <w:qFormat/>
    <w:uiPriority w:val="99"/>
    <w:pPr>
      <w:ind w:firstLine="200" w:firstLineChars="200"/>
    </w:pPr>
    <w:rPr>
      <w:kern w:val="2"/>
      <w:sz w:val="21"/>
      <w:szCs w:val="24"/>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0"/>
    <w:rPr>
      <w:b/>
      <w:bCs/>
    </w:rPr>
  </w:style>
  <w:style w:type="character" w:styleId="47">
    <w:name w:val="page number"/>
    <w:basedOn w:val="45"/>
    <w:qFormat/>
    <w:uiPriority w:val="0"/>
  </w:style>
  <w:style w:type="character" w:styleId="48">
    <w:name w:val="FollowedHyperlink"/>
    <w:basedOn w:val="45"/>
    <w:qFormat/>
    <w:uiPriority w:val="99"/>
    <w:rPr>
      <w:color w:val="800080"/>
      <w:u w:val="single"/>
    </w:rPr>
  </w:style>
  <w:style w:type="character" w:styleId="49">
    <w:name w:val="Emphasis"/>
    <w:basedOn w:val="45"/>
    <w:qFormat/>
    <w:uiPriority w:val="20"/>
    <w:rPr>
      <w:i/>
      <w:iCs/>
    </w:rPr>
  </w:style>
  <w:style w:type="character" w:styleId="50">
    <w:name w:val="line number"/>
    <w:basedOn w:val="45"/>
    <w:qFormat/>
    <w:uiPriority w:val="0"/>
  </w:style>
  <w:style w:type="character" w:styleId="51">
    <w:name w:val="HTML Definition"/>
    <w:basedOn w:val="45"/>
    <w:semiHidden/>
    <w:unhideWhenUsed/>
    <w:qFormat/>
    <w:uiPriority w:val="0"/>
  </w:style>
  <w:style w:type="character" w:styleId="52">
    <w:name w:val="HTML Typewriter"/>
    <w:basedOn w:val="45"/>
    <w:semiHidden/>
    <w:unhideWhenUsed/>
    <w:qFormat/>
    <w:uiPriority w:val="0"/>
    <w:rPr>
      <w:rFonts w:ascii="monospace" w:hAnsi="monospace" w:eastAsia="monospace" w:cs="monospace"/>
      <w:sz w:val="20"/>
    </w:rPr>
  </w:style>
  <w:style w:type="character" w:styleId="53">
    <w:name w:val="HTML Acronym"/>
    <w:basedOn w:val="45"/>
    <w:semiHidden/>
    <w:unhideWhenUsed/>
    <w:qFormat/>
    <w:uiPriority w:val="0"/>
  </w:style>
  <w:style w:type="character" w:styleId="54">
    <w:name w:val="HTML Variable"/>
    <w:basedOn w:val="45"/>
    <w:semiHidden/>
    <w:unhideWhenUsed/>
    <w:qFormat/>
    <w:uiPriority w:val="0"/>
  </w:style>
  <w:style w:type="character" w:styleId="55">
    <w:name w:val="Hyperlink"/>
    <w:basedOn w:val="45"/>
    <w:qFormat/>
    <w:uiPriority w:val="99"/>
    <w:rPr>
      <w:color w:val="0000FF"/>
      <w:u w:val="single"/>
    </w:rPr>
  </w:style>
  <w:style w:type="character" w:styleId="56">
    <w:name w:val="HTML Code"/>
    <w:basedOn w:val="45"/>
    <w:semiHidden/>
    <w:unhideWhenUsed/>
    <w:qFormat/>
    <w:uiPriority w:val="0"/>
    <w:rPr>
      <w:rFonts w:hint="default" w:ascii="monospace" w:hAnsi="monospace" w:eastAsia="monospace" w:cs="monospace"/>
      <w:sz w:val="20"/>
    </w:rPr>
  </w:style>
  <w:style w:type="character" w:styleId="57">
    <w:name w:val="HTML Cite"/>
    <w:basedOn w:val="45"/>
    <w:semiHidden/>
    <w:unhideWhenUsed/>
    <w:qFormat/>
    <w:uiPriority w:val="0"/>
  </w:style>
  <w:style w:type="character" w:styleId="58">
    <w:name w:val="HTML Keyboard"/>
    <w:basedOn w:val="45"/>
    <w:semiHidden/>
    <w:unhideWhenUsed/>
    <w:qFormat/>
    <w:uiPriority w:val="0"/>
    <w:rPr>
      <w:rFonts w:hint="default" w:ascii="monospace" w:hAnsi="monospace" w:eastAsia="monospace" w:cs="monospace"/>
      <w:sz w:val="20"/>
    </w:rPr>
  </w:style>
  <w:style w:type="character" w:styleId="59">
    <w:name w:val="HTML Sample"/>
    <w:basedOn w:val="45"/>
    <w:semiHidden/>
    <w:unhideWhenUsed/>
    <w:qFormat/>
    <w:uiPriority w:val="0"/>
    <w:rPr>
      <w:rFonts w:hint="default" w:ascii="monospace" w:hAnsi="monospace" w:eastAsia="monospace" w:cs="monospace"/>
    </w:rPr>
  </w:style>
  <w:style w:type="paragraph" w:customStyle="1" w:styleId="60">
    <w:name w:val="首行缩进"/>
    <w:basedOn w:val="1"/>
    <w:qFormat/>
    <w:uiPriority w:val="0"/>
    <w:pPr>
      <w:widowControl w:val="0"/>
      <w:numPr>
        <w:ilvl w:val="0"/>
        <w:numId w:val="1"/>
      </w:numPr>
      <w:spacing w:line="360" w:lineRule="auto"/>
      <w:jc w:val="both"/>
    </w:pPr>
    <w:rPr>
      <w:rFonts w:eastAsia="仿宋_GB2312"/>
      <w:kern w:val="2"/>
      <w:sz w:val="21"/>
    </w:rPr>
  </w:style>
  <w:style w:type="character" w:customStyle="1" w:styleId="61">
    <w:name w:val="标题 1 Char"/>
    <w:basedOn w:val="45"/>
    <w:link w:val="2"/>
    <w:qFormat/>
    <w:uiPriority w:val="9"/>
    <w:rPr>
      <w:b/>
      <w:kern w:val="44"/>
      <w:sz w:val="44"/>
    </w:rPr>
  </w:style>
  <w:style w:type="character" w:customStyle="1" w:styleId="62">
    <w:name w:val="普通文字 Char Char"/>
    <w:qFormat/>
    <w:uiPriority w:val="0"/>
    <w:rPr>
      <w:rFonts w:ascii="宋体" w:hAnsi="Courier New" w:eastAsia="宋体" w:cs="Century"/>
      <w:sz w:val="21"/>
      <w:szCs w:val="21"/>
      <w:lang w:val="en-US" w:eastAsia="zh-CN" w:bidi="ar-SA"/>
    </w:rPr>
  </w:style>
  <w:style w:type="character" w:customStyle="1" w:styleId="63">
    <w:name w:val="font11"/>
    <w:basedOn w:val="45"/>
    <w:qFormat/>
    <w:uiPriority w:val="0"/>
    <w:rPr>
      <w:rFonts w:hint="eastAsia" w:ascii="宋体" w:hAnsi="宋体" w:eastAsia="宋体" w:cs="宋体"/>
      <w:color w:val="000000"/>
      <w:sz w:val="22"/>
      <w:szCs w:val="22"/>
      <w:u w:val="none"/>
    </w:rPr>
  </w:style>
  <w:style w:type="character" w:customStyle="1" w:styleId="64">
    <w:name w:val="正文文本 Char"/>
    <w:qFormat/>
    <w:uiPriority w:val="0"/>
    <w:rPr>
      <w:rFonts w:eastAsia="宋体"/>
      <w:lang w:val="en-US" w:eastAsia="zh-CN" w:bidi="ar-SA"/>
    </w:rPr>
  </w:style>
  <w:style w:type="character" w:customStyle="1" w:styleId="65">
    <w:name w:val="引用 Char"/>
    <w:basedOn w:val="45"/>
    <w:link w:val="66"/>
    <w:qFormat/>
    <w:uiPriority w:val="29"/>
    <w:rPr>
      <w:i/>
      <w:iCs/>
      <w:color w:val="000000"/>
    </w:rPr>
  </w:style>
  <w:style w:type="paragraph" w:styleId="66">
    <w:name w:val="Quote"/>
    <w:basedOn w:val="1"/>
    <w:next w:val="1"/>
    <w:link w:val="65"/>
    <w:qFormat/>
    <w:uiPriority w:val="29"/>
    <w:rPr>
      <w:i/>
      <w:iCs/>
      <w:color w:val="000000"/>
    </w:rPr>
  </w:style>
  <w:style w:type="character" w:customStyle="1" w:styleId="67">
    <w:name w:val="text"/>
    <w:basedOn w:val="45"/>
    <w:qFormat/>
    <w:uiPriority w:val="0"/>
  </w:style>
  <w:style w:type="character" w:customStyle="1" w:styleId="68">
    <w:name w:val="日期 Char"/>
    <w:basedOn w:val="45"/>
    <w:link w:val="25"/>
    <w:qFormat/>
    <w:uiPriority w:val="0"/>
    <w:rPr>
      <w:rFonts w:ascii="宋体"/>
      <w:sz w:val="24"/>
    </w:rPr>
  </w:style>
  <w:style w:type="character" w:customStyle="1" w:styleId="69">
    <w:name w:val="titlestyle10831"/>
    <w:basedOn w:val="45"/>
    <w:qFormat/>
    <w:uiPriority w:val="0"/>
    <w:rPr>
      <w:rFonts w:hint="eastAsia" w:ascii="黑体" w:hAnsi="黑体" w:eastAsia="黑体"/>
      <w:b/>
      <w:bCs/>
      <w:sz w:val="36"/>
      <w:szCs w:val="36"/>
    </w:rPr>
  </w:style>
  <w:style w:type="character" w:customStyle="1" w:styleId="70">
    <w:name w:val="正文文本 Char1"/>
    <w:basedOn w:val="45"/>
    <w:link w:val="17"/>
    <w:qFormat/>
    <w:uiPriority w:val="0"/>
    <w:rPr>
      <w:rFonts w:eastAsia="宋体"/>
      <w:lang w:val="en-US" w:eastAsia="zh-CN" w:bidi="ar-SA"/>
    </w:rPr>
  </w:style>
  <w:style w:type="character" w:customStyle="1" w:styleId="71">
    <w:name w:val="纯文本 Char"/>
    <w:basedOn w:val="45"/>
    <w:link w:val="23"/>
    <w:qFormat/>
    <w:uiPriority w:val="0"/>
    <w:rPr>
      <w:rFonts w:ascii="宋体" w:hAnsi="Courier New" w:eastAsia="宋体" w:cs="Century"/>
      <w:sz w:val="21"/>
      <w:szCs w:val="21"/>
      <w:lang w:val="en-US" w:eastAsia="zh-CN" w:bidi="ar-SA"/>
    </w:rPr>
  </w:style>
  <w:style w:type="character" w:customStyle="1" w:styleId="72">
    <w:name w:val="apple-tab-span"/>
    <w:basedOn w:val="45"/>
    <w:qFormat/>
    <w:uiPriority w:val="0"/>
  </w:style>
  <w:style w:type="character" w:customStyle="1" w:styleId="73">
    <w:name w:val="Char Char Char"/>
    <w:basedOn w:val="45"/>
    <w:qFormat/>
    <w:uiPriority w:val="0"/>
    <w:rPr>
      <w:rFonts w:ascii="宋体" w:hAnsi="Courier New" w:eastAsia="宋体"/>
      <w:kern w:val="2"/>
      <w:sz w:val="24"/>
      <w:lang w:val="en-US" w:eastAsia="zh-CN" w:bidi="ar-SA"/>
    </w:rPr>
  </w:style>
  <w:style w:type="character" w:customStyle="1" w:styleId="74">
    <w:name w:val="para"/>
    <w:basedOn w:val="45"/>
    <w:qFormat/>
    <w:uiPriority w:val="0"/>
  </w:style>
  <w:style w:type="character" w:customStyle="1" w:styleId="75">
    <w:name w:val="main14"/>
    <w:basedOn w:val="45"/>
    <w:qFormat/>
    <w:uiPriority w:val="0"/>
  </w:style>
  <w:style w:type="character" w:customStyle="1" w:styleId="76">
    <w:name w:val="title_emph"/>
    <w:basedOn w:val="45"/>
    <w:qFormat/>
    <w:uiPriority w:val="0"/>
  </w:style>
  <w:style w:type="character" w:customStyle="1" w:styleId="77">
    <w:name w:val="font01"/>
    <w:basedOn w:val="45"/>
    <w:qFormat/>
    <w:uiPriority w:val="0"/>
    <w:rPr>
      <w:rFonts w:hint="eastAsia" w:ascii="宋体" w:hAnsi="宋体" w:eastAsia="宋体" w:cs="宋体"/>
      <w:color w:val="000000"/>
      <w:sz w:val="22"/>
      <w:szCs w:val="22"/>
      <w:u w:val="none"/>
    </w:rPr>
  </w:style>
  <w:style w:type="paragraph" w:customStyle="1" w:styleId="78">
    <w:name w:val="È±Ê¡ÎÄ±¾"/>
    <w:basedOn w:val="1"/>
    <w:qFormat/>
    <w:uiPriority w:val="0"/>
    <w:pPr>
      <w:overflowPunct w:val="0"/>
      <w:autoSpaceDE w:val="0"/>
      <w:autoSpaceDN w:val="0"/>
      <w:adjustRightInd w:val="0"/>
      <w:textAlignment w:val="baseline"/>
    </w:pPr>
    <w:rPr>
      <w:sz w:val="24"/>
    </w:rPr>
  </w:style>
  <w:style w:type="character" w:customStyle="1" w:styleId="79">
    <w:name w:val="页眉 Char"/>
    <w:basedOn w:val="45"/>
    <w:link w:val="29"/>
    <w:qFormat/>
    <w:uiPriority w:val="99"/>
    <w:rPr>
      <w:sz w:val="18"/>
    </w:rPr>
  </w:style>
  <w:style w:type="paragraph" w:customStyle="1" w:styleId="80">
    <w:name w:val="Char Char Char Char"/>
    <w:basedOn w:val="1"/>
    <w:qFormat/>
    <w:uiPriority w:val="0"/>
    <w:pPr>
      <w:widowControl w:val="0"/>
      <w:jc w:val="both"/>
    </w:pPr>
    <w:rPr>
      <w:rFonts w:ascii="Tahoma" w:hAnsi="Tahoma"/>
      <w:kern w:val="2"/>
      <w:sz w:val="24"/>
    </w:rPr>
  </w:style>
  <w:style w:type="paragraph" w:customStyle="1" w:styleId="81">
    <w:name w:val="1"/>
    <w:basedOn w:val="1"/>
    <w:next w:val="38"/>
    <w:qFormat/>
    <w:uiPriority w:val="0"/>
    <w:pPr>
      <w:spacing w:before="100" w:beforeAutospacing="1" w:after="100" w:afterAutospacing="1"/>
    </w:pPr>
    <w:rPr>
      <w:rFonts w:ascii="宋体" w:hAnsi="宋体" w:cs="黑体"/>
      <w:sz w:val="24"/>
      <w:szCs w:val="24"/>
    </w:rPr>
  </w:style>
  <w:style w:type="paragraph" w:customStyle="1" w:styleId="82">
    <w:name w:val="正文文本缩进1"/>
    <w:basedOn w:val="1"/>
    <w:qFormat/>
    <w:uiPriority w:val="0"/>
    <w:pPr>
      <w:widowControl w:val="0"/>
      <w:ind w:firstLine="560" w:firstLineChars="200"/>
      <w:jc w:val="both"/>
    </w:pPr>
    <w:rPr>
      <w:kern w:val="2"/>
      <w:sz w:val="28"/>
      <w:szCs w:val="28"/>
    </w:rPr>
  </w:style>
  <w:style w:type="paragraph" w:customStyle="1" w:styleId="83">
    <w:name w:val="IBM 正文"/>
    <w:basedOn w:val="1"/>
    <w:qFormat/>
    <w:uiPriority w:val="0"/>
    <w:pPr>
      <w:widowControl w:val="0"/>
      <w:spacing w:line="400" w:lineRule="exact"/>
      <w:jc w:val="both"/>
    </w:pPr>
    <w:rPr>
      <w:spacing w:val="20"/>
      <w:kern w:val="2"/>
      <w:sz w:val="24"/>
    </w:rPr>
  </w:style>
  <w:style w:type="paragraph" w:customStyle="1" w:styleId="84">
    <w:name w:val="Char"/>
    <w:basedOn w:val="1"/>
    <w:qFormat/>
    <w:uiPriority w:val="0"/>
    <w:pPr>
      <w:spacing w:after="160" w:line="240" w:lineRule="exact"/>
    </w:pPr>
    <w:rPr>
      <w:rFonts w:ascii="宋体" w:hAnsi="宋体"/>
      <w:lang w:eastAsia="en-US"/>
    </w:rPr>
  </w:style>
  <w:style w:type="paragraph" w:customStyle="1" w:styleId="85">
    <w:name w:val="样式2"/>
    <w:basedOn w:val="1"/>
    <w:qFormat/>
    <w:uiPriority w:val="0"/>
    <w:pPr>
      <w:widowControl w:val="0"/>
      <w:jc w:val="both"/>
    </w:pPr>
    <w:rPr>
      <w:rFonts w:ascii="仿宋_GB2312" w:eastAsia="仿宋_GB2312"/>
      <w:kern w:val="2"/>
      <w:sz w:val="32"/>
    </w:rPr>
  </w:style>
  <w:style w:type="paragraph" w:customStyle="1" w:styleId="86">
    <w:name w:val="Blockquote"/>
    <w:basedOn w:val="1"/>
    <w:qFormat/>
    <w:uiPriority w:val="0"/>
    <w:pPr>
      <w:widowControl w:val="0"/>
      <w:autoSpaceDE w:val="0"/>
      <w:autoSpaceDN w:val="0"/>
      <w:adjustRightInd w:val="0"/>
      <w:spacing w:before="100" w:after="100"/>
      <w:ind w:left="360" w:right="360"/>
    </w:pPr>
    <w:rPr>
      <w:sz w:val="24"/>
      <w:szCs w:val="24"/>
    </w:rPr>
  </w:style>
  <w:style w:type="paragraph" w:customStyle="1" w:styleId="87">
    <w:name w:val="Char Char Char1 Char"/>
    <w:basedOn w:val="1"/>
    <w:qFormat/>
    <w:uiPriority w:val="0"/>
    <w:pPr>
      <w:widowControl w:val="0"/>
      <w:jc w:val="both"/>
    </w:pPr>
    <w:rPr>
      <w:rFonts w:ascii="Tahoma" w:hAnsi="Tahoma"/>
      <w:kern w:val="2"/>
      <w:sz w:val="24"/>
    </w:rPr>
  </w:style>
  <w:style w:type="paragraph" w:customStyle="1" w:styleId="88">
    <w:name w:val="缺省文本:1"/>
    <w:basedOn w:val="1"/>
    <w:qFormat/>
    <w:uiPriority w:val="0"/>
    <w:pPr>
      <w:widowControl w:val="0"/>
      <w:autoSpaceDE w:val="0"/>
      <w:autoSpaceDN w:val="0"/>
      <w:adjustRightInd w:val="0"/>
    </w:pPr>
    <w:rPr>
      <w:sz w:val="24"/>
      <w:szCs w:val="24"/>
    </w:rPr>
  </w:style>
  <w:style w:type="paragraph" w:customStyle="1" w:styleId="89">
    <w:name w:val="标题1.9"/>
    <w:basedOn w:val="1"/>
    <w:qFormat/>
    <w:uiPriority w:val="0"/>
    <w:pPr>
      <w:widowControl w:val="0"/>
      <w:autoSpaceDE w:val="0"/>
      <w:autoSpaceDN w:val="0"/>
      <w:adjustRightInd w:val="0"/>
      <w:jc w:val="center"/>
    </w:pPr>
    <w:rPr>
      <w:rFonts w:ascii="黑体" w:eastAsia="黑体"/>
      <w:sz w:val="24"/>
      <w:szCs w:val="24"/>
    </w:rPr>
  </w:style>
  <w:style w:type="paragraph" w:customStyle="1" w:styleId="90">
    <w:name w:val="默认段落字体 Para Char Char Char Char Char Char Char Char Char1 Char Char Char Char"/>
    <w:basedOn w:val="1"/>
    <w:qFormat/>
    <w:uiPriority w:val="0"/>
    <w:pPr>
      <w:widowControl w:val="0"/>
      <w:adjustRightInd w:val="0"/>
      <w:spacing w:line="312" w:lineRule="atLeast"/>
      <w:jc w:val="both"/>
      <w:textAlignment w:val="baseline"/>
    </w:pPr>
    <w:rPr>
      <w:b/>
      <w:bCs/>
      <w:sz w:val="36"/>
      <w:szCs w:val="32"/>
    </w:rPr>
  </w:style>
  <w:style w:type="paragraph" w:styleId="91">
    <w:name w:val="List Paragraph"/>
    <w:basedOn w:val="1"/>
    <w:link w:val="130"/>
    <w:qFormat/>
    <w:uiPriority w:val="34"/>
    <w:pPr>
      <w:widowControl w:val="0"/>
      <w:spacing w:line="360" w:lineRule="auto"/>
      <w:ind w:left="720" w:firstLine="420" w:firstLineChars="200"/>
      <w:jc w:val="both"/>
    </w:pPr>
    <w:rPr>
      <w:rFonts w:ascii="Calibri" w:hAnsi="Calibri"/>
      <w:kern w:val="2"/>
      <w:sz w:val="21"/>
      <w:szCs w:val="22"/>
    </w:rPr>
  </w:style>
  <w:style w:type="paragraph" w:customStyle="1" w:styleId="92">
    <w:name w:val="正文文本缩进 21"/>
    <w:basedOn w:val="1"/>
    <w:qFormat/>
    <w:uiPriority w:val="0"/>
    <w:pPr>
      <w:widowControl w:val="0"/>
      <w:adjustRightInd w:val="0"/>
      <w:spacing w:line="360" w:lineRule="atLeast"/>
      <w:ind w:firstLine="600"/>
      <w:jc w:val="both"/>
      <w:textAlignment w:val="baseline"/>
    </w:pPr>
    <w:rPr>
      <w:sz w:val="32"/>
    </w:rPr>
  </w:style>
  <w:style w:type="paragraph" w:customStyle="1" w:styleId="93">
    <w:name w:val="标题 4.1"/>
    <w:basedOn w:val="1"/>
    <w:qFormat/>
    <w:uiPriority w:val="0"/>
    <w:pPr>
      <w:keepNext/>
      <w:keepLines/>
      <w:widowControl w:val="0"/>
      <w:spacing w:before="280" w:after="290" w:line="376" w:lineRule="auto"/>
      <w:jc w:val="both"/>
      <w:outlineLvl w:val="3"/>
    </w:pPr>
    <w:rPr>
      <w:rFonts w:ascii="Arial" w:hAnsi="Arial" w:eastAsia="黑体"/>
      <w:b/>
      <w:bCs/>
      <w:kern w:val="2"/>
      <w:sz w:val="28"/>
      <w:szCs w:val="28"/>
    </w:rPr>
  </w:style>
  <w:style w:type="paragraph" w:customStyle="1" w:styleId="94">
    <w:name w:val="Default"/>
    <w:next w:val="25"/>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5">
    <w:name w:val="reader-word-layer reader-word-s16-2"/>
    <w:basedOn w:val="1"/>
    <w:qFormat/>
    <w:uiPriority w:val="0"/>
    <w:pPr>
      <w:spacing w:before="100" w:beforeAutospacing="1" w:after="100" w:afterAutospacing="1"/>
    </w:pPr>
    <w:rPr>
      <w:rFonts w:ascii="宋体" w:hAnsi="宋体" w:cs="宋体"/>
      <w:sz w:val="24"/>
      <w:szCs w:val="24"/>
    </w:rPr>
  </w:style>
  <w:style w:type="paragraph" w:customStyle="1" w:styleId="96">
    <w:name w:val="标题5"/>
    <w:basedOn w:val="1"/>
    <w:qFormat/>
    <w:uiPriority w:val="0"/>
    <w:pPr>
      <w:widowControl w:val="0"/>
      <w:tabs>
        <w:tab w:val="left" w:pos="7035"/>
      </w:tabs>
      <w:jc w:val="both"/>
    </w:pPr>
    <w:rPr>
      <w:rFonts w:ascii="宋体" w:hAnsi="宋体"/>
      <w:b/>
      <w:color w:val="000000"/>
      <w:kern w:val="2"/>
      <w:sz w:val="24"/>
      <w:szCs w:val="24"/>
    </w:rPr>
  </w:style>
  <w:style w:type="paragraph" w:customStyle="1" w:styleId="97">
    <w:name w:val="正文文本 21"/>
    <w:basedOn w:val="1"/>
    <w:qFormat/>
    <w:uiPriority w:val="0"/>
    <w:pPr>
      <w:widowControl w:val="0"/>
      <w:adjustRightInd w:val="0"/>
      <w:spacing w:line="360" w:lineRule="atLeast"/>
      <w:ind w:firstLine="720"/>
      <w:jc w:val="both"/>
      <w:textAlignment w:val="baseline"/>
    </w:pPr>
    <w:rPr>
      <w:sz w:val="32"/>
      <w:szCs w:val="24"/>
    </w:rPr>
  </w:style>
  <w:style w:type="paragraph" w:customStyle="1" w:styleId="98">
    <w:name w:val="reader-word-layer reader-word-s16-14"/>
    <w:basedOn w:val="1"/>
    <w:qFormat/>
    <w:uiPriority w:val="0"/>
    <w:pPr>
      <w:spacing w:before="100" w:beforeAutospacing="1" w:after="100" w:afterAutospacing="1"/>
    </w:pPr>
    <w:rPr>
      <w:rFonts w:ascii="宋体" w:hAnsi="宋体" w:cs="宋体"/>
      <w:sz w:val="24"/>
      <w:szCs w:val="24"/>
    </w:rPr>
  </w:style>
  <w:style w:type="paragraph" w:customStyle="1" w:styleId="99">
    <w:name w:val="xl2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100">
    <w:name w:val="reader-word-layer reader-word-s16-16"/>
    <w:basedOn w:val="1"/>
    <w:qFormat/>
    <w:uiPriority w:val="0"/>
    <w:pPr>
      <w:spacing w:before="100" w:beforeAutospacing="1" w:after="100" w:afterAutospacing="1"/>
    </w:pPr>
    <w:rPr>
      <w:rFonts w:ascii="宋体" w:hAnsi="宋体" w:cs="宋体"/>
      <w:sz w:val="24"/>
      <w:szCs w:val="24"/>
    </w:rPr>
  </w:style>
  <w:style w:type="paragraph" w:customStyle="1" w:styleId="101">
    <w:name w:val="o"/>
    <w:basedOn w:val="1"/>
    <w:qFormat/>
    <w:uiPriority w:val="0"/>
    <w:pPr>
      <w:widowControl w:val="0"/>
      <w:adjustRightInd w:val="0"/>
      <w:spacing w:line="360" w:lineRule="atLeast"/>
      <w:textAlignment w:val="baseline"/>
    </w:pPr>
    <w:rPr>
      <w:rFonts w:ascii="宋体"/>
      <w:sz w:val="32"/>
    </w:rPr>
  </w:style>
  <w:style w:type="paragraph" w:customStyle="1" w:styleId="102">
    <w:name w:val="aspnumfaautoadjustright"/>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03">
    <w:name w:val="小标题"/>
    <w:basedOn w:val="1"/>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104">
    <w:name w:val="默认段落字体 Para Char Char Char Char Char Char Char Char Char1 Char Char Char Char Char Char Char"/>
    <w:basedOn w:val="14"/>
    <w:qFormat/>
    <w:uiPriority w:val="0"/>
    <w:pPr>
      <w:widowControl w:val="0"/>
      <w:jc w:val="both"/>
    </w:pPr>
    <w:rPr>
      <w:rFonts w:ascii="Tahoma" w:hAnsi="Tahoma" w:cs="Tahoma"/>
      <w:kern w:val="2"/>
      <w:sz w:val="24"/>
      <w:szCs w:val="24"/>
    </w:rPr>
  </w:style>
  <w:style w:type="paragraph" w:customStyle="1" w:styleId="105">
    <w:name w:val="?¡ì?¡ì?¡§¡è?¡ìo????¡§¡è?:1:1"/>
    <w:basedOn w:val="1"/>
    <w:qFormat/>
    <w:uiPriority w:val="0"/>
    <w:pPr>
      <w:overflowPunct w:val="0"/>
      <w:autoSpaceDE w:val="0"/>
      <w:autoSpaceDN w:val="0"/>
      <w:adjustRightInd w:val="0"/>
    </w:pPr>
    <w:rPr>
      <w:sz w:val="24"/>
    </w:rPr>
  </w:style>
  <w:style w:type="paragraph" w:customStyle="1" w:styleId="106">
    <w:name w:val="Char Char2"/>
    <w:basedOn w:val="1"/>
    <w:qFormat/>
    <w:uiPriority w:val="0"/>
    <w:pPr>
      <w:widowControl w:val="0"/>
      <w:jc w:val="both"/>
    </w:pPr>
    <w:rPr>
      <w:rFonts w:ascii="Tahoma" w:hAnsi="Tahoma"/>
      <w:kern w:val="2"/>
      <w:sz w:val="24"/>
    </w:rPr>
  </w:style>
  <w:style w:type="paragraph" w:customStyle="1" w:styleId="107">
    <w:name w:val="reader-word-layer reader-word-s16-12"/>
    <w:basedOn w:val="1"/>
    <w:qFormat/>
    <w:uiPriority w:val="0"/>
    <w:pPr>
      <w:spacing w:before="100" w:beforeAutospacing="1" w:after="100" w:afterAutospacing="1"/>
    </w:pPr>
    <w:rPr>
      <w:rFonts w:ascii="宋体" w:hAnsi="宋体" w:cs="宋体"/>
      <w:sz w:val="24"/>
      <w:szCs w:val="24"/>
    </w:rPr>
  </w:style>
  <w:style w:type="paragraph" w:customStyle="1" w:styleId="108">
    <w:name w:val="reader-word-layer reader-word-s16-9"/>
    <w:basedOn w:val="1"/>
    <w:qFormat/>
    <w:uiPriority w:val="0"/>
    <w:pPr>
      <w:spacing w:before="100" w:beforeAutospacing="1" w:after="100" w:afterAutospacing="1"/>
    </w:pPr>
    <w:rPr>
      <w:rFonts w:ascii="宋体" w:hAnsi="宋体" w:cs="宋体"/>
      <w:sz w:val="24"/>
      <w:szCs w:val="24"/>
    </w:rPr>
  </w:style>
  <w:style w:type="paragraph" w:customStyle="1" w:styleId="109">
    <w:name w:val="Char1 Char Char Char"/>
    <w:basedOn w:val="1"/>
    <w:qFormat/>
    <w:uiPriority w:val="0"/>
    <w:pPr>
      <w:widowControl w:val="0"/>
      <w:jc w:val="both"/>
    </w:pPr>
    <w:rPr>
      <w:kern w:val="2"/>
      <w:sz w:val="21"/>
      <w:szCs w:val="24"/>
    </w:rPr>
  </w:style>
  <w:style w:type="paragraph" w:customStyle="1" w:styleId="110">
    <w:name w:val="默认段落字体 Para Char Char Char Char"/>
    <w:basedOn w:val="1"/>
    <w:qFormat/>
    <w:uiPriority w:val="0"/>
    <w:pPr>
      <w:widowControl w:val="0"/>
      <w:jc w:val="both"/>
    </w:pPr>
    <w:rPr>
      <w:kern w:val="2"/>
      <w:sz w:val="21"/>
      <w:szCs w:val="24"/>
    </w:rPr>
  </w:style>
  <w:style w:type="paragraph" w:customStyle="1" w:styleId="111">
    <w:name w:val="?¡ì?¡ì?¡§¡è?¡ìo????¡§¡è?:1"/>
    <w:basedOn w:val="1"/>
    <w:qFormat/>
    <w:uiPriority w:val="0"/>
    <w:pPr>
      <w:overflowPunct w:val="0"/>
      <w:autoSpaceDE w:val="0"/>
      <w:autoSpaceDN w:val="0"/>
      <w:adjustRightInd w:val="0"/>
    </w:pPr>
    <w:rPr>
      <w:sz w:val="24"/>
    </w:rPr>
  </w:style>
  <w:style w:type="paragraph" w:customStyle="1" w:styleId="112">
    <w:name w:val="默认段落字体 Para Char"/>
    <w:basedOn w:val="1"/>
    <w:qFormat/>
    <w:uiPriority w:val="0"/>
    <w:pPr>
      <w:widowControl w:val="0"/>
      <w:jc w:val="both"/>
    </w:pPr>
    <w:rPr>
      <w:kern w:val="2"/>
      <w:sz w:val="21"/>
      <w:szCs w:val="24"/>
    </w:rPr>
  </w:style>
  <w:style w:type="paragraph" w:customStyle="1" w:styleId="113">
    <w:name w:val="表格02"/>
    <w:basedOn w:val="1"/>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14">
    <w:name w:val="reader-word-layer reader-word-s16-17"/>
    <w:basedOn w:val="1"/>
    <w:qFormat/>
    <w:uiPriority w:val="0"/>
    <w:pPr>
      <w:spacing w:before="100" w:beforeAutospacing="1" w:after="100" w:afterAutospacing="1"/>
    </w:pPr>
    <w:rPr>
      <w:rFonts w:ascii="宋体" w:hAnsi="宋体" w:cs="宋体"/>
      <w:sz w:val="24"/>
      <w:szCs w:val="24"/>
    </w:rPr>
  </w:style>
  <w:style w:type="paragraph" w:customStyle="1" w:styleId="115">
    <w:name w:val="CM22"/>
    <w:basedOn w:val="1"/>
    <w:next w:val="1"/>
    <w:qFormat/>
    <w:uiPriority w:val="0"/>
    <w:pPr>
      <w:widowControl w:val="0"/>
      <w:autoSpaceDE w:val="0"/>
      <w:autoSpaceDN w:val="0"/>
      <w:adjustRightInd w:val="0"/>
      <w:spacing w:after="310"/>
    </w:pPr>
    <w:rPr>
      <w:rFonts w:ascii="宋体"/>
      <w:sz w:val="24"/>
      <w:szCs w:val="24"/>
    </w:rPr>
  </w:style>
  <w:style w:type="paragraph" w:customStyle="1" w:styleId="116">
    <w:name w:val="reader-word-layer reader-word-s16-11"/>
    <w:basedOn w:val="1"/>
    <w:qFormat/>
    <w:uiPriority w:val="0"/>
    <w:pPr>
      <w:spacing w:before="100" w:beforeAutospacing="1" w:after="100" w:afterAutospacing="1"/>
    </w:pPr>
    <w:rPr>
      <w:rFonts w:ascii="宋体" w:hAnsi="宋体" w:cs="宋体"/>
      <w:sz w:val="24"/>
      <w:szCs w:val="24"/>
    </w:rPr>
  </w:style>
  <w:style w:type="paragraph" w:customStyle="1" w:styleId="117">
    <w:name w:val="È±Ê¡ÎÄ±¾:1:1"/>
    <w:basedOn w:val="1"/>
    <w:qFormat/>
    <w:uiPriority w:val="0"/>
    <w:pPr>
      <w:overflowPunct w:val="0"/>
      <w:autoSpaceDE w:val="0"/>
      <w:autoSpaceDN w:val="0"/>
      <w:adjustRightInd w:val="0"/>
      <w:textAlignment w:val="baseline"/>
    </w:pPr>
    <w:rPr>
      <w:sz w:val="24"/>
    </w:rPr>
  </w:style>
  <w:style w:type="paragraph" w:customStyle="1" w:styleId="118">
    <w:name w:val="样式1"/>
    <w:basedOn w:val="1"/>
    <w:qFormat/>
    <w:uiPriority w:val="0"/>
    <w:pPr>
      <w:widowControl w:val="0"/>
      <w:spacing w:before="120" w:after="120" w:line="300" w:lineRule="auto"/>
      <w:jc w:val="both"/>
    </w:pPr>
    <w:rPr>
      <w:rFonts w:ascii="宋体" w:hAnsi="宋体"/>
      <w:b/>
      <w:kern w:val="2"/>
      <w:sz w:val="24"/>
    </w:rPr>
  </w:style>
  <w:style w:type="paragraph" w:customStyle="1" w:styleId="119">
    <w:name w:val="_Style 17"/>
    <w:basedOn w:val="1"/>
    <w:next w:val="38"/>
    <w:qFormat/>
    <w:uiPriority w:val="0"/>
    <w:pPr>
      <w:spacing w:before="100" w:beforeAutospacing="1" w:after="100" w:afterAutospacing="1"/>
    </w:pPr>
    <w:rPr>
      <w:rFonts w:ascii="宋体" w:hAnsi="宋体" w:cs="黑体"/>
      <w:sz w:val="24"/>
      <w:szCs w:val="24"/>
    </w:rPr>
  </w:style>
  <w:style w:type="paragraph" w:customStyle="1" w:styleId="120">
    <w:name w:val="Char Char Char Char1"/>
    <w:basedOn w:val="1"/>
    <w:qFormat/>
    <w:uiPriority w:val="0"/>
    <w:pPr>
      <w:widowControl w:val="0"/>
      <w:jc w:val="both"/>
    </w:pPr>
    <w:rPr>
      <w:rFonts w:ascii="Tahoma" w:hAnsi="Tahoma"/>
      <w:kern w:val="2"/>
      <w:sz w:val="24"/>
    </w:rPr>
  </w:style>
  <w:style w:type="paragraph" w:customStyle="1" w:styleId="121">
    <w:name w:val="reader-word-layer reader-word-s16-7"/>
    <w:basedOn w:val="1"/>
    <w:qFormat/>
    <w:uiPriority w:val="0"/>
    <w:pPr>
      <w:spacing w:before="100" w:beforeAutospacing="1" w:after="100" w:afterAutospacing="1"/>
    </w:pPr>
    <w:rPr>
      <w:rFonts w:ascii="宋体" w:hAnsi="宋体" w:cs="宋体"/>
      <w:sz w:val="24"/>
      <w:szCs w:val="24"/>
    </w:rPr>
  </w:style>
  <w:style w:type="paragraph" w:customStyle="1" w:styleId="122">
    <w:name w:val="正文文本缩进8"/>
    <w:basedOn w:val="1"/>
    <w:qFormat/>
    <w:uiPriority w:val="0"/>
    <w:pPr>
      <w:widowControl w:val="0"/>
      <w:ind w:firstLine="560" w:firstLineChars="200"/>
      <w:jc w:val="both"/>
    </w:pPr>
    <w:rPr>
      <w:kern w:val="2"/>
      <w:sz w:val="28"/>
      <w:szCs w:val="28"/>
    </w:rPr>
  </w:style>
  <w:style w:type="paragraph" w:customStyle="1" w:styleId="123">
    <w:name w:val="_Style 110"/>
    <w:basedOn w:val="1"/>
    <w:next w:val="91"/>
    <w:qFormat/>
    <w:uiPriority w:val="34"/>
    <w:pPr>
      <w:widowControl w:val="0"/>
      <w:ind w:firstLine="420" w:firstLineChars="200"/>
      <w:jc w:val="both"/>
    </w:pPr>
    <w:rPr>
      <w:kern w:val="2"/>
      <w:sz w:val="21"/>
    </w:rPr>
  </w:style>
  <w:style w:type="character" w:customStyle="1" w:styleId="124">
    <w:name w:val="页脚 Char"/>
    <w:link w:val="125"/>
    <w:qFormat/>
    <w:uiPriority w:val="0"/>
    <w:rPr>
      <w:sz w:val="18"/>
    </w:rPr>
  </w:style>
  <w:style w:type="paragraph" w:customStyle="1" w:styleId="125">
    <w:name w:val="页脚1"/>
    <w:basedOn w:val="1"/>
    <w:link w:val="124"/>
    <w:qFormat/>
    <w:uiPriority w:val="0"/>
    <w:pPr>
      <w:widowControl w:val="0"/>
      <w:tabs>
        <w:tab w:val="center" w:pos="4153"/>
        <w:tab w:val="right" w:pos="8306"/>
      </w:tabs>
      <w:snapToGrid w:val="0"/>
    </w:pPr>
    <w:rPr>
      <w:sz w:val="18"/>
    </w:rPr>
  </w:style>
  <w:style w:type="paragraph" w:customStyle="1" w:styleId="126">
    <w:name w:val="页眉1"/>
    <w:basedOn w:val="1"/>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27">
    <w:name w:val="页眉11"/>
    <w:basedOn w:val="1"/>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28">
    <w:name w:val="正文缩进1"/>
    <w:basedOn w:val="1"/>
    <w:qFormat/>
    <w:uiPriority w:val="0"/>
    <w:pPr>
      <w:ind w:firstLine="420"/>
      <w:jc w:val="center"/>
    </w:pPr>
    <w:rPr>
      <w:b/>
      <w:sz w:val="44"/>
    </w:rPr>
  </w:style>
  <w:style w:type="paragraph" w:styleId="12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0">
    <w:name w:val="列出段落 Char"/>
    <w:link w:val="91"/>
    <w:qFormat/>
    <w:uiPriority w:val="34"/>
    <w:rPr>
      <w:rFonts w:ascii="Calibri" w:hAnsi="Calibri" w:eastAsia="宋体" w:cs="Times New Roman"/>
      <w:kern w:val="2"/>
      <w:sz w:val="21"/>
      <w:szCs w:val="22"/>
    </w:rPr>
  </w:style>
  <w:style w:type="paragraph" w:customStyle="1" w:styleId="131">
    <w:name w:val="正文 + 宋体"/>
    <w:basedOn w:val="1"/>
    <w:qFormat/>
    <w:uiPriority w:val="99"/>
    <w:pPr>
      <w:spacing w:before="40" w:after="160"/>
    </w:pPr>
    <w:rPr>
      <w:rFonts w:ascii="宋体" w:hAnsi="宋体" w:eastAsia="微软雅黑"/>
      <w:color w:val="595959"/>
      <w:kern w:val="20"/>
      <w:sz w:val="21"/>
      <w:szCs w:val="21"/>
      <w:lang w:val="zh-CN"/>
    </w:rPr>
  </w:style>
  <w:style w:type="paragraph" w:customStyle="1" w:styleId="132">
    <w:name w:val="Normal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3">
    <w:name w:val="样式 样式 左侧:  2 字符 + 左侧:  0.85 厘米 首行缩进:  2 字符1"/>
    <w:basedOn w:val="1"/>
    <w:qFormat/>
    <w:uiPriority w:val="0"/>
    <w:pPr>
      <w:widowControl w:val="0"/>
      <w:ind w:left="482" w:firstLine="200" w:firstLineChars="200"/>
      <w:jc w:val="both"/>
    </w:pPr>
    <w:rPr>
      <w:rFonts w:ascii="Calibri" w:hAnsi="Calibri" w:cs="宋体"/>
      <w:kern w:val="2"/>
      <w:sz w:val="21"/>
    </w:rPr>
  </w:style>
  <w:style w:type="paragraph" w:customStyle="1" w:styleId="134">
    <w:name w:val="font5"/>
    <w:basedOn w:val="1"/>
    <w:qFormat/>
    <w:uiPriority w:val="0"/>
    <w:pPr>
      <w:spacing w:before="100" w:beforeAutospacing="1" w:after="100" w:afterAutospacing="1"/>
    </w:pPr>
    <w:rPr>
      <w:rFonts w:ascii="宋体" w:hAnsi="宋体" w:cs="宋体"/>
      <w:sz w:val="18"/>
      <w:szCs w:val="18"/>
    </w:rPr>
  </w:style>
  <w:style w:type="paragraph" w:customStyle="1" w:styleId="135">
    <w:name w:val="font6"/>
    <w:basedOn w:val="1"/>
    <w:qFormat/>
    <w:uiPriority w:val="0"/>
    <w:pPr>
      <w:spacing w:before="100" w:beforeAutospacing="1" w:after="100" w:afterAutospacing="1"/>
    </w:pPr>
    <w:rPr>
      <w:rFonts w:ascii="宋体" w:hAnsi="宋体" w:cs="宋体"/>
      <w:sz w:val="18"/>
      <w:szCs w:val="18"/>
    </w:rPr>
  </w:style>
  <w:style w:type="paragraph" w:customStyle="1" w:styleId="136">
    <w:name w:val="font7"/>
    <w:basedOn w:val="1"/>
    <w:qFormat/>
    <w:uiPriority w:val="0"/>
    <w:pPr>
      <w:spacing w:before="100" w:beforeAutospacing="1" w:after="100" w:afterAutospacing="1"/>
    </w:pPr>
    <w:rPr>
      <w:rFonts w:ascii="宋体" w:hAnsi="宋体" w:cs="宋体"/>
      <w:sz w:val="18"/>
      <w:szCs w:val="18"/>
    </w:rPr>
  </w:style>
  <w:style w:type="paragraph" w:customStyle="1" w:styleId="137">
    <w:name w:val="font8"/>
    <w:basedOn w:val="1"/>
    <w:qFormat/>
    <w:uiPriority w:val="0"/>
    <w:pPr>
      <w:spacing w:before="100" w:beforeAutospacing="1" w:after="100" w:afterAutospacing="1"/>
    </w:pPr>
    <w:rPr>
      <w:rFonts w:ascii="Tahoma" w:hAnsi="Tahoma" w:cs="Tahoma"/>
      <w:sz w:val="18"/>
      <w:szCs w:val="18"/>
    </w:rPr>
  </w:style>
  <w:style w:type="paragraph" w:customStyle="1" w:styleId="138">
    <w:name w:val="font9"/>
    <w:basedOn w:val="1"/>
    <w:qFormat/>
    <w:uiPriority w:val="0"/>
    <w:pPr>
      <w:spacing w:before="100" w:beforeAutospacing="1" w:after="100" w:afterAutospacing="1"/>
    </w:pPr>
    <w:rPr>
      <w:rFonts w:ascii="宋体" w:hAnsi="宋体" w:cs="宋体"/>
      <w:sz w:val="18"/>
      <w:szCs w:val="18"/>
    </w:rPr>
  </w:style>
  <w:style w:type="paragraph" w:customStyle="1" w:styleId="139">
    <w:name w:val="font10"/>
    <w:basedOn w:val="1"/>
    <w:qFormat/>
    <w:uiPriority w:val="0"/>
    <w:pPr>
      <w:spacing w:before="100" w:beforeAutospacing="1" w:after="100" w:afterAutospacing="1"/>
    </w:pPr>
    <w:rPr>
      <w:rFonts w:ascii="宋体" w:hAnsi="宋体" w:cs="宋体"/>
      <w:color w:val="000000"/>
      <w:sz w:val="22"/>
      <w:szCs w:val="22"/>
    </w:rPr>
  </w:style>
  <w:style w:type="paragraph" w:customStyle="1" w:styleId="140">
    <w:name w:val="xl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41">
    <w:name w:val="xl7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4"/>
      <w:szCs w:val="24"/>
    </w:rPr>
  </w:style>
  <w:style w:type="paragraph" w:customStyle="1" w:styleId="142">
    <w:name w:val="xl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143">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44">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45">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46">
    <w:name w:val="xl7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47">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szCs w:val="24"/>
    </w:rPr>
  </w:style>
  <w:style w:type="paragraph" w:customStyle="1" w:styleId="148">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4"/>
      <w:szCs w:val="24"/>
    </w:rPr>
  </w:style>
  <w:style w:type="paragraph" w:customStyle="1" w:styleId="149">
    <w:name w:val="xl7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color w:val="000000"/>
      <w:sz w:val="24"/>
      <w:szCs w:val="24"/>
    </w:rPr>
  </w:style>
  <w:style w:type="paragraph" w:customStyle="1" w:styleId="150">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51">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52">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53">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54">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color w:val="000000"/>
      <w:sz w:val="24"/>
      <w:szCs w:val="24"/>
    </w:rPr>
  </w:style>
  <w:style w:type="paragraph" w:customStyle="1" w:styleId="155">
    <w:name w:val="xl84"/>
    <w:basedOn w:val="1"/>
    <w:qFormat/>
    <w:uiPriority w:val="0"/>
    <w:pPr>
      <w:shd w:val="clear" w:color="000000" w:fill="FFFFFF"/>
      <w:spacing w:before="100" w:beforeAutospacing="1" w:after="100" w:afterAutospacing="1"/>
    </w:pPr>
    <w:rPr>
      <w:rFonts w:ascii="宋体" w:hAnsi="宋体" w:cs="宋体"/>
      <w:sz w:val="24"/>
      <w:szCs w:val="24"/>
    </w:rPr>
  </w:style>
  <w:style w:type="paragraph" w:customStyle="1" w:styleId="156">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57">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4"/>
      <w:szCs w:val="24"/>
    </w:rPr>
  </w:style>
  <w:style w:type="paragraph" w:customStyle="1" w:styleId="158">
    <w:name w:val="xl8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159">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0">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1">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2">
    <w:name w:val="xl91"/>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63">
    <w:name w:val="xl92"/>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4">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65">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24"/>
      <w:szCs w:val="24"/>
    </w:rPr>
  </w:style>
  <w:style w:type="paragraph" w:customStyle="1" w:styleId="166">
    <w:name w:val="xl9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color w:val="FF0000"/>
      <w:sz w:val="24"/>
      <w:szCs w:val="24"/>
    </w:rPr>
  </w:style>
  <w:style w:type="paragraph" w:customStyle="1" w:styleId="167">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168">
    <w:name w:val="xl97"/>
    <w:basedOn w:val="1"/>
    <w:qFormat/>
    <w:uiPriority w:val="0"/>
    <w:pPr>
      <w:spacing w:before="100" w:beforeAutospacing="1" w:after="100" w:afterAutospacing="1"/>
      <w:jc w:val="center"/>
    </w:pPr>
    <w:rPr>
      <w:rFonts w:ascii="宋体" w:hAnsi="宋体" w:cs="宋体"/>
      <w:sz w:val="24"/>
      <w:szCs w:val="24"/>
    </w:rPr>
  </w:style>
  <w:style w:type="paragraph" w:customStyle="1" w:styleId="169">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4"/>
      <w:szCs w:val="24"/>
    </w:rPr>
  </w:style>
  <w:style w:type="paragraph" w:customStyle="1" w:styleId="170">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sz w:val="24"/>
      <w:szCs w:val="24"/>
    </w:rPr>
  </w:style>
  <w:style w:type="paragraph" w:customStyle="1" w:styleId="171">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72">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b/>
      <w:bCs/>
      <w:sz w:val="24"/>
      <w:szCs w:val="24"/>
    </w:rPr>
  </w:style>
  <w:style w:type="paragraph" w:customStyle="1" w:styleId="173">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74">
    <w:name w:val="xl103"/>
    <w:basedOn w:val="1"/>
    <w:qFormat/>
    <w:uiPriority w:val="0"/>
    <w:pPr>
      <w:spacing w:before="100" w:beforeAutospacing="1" w:after="100" w:afterAutospacing="1"/>
    </w:pPr>
    <w:rPr>
      <w:rFonts w:ascii="宋体" w:hAnsi="宋体" w:cs="宋体"/>
      <w:sz w:val="24"/>
      <w:szCs w:val="24"/>
    </w:rPr>
  </w:style>
  <w:style w:type="paragraph" w:customStyle="1" w:styleId="175">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76">
    <w:name w:val="xl6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4"/>
      <w:szCs w:val="24"/>
    </w:rPr>
  </w:style>
  <w:style w:type="paragraph" w:customStyle="1" w:styleId="177">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character" w:customStyle="1" w:styleId="178">
    <w:name w:val="页脚 Char1"/>
    <w:basedOn w:val="45"/>
    <w:link w:val="28"/>
    <w:qFormat/>
    <w:uiPriority w:val="99"/>
    <w:rPr>
      <w:rFonts w:ascii="Times New Roman" w:hAnsi="Times New Roman" w:eastAsia="宋体" w:cs="Times New Roman"/>
      <w:sz w:val="18"/>
    </w:rPr>
  </w:style>
  <w:style w:type="character" w:customStyle="1" w:styleId="179">
    <w:name w:val="未处理的提及1"/>
    <w:basedOn w:val="45"/>
    <w:semiHidden/>
    <w:unhideWhenUsed/>
    <w:qFormat/>
    <w:uiPriority w:val="99"/>
    <w:rPr>
      <w:color w:val="605E5C"/>
      <w:shd w:val="clear" w:color="auto" w:fill="E1DFDD"/>
    </w:rPr>
  </w:style>
  <w:style w:type="character" w:customStyle="1" w:styleId="180">
    <w:name w:val="font71"/>
    <w:basedOn w:val="45"/>
    <w:qFormat/>
    <w:uiPriority w:val="0"/>
    <w:rPr>
      <w:rFonts w:hint="eastAsia" w:ascii="宋体" w:hAnsi="宋体" w:eastAsia="宋体" w:cs="宋体"/>
      <w:color w:val="333333"/>
      <w:sz w:val="20"/>
      <w:szCs w:val="20"/>
      <w:u w:val="none"/>
    </w:rPr>
  </w:style>
  <w:style w:type="character" w:customStyle="1" w:styleId="181">
    <w:name w:val="font101"/>
    <w:basedOn w:val="45"/>
    <w:qFormat/>
    <w:uiPriority w:val="0"/>
    <w:rPr>
      <w:rFonts w:hint="default" w:ascii="Times New Roman" w:hAnsi="Times New Roman" w:cs="Times New Roman"/>
      <w:color w:val="333333"/>
      <w:sz w:val="20"/>
      <w:szCs w:val="20"/>
      <w:u w:val="none"/>
    </w:rPr>
  </w:style>
  <w:style w:type="character" w:customStyle="1" w:styleId="182">
    <w:name w:val="font81"/>
    <w:basedOn w:val="45"/>
    <w:qFormat/>
    <w:uiPriority w:val="0"/>
    <w:rPr>
      <w:rFonts w:ascii="宋体" w:hAnsi="宋体" w:eastAsia="宋体" w:cs="宋体"/>
      <w:color w:val="000000"/>
      <w:sz w:val="22"/>
      <w:szCs w:val="22"/>
      <w:u w:val="none"/>
    </w:rPr>
  </w:style>
  <w:style w:type="character" w:customStyle="1" w:styleId="183">
    <w:name w:val="layui-layer-tabnow"/>
    <w:basedOn w:val="45"/>
    <w:qFormat/>
    <w:uiPriority w:val="0"/>
    <w:rPr>
      <w:bdr w:val="single" w:color="CCCCCC" w:sz="6" w:space="0"/>
      <w:shd w:val="clear" w:color="auto" w:fill="FFFFFF"/>
    </w:rPr>
  </w:style>
  <w:style w:type="character" w:customStyle="1" w:styleId="184">
    <w:name w:val="first-child"/>
    <w:basedOn w:val="45"/>
    <w:qFormat/>
    <w:uiPriority w:val="0"/>
  </w:style>
  <w:style w:type="paragraph" w:customStyle="1" w:styleId="185">
    <w:name w:val="Table Paragraph"/>
    <w:basedOn w:val="1"/>
    <w:qFormat/>
    <w:uiPriority w:val="1"/>
  </w:style>
  <w:style w:type="table" w:customStyle="1" w:styleId="186">
    <w:name w:val="Table Normal"/>
    <w:semiHidden/>
    <w:unhideWhenUsed/>
    <w:qFormat/>
    <w:uiPriority w:val="2"/>
    <w:tblPr>
      <w:tblCellMar>
        <w:top w:w="0" w:type="dxa"/>
        <w:left w:w="0" w:type="dxa"/>
        <w:bottom w:w="0" w:type="dxa"/>
        <w:right w:w="0" w:type="dxa"/>
      </w:tblCellMar>
    </w:tblPr>
  </w:style>
  <w:style w:type="character" w:customStyle="1" w:styleId="187">
    <w:name w:val="标题 3 Char"/>
    <w:basedOn w:val="45"/>
    <w:link w:val="4"/>
    <w:qFormat/>
    <w:uiPriority w:val="0"/>
    <w:rPr>
      <w:b/>
      <w:sz w:val="32"/>
    </w:rPr>
  </w:style>
  <w:style w:type="paragraph" w:customStyle="1" w:styleId="18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89">
    <w:name w:val="列出段落1"/>
    <w:basedOn w:val="1"/>
    <w:qFormat/>
    <w:uiPriority w:val="0"/>
    <w:pPr>
      <w:autoSpaceDE w:val="0"/>
      <w:autoSpaceDN w:val="0"/>
      <w:adjustRightInd w:val="0"/>
      <w:spacing w:line="315" w:lineRule="atLeast"/>
      <w:ind w:firstLine="420" w:firstLineChars="200"/>
      <w:jc w:val="left"/>
    </w:pPr>
    <w:rPr>
      <w:rFonts w:hint="eastAsia" w:ascii="楷体_GB2312" w:hAnsi="Times New Roman" w:eastAsia="楷体_GB2312" w:cs="Times New Roman"/>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中恒一信项目管理咨询有限公司</Company>
  <Pages>85</Pages>
  <Words>10420</Words>
  <Characters>11473</Characters>
  <Lines>76</Lines>
  <Paragraphs>106</Paragraphs>
  <TotalTime>1</TotalTime>
  <ScaleCrop>false</ScaleCrop>
  <LinksUpToDate>false</LinksUpToDate>
  <CharactersWithSpaces>11666</CharactersWithSpaces>
  <Application>WPS Office_11.8.6.8810_F1E327BC-269C-435d-A152-05C5408002CA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2021-09-16T06:30:00Z</dcterms:created>
  <dc:creator>赵明</dc:creator>
  <cp:lastModifiedBy>红色雪域</cp:lastModifiedBy>
  <cp:lastPrinted>2024-08-08T05:24:00Z</cp:lastPrinted>
  <dcterms:modified xsi:type="dcterms:W3CDTF">2025-07-16T01:08:39Z</dcterms:modified>
  <dc:title>招标文件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B48E8A84A45D4705AC0E316965715CCD_13</vt:lpwstr>
  </property>
  <property fmtid="{D5CDD505-2E9C-101B-9397-08002B2CF9AE}" pid="4" name="KSOTemplateDocerSaveRecord">
    <vt:lpwstr>eyJoZGlkIjoiMTdkNDQ5NDBhZjczNWZiYTBlY2QzYjIyODBkZTliMzAiLCJ1c2VySWQiOiIzNTQ1NDg1NjMifQ==</vt:lpwstr>
  </property>
</Properties>
</file>