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6A33">
      <w:pPr>
        <w:jc w:val="center"/>
        <w:rPr>
          <w:rFonts w:hint="eastAsia" w:ascii="宋体" w:hAnsi="宋体" w:eastAsia="宋体" w:cs="宋体"/>
          <w:b/>
          <w:bCs/>
          <w:color w:val="auto"/>
          <w:sz w:val="32"/>
          <w:szCs w:val="32"/>
          <w:highlight w:val="none"/>
          <w:lang w:eastAsia="zh-CN"/>
        </w:rPr>
      </w:pPr>
      <w:bookmarkStart w:id="0" w:name="OLE_LINK4"/>
      <w:r>
        <w:rPr>
          <w:rFonts w:hint="eastAsia" w:ascii="宋体" w:hAnsi="宋体" w:eastAsia="宋体" w:cs="宋体"/>
          <w:b/>
          <w:bCs/>
          <w:color w:val="auto"/>
          <w:sz w:val="32"/>
          <w:szCs w:val="32"/>
          <w:highlight w:val="none"/>
          <w:lang w:eastAsia="zh-CN"/>
        </w:rPr>
        <w:drawing>
          <wp:inline distT="0" distB="0" distL="114300" distR="114300">
            <wp:extent cx="6117590" cy="8646160"/>
            <wp:effectExtent l="0" t="0" r="16510" b="2540"/>
            <wp:docPr id="5" name="图片 5" descr="9c2f3ea4ab83a3b3a5ae3f4e863f7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c2f3ea4ab83a3b3a5ae3f4e863f7ce"/>
                    <pic:cNvPicPr>
                      <a:picLocks noChangeAspect="1"/>
                    </pic:cNvPicPr>
                  </pic:nvPicPr>
                  <pic:blipFill>
                    <a:blip r:embed="rId9"/>
                    <a:stretch>
                      <a:fillRect/>
                    </a:stretch>
                  </pic:blipFill>
                  <pic:spPr>
                    <a:xfrm>
                      <a:off x="0" y="0"/>
                      <a:ext cx="6117590" cy="8646160"/>
                    </a:xfrm>
                    <a:prstGeom prst="rect">
                      <a:avLst/>
                    </a:prstGeom>
                  </pic:spPr>
                </pic:pic>
              </a:graphicData>
            </a:graphic>
          </wp:inline>
        </w:drawing>
      </w:r>
    </w:p>
    <w:p w14:paraId="2A1DBE81">
      <w:pPr>
        <w:spacing w:line="360" w:lineRule="auto"/>
        <w:jc w:val="center"/>
        <w:rPr>
          <w:rFonts w:hint="eastAsia" w:ascii="宋体" w:hAnsi="宋体" w:cs="宋体"/>
          <w:b/>
          <w:color w:val="auto"/>
          <w:kern w:val="0"/>
          <w:sz w:val="44"/>
          <w:szCs w:val="44"/>
          <w:highlight w:val="none"/>
        </w:rPr>
      </w:pPr>
    </w:p>
    <w:p w14:paraId="19CD0308">
      <w:pPr>
        <w:spacing w:line="360" w:lineRule="auto"/>
        <w:jc w:val="cente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目录</w:t>
      </w:r>
    </w:p>
    <w:bookmarkEnd w:id="0"/>
    <w:sdt>
      <w:sdtPr>
        <w:rPr>
          <w:rFonts w:ascii="宋体" w:hAnsi="宋体"/>
          <w:color w:val="auto"/>
          <w:highlight w:val="none"/>
        </w:rPr>
        <w:id w:val="147460166"/>
        <w:docPartObj>
          <w:docPartGallery w:val="Table of Contents"/>
          <w:docPartUnique/>
        </w:docPartObj>
      </w:sdtPr>
      <w:sdtEndPr>
        <w:rPr>
          <w:rFonts w:hint="eastAsia" w:ascii="宋体" w:hAnsi="宋体" w:cs="宋体"/>
          <w:color w:val="auto"/>
          <w:sz w:val="30"/>
          <w:szCs w:val="20"/>
          <w:highlight w:val="none"/>
        </w:rPr>
      </w:sdtEndPr>
      <w:sdtContent>
        <w:p w14:paraId="3D7CB98E">
          <w:pPr>
            <w:jc w:val="center"/>
            <w:rPr>
              <w:color w:val="auto"/>
              <w:highlight w:val="none"/>
            </w:rPr>
          </w:pPr>
        </w:p>
        <w:p w14:paraId="67B691B7">
          <w:pPr>
            <w:pStyle w:val="73"/>
            <w:tabs>
              <w:tab w:val="right" w:leader="dot" w:pos="9528"/>
            </w:tabs>
            <w:spacing w:line="480" w:lineRule="auto"/>
            <w:rPr>
              <w:b/>
              <w:bCs/>
              <w:color w:val="auto"/>
              <w:sz w:val="30"/>
              <w:szCs w:val="30"/>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"_Toc9117" </w:instrText>
          </w:r>
          <w:r>
            <w:rPr>
              <w:color w:val="auto"/>
              <w:highlight w:val="none"/>
            </w:rPr>
            <w:fldChar w:fldCharType="separate"/>
          </w:r>
          <w:r>
            <w:rPr>
              <w:rFonts w:hint="eastAsia" w:ascii="宋体" w:hAnsi="宋体" w:cs="宋体"/>
              <w:b/>
              <w:bCs/>
              <w:color w:val="auto"/>
              <w:sz w:val="30"/>
              <w:szCs w:val="30"/>
              <w:highlight w:val="none"/>
            </w:rPr>
            <w:t>第一章 竞争性磋商公告</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_Toc9117 \h </w:instrText>
          </w:r>
          <w:r>
            <w:rPr>
              <w:b/>
              <w:bCs/>
              <w:color w:val="auto"/>
              <w:sz w:val="30"/>
              <w:szCs w:val="30"/>
              <w:highlight w:val="none"/>
            </w:rPr>
            <w:fldChar w:fldCharType="separate"/>
          </w:r>
          <w:r>
            <w:rPr>
              <w:b/>
              <w:bCs/>
              <w:color w:val="auto"/>
              <w:sz w:val="30"/>
              <w:szCs w:val="30"/>
              <w:highlight w:val="none"/>
            </w:rPr>
            <w:t>1</w:t>
          </w:r>
          <w:r>
            <w:rPr>
              <w:b/>
              <w:bCs/>
              <w:color w:val="auto"/>
              <w:sz w:val="30"/>
              <w:szCs w:val="30"/>
              <w:highlight w:val="none"/>
            </w:rPr>
            <w:fldChar w:fldCharType="end"/>
          </w:r>
          <w:r>
            <w:rPr>
              <w:b/>
              <w:bCs/>
              <w:color w:val="auto"/>
              <w:sz w:val="30"/>
              <w:szCs w:val="30"/>
              <w:highlight w:val="none"/>
            </w:rPr>
            <w:fldChar w:fldCharType="end"/>
          </w:r>
        </w:p>
        <w:p w14:paraId="3171E025">
          <w:pPr>
            <w:pStyle w:val="73"/>
            <w:tabs>
              <w:tab w:val="right" w:leader="dot" w:pos="9528"/>
            </w:tabs>
            <w:spacing w:line="480" w:lineRule="auto"/>
            <w:rPr>
              <w:b/>
              <w:bCs/>
              <w:color w:val="auto"/>
              <w:sz w:val="30"/>
              <w:szCs w:val="30"/>
              <w:highlight w:val="none"/>
            </w:rPr>
          </w:pPr>
          <w:r>
            <w:rPr>
              <w:color w:val="auto"/>
              <w:highlight w:val="none"/>
            </w:rPr>
            <w:fldChar w:fldCharType="begin"/>
          </w:r>
          <w:r>
            <w:rPr>
              <w:color w:val="auto"/>
              <w:highlight w:val="none"/>
            </w:rPr>
            <w:instrText xml:space="preserve"> HYPERLINK \l "_Toc3128" </w:instrText>
          </w:r>
          <w:r>
            <w:rPr>
              <w:color w:val="auto"/>
              <w:highlight w:val="none"/>
            </w:rPr>
            <w:fldChar w:fldCharType="separate"/>
          </w:r>
          <w:r>
            <w:rPr>
              <w:rFonts w:hint="eastAsia" w:ascii="宋体" w:hAnsi="宋体" w:cs="宋体"/>
              <w:b/>
              <w:bCs/>
              <w:color w:val="auto"/>
              <w:sz w:val="30"/>
              <w:szCs w:val="30"/>
              <w:highlight w:val="none"/>
            </w:rPr>
            <w:t>第二章 供应商须知</w:t>
          </w:r>
          <w:r>
            <w:rPr>
              <w:b/>
              <w:bCs/>
              <w:color w:val="auto"/>
              <w:sz w:val="30"/>
              <w:szCs w:val="30"/>
              <w:highlight w:val="none"/>
            </w:rPr>
            <w:tab/>
          </w:r>
          <w:r>
            <w:rPr>
              <w:rFonts w:hint="eastAsia"/>
              <w:b/>
              <w:bCs/>
              <w:color w:val="auto"/>
              <w:sz w:val="30"/>
              <w:szCs w:val="30"/>
              <w:highlight w:val="none"/>
              <w:lang w:val="en-US" w:eastAsia="zh-CN"/>
            </w:rPr>
            <w:t>4</w:t>
          </w:r>
          <w:r>
            <w:rPr>
              <w:b/>
              <w:bCs/>
              <w:color w:val="auto"/>
              <w:sz w:val="30"/>
              <w:szCs w:val="30"/>
              <w:highlight w:val="none"/>
            </w:rPr>
            <w:fldChar w:fldCharType="end"/>
          </w:r>
        </w:p>
        <w:p w14:paraId="3447CE1B">
          <w:pPr>
            <w:pStyle w:val="73"/>
            <w:tabs>
              <w:tab w:val="right" w:leader="dot" w:pos="9528"/>
            </w:tabs>
            <w:spacing w:line="480" w:lineRule="auto"/>
            <w:rPr>
              <w:rFonts w:hint="eastAsia" w:eastAsia="宋体"/>
              <w:b/>
              <w:bCs/>
              <w:color w:val="auto"/>
              <w:sz w:val="30"/>
              <w:szCs w:val="30"/>
              <w:highlight w:val="none"/>
              <w:lang w:val="en-US" w:eastAsia="zh-CN"/>
            </w:rPr>
          </w:pPr>
          <w:r>
            <w:rPr>
              <w:color w:val="auto"/>
              <w:highlight w:val="none"/>
            </w:rPr>
            <w:fldChar w:fldCharType="begin"/>
          </w:r>
          <w:r>
            <w:rPr>
              <w:color w:val="auto"/>
              <w:highlight w:val="none"/>
            </w:rPr>
            <w:instrText xml:space="preserve"> HYPERLINK \l "_Toc30401" </w:instrText>
          </w:r>
          <w:r>
            <w:rPr>
              <w:color w:val="auto"/>
              <w:highlight w:val="none"/>
            </w:rPr>
            <w:fldChar w:fldCharType="separate"/>
          </w:r>
          <w:r>
            <w:rPr>
              <w:rFonts w:hint="eastAsia" w:ascii="宋体" w:hAnsi="宋体" w:cs="宋体"/>
              <w:b/>
              <w:bCs/>
              <w:color w:val="auto"/>
              <w:sz w:val="30"/>
              <w:szCs w:val="30"/>
              <w:highlight w:val="none"/>
            </w:rPr>
            <w:t>第三章 评标办法</w:t>
          </w:r>
          <w:r>
            <w:rPr>
              <w:b/>
              <w:bCs/>
              <w:color w:val="auto"/>
              <w:sz w:val="30"/>
              <w:szCs w:val="30"/>
              <w:highlight w:val="none"/>
            </w:rPr>
            <w:tab/>
          </w:r>
          <w:r>
            <w:rPr>
              <w:rFonts w:hint="eastAsia"/>
              <w:b/>
              <w:bCs/>
              <w:color w:val="auto"/>
              <w:sz w:val="30"/>
              <w:szCs w:val="30"/>
              <w:highlight w:val="none"/>
              <w:lang w:val="en-US" w:eastAsia="zh-CN"/>
            </w:rPr>
            <w:t>2</w:t>
          </w:r>
          <w:r>
            <w:rPr>
              <w:b/>
              <w:bCs/>
              <w:color w:val="auto"/>
              <w:sz w:val="30"/>
              <w:szCs w:val="30"/>
              <w:highlight w:val="none"/>
            </w:rPr>
            <w:fldChar w:fldCharType="end"/>
          </w:r>
          <w:r>
            <w:rPr>
              <w:rFonts w:hint="eastAsia"/>
              <w:b/>
              <w:bCs/>
              <w:color w:val="auto"/>
              <w:sz w:val="30"/>
              <w:szCs w:val="30"/>
              <w:highlight w:val="none"/>
              <w:lang w:val="en-US" w:eastAsia="zh-CN"/>
            </w:rPr>
            <w:t>0</w:t>
          </w:r>
        </w:p>
        <w:p w14:paraId="039B4E0E">
          <w:pPr>
            <w:pStyle w:val="73"/>
            <w:tabs>
              <w:tab w:val="right" w:leader="dot" w:pos="9528"/>
            </w:tabs>
            <w:spacing w:line="480" w:lineRule="auto"/>
            <w:rPr>
              <w:rFonts w:hint="eastAsia" w:eastAsia="宋体"/>
              <w:b/>
              <w:bCs/>
              <w:color w:val="auto"/>
              <w:sz w:val="30"/>
              <w:szCs w:val="30"/>
              <w:highlight w:val="none"/>
              <w:lang w:val="en-US" w:eastAsia="zh-CN"/>
            </w:rPr>
          </w:pPr>
          <w:r>
            <w:rPr>
              <w:color w:val="auto"/>
              <w:highlight w:val="none"/>
            </w:rPr>
            <w:fldChar w:fldCharType="begin"/>
          </w:r>
          <w:r>
            <w:rPr>
              <w:color w:val="auto"/>
              <w:highlight w:val="none"/>
            </w:rPr>
            <w:instrText xml:space="preserve"> HYPERLINK \l "_Toc28173" </w:instrText>
          </w:r>
          <w:r>
            <w:rPr>
              <w:color w:val="auto"/>
              <w:highlight w:val="none"/>
            </w:rPr>
            <w:fldChar w:fldCharType="separate"/>
          </w:r>
          <w:r>
            <w:rPr>
              <w:rFonts w:hint="eastAsia" w:ascii="宋体" w:hAnsi="宋体" w:cs="宋体"/>
              <w:b/>
              <w:bCs/>
              <w:color w:val="auto"/>
              <w:sz w:val="30"/>
              <w:szCs w:val="30"/>
              <w:highlight w:val="none"/>
            </w:rPr>
            <w:t>第四章 采购合同条款及格式</w:t>
          </w:r>
          <w:r>
            <w:rPr>
              <w:b/>
              <w:bCs/>
              <w:color w:val="auto"/>
              <w:sz w:val="30"/>
              <w:szCs w:val="30"/>
              <w:highlight w:val="none"/>
            </w:rPr>
            <w:tab/>
          </w:r>
          <w:r>
            <w:rPr>
              <w:rFonts w:hint="eastAsia"/>
              <w:b/>
              <w:bCs/>
              <w:color w:val="auto"/>
              <w:sz w:val="30"/>
              <w:szCs w:val="30"/>
              <w:highlight w:val="none"/>
              <w:lang w:val="en-US" w:eastAsia="zh-CN"/>
            </w:rPr>
            <w:t>2</w:t>
          </w:r>
          <w:r>
            <w:rPr>
              <w:b/>
              <w:bCs/>
              <w:color w:val="auto"/>
              <w:sz w:val="30"/>
              <w:szCs w:val="30"/>
              <w:highlight w:val="none"/>
            </w:rPr>
            <w:fldChar w:fldCharType="end"/>
          </w:r>
          <w:r>
            <w:rPr>
              <w:rFonts w:hint="eastAsia"/>
              <w:b/>
              <w:bCs/>
              <w:color w:val="auto"/>
              <w:sz w:val="30"/>
              <w:szCs w:val="30"/>
              <w:highlight w:val="none"/>
              <w:lang w:val="en-US" w:eastAsia="zh-CN"/>
            </w:rPr>
            <w:t>7</w:t>
          </w:r>
        </w:p>
        <w:p w14:paraId="4A3A978D">
          <w:pPr>
            <w:pStyle w:val="73"/>
            <w:tabs>
              <w:tab w:val="right" w:leader="dot" w:pos="9528"/>
            </w:tabs>
            <w:spacing w:line="480" w:lineRule="auto"/>
            <w:rPr>
              <w:rFonts w:hint="eastAsia" w:eastAsia="宋体"/>
              <w:b/>
              <w:bCs/>
              <w:color w:val="auto"/>
              <w:sz w:val="30"/>
              <w:szCs w:val="30"/>
              <w:highlight w:val="none"/>
              <w:lang w:val="en-US" w:eastAsia="zh-CN"/>
            </w:rPr>
          </w:pPr>
          <w:r>
            <w:rPr>
              <w:color w:val="auto"/>
              <w:highlight w:val="none"/>
            </w:rPr>
            <w:fldChar w:fldCharType="begin"/>
          </w:r>
          <w:r>
            <w:rPr>
              <w:color w:val="auto"/>
              <w:highlight w:val="none"/>
            </w:rPr>
            <w:instrText xml:space="preserve"> HYPERLINK \l "_Toc4066" </w:instrText>
          </w:r>
          <w:r>
            <w:rPr>
              <w:color w:val="auto"/>
              <w:highlight w:val="none"/>
            </w:rPr>
            <w:fldChar w:fldCharType="separate"/>
          </w:r>
          <w:r>
            <w:rPr>
              <w:rFonts w:hint="eastAsia" w:ascii="宋体" w:hAnsi="宋体" w:cs="宋体"/>
              <w:b/>
              <w:bCs/>
              <w:color w:val="auto"/>
              <w:sz w:val="30"/>
              <w:szCs w:val="30"/>
              <w:highlight w:val="none"/>
            </w:rPr>
            <w:t xml:space="preserve">第五章 </w:t>
          </w:r>
          <w:r>
            <w:rPr>
              <w:rFonts w:hint="eastAsia" w:ascii="宋体" w:hAnsi="宋体" w:cs="宋体"/>
              <w:b/>
              <w:bCs/>
              <w:color w:val="auto"/>
              <w:sz w:val="30"/>
              <w:szCs w:val="30"/>
              <w:highlight w:val="none"/>
              <w:lang w:eastAsia="zh-CN"/>
            </w:rPr>
            <w:t>技术服务要求</w:t>
          </w:r>
          <w:r>
            <w:rPr>
              <w:b/>
              <w:bCs/>
              <w:color w:val="auto"/>
              <w:sz w:val="30"/>
              <w:szCs w:val="30"/>
              <w:highlight w:val="none"/>
            </w:rPr>
            <w:tab/>
          </w:r>
          <w:r>
            <w:rPr>
              <w:rFonts w:hint="eastAsia"/>
              <w:b/>
              <w:bCs/>
              <w:color w:val="auto"/>
              <w:sz w:val="30"/>
              <w:szCs w:val="30"/>
              <w:highlight w:val="none"/>
              <w:lang w:val="en-US" w:eastAsia="zh-CN"/>
            </w:rPr>
            <w:t>3</w:t>
          </w:r>
          <w:r>
            <w:rPr>
              <w:b/>
              <w:bCs/>
              <w:color w:val="auto"/>
              <w:sz w:val="30"/>
              <w:szCs w:val="30"/>
              <w:highlight w:val="none"/>
            </w:rPr>
            <w:fldChar w:fldCharType="end"/>
          </w:r>
          <w:r>
            <w:rPr>
              <w:rFonts w:hint="eastAsia"/>
              <w:b/>
              <w:bCs/>
              <w:color w:val="auto"/>
              <w:sz w:val="30"/>
              <w:szCs w:val="30"/>
              <w:highlight w:val="none"/>
              <w:lang w:val="en-US" w:eastAsia="zh-CN"/>
            </w:rPr>
            <w:t>0</w:t>
          </w:r>
        </w:p>
        <w:p w14:paraId="7E00F217">
          <w:pPr>
            <w:pStyle w:val="73"/>
            <w:tabs>
              <w:tab w:val="right" w:leader="dot" w:pos="9528"/>
            </w:tabs>
            <w:spacing w:line="480" w:lineRule="auto"/>
            <w:rPr>
              <w:rFonts w:hint="eastAsia" w:eastAsia="宋体"/>
              <w:b/>
              <w:bCs/>
              <w:color w:val="auto"/>
              <w:sz w:val="30"/>
              <w:szCs w:val="30"/>
              <w:highlight w:val="none"/>
              <w:lang w:val="en-US" w:eastAsia="zh-CN"/>
            </w:rPr>
          </w:pPr>
          <w:r>
            <w:rPr>
              <w:color w:val="auto"/>
              <w:highlight w:val="none"/>
            </w:rPr>
            <w:fldChar w:fldCharType="begin"/>
          </w:r>
          <w:r>
            <w:rPr>
              <w:color w:val="auto"/>
              <w:highlight w:val="none"/>
            </w:rPr>
            <w:instrText xml:space="preserve"> HYPERLINK \l "_Toc24015" </w:instrText>
          </w:r>
          <w:r>
            <w:rPr>
              <w:color w:val="auto"/>
              <w:highlight w:val="none"/>
            </w:rPr>
            <w:fldChar w:fldCharType="separate"/>
          </w:r>
          <w:r>
            <w:rPr>
              <w:rFonts w:hint="eastAsia" w:ascii="宋体" w:hAnsi="宋体" w:cs="宋体"/>
              <w:b/>
              <w:bCs/>
              <w:color w:val="auto"/>
              <w:sz w:val="30"/>
              <w:szCs w:val="30"/>
              <w:highlight w:val="none"/>
            </w:rPr>
            <w:t>第六章 响应文件构成及格式</w:t>
          </w:r>
          <w:r>
            <w:rPr>
              <w:b/>
              <w:bCs/>
              <w:color w:val="auto"/>
              <w:sz w:val="30"/>
              <w:szCs w:val="30"/>
              <w:highlight w:val="none"/>
            </w:rPr>
            <w:tab/>
          </w:r>
          <w:r>
            <w:rPr>
              <w:rFonts w:hint="eastAsia"/>
              <w:b/>
              <w:bCs/>
              <w:color w:val="auto"/>
              <w:sz w:val="30"/>
              <w:szCs w:val="30"/>
              <w:highlight w:val="none"/>
              <w:lang w:val="en-US" w:eastAsia="zh-CN"/>
            </w:rPr>
            <w:t>6</w:t>
          </w:r>
          <w:r>
            <w:rPr>
              <w:b/>
              <w:bCs/>
              <w:color w:val="auto"/>
              <w:sz w:val="30"/>
              <w:szCs w:val="30"/>
              <w:highlight w:val="none"/>
            </w:rPr>
            <w:fldChar w:fldCharType="end"/>
          </w:r>
          <w:r>
            <w:rPr>
              <w:rFonts w:hint="eastAsia"/>
              <w:b/>
              <w:bCs/>
              <w:color w:val="auto"/>
              <w:sz w:val="30"/>
              <w:szCs w:val="30"/>
              <w:highlight w:val="none"/>
              <w:lang w:val="en-US" w:eastAsia="zh-CN"/>
            </w:rPr>
            <w:t xml:space="preserve">6 </w:t>
          </w:r>
        </w:p>
        <w:p w14:paraId="3CAC5A6C">
          <w:pPr>
            <w:pStyle w:val="73"/>
            <w:tabs>
              <w:tab w:val="right" w:leader="dot" w:pos="9528"/>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"_Toc13385" </w:instrText>
          </w:r>
          <w:r>
            <w:rPr>
              <w:color w:val="auto"/>
              <w:highlight w:val="none"/>
            </w:rPr>
            <w:fldChar w:fldCharType="separate"/>
          </w:r>
          <w:r>
            <w:rPr>
              <w:rFonts w:hint="eastAsia"/>
              <w:b/>
              <w:bCs/>
              <w:color w:val="auto"/>
              <w:sz w:val="30"/>
              <w:szCs w:val="30"/>
              <w:highlight w:val="none"/>
              <w:lang w:val="zh-CN"/>
            </w:rPr>
            <w:t>附件：</w:t>
          </w:r>
          <w:r>
            <w:rPr>
              <w:b/>
              <w:bCs/>
              <w:color w:val="auto"/>
              <w:sz w:val="30"/>
              <w:szCs w:val="30"/>
              <w:highlight w:val="none"/>
            </w:rPr>
            <w:tab/>
          </w:r>
          <w:r>
            <w:rPr>
              <w:rFonts w:hint="eastAsia"/>
              <w:b/>
              <w:bCs/>
              <w:color w:val="auto"/>
              <w:sz w:val="30"/>
              <w:szCs w:val="30"/>
              <w:highlight w:val="none"/>
              <w:lang w:val="en-US" w:eastAsia="zh-CN"/>
            </w:rPr>
            <w:t>8</w:t>
          </w:r>
          <w:r>
            <w:rPr>
              <w:b/>
              <w:bCs/>
              <w:color w:val="auto"/>
              <w:sz w:val="30"/>
              <w:szCs w:val="30"/>
              <w:highlight w:val="none"/>
            </w:rPr>
            <w:fldChar w:fldCharType="end"/>
          </w:r>
          <w:r>
            <w:rPr>
              <w:rFonts w:hint="eastAsia"/>
              <w:b/>
              <w:bCs/>
              <w:color w:val="auto"/>
              <w:sz w:val="30"/>
              <w:szCs w:val="30"/>
              <w:highlight w:val="none"/>
              <w:lang w:val="en-US" w:eastAsia="zh-CN"/>
            </w:rPr>
            <w:t>1</w:t>
          </w:r>
        </w:p>
        <w:p w14:paraId="59AB4B2B">
          <w:pPr>
            <w:pStyle w:val="73"/>
            <w:tabs>
              <w:tab w:val="right" w:leader="dot" w:pos="9528"/>
            </w:tabs>
            <w:rPr>
              <w:color w:val="auto"/>
              <w:highlight w:val="none"/>
            </w:rPr>
          </w:pPr>
        </w:p>
        <w:p w14:paraId="0BE233B9">
          <w:pPr>
            <w:pStyle w:val="10"/>
            <w:rPr>
              <w:rFonts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6074B64F">
      <w:pPr>
        <w:pStyle w:val="10"/>
        <w:rPr>
          <w:rFonts w:ascii="宋体" w:hAnsi="宋体" w:eastAsia="宋体" w:cs="宋体"/>
          <w:color w:val="auto"/>
          <w:highlight w:val="none"/>
        </w:rPr>
      </w:pPr>
    </w:p>
    <w:p w14:paraId="169E5E36">
      <w:pPr>
        <w:pStyle w:val="10"/>
        <w:rPr>
          <w:rFonts w:ascii="宋体" w:hAnsi="宋体" w:eastAsia="宋体" w:cs="宋体"/>
          <w:color w:val="auto"/>
          <w:highlight w:val="none"/>
        </w:rPr>
      </w:pPr>
    </w:p>
    <w:p w14:paraId="448DD2B1">
      <w:pPr>
        <w:pStyle w:val="10"/>
        <w:rPr>
          <w:rFonts w:ascii="宋体" w:hAnsi="宋体" w:eastAsia="宋体" w:cs="宋体"/>
          <w:color w:val="auto"/>
          <w:highlight w:val="none"/>
        </w:rPr>
      </w:pPr>
    </w:p>
    <w:p w14:paraId="39764EBB">
      <w:pPr>
        <w:pStyle w:val="10"/>
        <w:rPr>
          <w:rFonts w:ascii="宋体" w:hAnsi="宋体" w:eastAsia="宋体" w:cs="宋体"/>
          <w:color w:val="auto"/>
          <w:highlight w:val="none"/>
        </w:rPr>
      </w:pPr>
    </w:p>
    <w:p w14:paraId="73D4DEA9">
      <w:pPr>
        <w:pStyle w:val="10"/>
        <w:rPr>
          <w:rFonts w:ascii="宋体" w:hAnsi="宋体" w:eastAsia="宋体" w:cs="宋体"/>
          <w:color w:val="auto"/>
          <w:highlight w:val="none"/>
        </w:rPr>
      </w:pPr>
    </w:p>
    <w:p w14:paraId="5D253A75">
      <w:pPr>
        <w:pStyle w:val="10"/>
        <w:rPr>
          <w:rFonts w:ascii="宋体" w:hAnsi="宋体" w:eastAsia="宋体" w:cs="宋体"/>
          <w:color w:val="auto"/>
          <w:highlight w:val="none"/>
        </w:rPr>
      </w:pPr>
    </w:p>
    <w:p w14:paraId="62A68AAA">
      <w:pPr>
        <w:pStyle w:val="10"/>
        <w:rPr>
          <w:rFonts w:ascii="宋体" w:hAnsi="宋体" w:eastAsia="宋体" w:cs="宋体"/>
          <w:color w:val="auto"/>
          <w:highlight w:val="none"/>
        </w:rPr>
      </w:pPr>
    </w:p>
    <w:p w14:paraId="70C2C6C9">
      <w:pPr>
        <w:pStyle w:val="10"/>
        <w:rPr>
          <w:rFonts w:ascii="宋体" w:hAnsi="宋体" w:eastAsia="宋体" w:cs="宋体"/>
          <w:color w:val="auto"/>
          <w:highlight w:val="none"/>
        </w:rPr>
      </w:pPr>
    </w:p>
    <w:p w14:paraId="05FA8947">
      <w:pPr>
        <w:pStyle w:val="10"/>
        <w:rPr>
          <w:rFonts w:ascii="宋体" w:hAnsi="宋体" w:eastAsia="宋体" w:cs="宋体"/>
          <w:color w:val="auto"/>
          <w:highlight w:val="none"/>
        </w:rPr>
      </w:pPr>
    </w:p>
    <w:p w14:paraId="00CE2E13">
      <w:pPr>
        <w:pStyle w:val="10"/>
        <w:rPr>
          <w:rFonts w:ascii="宋体" w:hAnsi="宋体" w:eastAsia="宋体" w:cs="宋体"/>
          <w:color w:val="auto"/>
          <w:highlight w:val="none"/>
        </w:rPr>
      </w:pPr>
    </w:p>
    <w:p w14:paraId="28AF9C72">
      <w:pPr>
        <w:pStyle w:val="10"/>
        <w:rPr>
          <w:rFonts w:ascii="宋体" w:hAnsi="宋体" w:eastAsia="宋体" w:cs="宋体"/>
          <w:color w:val="auto"/>
          <w:highlight w:val="none"/>
        </w:rPr>
      </w:pPr>
    </w:p>
    <w:p w14:paraId="7C786376">
      <w:pPr>
        <w:pStyle w:val="10"/>
        <w:rPr>
          <w:rFonts w:ascii="宋体" w:hAnsi="宋体" w:eastAsia="宋体" w:cs="宋体"/>
          <w:color w:val="auto"/>
          <w:highlight w:val="none"/>
        </w:rPr>
      </w:pPr>
    </w:p>
    <w:p w14:paraId="205C46AB">
      <w:pPr>
        <w:pStyle w:val="10"/>
        <w:rPr>
          <w:rFonts w:ascii="宋体" w:hAnsi="宋体" w:eastAsia="宋体" w:cs="宋体"/>
          <w:color w:val="auto"/>
          <w:highlight w:val="none"/>
        </w:rPr>
      </w:pPr>
    </w:p>
    <w:p w14:paraId="493F2736">
      <w:pPr>
        <w:pStyle w:val="10"/>
        <w:rPr>
          <w:rFonts w:ascii="宋体" w:hAnsi="宋体" w:eastAsia="宋体" w:cs="宋体"/>
          <w:color w:val="auto"/>
          <w:highlight w:val="none"/>
        </w:rPr>
      </w:pPr>
    </w:p>
    <w:p w14:paraId="39A55794">
      <w:pPr>
        <w:pStyle w:val="10"/>
        <w:rPr>
          <w:rFonts w:ascii="宋体" w:hAnsi="宋体" w:eastAsia="宋体" w:cs="宋体"/>
          <w:color w:val="auto"/>
          <w:highlight w:val="none"/>
        </w:rPr>
      </w:pPr>
    </w:p>
    <w:p w14:paraId="4457674D">
      <w:pPr>
        <w:pStyle w:val="10"/>
        <w:rPr>
          <w:rFonts w:ascii="宋体" w:hAnsi="宋体" w:eastAsia="宋体" w:cs="宋体"/>
          <w:color w:val="auto"/>
          <w:highlight w:val="none"/>
        </w:rPr>
      </w:pPr>
    </w:p>
    <w:p w14:paraId="5C6B9E45">
      <w:pPr>
        <w:pStyle w:val="2"/>
        <w:rPr>
          <w:rFonts w:ascii="宋体" w:hAnsi="宋体" w:cs="宋体"/>
          <w:color w:val="auto"/>
          <w:highlight w:val="none"/>
        </w:rPr>
        <w:sectPr>
          <w:pgSz w:w="11910" w:h="16840"/>
          <w:pgMar w:top="1134" w:right="1191" w:bottom="1134" w:left="1191" w:header="0" w:footer="663" w:gutter="0"/>
          <w:pgNumType w:start="1"/>
          <w:cols w:space="720" w:num="1"/>
        </w:sectPr>
      </w:pPr>
      <w:bookmarkStart w:id="1" w:name="_Toc394054341"/>
      <w:bookmarkStart w:id="2" w:name="_Toc333483359"/>
    </w:p>
    <w:p w14:paraId="571D8774">
      <w:pPr>
        <w:pStyle w:val="2"/>
        <w:rPr>
          <w:rFonts w:ascii="宋体" w:hAnsi="宋体" w:cs="宋体"/>
          <w:color w:val="auto"/>
          <w:highlight w:val="none"/>
        </w:rPr>
      </w:pPr>
      <w:bookmarkStart w:id="3" w:name="_Toc9117"/>
      <w:bookmarkStart w:id="4" w:name="_Toc7993"/>
      <w:r>
        <w:rPr>
          <w:rFonts w:hint="eastAsia" w:ascii="宋体" w:hAnsi="宋体" w:cs="宋体"/>
          <w:color w:val="auto"/>
          <w:highlight w:val="none"/>
        </w:rPr>
        <w:t xml:space="preserve">第一章 </w:t>
      </w:r>
      <w:bookmarkEnd w:id="1"/>
      <w:bookmarkEnd w:id="2"/>
      <w:r>
        <w:rPr>
          <w:rFonts w:hint="eastAsia" w:ascii="宋体" w:hAnsi="宋体" w:cs="宋体"/>
          <w:color w:val="auto"/>
          <w:highlight w:val="none"/>
        </w:rPr>
        <w:t>竞争性磋商公告</w:t>
      </w:r>
      <w:bookmarkEnd w:id="3"/>
      <w:bookmarkEnd w:id="4"/>
    </w:p>
    <w:p w14:paraId="26197ED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bookmarkStart w:id="5" w:name="_Toc8005"/>
      <w:bookmarkStart w:id="6" w:name="_Toc11998"/>
      <w:bookmarkStart w:id="7" w:name="_Toc11749"/>
      <w:bookmarkStart w:id="8" w:name="_Toc24347"/>
      <w:bookmarkStart w:id="9" w:name="_Toc10559"/>
      <w:bookmarkStart w:id="10" w:name="_Toc2247"/>
      <w:bookmarkStart w:id="11" w:name="_Toc31883"/>
      <w:r>
        <w:rPr>
          <w:rFonts w:hint="eastAsia" w:ascii="宋体" w:hAnsi="宋体" w:cs="宋体"/>
          <w:color w:val="auto"/>
          <w:sz w:val="24"/>
          <w:highlight w:val="none"/>
        </w:rPr>
        <w:t>项目概况</w:t>
      </w:r>
    </w:p>
    <w:p w14:paraId="1B57A1D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长春市产品质量监督抽查抽样检验服务</w:t>
      </w:r>
      <w:r>
        <w:rPr>
          <w:rFonts w:hint="eastAsia" w:ascii="宋体" w:hAnsi="宋体" w:cs="宋体"/>
          <w:color w:val="auto"/>
          <w:sz w:val="24"/>
          <w:highlight w:val="none"/>
        </w:rPr>
        <w:t>的潜在供应商应在“政采云”平台（https://www.zcygov.cn/）获取（下载）招标文件，并于202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w:t>
      </w:r>
      <w:r>
        <w:rPr>
          <w:rFonts w:hint="eastAsia" w:ascii="宋体" w:hAnsi="宋体" w:cs="宋体"/>
          <w:bCs/>
          <w:color w:val="auto"/>
          <w:sz w:val="24"/>
          <w:highlight w:val="none"/>
        </w:rPr>
        <w:t>（北京时间）前提交响应文件</w:t>
      </w:r>
      <w:r>
        <w:rPr>
          <w:rFonts w:hint="eastAsia" w:ascii="宋体" w:hAnsi="宋体" w:cs="宋体"/>
          <w:bCs/>
          <w:color w:val="auto"/>
          <w:sz w:val="24"/>
          <w:highlight w:val="none"/>
          <w:lang w:eastAsia="zh-CN"/>
        </w:rPr>
        <w:t>。</w:t>
      </w:r>
    </w:p>
    <w:p w14:paraId="731FAEF1">
      <w:pPr>
        <w:spacing w:line="360" w:lineRule="auto"/>
        <w:rPr>
          <w:rFonts w:ascii="宋体" w:hAnsi="宋体" w:cs="宋体"/>
          <w:b/>
          <w:bCs/>
          <w:color w:val="auto"/>
          <w:sz w:val="24"/>
          <w:highlight w:val="none"/>
        </w:rPr>
      </w:pPr>
      <w:bookmarkStart w:id="12" w:name="_Toc28359079"/>
      <w:bookmarkStart w:id="13" w:name="_Toc35393621"/>
      <w:bookmarkStart w:id="14" w:name="_Toc35393790"/>
      <w:bookmarkStart w:id="15" w:name="_Toc28359002"/>
      <w:bookmarkStart w:id="16" w:name="_Hlk24379207"/>
      <w:r>
        <w:rPr>
          <w:rFonts w:hint="eastAsia" w:ascii="宋体" w:hAnsi="宋体" w:cs="宋体"/>
          <w:b/>
          <w:bCs/>
          <w:color w:val="auto"/>
          <w:sz w:val="24"/>
          <w:highlight w:val="none"/>
        </w:rPr>
        <w:t>一、项目基本情况</w:t>
      </w:r>
      <w:bookmarkEnd w:id="12"/>
      <w:bookmarkEnd w:id="13"/>
      <w:bookmarkEnd w:id="14"/>
      <w:bookmarkEnd w:id="15"/>
    </w:p>
    <w:p w14:paraId="079D610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1、项目编号：JM-2025-06-00669</w:t>
      </w:r>
      <w:r>
        <w:rPr>
          <w:rFonts w:hint="eastAsia" w:ascii="宋体" w:hAnsi="宋体" w:cs="宋体"/>
          <w:color w:val="auto"/>
          <w:sz w:val="24"/>
          <w:highlight w:val="none"/>
          <w:lang w:eastAsia="zh-CN"/>
        </w:rPr>
        <w:t>；</w:t>
      </w:r>
    </w:p>
    <w:p w14:paraId="04AE9781">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2、项目名称：长春市产品质量监督抽查抽样检验服务</w:t>
      </w:r>
      <w:r>
        <w:rPr>
          <w:rFonts w:hint="eastAsia" w:ascii="宋体" w:hAnsi="宋体" w:cs="宋体"/>
          <w:color w:val="auto"/>
          <w:sz w:val="24"/>
          <w:highlight w:val="none"/>
          <w:u w:val="none"/>
          <w:lang w:eastAsia="zh-CN"/>
        </w:rPr>
        <w:t>；</w:t>
      </w:r>
    </w:p>
    <w:bookmarkEnd w:id="16"/>
    <w:p w14:paraId="6309A8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、采购需求（</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rPr>
        <w:t>划分情况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内容、采购预算、</w:t>
      </w:r>
      <w:r>
        <w:rPr>
          <w:rFonts w:hint="eastAsia" w:ascii="宋体" w:hAnsi="宋体" w:cs="宋体"/>
          <w:color w:val="auto"/>
          <w:sz w:val="24"/>
          <w:highlight w:val="none"/>
          <w:lang w:val="en-US" w:eastAsia="zh-CN"/>
        </w:rPr>
        <w:t>抽检</w:t>
      </w:r>
      <w:r>
        <w:rPr>
          <w:rFonts w:hint="eastAsia" w:ascii="宋体" w:hAnsi="宋体" w:cs="宋体"/>
          <w:color w:val="auto"/>
          <w:sz w:val="24"/>
          <w:highlight w:val="none"/>
        </w:rPr>
        <w:t>批次）：</w:t>
      </w:r>
    </w:p>
    <w:tbl>
      <w:tblPr>
        <w:tblStyle w:val="28"/>
        <w:tblW w:w="10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518"/>
        <w:gridCol w:w="4564"/>
        <w:gridCol w:w="1381"/>
        <w:gridCol w:w="1685"/>
      </w:tblGrid>
      <w:tr w14:paraId="2D08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7A3A">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7B9F">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标项信息</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0FA9">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服务内容</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0AB0">
            <w:pPr>
              <w:spacing w:line="240" w:lineRule="auto"/>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采购预算</w:t>
            </w:r>
          </w:p>
          <w:p w14:paraId="6F7E9703">
            <w:pPr>
              <w:spacing w:line="24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（万元）</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CE0">
            <w:pPr>
              <w:spacing w:line="360" w:lineRule="auto"/>
              <w:jc w:val="center"/>
              <w:rPr>
                <w:rFonts w:hint="default" w:ascii="宋体" w:hAnsi="宋体" w:cs="宋体"/>
                <w:b w:val="0"/>
                <w:bCs w:val="0"/>
                <w:color w:val="auto"/>
                <w:sz w:val="24"/>
                <w:highlight w:val="none"/>
                <w:lang w:val="en-US"/>
              </w:rPr>
            </w:pPr>
            <w:r>
              <w:rPr>
                <w:rFonts w:hint="eastAsia" w:ascii="宋体" w:hAnsi="宋体" w:cs="宋体"/>
                <w:b w:val="0"/>
                <w:bCs w:val="0"/>
                <w:color w:val="auto"/>
                <w:sz w:val="24"/>
                <w:highlight w:val="none"/>
                <w:lang w:val="en-US" w:eastAsia="zh-CN"/>
              </w:rPr>
              <w:t>抽检批次</w:t>
            </w:r>
          </w:p>
        </w:tc>
      </w:tr>
      <w:tr w14:paraId="4C23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A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77A8">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标项1</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98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儿童学生用品及纺织品</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1B70">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10.6</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2654">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101</w:t>
            </w:r>
          </w:p>
        </w:tc>
      </w:tr>
      <w:tr w14:paraId="03FE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38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05F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标项2</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2A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消防器材</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DDE">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18.4</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4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r>
      <w:tr w14:paraId="17B3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F7D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0CA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标项3</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1D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燃气灶、配件及相关产品</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6F0D">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5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14:paraId="2A3B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D23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A182">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标项4</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60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危险化学品及包装物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77E2">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7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265B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108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B7B">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标项5</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C1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电动自行车</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D4B4">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14.5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16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7F85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2F7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0784">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标项6</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A1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食品相关产品</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D278">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11.5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A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r>
      <w:tr w14:paraId="49B9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EC4F">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F7E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标项7</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925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劳动保护用品及建材</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9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02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r>
      <w:tr w14:paraId="65A2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D8E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8AE2">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标项8</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BCC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煤制品</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E4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98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bl>
    <w:p w14:paraId="555FE14C">
      <w:pPr>
        <w:pStyle w:val="44"/>
        <w:rPr>
          <w:rFonts w:hint="eastAsia"/>
          <w:highlight w:val="none"/>
          <w:lang w:eastAsia="zh-CN"/>
        </w:rPr>
      </w:pPr>
    </w:p>
    <w:p w14:paraId="06769FE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、合同履行期限：</w:t>
      </w:r>
      <w:r>
        <w:rPr>
          <w:rFonts w:hint="eastAsia"/>
          <w:lang w:val="en-US" w:eastAsia="zh-CN"/>
        </w:rPr>
        <w:t>合同签订后至2025年12月31日</w:t>
      </w:r>
      <w:r>
        <w:rPr>
          <w:rFonts w:hint="eastAsia" w:ascii="宋体" w:hAnsi="宋体" w:cs="宋体"/>
          <w:bCs/>
          <w:kern w:val="0"/>
          <w:sz w:val="24"/>
          <w:highlight w:val="none"/>
          <w:lang w:val="en-US" w:eastAsia="zh-CN"/>
        </w:rPr>
        <w:t>；</w:t>
      </w:r>
    </w:p>
    <w:p w14:paraId="1AB0E3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、服务地点：</w:t>
      </w:r>
      <w:r>
        <w:rPr>
          <w:rFonts w:hint="eastAsia" w:ascii="宋体" w:hAnsi="宋体" w:cs="宋体"/>
          <w:color w:val="auto"/>
          <w:sz w:val="24"/>
          <w:highlight w:val="none"/>
          <w:lang w:val="en-US" w:eastAsia="zh-CN"/>
        </w:rPr>
        <w:t>采购人指定地点</w:t>
      </w:r>
      <w:r>
        <w:rPr>
          <w:rFonts w:hint="eastAsia" w:ascii="宋体" w:hAnsi="宋体" w:cs="宋体"/>
          <w:color w:val="auto"/>
          <w:sz w:val="24"/>
          <w:highlight w:val="none"/>
        </w:rPr>
        <w:t>；</w:t>
      </w:r>
    </w:p>
    <w:p w14:paraId="3B5720B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、本项目不接受联合体投标</w:t>
      </w:r>
      <w:r>
        <w:rPr>
          <w:rFonts w:hint="eastAsia" w:ascii="宋体" w:hAnsi="宋体" w:cs="宋体"/>
          <w:color w:val="auto"/>
          <w:sz w:val="24"/>
          <w:highlight w:val="none"/>
          <w:lang w:eastAsia="zh-CN"/>
        </w:rPr>
        <w:t>；</w:t>
      </w:r>
    </w:p>
    <w:p w14:paraId="644490D9">
      <w:pPr>
        <w:spacing w:line="360" w:lineRule="auto"/>
        <w:rPr>
          <w:rFonts w:hint="eastAsia" w:ascii="宋体" w:hAnsi="宋体" w:eastAsia="宋体" w:cs="宋体"/>
          <w:b/>
          <w:bCs/>
          <w:color w:val="auto"/>
          <w:kern w:val="2"/>
          <w:sz w:val="24"/>
          <w:szCs w:val="24"/>
          <w:highlight w:val="none"/>
          <w:lang w:val="en-US" w:eastAsia="zh-CN" w:bidi="ar-SA"/>
        </w:rPr>
      </w:pPr>
      <w:bookmarkStart w:id="17" w:name="_Toc35393791"/>
      <w:bookmarkStart w:id="18" w:name="_Toc28359003"/>
      <w:bookmarkStart w:id="19" w:name="_Toc35393622"/>
      <w:bookmarkStart w:id="20" w:name="_Toc28359080"/>
      <w:r>
        <w:rPr>
          <w:rFonts w:hint="eastAsia" w:ascii="宋体" w:hAnsi="宋体" w:eastAsia="宋体" w:cs="宋体"/>
          <w:b/>
          <w:bCs/>
          <w:color w:val="auto"/>
          <w:kern w:val="2"/>
          <w:sz w:val="24"/>
          <w:szCs w:val="24"/>
          <w:highlight w:val="none"/>
          <w:lang w:val="en-US" w:eastAsia="zh-CN" w:bidi="ar-SA"/>
        </w:rPr>
        <w:t>二、申请人的资格要求：</w:t>
      </w:r>
      <w:bookmarkEnd w:id="17"/>
      <w:bookmarkEnd w:id="18"/>
      <w:bookmarkEnd w:id="19"/>
      <w:bookmarkEnd w:id="20"/>
    </w:p>
    <w:p w14:paraId="595BD5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1AE68FD0">
      <w:pPr>
        <w:spacing w:line="360" w:lineRule="auto"/>
        <w:ind w:firstLine="480" w:firstLineChars="200"/>
        <w:rPr>
          <w:rFonts w:ascii="宋体" w:hAnsi="宋体" w:cs="宋体"/>
          <w:sz w:val="24"/>
          <w:highlight w:val="none"/>
        </w:rPr>
      </w:pPr>
      <w:bookmarkStart w:id="21" w:name="_Toc28359081"/>
      <w:bookmarkStart w:id="22" w:name="_Toc28359004"/>
      <w:r>
        <w:rPr>
          <w:rFonts w:hint="eastAsia" w:ascii="宋体" w:hAnsi="宋体" w:cs="宋体"/>
          <w:color w:val="auto"/>
          <w:sz w:val="24"/>
          <w:highlight w:val="none"/>
        </w:rPr>
        <w:t>2、落实政府采购政策需满足的资格要求：</w:t>
      </w:r>
      <w:r>
        <w:rPr>
          <w:rFonts w:hint="eastAsia" w:ascii="宋体" w:hAnsi="宋体" w:cs="宋体"/>
          <w:sz w:val="24"/>
          <w:highlight w:val="none"/>
        </w:rPr>
        <w:t>本项目为</w:t>
      </w:r>
      <w:r>
        <w:rPr>
          <w:rFonts w:hint="eastAsia" w:ascii="宋体" w:hAnsi="宋体" w:cs="宋体"/>
          <w:sz w:val="24"/>
          <w:highlight w:val="none"/>
          <w:lang w:val="en-US" w:eastAsia="zh-CN"/>
        </w:rPr>
        <w:t>非</w:t>
      </w:r>
      <w:r>
        <w:rPr>
          <w:rFonts w:hint="eastAsia" w:ascii="宋体" w:hAnsi="宋体" w:cs="宋体"/>
          <w:sz w:val="24"/>
          <w:highlight w:val="none"/>
        </w:rPr>
        <w:t>专门面向中小企业采购项目。</w:t>
      </w:r>
    </w:p>
    <w:p w14:paraId="35A22A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C22AD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（1）在中华人民共和国境内注册，能够独立承担民事责任的法人或其他组织形式，具备有效的营业执照，并在人员、设备、资金等方面具有相应的能力。</w:t>
      </w:r>
    </w:p>
    <w:p w14:paraId="55A8CF9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）资质要求：供应商应具有国家认证认可监督管理委员会或省级市场监督管理部门颁发的有效期内的检验检测机构计量认证证书（CMA）。</w:t>
      </w:r>
    </w:p>
    <w:p w14:paraId="151C143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CN"/>
        </w:rPr>
        <w:t>（3）具有良好的商业信誉和健全的财务会计制度，提供财务状况良好资格条件承诺函。</w:t>
      </w:r>
    </w:p>
    <w:p w14:paraId="69EB61E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（4）具有依法缴纳税收和社会保障资金的良好记录，提供依法缴纳税收和依法缴纳社会保障资金资格条件承诺函。</w:t>
      </w:r>
    </w:p>
    <w:p w14:paraId="5346E314">
      <w:pPr>
        <w:spacing w:line="360" w:lineRule="auto"/>
        <w:ind w:firstLine="480" w:firstLineChars="200"/>
        <w:rPr>
          <w:rFonts w:hint="eastAsia" w:ascii="宋体" w:hAnsi="宋体" w:eastAsia="宋体" w:cs="宋体"/>
          <w:color w:val="auto"/>
          <w:sz w:val="24"/>
          <w:highlight w:val="none"/>
          <w:lang w:val="zh-CN"/>
        </w:rPr>
      </w:pPr>
      <w:bookmarkStart w:id="23" w:name="_Toc35393792"/>
      <w:bookmarkStart w:id="24" w:name="_Toc35393623"/>
      <w:r>
        <w:rPr>
          <w:rFonts w:hint="eastAsia" w:ascii="宋体" w:hAnsi="宋体" w:eastAsia="宋体" w:cs="宋体"/>
          <w:color w:val="auto"/>
          <w:sz w:val="24"/>
          <w:highlight w:val="none"/>
          <w:lang w:val="zh-CN"/>
        </w:rPr>
        <w:t>（5）不接受被政府列入取消投标资格期限内的企业或个人参加投标。参加政府采购活动前3年内在经营活动中没有重大违法记录。未被“信用中国”网站（www.creditchina.gov.cn）列入重大税收违法失信主体、严重失信主体名单查询；对在中国执行信息公开网（http://zxgk.court.gov.cn）列入失信被执行人；对在中国政府采购网（www.ccgp.gov.cn）列入政府采购严重违法失信行为记录名单及其他不符合《中华人民共和国政府采购法》第二十二条规定，不得参加政府采购活动。</w:t>
      </w:r>
    </w:p>
    <w:p w14:paraId="3326350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AF826F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21"/>
      <w:bookmarkEnd w:id="22"/>
      <w:bookmarkEnd w:id="23"/>
      <w:bookmarkEnd w:id="24"/>
    </w:p>
    <w:p w14:paraId="60CD3D0E">
      <w:pPr>
        <w:spacing w:line="360" w:lineRule="auto"/>
        <w:ind w:firstLine="480" w:firstLineChars="200"/>
        <w:rPr>
          <w:rFonts w:hint="eastAsia" w:ascii="宋体" w:hAnsi="宋体" w:eastAsia="宋体" w:cs="宋体"/>
          <w:color w:val="auto"/>
          <w:sz w:val="24"/>
          <w:highlight w:val="none"/>
          <w:lang w:val="en-US" w:eastAsia="zh-CN"/>
        </w:rPr>
      </w:pPr>
      <w:bookmarkStart w:id="25" w:name="_Toc28359015"/>
      <w:bookmarkStart w:id="26" w:name="_Toc35393632"/>
      <w:bookmarkStart w:id="27" w:name="_Toc28359092"/>
      <w:bookmarkStart w:id="28" w:name="_Toc35393801"/>
      <w:r>
        <w:rPr>
          <w:rFonts w:hint="eastAsia" w:ascii="宋体" w:hAnsi="宋体" w:eastAsia="宋体" w:cs="宋体"/>
          <w:color w:val="auto"/>
          <w:sz w:val="24"/>
          <w:highlight w:val="none"/>
          <w:lang w:val="en-US" w:eastAsia="zh-CN"/>
        </w:rPr>
        <w:t>1、时间：时间：2025年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03</w:t>
      </w:r>
      <w:r>
        <w:rPr>
          <w:rFonts w:hint="eastAsia" w:ascii="宋体" w:hAnsi="宋体" w:eastAsia="宋体" w:cs="宋体"/>
          <w:color w:val="auto"/>
          <w:sz w:val="24"/>
          <w:highlight w:val="none"/>
          <w:lang w:val="en-US" w:eastAsia="zh-CN"/>
        </w:rPr>
        <w:t>日09时00分至2025年0</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日16时00分止</w:t>
      </w:r>
    </w:p>
    <w:p w14:paraId="6A15B20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2、地点：“政采云”平台（https://www.zcygov.cn/）</w:t>
      </w:r>
    </w:p>
    <w:p w14:paraId="53D385B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3、方式：网上免费获取（潜在供应商自行登录政府采购云平台（网址：http:// www.zcygov.cn）注册（https://middle.zcygov.cn/v-settle-front/registry）并下载竞争性磋商文件，其他途径获取的竞争性磋商文件开标时一律按无效投标处理）。</w:t>
      </w:r>
    </w:p>
    <w:p w14:paraId="37B9A9A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四、响应文件提交</w:t>
      </w:r>
      <w:bookmarkEnd w:id="25"/>
      <w:bookmarkEnd w:id="26"/>
      <w:bookmarkEnd w:id="27"/>
      <w:bookmarkEnd w:id="28"/>
    </w:p>
    <w:p w14:paraId="5C0BE77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1、截止时间：2025年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0分（北京时间）</w:t>
      </w:r>
    </w:p>
    <w:p w14:paraId="0F93552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2、地点：长春市二道区洋浦大街6999号凯利中心AB栋101开标</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室</w:t>
      </w:r>
    </w:p>
    <w:p w14:paraId="3FD2C5C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3、本项目采用全流程电子化采购，需通过政府采购云平台（https://www.zcygov.cn/）递交电子加密</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，逾期或未上传成功的将导致无法投标或投标无效。</w:t>
      </w:r>
    </w:p>
    <w:p w14:paraId="6B9A2CA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4、供应商在接到解密通知后，在规定时间内用“项目采购－开标评标”功能进行解密</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w:t>
      </w:r>
    </w:p>
    <w:p w14:paraId="571D42C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5、若对项目采购电子交易系统操作有疑问拨打电子化平台客服热线：95763。</w:t>
      </w:r>
    </w:p>
    <w:p w14:paraId="0BE21769">
      <w:pPr>
        <w:spacing w:line="360" w:lineRule="auto"/>
        <w:rPr>
          <w:rFonts w:ascii="宋体" w:hAnsi="宋体" w:cs="宋体"/>
          <w:b/>
          <w:color w:val="auto"/>
          <w:sz w:val="24"/>
          <w:highlight w:val="none"/>
        </w:rPr>
      </w:pPr>
      <w:r>
        <w:rPr>
          <w:rFonts w:hint="eastAsia" w:ascii="宋体" w:hAnsi="宋体" w:cs="宋体"/>
          <w:b/>
          <w:color w:val="auto"/>
          <w:sz w:val="24"/>
          <w:highlight w:val="none"/>
        </w:rPr>
        <w:t>五、开启</w:t>
      </w:r>
    </w:p>
    <w:p w14:paraId="2A0D650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1、时间：</w:t>
      </w:r>
      <w:r>
        <w:rPr>
          <w:rFonts w:hint="eastAsia" w:ascii="宋体" w:hAnsi="宋体" w:cs="宋体"/>
          <w:color w:val="auto"/>
          <w:sz w:val="24"/>
          <w:highlight w:val="none"/>
          <w:u w:val="none"/>
          <w:lang w:val="en-US" w:eastAsia="zh-CN"/>
        </w:rPr>
        <w:t>2025年07月16日10时30分（北京时间）</w:t>
      </w:r>
    </w:p>
    <w:p w14:paraId="2AC69C9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2、地点：长春市二道区洋浦大街6999号凯利中心AB栋101评标八室</w:t>
      </w:r>
    </w:p>
    <w:p w14:paraId="5FEA5FB2">
      <w:pPr>
        <w:spacing w:line="360" w:lineRule="auto"/>
        <w:rPr>
          <w:rFonts w:ascii="宋体" w:hAnsi="宋体" w:cs="宋体"/>
          <w:b/>
          <w:bCs/>
          <w:color w:val="auto"/>
          <w:sz w:val="24"/>
          <w:highlight w:val="none"/>
        </w:rPr>
      </w:pPr>
      <w:bookmarkStart w:id="29" w:name="_Toc35393794"/>
      <w:bookmarkStart w:id="30" w:name="_Toc35393625"/>
      <w:bookmarkStart w:id="31" w:name="_Toc28359007"/>
      <w:bookmarkStart w:id="32" w:name="_Toc28359084"/>
      <w:r>
        <w:rPr>
          <w:rFonts w:hint="eastAsia" w:ascii="宋体" w:hAnsi="宋体" w:cs="宋体"/>
          <w:b/>
          <w:bCs/>
          <w:color w:val="auto"/>
          <w:sz w:val="24"/>
          <w:highlight w:val="none"/>
        </w:rPr>
        <w:t>六、公告期限</w:t>
      </w:r>
      <w:bookmarkEnd w:id="29"/>
      <w:bookmarkEnd w:id="30"/>
      <w:bookmarkEnd w:id="31"/>
      <w:bookmarkEnd w:id="32"/>
    </w:p>
    <w:p w14:paraId="068615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w:t>
      </w:r>
    </w:p>
    <w:p w14:paraId="45F8811E">
      <w:pPr>
        <w:spacing w:line="360" w:lineRule="auto"/>
        <w:rPr>
          <w:rFonts w:ascii="宋体" w:hAnsi="宋体" w:cs="宋体"/>
          <w:b/>
          <w:bCs/>
          <w:color w:val="auto"/>
          <w:sz w:val="24"/>
          <w:highlight w:val="none"/>
        </w:rPr>
      </w:pPr>
      <w:bookmarkStart w:id="33" w:name="_Toc35393795"/>
      <w:bookmarkStart w:id="34" w:name="_Toc35393626"/>
      <w:r>
        <w:rPr>
          <w:rFonts w:hint="eastAsia" w:ascii="宋体" w:hAnsi="宋体" w:cs="宋体"/>
          <w:b/>
          <w:bCs/>
          <w:color w:val="auto"/>
          <w:sz w:val="24"/>
          <w:highlight w:val="none"/>
        </w:rPr>
        <w:t>七、其他补充事宜</w:t>
      </w:r>
      <w:bookmarkEnd w:id="33"/>
      <w:bookmarkEnd w:id="34"/>
    </w:p>
    <w:p w14:paraId="52D358ED">
      <w:pPr>
        <w:spacing w:line="360" w:lineRule="auto"/>
        <w:ind w:firstLine="480" w:firstLineChars="200"/>
        <w:rPr>
          <w:rFonts w:hint="eastAsia" w:ascii="宋体" w:hAnsi="宋体" w:eastAsia="宋体" w:cs="宋体"/>
          <w:color w:val="auto"/>
          <w:sz w:val="24"/>
          <w:highlight w:val="none"/>
          <w:lang w:val="en-US" w:eastAsia="zh-CN"/>
        </w:rPr>
      </w:pPr>
      <w:bookmarkStart w:id="35" w:name="_Toc28359085"/>
      <w:bookmarkStart w:id="36" w:name="_Toc28359008"/>
      <w:bookmarkStart w:id="37" w:name="_Toc35393627"/>
      <w:bookmarkStart w:id="38" w:name="_Toc35393796"/>
      <w:r>
        <w:rPr>
          <w:rFonts w:hint="eastAsia" w:ascii="宋体" w:hAnsi="宋体" w:eastAsia="宋体" w:cs="宋体"/>
          <w:color w:val="auto"/>
          <w:sz w:val="24"/>
          <w:highlight w:val="none"/>
          <w:lang w:val="en-US" w:eastAsia="zh-CN"/>
        </w:rPr>
        <w:t>本公告在“政采云”平台(http:// www.zcygov.cn)发布，并同</w:t>
      </w:r>
      <w:r>
        <w:rPr>
          <w:rFonts w:hint="eastAsia" w:ascii="宋体" w:hAnsi="宋体" w:cs="宋体"/>
          <w:color w:val="auto"/>
          <w:sz w:val="24"/>
          <w:highlight w:val="none"/>
          <w:lang w:val="en-US" w:eastAsia="zh-CN"/>
        </w:rPr>
        <w:t>步</w:t>
      </w:r>
      <w:r>
        <w:rPr>
          <w:rFonts w:hint="eastAsia" w:ascii="宋体" w:hAnsi="宋体" w:eastAsia="宋体" w:cs="宋体"/>
          <w:color w:val="auto"/>
          <w:sz w:val="24"/>
          <w:highlight w:val="none"/>
          <w:lang w:val="en-US" w:eastAsia="zh-CN"/>
        </w:rPr>
        <w:t>推送</w:t>
      </w:r>
      <w:r>
        <w:rPr>
          <w:rFonts w:hint="eastAsia" w:ascii="宋体" w:hAnsi="宋体" w:cs="宋体"/>
          <w:color w:val="auto"/>
          <w:sz w:val="24"/>
          <w:highlight w:val="none"/>
          <w:lang w:val="en-US" w:eastAsia="zh-CN"/>
        </w:rPr>
        <w:t>至</w:t>
      </w:r>
      <w:r>
        <w:rPr>
          <w:rFonts w:hint="eastAsia" w:ascii="宋体" w:hAnsi="宋体" w:eastAsia="宋体" w:cs="宋体"/>
          <w:color w:val="auto"/>
          <w:sz w:val="24"/>
          <w:highlight w:val="none"/>
          <w:lang w:val="en-US" w:eastAsia="zh-CN"/>
        </w:rPr>
        <w:t>中国政府采购网、吉林省政府采购网、长春市公共资源交易网。</w:t>
      </w:r>
      <w:bookmarkStart w:id="105" w:name="_GoBack"/>
      <w:bookmarkEnd w:id="105"/>
    </w:p>
    <w:p w14:paraId="44292B6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八、对本次采购提出询问，请按以下方式联系</w:t>
      </w:r>
      <w:bookmarkEnd w:id="35"/>
      <w:bookmarkEnd w:id="36"/>
      <w:bookmarkEnd w:id="37"/>
      <w:bookmarkEnd w:id="38"/>
    </w:p>
    <w:p w14:paraId="7DADDECD">
      <w:pPr>
        <w:spacing w:line="360" w:lineRule="auto"/>
        <w:ind w:firstLine="480" w:firstLineChars="200"/>
        <w:rPr>
          <w:rFonts w:ascii="宋体" w:hAnsi="宋体" w:cs="宋体"/>
          <w:color w:val="auto"/>
          <w:sz w:val="24"/>
          <w:highlight w:val="none"/>
        </w:rPr>
      </w:pPr>
      <w:bookmarkStart w:id="39" w:name="_Toc28359019"/>
      <w:bookmarkStart w:id="40" w:name="_Toc35393637"/>
      <w:bookmarkStart w:id="41" w:name="_Toc35393806"/>
      <w:bookmarkStart w:id="42" w:name="_Toc28359096"/>
      <w:r>
        <w:rPr>
          <w:rFonts w:hint="eastAsia" w:ascii="宋体" w:hAnsi="宋体" w:cs="宋体"/>
          <w:color w:val="auto"/>
          <w:sz w:val="24"/>
          <w:highlight w:val="none"/>
        </w:rPr>
        <w:t>1.采购人信息</w:t>
      </w:r>
      <w:bookmarkEnd w:id="39"/>
      <w:bookmarkEnd w:id="40"/>
      <w:bookmarkEnd w:id="41"/>
      <w:bookmarkEnd w:id="42"/>
    </w:p>
    <w:p w14:paraId="524C3051">
      <w:pPr>
        <w:spacing w:line="360" w:lineRule="auto"/>
        <w:ind w:firstLine="480" w:firstLineChars="200"/>
        <w:rPr>
          <w:rFonts w:hint="eastAsia" w:ascii="宋体" w:hAnsi="宋体" w:cs="宋体"/>
          <w:color w:val="auto"/>
          <w:sz w:val="24"/>
          <w:highlight w:val="none"/>
        </w:rPr>
      </w:pPr>
      <w:bookmarkStart w:id="43" w:name="_Toc35393638"/>
      <w:bookmarkStart w:id="44" w:name="_Toc28359020"/>
      <w:bookmarkStart w:id="45" w:name="_Toc28359097"/>
      <w:bookmarkStart w:id="46" w:name="_Toc35393807"/>
      <w:r>
        <w:rPr>
          <w:rFonts w:hint="eastAsia" w:ascii="宋体" w:hAnsi="宋体" w:cs="宋体"/>
          <w:color w:val="auto"/>
          <w:sz w:val="24"/>
          <w:highlight w:val="none"/>
        </w:rPr>
        <w:t>名称：长春市市场监督管理局</w:t>
      </w:r>
    </w:p>
    <w:p w14:paraId="2480CD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地址：长春市景阳大路1199号</w:t>
      </w:r>
    </w:p>
    <w:p w14:paraId="50D92E6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0431-88500417</w:t>
      </w:r>
    </w:p>
    <w:bookmarkEnd w:id="43"/>
    <w:bookmarkEnd w:id="44"/>
    <w:bookmarkEnd w:id="45"/>
    <w:bookmarkEnd w:id="46"/>
    <w:p w14:paraId="437E02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684BA2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称：吉林省顺宏项目管理咨询有限公司</w:t>
      </w:r>
    </w:p>
    <w:p w14:paraId="5AA704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址：长春市朝阳区人民大街7655号航空国际A座316室</w:t>
      </w:r>
    </w:p>
    <w:p w14:paraId="270A04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联系方式：0431-82276521</w:t>
      </w:r>
    </w:p>
    <w:p w14:paraId="4B8823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38A7B5F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刘宇</w:t>
      </w:r>
    </w:p>
    <w:p w14:paraId="65A3750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电话：0431-82276521</w:t>
      </w:r>
    </w:p>
    <w:p w14:paraId="60FFB4EF">
      <w:pPr>
        <w:autoSpaceDE w:val="0"/>
        <w:autoSpaceDN w:val="0"/>
        <w:adjustRightInd w:val="0"/>
        <w:ind w:firstLine="482"/>
        <w:rPr>
          <w:rFonts w:hint="eastAsia" w:ascii="宋体" w:hAnsi="宋体" w:eastAsia="宋体" w:cs="宋体"/>
          <w:color w:val="auto"/>
          <w:highlight w:val="none"/>
        </w:rPr>
      </w:pPr>
    </w:p>
    <w:p w14:paraId="3C46B84A">
      <w:pPr>
        <w:rPr>
          <w:rFonts w:ascii="宋体" w:hAnsi="宋体" w:cs="宋体"/>
          <w:color w:val="auto"/>
          <w:highlight w:val="none"/>
        </w:rPr>
      </w:pPr>
      <w:r>
        <w:rPr>
          <w:rFonts w:hint="eastAsia" w:ascii="宋体" w:hAnsi="宋体" w:cs="宋体"/>
          <w:color w:val="auto"/>
          <w:highlight w:val="none"/>
        </w:rPr>
        <w:br w:type="page"/>
      </w:r>
    </w:p>
    <w:p w14:paraId="4E4847B7">
      <w:pPr>
        <w:pStyle w:val="2"/>
        <w:rPr>
          <w:rFonts w:ascii="宋体" w:hAnsi="宋体" w:cs="宋体"/>
          <w:color w:val="auto"/>
          <w:highlight w:val="none"/>
        </w:rPr>
      </w:pPr>
      <w:bookmarkStart w:id="47" w:name="_Toc3128"/>
      <w:r>
        <w:rPr>
          <w:rFonts w:hint="eastAsia" w:ascii="宋体" w:hAnsi="宋体" w:cs="宋体"/>
          <w:color w:val="auto"/>
          <w:highlight w:val="none"/>
        </w:rPr>
        <w:t>第二章 供应商须知</w:t>
      </w:r>
      <w:bookmarkEnd w:id="5"/>
      <w:bookmarkEnd w:id="6"/>
      <w:bookmarkEnd w:id="7"/>
      <w:bookmarkEnd w:id="8"/>
      <w:bookmarkEnd w:id="9"/>
      <w:bookmarkEnd w:id="10"/>
      <w:bookmarkEnd w:id="11"/>
      <w:bookmarkEnd w:id="47"/>
    </w:p>
    <w:p w14:paraId="63BD6CAD">
      <w:pPr>
        <w:jc w:val="center"/>
        <w:rPr>
          <w:b/>
          <w:bCs/>
          <w:color w:val="auto"/>
          <w:sz w:val="24"/>
          <w:highlight w:val="none"/>
        </w:rPr>
      </w:pPr>
      <w:bookmarkStart w:id="48" w:name="_Toc25757"/>
      <w:r>
        <w:rPr>
          <w:rFonts w:hint="eastAsia"/>
          <w:b/>
          <w:bCs/>
          <w:color w:val="auto"/>
          <w:sz w:val="24"/>
          <w:highlight w:val="none"/>
        </w:rPr>
        <w:t>（一）供应商须知前附表</w:t>
      </w:r>
      <w:bookmarkEnd w:id="48"/>
    </w:p>
    <w:tbl>
      <w:tblPr>
        <w:tblStyle w:val="28"/>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295"/>
        <w:gridCol w:w="6885"/>
      </w:tblGrid>
      <w:tr w14:paraId="3865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8" w:type="dxa"/>
            <w:noWrap/>
            <w:vAlign w:val="center"/>
          </w:tcPr>
          <w:p w14:paraId="1EF423B3">
            <w:pPr>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2295" w:type="dxa"/>
            <w:noWrap/>
            <w:vAlign w:val="center"/>
          </w:tcPr>
          <w:p w14:paraId="789A41DA">
            <w:pPr>
              <w:jc w:val="center"/>
              <w:rPr>
                <w:rFonts w:ascii="宋体" w:hAnsi="宋体" w:cs="宋体"/>
                <w:color w:val="auto"/>
                <w:sz w:val="24"/>
                <w:highlight w:val="none"/>
              </w:rPr>
            </w:pPr>
            <w:r>
              <w:rPr>
                <w:rFonts w:hint="eastAsia" w:ascii="宋体" w:hAnsi="宋体" w:cs="宋体"/>
                <w:color w:val="auto"/>
                <w:sz w:val="24"/>
                <w:highlight w:val="none"/>
              </w:rPr>
              <w:t>条 款 名 称</w:t>
            </w:r>
          </w:p>
        </w:tc>
        <w:tc>
          <w:tcPr>
            <w:tcW w:w="6885" w:type="dxa"/>
            <w:noWrap/>
            <w:vAlign w:val="center"/>
          </w:tcPr>
          <w:p w14:paraId="25115BCF">
            <w:pPr>
              <w:jc w:val="center"/>
              <w:rPr>
                <w:rFonts w:ascii="宋体" w:hAnsi="宋体" w:cs="宋体"/>
                <w:color w:val="auto"/>
                <w:sz w:val="24"/>
                <w:highlight w:val="none"/>
              </w:rPr>
            </w:pPr>
            <w:r>
              <w:rPr>
                <w:rFonts w:hint="eastAsia" w:ascii="宋体" w:hAnsi="宋体" w:cs="宋体"/>
                <w:color w:val="auto"/>
                <w:sz w:val="24"/>
                <w:highlight w:val="none"/>
              </w:rPr>
              <w:t>编  列  内  容</w:t>
            </w:r>
          </w:p>
        </w:tc>
      </w:tr>
      <w:tr w14:paraId="6535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7D90D1B6">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w:t>
            </w:r>
          </w:p>
        </w:tc>
        <w:tc>
          <w:tcPr>
            <w:tcW w:w="2295" w:type="dxa"/>
            <w:noWrap/>
            <w:vAlign w:val="center"/>
          </w:tcPr>
          <w:p w14:paraId="39410772">
            <w:pPr>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6885" w:type="dxa"/>
            <w:noWrap/>
            <w:vAlign w:val="center"/>
          </w:tcPr>
          <w:p w14:paraId="0DB37F4E">
            <w:pP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名称：长春市市场监督管理局</w:t>
            </w:r>
          </w:p>
          <w:p w14:paraId="64A26588">
            <w:pP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地址：长春市景阳大路1199号</w:t>
            </w:r>
          </w:p>
          <w:p w14:paraId="6F417A7E">
            <w:pP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联系方式：0431-88500417</w:t>
            </w:r>
          </w:p>
        </w:tc>
      </w:tr>
      <w:tr w14:paraId="594B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4C1AF299">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2</w:t>
            </w:r>
          </w:p>
        </w:tc>
        <w:tc>
          <w:tcPr>
            <w:tcW w:w="2295" w:type="dxa"/>
            <w:noWrap/>
            <w:vAlign w:val="center"/>
          </w:tcPr>
          <w:p w14:paraId="0307997C">
            <w:pPr>
              <w:jc w:val="center"/>
              <w:rPr>
                <w:rFonts w:ascii="宋体" w:hAnsi="宋体" w:cs="宋体"/>
                <w:color w:val="auto"/>
                <w:sz w:val="24"/>
                <w:highlight w:val="none"/>
              </w:rPr>
            </w:pPr>
            <w:r>
              <w:rPr>
                <w:rFonts w:hint="eastAsia" w:ascii="宋体" w:hAnsi="宋体" w:cs="宋体"/>
                <w:color w:val="auto"/>
                <w:sz w:val="24"/>
                <w:highlight w:val="none"/>
              </w:rPr>
              <w:t>采购代理机构</w:t>
            </w:r>
          </w:p>
        </w:tc>
        <w:tc>
          <w:tcPr>
            <w:tcW w:w="6885" w:type="dxa"/>
            <w:noWrap/>
            <w:vAlign w:val="center"/>
          </w:tcPr>
          <w:p w14:paraId="7E6FD662">
            <w:pPr>
              <w:rPr>
                <w:rFonts w:hint="eastAsia" w:ascii="宋体" w:hAnsi="宋体" w:cs="宋体"/>
                <w:color w:val="auto"/>
                <w:sz w:val="24"/>
                <w:highlight w:val="none"/>
              </w:rPr>
            </w:pPr>
            <w:r>
              <w:rPr>
                <w:rFonts w:hint="eastAsia" w:ascii="宋体" w:hAnsi="宋体" w:cs="宋体"/>
                <w:color w:val="auto"/>
                <w:sz w:val="24"/>
                <w:highlight w:val="none"/>
              </w:rPr>
              <w:t>名称：吉林省顺宏项目管理咨询有限公司</w:t>
            </w:r>
          </w:p>
          <w:p w14:paraId="553BBD02">
            <w:pPr>
              <w:rPr>
                <w:rFonts w:hint="eastAsia" w:ascii="宋体" w:hAnsi="宋体" w:cs="宋体"/>
                <w:color w:val="auto"/>
                <w:sz w:val="24"/>
                <w:highlight w:val="none"/>
              </w:rPr>
            </w:pPr>
            <w:r>
              <w:rPr>
                <w:rFonts w:hint="eastAsia" w:ascii="宋体" w:hAnsi="宋体" w:cs="宋体"/>
                <w:color w:val="auto"/>
                <w:sz w:val="24"/>
                <w:highlight w:val="none"/>
              </w:rPr>
              <w:t>地址：长春市朝阳区人民大街7655号航空国际A座316室</w:t>
            </w:r>
          </w:p>
          <w:p w14:paraId="0B5A1D86">
            <w:pPr>
              <w:rPr>
                <w:rFonts w:ascii="宋体" w:hAnsi="宋体" w:cs="宋体"/>
                <w:color w:val="auto"/>
                <w:sz w:val="24"/>
                <w:highlight w:val="none"/>
              </w:rPr>
            </w:pPr>
            <w:r>
              <w:rPr>
                <w:rFonts w:hint="eastAsia" w:ascii="宋体" w:hAnsi="宋体" w:cs="宋体"/>
                <w:color w:val="auto"/>
                <w:sz w:val="24"/>
                <w:highlight w:val="none"/>
              </w:rPr>
              <w:t>联系方式：0431-82276521</w:t>
            </w:r>
          </w:p>
        </w:tc>
      </w:tr>
      <w:tr w14:paraId="37BC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898" w:type="dxa"/>
            <w:noWrap/>
            <w:vAlign w:val="center"/>
          </w:tcPr>
          <w:p w14:paraId="670CFDE3">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3</w:t>
            </w:r>
          </w:p>
        </w:tc>
        <w:tc>
          <w:tcPr>
            <w:tcW w:w="2295" w:type="dxa"/>
            <w:noWrap/>
            <w:vAlign w:val="center"/>
          </w:tcPr>
          <w:p w14:paraId="542D7859">
            <w:pPr>
              <w:jc w:val="center"/>
              <w:rPr>
                <w:rFonts w:ascii="宋体" w:hAnsi="宋体" w:cs="宋体"/>
                <w:color w:val="auto"/>
                <w:sz w:val="24"/>
                <w:highlight w:val="none"/>
              </w:rPr>
            </w:pPr>
            <w:r>
              <w:rPr>
                <w:rFonts w:hint="eastAsia" w:ascii="宋体" w:hAnsi="宋体" w:cs="宋体"/>
                <w:color w:val="auto"/>
                <w:sz w:val="24"/>
                <w:highlight w:val="none"/>
              </w:rPr>
              <w:t>项目名称、编号</w:t>
            </w:r>
          </w:p>
        </w:tc>
        <w:tc>
          <w:tcPr>
            <w:tcW w:w="6885" w:type="dxa"/>
            <w:noWrap/>
            <w:vAlign w:val="center"/>
          </w:tcPr>
          <w:p w14:paraId="0DA37D14">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项目名称：长春市产品质量监督抽查抽样检验服务</w:t>
            </w:r>
            <w:r>
              <w:rPr>
                <w:rFonts w:hint="eastAsia" w:ascii="宋体" w:hAnsi="宋体" w:eastAsia="宋体" w:cs="宋体"/>
                <w:color w:val="auto"/>
                <w:sz w:val="24"/>
                <w:highlight w:val="none"/>
                <w:lang w:val="en-US" w:eastAsia="zh-CN"/>
              </w:rPr>
              <w:t>标项1</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标项2</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标项3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标项4</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标项5</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标项6</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标项7</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标项8</w:t>
            </w:r>
          </w:p>
          <w:p w14:paraId="01B49211">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项目编号：JM-2025-06-00669-1/-2/-3/-4/-5/-6/-7/-8</w:t>
            </w:r>
          </w:p>
          <w:p w14:paraId="0DEBBD8B">
            <w:pPr>
              <w:rPr>
                <w:rFonts w:hint="default"/>
                <w:lang w:val="en-US" w:eastAsia="zh-CN"/>
              </w:rPr>
            </w:pPr>
            <w:r>
              <w:rPr>
                <w:rFonts w:hint="eastAsia" w:ascii="宋体" w:hAnsi="宋体" w:eastAsia="宋体" w:cs="宋体"/>
                <w:color w:val="auto"/>
                <w:sz w:val="24"/>
                <w:highlight w:val="none"/>
                <w:lang w:val="en-US" w:eastAsia="zh-CN"/>
              </w:rPr>
              <w:t>注：供应商根据所投标项自行填写项目名称及项目编号，如填写错误供应商投标将被否决。</w:t>
            </w:r>
          </w:p>
        </w:tc>
      </w:tr>
      <w:tr w14:paraId="65D1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3C52B6A0">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4</w:t>
            </w:r>
          </w:p>
        </w:tc>
        <w:tc>
          <w:tcPr>
            <w:tcW w:w="2295" w:type="dxa"/>
            <w:noWrap/>
            <w:vAlign w:val="center"/>
          </w:tcPr>
          <w:p w14:paraId="616F31B0">
            <w:pPr>
              <w:jc w:val="center"/>
              <w:rPr>
                <w:rFonts w:ascii="宋体" w:hAnsi="宋体" w:cs="宋体"/>
                <w:color w:val="auto"/>
                <w:sz w:val="24"/>
                <w:highlight w:val="none"/>
              </w:rPr>
            </w:pPr>
            <w:r>
              <w:rPr>
                <w:rFonts w:hint="eastAsia" w:ascii="宋体" w:hAnsi="宋体" w:cs="宋体"/>
                <w:color w:val="auto"/>
                <w:sz w:val="24"/>
                <w:highlight w:val="none"/>
              </w:rPr>
              <w:t>服务地点</w:t>
            </w:r>
          </w:p>
        </w:tc>
        <w:tc>
          <w:tcPr>
            <w:tcW w:w="6885" w:type="dxa"/>
            <w:noWrap/>
            <w:vAlign w:val="center"/>
          </w:tcPr>
          <w:p w14:paraId="02FCF9DD">
            <w:pPr>
              <w:rPr>
                <w:rFonts w:ascii="宋体" w:hAnsi="宋体" w:cs="宋体"/>
                <w:color w:val="auto"/>
                <w:sz w:val="24"/>
                <w:highlight w:val="none"/>
              </w:rPr>
            </w:pPr>
            <w:r>
              <w:rPr>
                <w:rFonts w:hint="eastAsia" w:ascii="宋体" w:hAnsi="宋体" w:cs="宋体"/>
                <w:color w:val="auto"/>
                <w:sz w:val="24"/>
                <w:highlight w:val="none"/>
                <w:lang w:val="en-US" w:eastAsia="zh-CN"/>
              </w:rPr>
              <w:t>采购人指定地点</w:t>
            </w:r>
          </w:p>
        </w:tc>
      </w:tr>
      <w:tr w14:paraId="3958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2AE022B3">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5</w:t>
            </w:r>
          </w:p>
        </w:tc>
        <w:tc>
          <w:tcPr>
            <w:tcW w:w="2295" w:type="dxa"/>
            <w:noWrap/>
            <w:vAlign w:val="center"/>
          </w:tcPr>
          <w:p w14:paraId="333D7C3D">
            <w:pPr>
              <w:jc w:val="center"/>
              <w:rPr>
                <w:rFonts w:ascii="宋体" w:hAnsi="宋体" w:cs="宋体"/>
                <w:color w:val="auto"/>
                <w:sz w:val="24"/>
                <w:highlight w:val="none"/>
              </w:rPr>
            </w:pPr>
            <w:r>
              <w:rPr>
                <w:rFonts w:hint="eastAsia" w:ascii="宋体" w:hAnsi="宋体" w:cs="宋体"/>
                <w:color w:val="auto"/>
                <w:sz w:val="24"/>
                <w:highlight w:val="none"/>
              </w:rPr>
              <w:t>资金来源</w:t>
            </w:r>
          </w:p>
        </w:tc>
        <w:tc>
          <w:tcPr>
            <w:tcW w:w="6885" w:type="dxa"/>
            <w:noWrap/>
            <w:vAlign w:val="center"/>
          </w:tcPr>
          <w:p w14:paraId="58CCACA6">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财政资金</w:t>
            </w:r>
          </w:p>
        </w:tc>
      </w:tr>
      <w:tr w14:paraId="09D8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4DEAAFA4">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6</w:t>
            </w:r>
          </w:p>
        </w:tc>
        <w:tc>
          <w:tcPr>
            <w:tcW w:w="2295" w:type="dxa"/>
            <w:noWrap/>
            <w:vAlign w:val="center"/>
          </w:tcPr>
          <w:p w14:paraId="334A281C">
            <w:pPr>
              <w:jc w:val="center"/>
              <w:rPr>
                <w:rFonts w:ascii="宋体" w:hAnsi="宋体" w:cs="宋体"/>
                <w:color w:val="auto"/>
                <w:sz w:val="24"/>
                <w:highlight w:val="none"/>
              </w:rPr>
            </w:pPr>
            <w:r>
              <w:rPr>
                <w:rFonts w:hint="eastAsia" w:ascii="宋体" w:hAnsi="宋体" w:cs="宋体"/>
                <w:color w:val="auto"/>
                <w:sz w:val="24"/>
                <w:highlight w:val="none"/>
              </w:rPr>
              <w:t>出资比例</w:t>
            </w:r>
          </w:p>
        </w:tc>
        <w:tc>
          <w:tcPr>
            <w:tcW w:w="6885" w:type="dxa"/>
            <w:noWrap/>
            <w:vAlign w:val="center"/>
          </w:tcPr>
          <w:p w14:paraId="6A765262">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100%</w:t>
            </w:r>
          </w:p>
        </w:tc>
      </w:tr>
      <w:tr w14:paraId="3D9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31DDF90B">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7</w:t>
            </w:r>
          </w:p>
        </w:tc>
        <w:tc>
          <w:tcPr>
            <w:tcW w:w="2295" w:type="dxa"/>
            <w:noWrap/>
            <w:vAlign w:val="center"/>
          </w:tcPr>
          <w:p w14:paraId="680F1429">
            <w:pPr>
              <w:jc w:val="center"/>
              <w:rPr>
                <w:rFonts w:ascii="宋体" w:hAnsi="宋体" w:cs="宋体"/>
                <w:color w:val="auto"/>
                <w:sz w:val="24"/>
                <w:highlight w:val="none"/>
              </w:rPr>
            </w:pPr>
            <w:r>
              <w:rPr>
                <w:rFonts w:hint="eastAsia" w:ascii="宋体" w:hAnsi="宋体" w:cs="宋体"/>
                <w:color w:val="auto"/>
                <w:sz w:val="24"/>
                <w:highlight w:val="none"/>
              </w:rPr>
              <w:t>资金落实情况</w:t>
            </w:r>
          </w:p>
        </w:tc>
        <w:tc>
          <w:tcPr>
            <w:tcW w:w="6885" w:type="dxa"/>
            <w:noWrap/>
            <w:vAlign w:val="center"/>
          </w:tcPr>
          <w:p w14:paraId="0C864917">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已落实</w:t>
            </w:r>
          </w:p>
        </w:tc>
      </w:tr>
      <w:tr w14:paraId="29D9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6655EFD8">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8</w:t>
            </w:r>
          </w:p>
        </w:tc>
        <w:tc>
          <w:tcPr>
            <w:tcW w:w="2295" w:type="dxa"/>
            <w:noWrap/>
            <w:vAlign w:val="center"/>
          </w:tcPr>
          <w:p w14:paraId="7B777BE1">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服务内容</w:t>
            </w:r>
          </w:p>
        </w:tc>
        <w:tc>
          <w:tcPr>
            <w:tcW w:w="6885" w:type="dxa"/>
            <w:noWrap/>
            <w:vAlign w:val="center"/>
          </w:tcPr>
          <w:p w14:paraId="54680DAF">
            <w:pPr>
              <w:pStyle w:val="8"/>
              <w:spacing w:line="240" w:lineRule="auto"/>
              <w:jc w:val="both"/>
              <w:rPr>
                <w:rFonts w:hint="default" w:ascii="宋体" w:hAnsi="宋体" w:eastAsia="宋体" w:cs="宋体"/>
                <w:bCs/>
                <w:color w:val="auto"/>
                <w:kern w:val="2"/>
                <w:highlight w:val="none"/>
                <w:lang w:val="en-US" w:eastAsia="zh-CN"/>
              </w:rPr>
            </w:pP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长春市产品质量监督抽查抽样检验服务</w:t>
            </w:r>
          </w:p>
        </w:tc>
      </w:tr>
      <w:tr w14:paraId="3773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68E94385">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9</w:t>
            </w:r>
          </w:p>
        </w:tc>
        <w:tc>
          <w:tcPr>
            <w:tcW w:w="2295" w:type="dxa"/>
            <w:noWrap/>
            <w:vAlign w:val="center"/>
          </w:tcPr>
          <w:p w14:paraId="55296AD3">
            <w:pPr>
              <w:jc w:val="center"/>
              <w:rPr>
                <w:rFonts w:ascii="宋体" w:hAnsi="宋体" w:cs="宋体"/>
                <w:color w:val="auto"/>
                <w:sz w:val="24"/>
                <w:highlight w:val="none"/>
              </w:rPr>
            </w:pPr>
            <w:r>
              <w:rPr>
                <w:rFonts w:hint="eastAsia" w:ascii="宋体" w:hAnsi="宋体" w:cs="宋体"/>
                <w:color w:val="auto"/>
                <w:sz w:val="24"/>
                <w:highlight w:val="none"/>
              </w:rPr>
              <w:t>合同履行期限</w:t>
            </w:r>
          </w:p>
        </w:tc>
        <w:tc>
          <w:tcPr>
            <w:tcW w:w="6885" w:type="dxa"/>
            <w:noWrap/>
            <w:vAlign w:val="center"/>
          </w:tcPr>
          <w:p w14:paraId="4C7BF188">
            <w:pPr>
              <w:rPr>
                <w:rFonts w:ascii="宋体" w:hAnsi="宋体" w:cs="宋体"/>
                <w:bCs/>
                <w:color w:val="auto"/>
                <w:sz w:val="24"/>
                <w:highlight w:val="none"/>
              </w:rPr>
            </w:pPr>
            <w:r>
              <w:rPr>
                <w:rFonts w:hint="eastAsia" w:ascii="宋体" w:hAnsi="宋体" w:cs="宋体"/>
                <w:bCs/>
                <w:color w:val="auto"/>
                <w:sz w:val="24"/>
                <w:highlight w:val="none"/>
              </w:rPr>
              <w:t>合同签订后至2025年12月31日</w:t>
            </w:r>
          </w:p>
        </w:tc>
      </w:tr>
      <w:tr w14:paraId="6655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2FADDFEA">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10</w:t>
            </w:r>
          </w:p>
        </w:tc>
        <w:tc>
          <w:tcPr>
            <w:tcW w:w="2295" w:type="dxa"/>
            <w:noWrap/>
            <w:vAlign w:val="center"/>
          </w:tcPr>
          <w:p w14:paraId="6AFBB667">
            <w:pPr>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6885" w:type="dxa"/>
            <w:noWrap/>
            <w:vAlign w:val="center"/>
          </w:tcPr>
          <w:p w14:paraId="5A9A46B6">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符合国家及行业统一标准，且达到优质服务</w:t>
            </w:r>
          </w:p>
        </w:tc>
      </w:tr>
      <w:tr w14:paraId="7F71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5DA467F2">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11</w:t>
            </w:r>
          </w:p>
        </w:tc>
        <w:tc>
          <w:tcPr>
            <w:tcW w:w="2295" w:type="dxa"/>
            <w:noWrap/>
            <w:vAlign w:val="center"/>
          </w:tcPr>
          <w:p w14:paraId="1717D5BE">
            <w:pPr>
              <w:jc w:val="center"/>
              <w:rPr>
                <w:rFonts w:ascii="宋体" w:hAnsi="宋体" w:cs="宋体"/>
                <w:color w:val="auto"/>
                <w:sz w:val="24"/>
                <w:highlight w:val="none"/>
              </w:rPr>
            </w:pPr>
            <w:r>
              <w:rPr>
                <w:rFonts w:hint="eastAsia" w:ascii="宋体" w:hAnsi="宋体" w:cs="宋体"/>
                <w:color w:val="auto"/>
                <w:sz w:val="24"/>
                <w:highlight w:val="none"/>
              </w:rPr>
              <w:t>供应商资质条件、能力和信誉</w:t>
            </w:r>
          </w:p>
        </w:tc>
        <w:tc>
          <w:tcPr>
            <w:tcW w:w="6885" w:type="dxa"/>
            <w:noWrap/>
            <w:vAlign w:val="center"/>
          </w:tcPr>
          <w:p w14:paraId="307A00F4">
            <w:pPr>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5AACAC4B">
            <w:pPr>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2、落实政府采购政策需满足的资格要求：本项目为非专门面向中小企业采购项目。</w:t>
            </w:r>
          </w:p>
          <w:p w14:paraId="5D11A23B">
            <w:pPr>
              <w:rPr>
                <w:rFonts w:hint="eastAsia" w:ascii="宋体" w:hAnsi="宋体" w:cs="宋体"/>
                <w:color w:val="auto"/>
                <w:sz w:val="24"/>
                <w:highlight w:val="none"/>
              </w:rPr>
            </w:pPr>
            <w:r>
              <w:rPr>
                <w:rFonts w:hint="eastAsia" w:ascii="宋体" w:hAnsi="宋体" w:cs="宋体"/>
                <w:color w:val="auto"/>
                <w:sz w:val="24"/>
                <w:highlight w:val="none"/>
              </w:rPr>
              <w:t>3、本项目的特定资格要求：</w:t>
            </w:r>
          </w:p>
          <w:p w14:paraId="655FB4F9">
            <w:pPr>
              <w:rPr>
                <w:rFonts w:hint="eastAsia" w:ascii="宋体" w:hAnsi="宋体" w:cs="宋体"/>
                <w:color w:val="auto"/>
                <w:sz w:val="24"/>
                <w:highlight w:val="none"/>
              </w:rPr>
            </w:pPr>
            <w:r>
              <w:rPr>
                <w:rFonts w:hint="eastAsia" w:ascii="宋体" w:hAnsi="宋体" w:cs="宋体"/>
                <w:color w:val="auto"/>
                <w:sz w:val="24"/>
                <w:highlight w:val="none"/>
              </w:rPr>
              <w:t>（1）在中华人民共和国境内注册，能够独立承担民事责任的法人或其他组织形式，具备有效的营业执照，并在人员、设备、资金等方面具有相应的能力。</w:t>
            </w:r>
          </w:p>
          <w:p w14:paraId="4AC71493">
            <w:pPr>
              <w:rPr>
                <w:rFonts w:hint="eastAsia" w:ascii="宋体" w:hAnsi="宋体" w:cs="宋体"/>
                <w:color w:val="auto"/>
                <w:sz w:val="24"/>
                <w:highlight w:val="none"/>
              </w:rPr>
            </w:pPr>
            <w:r>
              <w:rPr>
                <w:rFonts w:hint="eastAsia" w:ascii="宋体" w:hAnsi="宋体" w:cs="宋体"/>
                <w:color w:val="auto"/>
                <w:sz w:val="24"/>
                <w:highlight w:val="none"/>
              </w:rPr>
              <w:t>（2）资质要求：供应商应具有国家认证认可监督管理委员会或省级市场监督管理部门颁发的有效期内的检验检测机构计量认证证书（CMA）。</w:t>
            </w:r>
          </w:p>
          <w:p w14:paraId="146EBB48">
            <w:pPr>
              <w:rPr>
                <w:rFonts w:hint="eastAsia" w:ascii="宋体" w:hAnsi="宋体" w:cs="宋体"/>
                <w:color w:val="auto"/>
                <w:sz w:val="24"/>
                <w:highlight w:val="none"/>
              </w:rPr>
            </w:pPr>
            <w:r>
              <w:rPr>
                <w:rFonts w:hint="eastAsia" w:ascii="宋体" w:hAnsi="宋体" w:cs="宋体"/>
                <w:color w:val="auto"/>
                <w:sz w:val="24"/>
                <w:highlight w:val="none"/>
              </w:rPr>
              <w:t>（3）具有良好的商业信誉和健全的财务会计制度，提供财务状况良好资格条件承诺函。</w:t>
            </w:r>
          </w:p>
          <w:p w14:paraId="14467149">
            <w:pPr>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（4）具有依法缴纳税收和社会保障资金的良好记录，提供依法缴纳税收和依法缴纳社会保障资金资格条件承诺函。</w:t>
            </w:r>
          </w:p>
          <w:p w14:paraId="34DB2C97">
            <w:pPr>
              <w:rPr>
                <w:rFonts w:hint="eastAsia" w:ascii="宋体" w:hAnsi="宋体" w:cs="宋体"/>
                <w:color w:val="auto"/>
                <w:sz w:val="24"/>
                <w:highlight w:val="none"/>
              </w:rPr>
            </w:pPr>
            <w:r>
              <w:rPr>
                <w:rFonts w:hint="eastAsia" w:ascii="宋体" w:hAnsi="宋体" w:cs="宋体"/>
                <w:color w:val="auto"/>
                <w:sz w:val="24"/>
                <w:highlight w:val="none"/>
              </w:rPr>
              <w:t>（5）不接受被政府列入取消投标资格期限内的企业或个人参加投标。参加政府采购活动前3年内在经营活动中没有重大违法记录。未被“信用中国”网站（www.creditchina.gov.cn）列入重大税收违法失信主体、严重失信主体名单查询；对在中国执行信息公开网（http://zxgk.court.gov.cn）列入失信被执行人；对在中国政府采购网（www.ccgp.gov.cn）列入政府采购严重违法失信行为记录名单及其他不符合《中华人民共和国政府采购法》第二十二条规定，不得参加政府采购活动。</w:t>
            </w:r>
          </w:p>
          <w:p w14:paraId="61F5FAD0">
            <w:pPr>
              <w:rPr>
                <w:rFonts w:ascii="宋体" w:hAnsi="宋体" w:cs="宋体"/>
                <w:color w:val="auto"/>
                <w:sz w:val="24"/>
                <w:highlight w:val="none"/>
              </w:rPr>
            </w:pPr>
            <w:r>
              <w:rPr>
                <w:rFonts w:hint="eastAsia" w:ascii="宋体" w:hAnsi="宋体" w:cs="宋体"/>
                <w:color w:val="auto"/>
                <w:sz w:val="24"/>
                <w:highlight w:val="none"/>
              </w:rPr>
              <w:t>（6）单位负责人为同一人或者存在直接控股、管理关系的不同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，不得再参加该采购项目的其他采购活动。</w:t>
            </w:r>
          </w:p>
        </w:tc>
      </w:tr>
      <w:tr w14:paraId="4479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5171A60C">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12</w:t>
            </w:r>
          </w:p>
        </w:tc>
        <w:tc>
          <w:tcPr>
            <w:tcW w:w="2295" w:type="dxa"/>
            <w:noWrap/>
            <w:vAlign w:val="center"/>
          </w:tcPr>
          <w:p w14:paraId="291414FF">
            <w:pPr>
              <w:jc w:val="center"/>
              <w:rPr>
                <w:rFonts w:ascii="宋体" w:hAnsi="宋体" w:cs="宋体"/>
                <w:color w:val="auto"/>
                <w:sz w:val="24"/>
                <w:highlight w:val="none"/>
              </w:rPr>
            </w:pPr>
            <w:r>
              <w:rPr>
                <w:rFonts w:hint="eastAsia" w:ascii="宋体" w:hAnsi="宋体" w:cs="宋体"/>
                <w:color w:val="auto"/>
                <w:sz w:val="24"/>
                <w:highlight w:val="none"/>
              </w:rPr>
              <w:t>是否接受联合体参加</w:t>
            </w:r>
          </w:p>
        </w:tc>
        <w:tc>
          <w:tcPr>
            <w:tcW w:w="6885" w:type="dxa"/>
            <w:noWrap/>
            <w:vAlign w:val="center"/>
          </w:tcPr>
          <w:p w14:paraId="551CE60E">
            <w:pPr>
              <w:rPr>
                <w:rFonts w:ascii="宋体" w:hAnsi="宋体" w:cs="宋体"/>
                <w:color w:val="auto"/>
                <w:sz w:val="24"/>
                <w:highlight w:val="none"/>
              </w:rPr>
            </w:pPr>
            <w:r>
              <w:rPr>
                <w:rFonts w:hint="eastAsia" w:ascii="宋体" w:hAnsi="宋体" w:cs="宋体"/>
                <w:color w:val="auto"/>
                <w:sz w:val="24"/>
                <w:highlight w:val="none"/>
              </w:rPr>
              <w:t xml:space="preserve">口接受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不接受</w:t>
            </w:r>
          </w:p>
        </w:tc>
      </w:tr>
      <w:tr w14:paraId="2EE9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40699B51">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13</w:t>
            </w:r>
          </w:p>
        </w:tc>
        <w:tc>
          <w:tcPr>
            <w:tcW w:w="2295" w:type="dxa"/>
            <w:noWrap/>
            <w:vAlign w:val="center"/>
          </w:tcPr>
          <w:p w14:paraId="7FCB9443">
            <w:pPr>
              <w:jc w:val="center"/>
              <w:rPr>
                <w:rFonts w:ascii="宋体" w:hAnsi="宋体" w:cs="宋体"/>
                <w:color w:val="auto"/>
                <w:sz w:val="24"/>
                <w:highlight w:val="none"/>
              </w:rPr>
            </w:pPr>
            <w:r>
              <w:rPr>
                <w:rFonts w:hint="eastAsia" w:ascii="宋体" w:hAnsi="宋体" w:cs="宋体"/>
                <w:color w:val="auto"/>
                <w:sz w:val="24"/>
                <w:highlight w:val="none"/>
              </w:rPr>
              <w:t>踏勘现场</w:t>
            </w:r>
          </w:p>
        </w:tc>
        <w:tc>
          <w:tcPr>
            <w:tcW w:w="6885" w:type="dxa"/>
            <w:noWrap/>
            <w:vAlign w:val="center"/>
          </w:tcPr>
          <w:p w14:paraId="0E02F602">
            <w:pPr>
              <w:rPr>
                <w:rFonts w:ascii="宋体" w:hAnsi="宋体" w:eastAsia="长城楷体" w:cs="宋体"/>
                <w:color w:val="auto"/>
                <w:kern w:val="0"/>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2"/>
                <w:sz w:val="1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w:t>
            </w:r>
            <w:r>
              <w:rPr>
                <w:rFonts w:hint="eastAsia" w:ascii="宋体" w:hAnsi="宋体" w:eastAsia="长城楷体" w:cs="宋体"/>
                <w:color w:val="auto"/>
                <w:kern w:val="0"/>
                <w:sz w:val="24"/>
                <w:highlight w:val="none"/>
              </w:rPr>
              <w:t>组织踏勘</w:t>
            </w:r>
          </w:p>
          <w:p w14:paraId="268F93E3">
            <w:pPr>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sz w:val="24"/>
                <w:highlight w:val="none"/>
              </w:rPr>
              <w:fldChar w:fldCharType="end"/>
            </w:r>
            <w:r>
              <w:rPr>
                <w:rFonts w:hint="eastAsia" w:ascii="宋体" w:hAnsi="宋体" w:eastAsia="长城楷体" w:cs="宋体"/>
                <w:color w:val="auto"/>
                <w:kern w:val="0"/>
                <w:sz w:val="24"/>
                <w:highlight w:val="none"/>
              </w:rPr>
              <w:t>组织踏勘</w:t>
            </w:r>
          </w:p>
          <w:p w14:paraId="274F9E37">
            <w:pPr>
              <w:rPr>
                <w:rFonts w:ascii="宋体" w:hAnsi="宋体" w:eastAsia="长城楷体" w:cs="宋体"/>
                <w:color w:val="auto"/>
                <w:kern w:val="0"/>
                <w:sz w:val="24"/>
                <w:highlight w:val="none"/>
              </w:rPr>
            </w:pPr>
            <w:r>
              <w:rPr>
                <w:rFonts w:hint="eastAsia" w:ascii="宋体" w:hAnsi="宋体" w:eastAsia="长城楷体" w:cs="宋体"/>
                <w:color w:val="auto"/>
                <w:kern w:val="0"/>
                <w:sz w:val="24"/>
                <w:highlight w:val="none"/>
              </w:rPr>
              <w:t>踏勘地点：</w:t>
            </w:r>
          </w:p>
          <w:p w14:paraId="324E45AA">
            <w:pPr>
              <w:rPr>
                <w:color w:val="auto"/>
                <w:highlight w:val="none"/>
              </w:rPr>
            </w:pPr>
            <w:r>
              <w:rPr>
                <w:rFonts w:hint="eastAsia" w:ascii="宋体" w:hAnsi="宋体" w:eastAsia="长城楷体" w:cs="宋体"/>
                <w:color w:val="auto"/>
                <w:kern w:val="0"/>
                <w:sz w:val="24"/>
                <w:highlight w:val="none"/>
              </w:rPr>
              <w:t>踏勘需携带企业法定代表人授权委托书</w:t>
            </w:r>
          </w:p>
        </w:tc>
      </w:tr>
      <w:tr w14:paraId="74EA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386253E4">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14</w:t>
            </w:r>
          </w:p>
        </w:tc>
        <w:tc>
          <w:tcPr>
            <w:tcW w:w="2295" w:type="dxa"/>
            <w:noWrap/>
            <w:vAlign w:val="center"/>
          </w:tcPr>
          <w:p w14:paraId="235DA3D4">
            <w:pPr>
              <w:jc w:val="center"/>
              <w:rPr>
                <w:rFonts w:ascii="宋体" w:hAnsi="宋体" w:cs="宋体"/>
                <w:color w:val="auto"/>
                <w:sz w:val="24"/>
                <w:highlight w:val="none"/>
              </w:rPr>
            </w:pPr>
            <w:r>
              <w:rPr>
                <w:rFonts w:hint="eastAsia" w:ascii="宋体" w:hAnsi="宋体" w:cs="宋体"/>
                <w:color w:val="auto"/>
                <w:sz w:val="24"/>
                <w:highlight w:val="none"/>
              </w:rPr>
              <w:t>会议前预备会</w:t>
            </w:r>
          </w:p>
        </w:tc>
        <w:tc>
          <w:tcPr>
            <w:tcW w:w="6885" w:type="dxa"/>
            <w:noWrap/>
            <w:vAlign w:val="center"/>
          </w:tcPr>
          <w:p w14:paraId="22F6E5B3">
            <w:pP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2"/>
                <w:sz w:val="16"/>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不召开，供应商可将问题以书面或邮件的方式发送给采购公司。</w:t>
            </w:r>
          </w:p>
        </w:tc>
      </w:tr>
      <w:tr w14:paraId="145C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60A09E71">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15</w:t>
            </w:r>
          </w:p>
        </w:tc>
        <w:tc>
          <w:tcPr>
            <w:tcW w:w="2295" w:type="dxa"/>
            <w:noWrap/>
            <w:vAlign w:val="center"/>
          </w:tcPr>
          <w:p w14:paraId="04A88158">
            <w:pPr>
              <w:jc w:val="center"/>
              <w:rPr>
                <w:rFonts w:ascii="宋体" w:hAnsi="宋体" w:cs="宋体"/>
                <w:color w:val="auto"/>
                <w:sz w:val="24"/>
                <w:highlight w:val="none"/>
              </w:rPr>
            </w:pPr>
            <w:r>
              <w:rPr>
                <w:rFonts w:hint="eastAsia" w:ascii="宋体" w:hAnsi="宋体" w:cs="宋体"/>
                <w:color w:val="auto"/>
                <w:sz w:val="24"/>
                <w:highlight w:val="none"/>
              </w:rPr>
              <w:t>供应商提出问题的截止时间</w:t>
            </w:r>
          </w:p>
        </w:tc>
        <w:tc>
          <w:tcPr>
            <w:tcW w:w="6885" w:type="dxa"/>
            <w:noWrap/>
            <w:vAlign w:val="center"/>
          </w:tcPr>
          <w:p w14:paraId="0D8A1821">
            <w:pPr>
              <w:rPr>
                <w:rFonts w:ascii="宋体" w:hAnsi="宋体" w:cs="宋体"/>
                <w:color w:val="auto"/>
                <w:sz w:val="24"/>
                <w:highlight w:val="none"/>
              </w:rPr>
            </w:pPr>
            <w:r>
              <w:rPr>
                <w:rFonts w:hint="eastAsia" w:ascii="宋体" w:hAnsi="宋体" w:cs="宋体"/>
                <w:color w:val="auto"/>
                <w:sz w:val="24"/>
                <w:highlight w:val="none"/>
              </w:rPr>
              <w:t>投标截止时间前5日供应商对竞争性磋商文件不清楚的问题盖公章后提交给采购代理机构，逾期概不受理。</w:t>
            </w:r>
          </w:p>
        </w:tc>
      </w:tr>
      <w:tr w14:paraId="732E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1425393C">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16</w:t>
            </w:r>
          </w:p>
        </w:tc>
        <w:tc>
          <w:tcPr>
            <w:tcW w:w="2295" w:type="dxa"/>
            <w:noWrap/>
            <w:vAlign w:val="center"/>
          </w:tcPr>
          <w:p w14:paraId="20A8F843">
            <w:pPr>
              <w:jc w:val="center"/>
              <w:rPr>
                <w:rFonts w:ascii="宋体" w:hAnsi="宋体" w:cs="宋体"/>
                <w:color w:val="auto"/>
                <w:sz w:val="24"/>
                <w:highlight w:val="none"/>
              </w:rPr>
            </w:pPr>
            <w:r>
              <w:rPr>
                <w:rFonts w:hint="eastAsia" w:ascii="宋体" w:hAnsi="宋体" w:cs="宋体"/>
                <w:color w:val="auto"/>
                <w:sz w:val="24"/>
                <w:highlight w:val="none"/>
              </w:rPr>
              <w:t>采购人书面澄清的时间</w:t>
            </w:r>
          </w:p>
        </w:tc>
        <w:tc>
          <w:tcPr>
            <w:tcW w:w="6885" w:type="dxa"/>
            <w:noWrap/>
            <w:vAlign w:val="center"/>
          </w:tcPr>
          <w:p w14:paraId="111E7FCF">
            <w:pPr>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递交截止时间前5日</w:t>
            </w:r>
          </w:p>
        </w:tc>
      </w:tr>
      <w:tr w14:paraId="73AE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702B52F6">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17</w:t>
            </w:r>
          </w:p>
        </w:tc>
        <w:tc>
          <w:tcPr>
            <w:tcW w:w="2295" w:type="dxa"/>
            <w:noWrap/>
            <w:vAlign w:val="center"/>
          </w:tcPr>
          <w:p w14:paraId="0BCE4CC3">
            <w:pPr>
              <w:jc w:val="center"/>
              <w:rPr>
                <w:rFonts w:ascii="宋体" w:hAnsi="宋体" w:cs="宋体"/>
                <w:color w:val="auto"/>
                <w:sz w:val="24"/>
                <w:highlight w:val="none"/>
              </w:rPr>
            </w:pPr>
            <w:r>
              <w:rPr>
                <w:rFonts w:hint="eastAsia" w:ascii="宋体" w:hAnsi="宋体" w:cs="宋体"/>
                <w:color w:val="auto"/>
                <w:sz w:val="24"/>
                <w:highlight w:val="none"/>
              </w:rPr>
              <w:t>分  包</w:t>
            </w:r>
          </w:p>
        </w:tc>
        <w:tc>
          <w:tcPr>
            <w:tcW w:w="6885" w:type="dxa"/>
            <w:noWrap/>
            <w:vAlign w:val="center"/>
          </w:tcPr>
          <w:p w14:paraId="1173A6B0">
            <w:pP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不允许</w:t>
            </w:r>
          </w:p>
        </w:tc>
      </w:tr>
      <w:tr w14:paraId="051C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351D10C4">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18</w:t>
            </w:r>
          </w:p>
        </w:tc>
        <w:tc>
          <w:tcPr>
            <w:tcW w:w="2295" w:type="dxa"/>
            <w:noWrap/>
            <w:vAlign w:val="center"/>
          </w:tcPr>
          <w:p w14:paraId="0B720AFB">
            <w:pPr>
              <w:jc w:val="center"/>
              <w:rPr>
                <w:rFonts w:ascii="宋体" w:hAnsi="宋体" w:cs="宋体"/>
                <w:color w:val="auto"/>
                <w:sz w:val="24"/>
                <w:highlight w:val="none"/>
              </w:rPr>
            </w:pPr>
            <w:r>
              <w:rPr>
                <w:rFonts w:hint="eastAsia" w:ascii="宋体" w:hAnsi="宋体" w:cs="宋体"/>
                <w:color w:val="auto"/>
                <w:sz w:val="24"/>
                <w:highlight w:val="none"/>
              </w:rPr>
              <w:t>偏  离</w:t>
            </w:r>
          </w:p>
        </w:tc>
        <w:tc>
          <w:tcPr>
            <w:tcW w:w="6885" w:type="dxa"/>
            <w:noWrap/>
            <w:vAlign w:val="center"/>
          </w:tcPr>
          <w:p w14:paraId="60A787E7">
            <w:pP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不允许</w:t>
            </w:r>
          </w:p>
        </w:tc>
      </w:tr>
      <w:tr w14:paraId="6B40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44BE806D">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19</w:t>
            </w:r>
          </w:p>
        </w:tc>
        <w:tc>
          <w:tcPr>
            <w:tcW w:w="2295" w:type="dxa"/>
            <w:noWrap/>
            <w:vAlign w:val="center"/>
          </w:tcPr>
          <w:p w14:paraId="7ABE8A8E">
            <w:pPr>
              <w:jc w:val="center"/>
              <w:rPr>
                <w:rFonts w:ascii="宋体" w:hAnsi="宋体" w:cs="宋体"/>
                <w:color w:val="auto"/>
                <w:sz w:val="24"/>
                <w:highlight w:val="none"/>
              </w:rPr>
            </w:pPr>
            <w:r>
              <w:rPr>
                <w:rFonts w:hint="eastAsia" w:ascii="宋体" w:hAnsi="宋体" w:cs="宋体"/>
                <w:color w:val="auto"/>
                <w:sz w:val="24"/>
                <w:highlight w:val="none"/>
              </w:rPr>
              <w:t>构成竞争性磋商文件的其他材料</w:t>
            </w:r>
          </w:p>
        </w:tc>
        <w:tc>
          <w:tcPr>
            <w:tcW w:w="6885" w:type="dxa"/>
            <w:noWrap/>
            <w:vAlign w:val="center"/>
          </w:tcPr>
          <w:p w14:paraId="00930B0F">
            <w:pPr>
              <w:rPr>
                <w:rFonts w:ascii="宋体" w:hAnsi="宋体" w:cs="宋体"/>
                <w:color w:val="auto"/>
                <w:sz w:val="24"/>
                <w:highlight w:val="none"/>
              </w:rPr>
            </w:pPr>
            <w:r>
              <w:rPr>
                <w:rFonts w:hint="eastAsia" w:ascii="宋体" w:hAnsi="宋体" w:cs="宋体"/>
                <w:color w:val="auto"/>
                <w:sz w:val="24"/>
                <w:highlight w:val="none"/>
              </w:rPr>
              <w:t xml:space="preserve"> 无</w:t>
            </w:r>
          </w:p>
        </w:tc>
      </w:tr>
      <w:tr w14:paraId="31F0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38C58796">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20</w:t>
            </w:r>
          </w:p>
        </w:tc>
        <w:tc>
          <w:tcPr>
            <w:tcW w:w="2295" w:type="dxa"/>
            <w:noWrap/>
            <w:vAlign w:val="center"/>
          </w:tcPr>
          <w:p w14:paraId="0E8A3BA4">
            <w:pPr>
              <w:jc w:val="center"/>
              <w:rPr>
                <w:rFonts w:ascii="宋体" w:hAnsi="宋体" w:cs="宋体"/>
                <w:color w:val="auto"/>
                <w:sz w:val="24"/>
                <w:highlight w:val="none"/>
              </w:rPr>
            </w:pPr>
            <w:r>
              <w:rPr>
                <w:rFonts w:hint="eastAsia" w:ascii="宋体" w:hAnsi="宋体" w:cs="宋体"/>
                <w:color w:val="auto"/>
                <w:sz w:val="24"/>
                <w:highlight w:val="none"/>
              </w:rPr>
              <w:t>供应商要求澄清竞争性磋商文件的截止时间</w:t>
            </w:r>
          </w:p>
        </w:tc>
        <w:tc>
          <w:tcPr>
            <w:tcW w:w="6885" w:type="dxa"/>
            <w:noWrap/>
            <w:vAlign w:val="center"/>
          </w:tcPr>
          <w:p w14:paraId="26340688">
            <w:pPr>
              <w:adjustRightInd w:val="0"/>
              <w:jc w:val="left"/>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递交截止时间前5日</w:t>
            </w:r>
          </w:p>
        </w:tc>
      </w:tr>
      <w:tr w14:paraId="2D36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7D2F9424">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21</w:t>
            </w:r>
          </w:p>
        </w:tc>
        <w:tc>
          <w:tcPr>
            <w:tcW w:w="2295" w:type="dxa"/>
            <w:noWrap/>
            <w:vAlign w:val="center"/>
          </w:tcPr>
          <w:p w14:paraId="257FDC47">
            <w:pP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lang w:val="en-US" w:eastAsia="zh-CN"/>
              </w:rPr>
              <w:t>及地点</w:t>
            </w:r>
          </w:p>
        </w:tc>
        <w:tc>
          <w:tcPr>
            <w:tcW w:w="6885" w:type="dxa"/>
            <w:noWrap/>
            <w:vAlign w:val="center"/>
          </w:tcPr>
          <w:p w14:paraId="6146E05E">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时间：</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07</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0分</w:t>
            </w:r>
            <w:r>
              <w:rPr>
                <w:rFonts w:hint="eastAsia" w:ascii="宋体" w:hAnsi="宋体" w:eastAsia="宋体" w:cs="宋体"/>
                <w:color w:val="auto"/>
                <w:sz w:val="24"/>
                <w:highlight w:val="none"/>
              </w:rPr>
              <w:t>（北京时间）</w:t>
            </w:r>
          </w:p>
          <w:p w14:paraId="6F307E4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地点：长春市二道区洋浦大街6999号凯利中心AB栋101开标</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室</w:t>
            </w:r>
          </w:p>
          <w:p w14:paraId="72E01C2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本项目采用全流程电子化采购，需通过政府采购云平台（https://www.zcygov.cn/）递交电子加密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，逾期或未上传成功的将导致无法投标或投标无效。</w:t>
            </w:r>
          </w:p>
          <w:p w14:paraId="48DFE863">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在接到解密通知后，在规定时间内用“项目采购－开标评标”功能进行解密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22151D2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若对项目采购电子交易系统操作有疑问拨打电子化平台客服热</w:t>
            </w:r>
            <w:r>
              <w:rPr>
                <w:rFonts w:hint="eastAsia" w:ascii="宋体" w:hAnsi="宋体" w:eastAsia="宋体" w:cs="宋体"/>
                <w:color w:val="auto"/>
                <w:sz w:val="24"/>
                <w:highlight w:val="none"/>
                <w:lang w:val="en-US" w:eastAsia="zh-CN"/>
              </w:rPr>
              <w:t>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95763。</w:t>
            </w:r>
          </w:p>
        </w:tc>
      </w:tr>
      <w:tr w14:paraId="37D4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6D77372F">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22</w:t>
            </w:r>
          </w:p>
        </w:tc>
        <w:tc>
          <w:tcPr>
            <w:tcW w:w="2295" w:type="dxa"/>
            <w:noWrap/>
            <w:vAlign w:val="center"/>
          </w:tcPr>
          <w:p w14:paraId="5293D061">
            <w:pPr>
              <w:jc w:val="center"/>
              <w:rPr>
                <w:rFonts w:ascii="宋体" w:hAnsi="宋体" w:cs="宋体"/>
                <w:color w:val="auto"/>
                <w:sz w:val="24"/>
                <w:highlight w:val="none"/>
              </w:rPr>
            </w:pPr>
            <w:r>
              <w:rPr>
                <w:rFonts w:hint="eastAsia" w:ascii="宋体" w:hAnsi="宋体" w:cs="宋体"/>
                <w:color w:val="auto"/>
                <w:sz w:val="24"/>
                <w:highlight w:val="none"/>
              </w:rPr>
              <w:t>供应商确认收到竞争性磋商文件澄清的时间</w:t>
            </w:r>
          </w:p>
        </w:tc>
        <w:tc>
          <w:tcPr>
            <w:tcW w:w="6885" w:type="dxa"/>
            <w:noWrap/>
            <w:vAlign w:val="center"/>
          </w:tcPr>
          <w:p w14:paraId="394289A2">
            <w:pPr>
              <w:rPr>
                <w:rFonts w:ascii="宋体" w:hAnsi="宋体" w:cs="宋体"/>
                <w:color w:val="auto"/>
                <w:sz w:val="24"/>
                <w:highlight w:val="none"/>
                <w:u w:val="single"/>
              </w:rPr>
            </w:pPr>
            <w:r>
              <w:rPr>
                <w:rFonts w:hint="eastAsia" w:ascii="宋体" w:hAnsi="宋体" w:cs="宋体"/>
                <w:color w:val="auto"/>
                <w:sz w:val="24"/>
                <w:highlight w:val="none"/>
              </w:rPr>
              <w:t>在收到相应澄清文件后</w:t>
            </w:r>
            <w:r>
              <w:rPr>
                <w:rFonts w:hint="eastAsia" w:ascii="宋体" w:hAnsi="宋体" w:cs="宋体"/>
                <w:color w:val="auto"/>
                <w:sz w:val="24"/>
                <w:highlight w:val="none"/>
                <w:u w:val="single"/>
              </w:rPr>
              <w:t>24</w:t>
            </w:r>
            <w:r>
              <w:rPr>
                <w:rFonts w:hint="eastAsia" w:ascii="宋体" w:hAnsi="宋体" w:cs="宋体"/>
                <w:color w:val="auto"/>
                <w:sz w:val="24"/>
                <w:highlight w:val="none"/>
              </w:rPr>
              <w:t>小时内</w:t>
            </w:r>
          </w:p>
        </w:tc>
      </w:tr>
      <w:tr w14:paraId="20E4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2A600091">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23</w:t>
            </w:r>
          </w:p>
        </w:tc>
        <w:tc>
          <w:tcPr>
            <w:tcW w:w="2295" w:type="dxa"/>
            <w:noWrap/>
            <w:vAlign w:val="center"/>
          </w:tcPr>
          <w:p w14:paraId="1425FD5B">
            <w:pPr>
              <w:jc w:val="center"/>
              <w:rPr>
                <w:rFonts w:ascii="宋体" w:hAnsi="宋体" w:cs="宋体"/>
                <w:color w:val="auto"/>
                <w:sz w:val="24"/>
                <w:highlight w:val="none"/>
              </w:rPr>
            </w:pPr>
            <w:r>
              <w:rPr>
                <w:rFonts w:hint="eastAsia" w:ascii="宋体" w:hAnsi="宋体" w:cs="宋体"/>
                <w:color w:val="auto"/>
                <w:sz w:val="24"/>
                <w:highlight w:val="none"/>
              </w:rPr>
              <w:t>供应商确认收到竞争性磋商文件修改的时间</w:t>
            </w:r>
          </w:p>
        </w:tc>
        <w:tc>
          <w:tcPr>
            <w:tcW w:w="6885" w:type="dxa"/>
            <w:noWrap/>
            <w:vAlign w:val="center"/>
          </w:tcPr>
          <w:p w14:paraId="1CFAE848">
            <w:pPr>
              <w:rPr>
                <w:rFonts w:ascii="宋体" w:hAnsi="宋体" w:cs="宋体"/>
                <w:color w:val="auto"/>
                <w:sz w:val="24"/>
                <w:highlight w:val="none"/>
              </w:rPr>
            </w:pPr>
            <w:r>
              <w:rPr>
                <w:rFonts w:hint="eastAsia" w:ascii="宋体" w:hAnsi="宋体" w:cs="宋体"/>
                <w:color w:val="auto"/>
                <w:sz w:val="24"/>
                <w:highlight w:val="none"/>
              </w:rPr>
              <w:t>在收到相应修改文件后</w:t>
            </w:r>
            <w:r>
              <w:rPr>
                <w:rFonts w:hint="eastAsia" w:ascii="宋体" w:hAnsi="宋体" w:cs="宋体"/>
                <w:color w:val="auto"/>
                <w:sz w:val="24"/>
                <w:highlight w:val="none"/>
                <w:u w:val="single"/>
              </w:rPr>
              <w:t>24</w:t>
            </w:r>
            <w:r>
              <w:rPr>
                <w:rFonts w:hint="eastAsia" w:ascii="宋体" w:hAnsi="宋体" w:cs="宋体"/>
                <w:color w:val="auto"/>
                <w:sz w:val="24"/>
                <w:highlight w:val="none"/>
              </w:rPr>
              <w:t>小时内</w:t>
            </w:r>
          </w:p>
        </w:tc>
      </w:tr>
      <w:tr w14:paraId="1167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020DCA59">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24</w:t>
            </w:r>
          </w:p>
        </w:tc>
        <w:tc>
          <w:tcPr>
            <w:tcW w:w="2295" w:type="dxa"/>
            <w:noWrap/>
            <w:vAlign w:val="center"/>
          </w:tcPr>
          <w:p w14:paraId="0C3ABEB9">
            <w:pPr>
              <w:jc w:val="center"/>
              <w:rPr>
                <w:rFonts w:ascii="宋体" w:hAnsi="宋体" w:cs="宋体"/>
                <w:color w:val="auto"/>
                <w:sz w:val="24"/>
                <w:highlight w:val="none"/>
              </w:rPr>
            </w:pPr>
            <w:r>
              <w:rPr>
                <w:rFonts w:hint="eastAsia" w:ascii="宋体" w:hAnsi="宋体" w:cs="宋体"/>
                <w:color w:val="auto"/>
                <w:sz w:val="24"/>
                <w:highlight w:val="none"/>
              </w:rPr>
              <w:t>磋商响应有效期</w:t>
            </w:r>
          </w:p>
        </w:tc>
        <w:tc>
          <w:tcPr>
            <w:tcW w:w="6885" w:type="dxa"/>
            <w:noWrap/>
            <w:vAlign w:val="center"/>
          </w:tcPr>
          <w:p w14:paraId="3E1C8CBE">
            <w:pPr>
              <w:rPr>
                <w:rFonts w:ascii="宋体" w:hAnsi="宋体" w:cs="宋体"/>
                <w:color w:val="auto"/>
                <w:sz w:val="24"/>
                <w:highlight w:val="none"/>
              </w:rPr>
            </w:pPr>
            <w:r>
              <w:rPr>
                <w:rFonts w:hint="eastAsia" w:ascii="宋体" w:hAnsi="宋体" w:cs="宋体"/>
                <w:color w:val="auto"/>
                <w:sz w:val="24"/>
                <w:highlight w:val="none"/>
              </w:rPr>
              <w:t>递交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截止之日起90日历天</w:t>
            </w:r>
          </w:p>
        </w:tc>
      </w:tr>
      <w:tr w14:paraId="4145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29E736FC">
            <w:pPr>
              <w:spacing w:line="360" w:lineRule="auto"/>
              <w:jc w:val="center"/>
              <w:rPr>
                <w:rFonts w:ascii="宋体" w:hAnsi="宋体" w:cs="宋体"/>
                <w:color w:val="auto"/>
                <w:sz w:val="24"/>
                <w:highlight w:val="none"/>
              </w:rPr>
            </w:pPr>
            <w:r>
              <w:rPr>
                <w:rFonts w:hint="eastAsia" w:ascii="宋体" w:hAnsi="宋体" w:cs="宋体"/>
                <w:color w:val="auto"/>
                <w:kern w:val="1"/>
                <w:szCs w:val="21"/>
                <w:highlight w:val="none"/>
              </w:rPr>
              <w:t>25</w:t>
            </w:r>
          </w:p>
        </w:tc>
        <w:tc>
          <w:tcPr>
            <w:tcW w:w="2295" w:type="dxa"/>
            <w:noWrap/>
            <w:vAlign w:val="center"/>
          </w:tcPr>
          <w:p w14:paraId="01B8996C">
            <w:pPr>
              <w:jc w:val="center"/>
              <w:rPr>
                <w:rFonts w:ascii="宋体" w:hAnsi="宋体" w:cs="宋体"/>
                <w:color w:val="auto"/>
                <w:sz w:val="24"/>
                <w:highlight w:val="none"/>
              </w:rPr>
            </w:pPr>
            <w:r>
              <w:rPr>
                <w:rFonts w:hint="eastAsia" w:ascii="宋体" w:hAnsi="宋体" w:cs="宋体"/>
                <w:color w:val="auto"/>
                <w:sz w:val="24"/>
                <w:highlight w:val="none"/>
              </w:rPr>
              <w:t>磋商保证金</w:t>
            </w:r>
          </w:p>
        </w:tc>
        <w:tc>
          <w:tcPr>
            <w:tcW w:w="6885" w:type="dxa"/>
            <w:noWrap/>
            <w:vAlign w:val="center"/>
          </w:tcPr>
          <w:p w14:paraId="16AF89B6">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诚信纪录良好的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lang w:val="en-US" w:eastAsia="zh-CN"/>
              </w:rPr>
              <w:t>无需缴纳</w:t>
            </w:r>
            <w:r>
              <w:rPr>
                <w:rFonts w:hint="eastAsia" w:ascii="宋体" w:hAnsi="宋体" w:eastAsia="宋体" w:cs="宋体"/>
                <w:b/>
                <w:bCs/>
                <w:color w:val="auto"/>
                <w:sz w:val="24"/>
                <w:highlight w:val="none"/>
                <w:lang w:eastAsia="zh-CN"/>
              </w:rPr>
              <w:t>磋商保证金。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执行长财采购[2021]695号文件规定，自2021年7月1日起，长春市政府采购货物和服务招标投标活动及非招标采购方式采购货物、工程和服务不得向诚信纪录良好的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，但对于满足《中华人民共和国政府采购法》第二十二条有关规定，经信用中国网站查询存在行政处罚信息的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，采购人、采购代理机构可以按规定收取</w:t>
            </w:r>
            <w:r>
              <w:rPr>
                <w:rFonts w:hint="eastAsia" w:ascii="宋体" w:hAnsi="宋体" w:eastAsia="宋体" w:cs="宋体"/>
                <w:color w:val="auto"/>
                <w:sz w:val="24"/>
                <w:highlight w:val="none"/>
                <w:lang w:eastAsia="zh-CN"/>
              </w:rPr>
              <w:t>磋商保证金）</w:t>
            </w:r>
          </w:p>
          <w:p w14:paraId="64866BE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2、诚信纪录</w:t>
            </w:r>
            <w:r>
              <w:rPr>
                <w:rFonts w:hint="eastAsia" w:ascii="宋体" w:hAnsi="宋体" w:eastAsia="宋体" w:cs="宋体"/>
                <w:b/>
                <w:bCs/>
                <w:color w:val="auto"/>
                <w:sz w:val="24"/>
                <w:highlight w:val="none"/>
                <w:lang w:val="en-US" w:eastAsia="zh-CN"/>
              </w:rPr>
              <w:t>不</w:t>
            </w:r>
            <w:r>
              <w:rPr>
                <w:rFonts w:hint="eastAsia" w:ascii="宋体" w:hAnsi="宋体" w:eastAsia="宋体" w:cs="宋体"/>
                <w:b/>
                <w:bCs/>
                <w:color w:val="auto"/>
                <w:sz w:val="24"/>
                <w:highlight w:val="none"/>
              </w:rPr>
              <w:t>良好的</w:t>
            </w:r>
            <w:r>
              <w:rPr>
                <w:rFonts w:hint="eastAsia" w:ascii="宋体" w:hAnsi="宋体" w:eastAsia="宋体" w:cs="宋体"/>
                <w:b/>
                <w:bCs/>
                <w:color w:val="auto"/>
                <w:sz w:val="24"/>
                <w:highlight w:val="none"/>
                <w:lang w:val="en-US" w:eastAsia="zh-CN"/>
              </w:rPr>
              <w:t>或</w:t>
            </w:r>
            <w:r>
              <w:rPr>
                <w:rFonts w:hint="eastAsia" w:ascii="宋体" w:hAnsi="宋体" w:eastAsia="宋体" w:cs="宋体"/>
                <w:b/>
                <w:bCs/>
                <w:color w:val="auto"/>
                <w:sz w:val="24"/>
                <w:highlight w:val="none"/>
              </w:rPr>
              <w:t>存在行政处罚信息的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lang w:val="en-US" w:eastAsia="zh-CN"/>
              </w:rPr>
              <w:t>需缴纳</w:t>
            </w:r>
            <w:r>
              <w:rPr>
                <w:rFonts w:hint="eastAsia" w:ascii="宋体" w:hAnsi="宋体" w:eastAsia="宋体" w:cs="宋体"/>
                <w:b/>
                <w:bCs/>
                <w:color w:val="auto"/>
                <w:sz w:val="24"/>
                <w:highlight w:val="none"/>
                <w:lang w:eastAsia="zh-CN"/>
              </w:rPr>
              <w:t>磋商保证金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对于满足《中华人民共和国政府采购法》第二十二条有关规定，经信用中国网站查询存在行政处罚信息的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需提交</w:t>
            </w:r>
            <w:r>
              <w:rPr>
                <w:rFonts w:hint="eastAsia" w:ascii="宋体" w:hAnsi="宋体" w:eastAsia="宋体" w:cs="宋体"/>
                <w:color w:val="auto"/>
                <w:sz w:val="24"/>
                <w:highlight w:val="none"/>
                <w:lang w:eastAsia="zh-CN"/>
              </w:rPr>
              <w:t>磋商保证金）</w:t>
            </w:r>
          </w:p>
          <w:p w14:paraId="28E15214">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每标</w:t>
            </w:r>
            <w:r>
              <w:rPr>
                <w:rFonts w:hint="eastAsia" w:ascii="宋体" w:hAnsi="宋体" w:cs="宋体"/>
                <w:color w:val="auto"/>
                <w:sz w:val="24"/>
                <w:highlight w:val="none"/>
                <w:lang w:val="en-US" w:eastAsia="zh-CN"/>
              </w:rPr>
              <w:t>项</w:t>
            </w: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1000</w:t>
            </w:r>
            <w:r>
              <w:rPr>
                <w:rFonts w:hint="eastAsia" w:ascii="宋体" w:hAnsi="宋体" w:eastAsia="宋体" w:cs="宋体"/>
                <w:color w:val="auto"/>
                <w:sz w:val="24"/>
                <w:highlight w:val="none"/>
              </w:rPr>
              <w:t>元。</w:t>
            </w:r>
          </w:p>
          <w:p w14:paraId="1258291D">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递交形式：</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自主选择支票、汇票、本票、保函、转账、电汇等形式；</w:t>
            </w:r>
          </w:p>
          <w:p w14:paraId="034A8B1E">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账户：吉林省顺宏项目管理咨询有限公司</w:t>
            </w:r>
          </w:p>
          <w:p w14:paraId="6EF792B0">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开户行：长春农村商业银行股份有限公司金宇大路支行</w:t>
            </w:r>
          </w:p>
          <w:p w14:paraId="59F92323">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账号：0710773011015200000318</w:t>
            </w:r>
          </w:p>
          <w:p w14:paraId="4255A3BF">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递交时间：</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应于递交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截止时间前递交，以到账为准。</w:t>
            </w:r>
          </w:p>
          <w:p w14:paraId="394B4E18">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未按</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要求提交</w:t>
            </w: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，或提交</w:t>
            </w: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的账户名称与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名称不一致，按照无效投标处理。</w:t>
            </w:r>
          </w:p>
          <w:p w14:paraId="029318D9">
            <w:pPr>
              <w:rPr>
                <w:rFonts w:ascii="宋体" w:hAnsi="宋体" w:cs="宋体"/>
                <w:b/>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应在电汇或转账凭证上明确用途、项目名称及标</w:t>
            </w:r>
            <w:r>
              <w:rPr>
                <w:rFonts w:hint="eastAsia" w:ascii="宋体" w:hAnsi="宋体" w:cs="宋体"/>
                <w:color w:val="auto"/>
                <w:sz w:val="24"/>
                <w:highlight w:val="none"/>
                <w:lang w:val="en-US" w:eastAsia="zh-CN"/>
              </w:rPr>
              <w:t>项</w:t>
            </w:r>
            <w:r>
              <w:rPr>
                <w:rFonts w:hint="eastAsia" w:ascii="宋体" w:hAnsi="宋体" w:eastAsia="宋体" w:cs="宋体"/>
                <w:color w:val="auto"/>
                <w:sz w:val="24"/>
                <w:highlight w:val="none"/>
              </w:rPr>
              <w:t>。</w:t>
            </w:r>
          </w:p>
        </w:tc>
      </w:tr>
      <w:tr w14:paraId="1E3E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2793D707">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26</w:t>
            </w:r>
          </w:p>
        </w:tc>
        <w:tc>
          <w:tcPr>
            <w:tcW w:w="2295" w:type="dxa"/>
            <w:noWrap/>
            <w:vAlign w:val="center"/>
          </w:tcPr>
          <w:p w14:paraId="30C594FF">
            <w:pPr>
              <w:jc w:val="center"/>
              <w:rPr>
                <w:rFonts w:ascii="宋体" w:hAnsi="宋体" w:cs="宋体"/>
                <w:color w:val="auto"/>
                <w:sz w:val="24"/>
                <w:highlight w:val="none"/>
              </w:rPr>
            </w:pPr>
            <w:r>
              <w:rPr>
                <w:rFonts w:hint="eastAsia" w:ascii="宋体" w:hAnsi="宋体" w:cs="宋体"/>
                <w:color w:val="auto"/>
                <w:sz w:val="24"/>
                <w:highlight w:val="none"/>
              </w:rPr>
              <w:t>近年财务状况的年份要求</w:t>
            </w:r>
          </w:p>
        </w:tc>
        <w:tc>
          <w:tcPr>
            <w:tcW w:w="6885" w:type="dxa"/>
            <w:noWrap/>
            <w:vAlign w:val="center"/>
          </w:tcPr>
          <w:p w14:paraId="45F9308C">
            <w:pPr>
              <w:rPr>
                <w:rFonts w:ascii="宋体" w:hAnsi="宋体" w:cs="宋体"/>
                <w:color w:val="auto"/>
                <w:sz w:val="24"/>
                <w:highlight w:val="none"/>
              </w:rPr>
            </w:pPr>
            <w:r>
              <w:rPr>
                <w:rFonts w:hint="eastAsia" w:ascii="宋体" w:hAnsi="宋体" w:cs="宋体"/>
                <w:color w:val="auto"/>
                <w:sz w:val="24"/>
                <w:highlight w:val="none"/>
              </w:rPr>
              <w:t>具有良好的商业信誉和健全的财务会计制度，提供财务状况良好资格条件承诺函</w:t>
            </w:r>
          </w:p>
        </w:tc>
      </w:tr>
      <w:tr w14:paraId="6A27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6FF543C9">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27</w:t>
            </w:r>
          </w:p>
        </w:tc>
        <w:tc>
          <w:tcPr>
            <w:tcW w:w="2295" w:type="dxa"/>
            <w:noWrap/>
            <w:vAlign w:val="center"/>
          </w:tcPr>
          <w:p w14:paraId="247AAC99">
            <w:pPr>
              <w:jc w:val="center"/>
              <w:rPr>
                <w:rFonts w:ascii="宋体" w:hAnsi="宋体" w:cs="宋体"/>
                <w:color w:val="auto"/>
                <w:sz w:val="24"/>
                <w:highlight w:val="none"/>
              </w:rPr>
            </w:pPr>
            <w:r>
              <w:rPr>
                <w:rFonts w:hint="eastAsia" w:ascii="宋体" w:hAnsi="宋体" w:cs="宋体"/>
                <w:color w:val="auto"/>
                <w:sz w:val="24"/>
                <w:highlight w:val="none"/>
              </w:rPr>
              <w:t>近年类似业绩及其他材料的年份要求</w:t>
            </w:r>
          </w:p>
        </w:tc>
        <w:tc>
          <w:tcPr>
            <w:tcW w:w="6885" w:type="dxa"/>
            <w:noWrap/>
            <w:vAlign w:val="center"/>
          </w:tcPr>
          <w:p w14:paraId="5D035015">
            <w:pPr>
              <w:rPr>
                <w:rFonts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年1月1日起至今</w:t>
            </w:r>
          </w:p>
        </w:tc>
      </w:tr>
      <w:tr w14:paraId="370A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172364F6">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28</w:t>
            </w:r>
          </w:p>
        </w:tc>
        <w:tc>
          <w:tcPr>
            <w:tcW w:w="2295" w:type="dxa"/>
            <w:noWrap/>
            <w:vAlign w:val="center"/>
          </w:tcPr>
          <w:p w14:paraId="12695B2D">
            <w:pPr>
              <w:jc w:val="center"/>
              <w:rPr>
                <w:rFonts w:ascii="宋体" w:hAnsi="宋体" w:cs="宋体"/>
                <w:color w:val="auto"/>
                <w:sz w:val="24"/>
                <w:highlight w:val="none"/>
              </w:rPr>
            </w:pPr>
            <w:r>
              <w:rPr>
                <w:rFonts w:hint="eastAsia" w:ascii="宋体" w:hAnsi="宋体" w:cs="宋体"/>
                <w:color w:val="auto"/>
                <w:sz w:val="24"/>
                <w:highlight w:val="none"/>
              </w:rPr>
              <w:t>是否允许递交备选磋商方案</w:t>
            </w:r>
          </w:p>
        </w:tc>
        <w:tc>
          <w:tcPr>
            <w:tcW w:w="6885" w:type="dxa"/>
            <w:noWrap/>
            <w:vAlign w:val="center"/>
          </w:tcPr>
          <w:p w14:paraId="5FD9E6DA">
            <w:pP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允许</w:t>
            </w:r>
          </w:p>
          <w:p w14:paraId="116CC49A">
            <w:pP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不允许</w:t>
            </w:r>
          </w:p>
        </w:tc>
      </w:tr>
      <w:tr w14:paraId="0F8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0F8EF689">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29</w:t>
            </w:r>
          </w:p>
        </w:tc>
        <w:tc>
          <w:tcPr>
            <w:tcW w:w="2295" w:type="dxa"/>
            <w:noWrap/>
            <w:vAlign w:val="center"/>
          </w:tcPr>
          <w:p w14:paraId="4F0723E9">
            <w:pPr>
              <w:jc w:val="center"/>
              <w:rPr>
                <w:rFonts w:ascii="宋体" w:hAnsi="宋体" w:cs="宋体"/>
                <w:color w:val="auto"/>
                <w:sz w:val="24"/>
                <w:highlight w:val="none"/>
              </w:rPr>
            </w:pPr>
            <w:r>
              <w:rPr>
                <w:rFonts w:hint="eastAsia" w:ascii="宋体" w:hAnsi="宋体" w:cs="宋体"/>
                <w:color w:val="auto"/>
                <w:sz w:val="24"/>
                <w:highlight w:val="none"/>
              </w:rPr>
              <w:t>签字和（或）盖章要求</w:t>
            </w:r>
          </w:p>
        </w:tc>
        <w:tc>
          <w:tcPr>
            <w:tcW w:w="6885" w:type="dxa"/>
            <w:noWrap/>
            <w:vAlign w:val="center"/>
          </w:tcPr>
          <w:p w14:paraId="621ECD3A">
            <w:pPr>
              <w:rPr>
                <w:rFonts w:ascii="宋体" w:hAnsi="宋体" w:cs="宋体"/>
                <w:color w:val="auto"/>
                <w:sz w:val="24"/>
                <w:highlight w:val="none"/>
              </w:rPr>
            </w:pPr>
            <w:r>
              <w:rPr>
                <w:rFonts w:hint="eastAsia" w:ascii="宋体" w:hAnsi="宋体" w:eastAsia="宋体" w:cs="宋体"/>
                <w:color w:val="auto"/>
                <w:sz w:val="24"/>
                <w:highlight w:val="none"/>
                <w:lang w:val="en-US" w:eastAsia="zh-CN"/>
              </w:rPr>
              <w:t>上传至“政采云”平台的响应文件</w:t>
            </w:r>
            <w:r>
              <w:rPr>
                <w:rFonts w:hint="eastAsia" w:ascii="宋体" w:hAnsi="宋体" w:eastAsia="宋体" w:cs="宋体"/>
                <w:color w:val="auto"/>
                <w:sz w:val="24"/>
                <w:highlight w:val="none"/>
                <w:lang w:val="zh-CN"/>
              </w:rPr>
              <w:t>所有要求</w:t>
            </w:r>
            <w:r>
              <w:rPr>
                <w:rFonts w:hint="eastAsia" w:ascii="宋体" w:hAnsi="宋体" w:eastAsia="宋体" w:cs="宋体"/>
                <w:color w:val="auto"/>
                <w:sz w:val="24"/>
                <w:highlight w:val="none"/>
                <w:lang w:val="en-US" w:eastAsia="zh-CN"/>
              </w:rPr>
              <w:t>盖章或</w:t>
            </w:r>
            <w:r>
              <w:rPr>
                <w:rFonts w:hint="eastAsia" w:ascii="宋体" w:hAnsi="宋体" w:eastAsia="宋体" w:cs="宋体"/>
                <w:color w:val="auto"/>
                <w:sz w:val="24"/>
                <w:highlight w:val="none"/>
                <w:lang w:val="zh-CN"/>
              </w:rPr>
              <w:t>签字的地方均应加盖供应商印章并经法定代表人或其委托代理人签字或盖章。</w:t>
            </w:r>
          </w:p>
        </w:tc>
      </w:tr>
      <w:tr w14:paraId="438F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2273A3CE">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30</w:t>
            </w:r>
          </w:p>
        </w:tc>
        <w:tc>
          <w:tcPr>
            <w:tcW w:w="2295" w:type="dxa"/>
            <w:noWrap/>
            <w:vAlign w:val="center"/>
          </w:tcPr>
          <w:p w14:paraId="50B0F0D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响应文件份数</w:t>
            </w:r>
          </w:p>
        </w:tc>
        <w:tc>
          <w:tcPr>
            <w:tcW w:w="6885" w:type="dxa"/>
            <w:noWrap/>
            <w:vAlign w:val="center"/>
          </w:tcPr>
          <w:p w14:paraId="56B03F1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供应商所投标项均</w:t>
            </w:r>
            <w:r>
              <w:rPr>
                <w:rFonts w:hint="eastAsia" w:ascii="宋体" w:hAnsi="宋体" w:eastAsia="宋体" w:cs="宋体"/>
                <w:color w:val="auto"/>
                <w:sz w:val="24"/>
                <w:highlight w:val="none"/>
                <w:lang w:val="zh-CN"/>
              </w:rPr>
              <w:t>在“政采云”平台（http：//www.zcygov.cn）上制作</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val="zh-CN"/>
              </w:rPr>
              <w:t>文件1份（此</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val="zh-CN"/>
              </w:rPr>
              <w:t>文件须上传至“政采云”平台）。</w:t>
            </w:r>
          </w:p>
        </w:tc>
      </w:tr>
      <w:tr w14:paraId="0EAF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60F1DE24">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31</w:t>
            </w:r>
          </w:p>
        </w:tc>
        <w:tc>
          <w:tcPr>
            <w:tcW w:w="2295" w:type="dxa"/>
            <w:noWrap/>
            <w:vAlign w:val="center"/>
          </w:tcPr>
          <w:p w14:paraId="018E264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lang w:val="zh-CN"/>
              </w:rPr>
              <w:t>要求</w:t>
            </w:r>
          </w:p>
        </w:tc>
        <w:tc>
          <w:tcPr>
            <w:tcW w:w="6885" w:type="dxa"/>
            <w:noWrap/>
            <w:vAlign w:val="top"/>
          </w:tcPr>
          <w:p w14:paraId="0A48002E">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供应商上传商务技术文件应该是整套不缺项的</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，如供应商上传的商务技术文件有缺项，后果供应商自行承担。</w:t>
            </w:r>
          </w:p>
        </w:tc>
      </w:tr>
      <w:tr w14:paraId="00A1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27B63362">
            <w:pPr>
              <w:spacing w:line="360" w:lineRule="auto"/>
              <w:jc w:val="center"/>
              <w:rPr>
                <w:rFonts w:hint="default"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32</w:t>
            </w:r>
          </w:p>
        </w:tc>
        <w:tc>
          <w:tcPr>
            <w:tcW w:w="2295" w:type="dxa"/>
            <w:noWrap/>
            <w:vAlign w:val="center"/>
          </w:tcPr>
          <w:p w14:paraId="5767BDD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是否退还</w:t>
            </w:r>
            <w:r>
              <w:rPr>
                <w:rFonts w:hint="eastAsia" w:ascii="宋体" w:hAnsi="宋体" w:cs="宋体"/>
                <w:color w:val="auto"/>
                <w:sz w:val="24"/>
                <w:highlight w:val="none"/>
                <w:lang w:eastAsia="zh-CN"/>
              </w:rPr>
              <w:t>响应文件</w:t>
            </w:r>
          </w:p>
        </w:tc>
        <w:tc>
          <w:tcPr>
            <w:tcW w:w="6885" w:type="dxa"/>
            <w:noWrap/>
            <w:vAlign w:val="center"/>
          </w:tcPr>
          <w:p w14:paraId="0CFACE0D">
            <w:pPr>
              <w:rPr>
                <w:rFonts w:ascii="宋体" w:hAnsi="宋体" w:cs="宋体"/>
                <w:color w:val="auto"/>
                <w:sz w:val="24"/>
                <w:highlight w:val="none"/>
              </w:rPr>
            </w:pPr>
            <w:r>
              <w:rPr>
                <w:rFonts w:hint="eastAsia" w:ascii="宋体" w:hAnsi="宋体" w:cs="宋体"/>
                <w:color w:val="auto"/>
                <w:sz w:val="24"/>
                <w:highlight w:val="none"/>
              </w:rPr>
              <w:t>否</w:t>
            </w:r>
          </w:p>
        </w:tc>
      </w:tr>
      <w:tr w14:paraId="6BF0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561E6F1C">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w:t>
            </w:r>
            <w:r>
              <w:rPr>
                <w:rFonts w:hint="eastAsia" w:ascii="宋体" w:hAnsi="宋体" w:eastAsia="宋体" w:cs="宋体"/>
                <w:color w:val="auto"/>
                <w:kern w:val="1"/>
                <w:szCs w:val="21"/>
                <w:highlight w:val="none"/>
                <w:lang w:val="en-US" w:eastAsia="zh-CN"/>
              </w:rPr>
              <w:t>3</w:t>
            </w:r>
          </w:p>
        </w:tc>
        <w:tc>
          <w:tcPr>
            <w:tcW w:w="2295" w:type="dxa"/>
            <w:noWrap/>
            <w:vAlign w:val="center"/>
          </w:tcPr>
          <w:p w14:paraId="7BBEB599">
            <w:pPr>
              <w:jc w:val="center"/>
              <w:rPr>
                <w:rFonts w:ascii="宋体" w:hAnsi="宋体" w:cs="宋体"/>
                <w:color w:val="auto"/>
                <w:sz w:val="24"/>
                <w:highlight w:val="none"/>
              </w:rPr>
            </w:pPr>
            <w:r>
              <w:rPr>
                <w:rFonts w:hint="eastAsia" w:ascii="宋体" w:hAnsi="宋体" w:cs="宋体"/>
                <w:color w:val="auto"/>
                <w:sz w:val="24"/>
                <w:highlight w:val="none"/>
              </w:rPr>
              <w:t>磋商时间和地点</w:t>
            </w:r>
          </w:p>
        </w:tc>
        <w:tc>
          <w:tcPr>
            <w:tcW w:w="6885" w:type="dxa"/>
            <w:noWrap/>
            <w:vAlign w:val="center"/>
          </w:tcPr>
          <w:p w14:paraId="2AFC4CEB">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时间：2025年07月16日10时30分（北京时间）</w:t>
            </w:r>
          </w:p>
          <w:p w14:paraId="2737EB26">
            <w:pPr>
              <w:jc w:val="left"/>
              <w:rPr>
                <w:rFonts w:ascii="宋体" w:hAnsi="宋体" w:cs="宋体"/>
                <w:color w:val="auto"/>
                <w:sz w:val="24"/>
                <w:highlight w:val="green"/>
              </w:rPr>
            </w:pPr>
            <w:r>
              <w:rPr>
                <w:rFonts w:hint="eastAsia" w:ascii="宋体" w:hAnsi="宋体" w:eastAsia="宋体" w:cs="宋体"/>
                <w:color w:val="auto"/>
                <w:sz w:val="24"/>
                <w:highlight w:val="none"/>
                <w:lang w:val="en-US" w:eastAsia="zh-CN"/>
              </w:rPr>
              <w:t>地点：长春市二道区洋浦大街6999号凯利中心AB栋101评标八室</w:t>
            </w:r>
          </w:p>
        </w:tc>
      </w:tr>
      <w:tr w14:paraId="5010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8" w:type="dxa"/>
            <w:noWrap/>
            <w:vAlign w:val="center"/>
          </w:tcPr>
          <w:p w14:paraId="2575CAD6">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w:t>
            </w:r>
            <w:r>
              <w:rPr>
                <w:rFonts w:hint="eastAsia" w:ascii="宋体" w:hAnsi="宋体" w:eastAsia="宋体" w:cs="宋体"/>
                <w:color w:val="auto"/>
                <w:kern w:val="1"/>
                <w:szCs w:val="21"/>
                <w:highlight w:val="none"/>
                <w:lang w:val="en-US" w:eastAsia="zh-CN"/>
              </w:rPr>
              <w:t>4</w:t>
            </w:r>
          </w:p>
        </w:tc>
        <w:tc>
          <w:tcPr>
            <w:tcW w:w="2295" w:type="dxa"/>
            <w:noWrap/>
            <w:vAlign w:val="center"/>
          </w:tcPr>
          <w:p w14:paraId="140CF2F3">
            <w:pPr>
              <w:jc w:val="center"/>
              <w:rPr>
                <w:rFonts w:ascii="宋体" w:hAnsi="宋体" w:cs="宋体"/>
                <w:color w:val="auto"/>
                <w:sz w:val="24"/>
                <w:highlight w:val="none"/>
              </w:rPr>
            </w:pPr>
            <w:r>
              <w:rPr>
                <w:rFonts w:hint="eastAsia" w:ascii="宋体" w:hAnsi="宋体" w:cs="宋体"/>
                <w:color w:val="auto"/>
                <w:sz w:val="24"/>
                <w:highlight w:val="none"/>
              </w:rPr>
              <w:t>磋商小组的组建</w:t>
            </w:r>
          </w:p>
        </w:tc>
        <w:tc>
          <w:tcPr>
            <w:tcW w:w="6885" w:type="dxa"/>
            <w:noWrap/>
            <w:vAlign w:val="center"/>
          </w:tcPr>
          <w:p w14:paraId="5751CA8A">
            <w:pPr>
              <w:rPr>
                <w:rFonts w:ascii="宋体" w:hAnsi="宋体" w:cs="宋体"/>
                <w:color w:val="auto"/>
                <w:sz w:val="24"/>
                <w:highlight w:val="none"/>
              </w:rPr>
            </w:pPr>
            <w:r>
              <w:rPr>
                <w:rFonts w:hint="eastAsia" w:ascii="宋体" w:hAnsi="宋体" w:cs="宋体"/>
                <w:color w:val="auto"/>
                <w:sz w:val="24"/>
                <w:highlight w:val="none"/>
              </w:rPr>
              <w:t>磋商小组构成：采购人代表0人、专家3人，共3人组成</w:t>
            </w:r>
          </w:p>
          <w:p w14:paraId="462FA5FD">
            <w:pPr>
              <w:rPr>
                <w:rFonts w:ascii="宋体" w:hAnsi="宋体" w:cs="宋体"/>
                <w:color w:val="auto"/>
                <w:sz w:val="24"/>
                <w:highlight w:val="none"/>
              </w:rPr>
            </w:pPr>
            <w:r>
              <w:rPr>
                <w:rFonts w:hint="eastAsia" w:ascii="宋体" w:hAnsi="宋体" w:cs="宋体"/>
                <w:color w:val="auto"/>
                <w:sz w:val="24"/>
                <w:highlight w:val="none"/>
              </w:rPr>
              <w:t>评审专家确定方式：专家从</w:t>
            </w:r>
            <w:r>
              <w:rPr>
                <w:rFonts w:hint="eastAsia" w:ascii="宋体" w:hAnsi="宋体" w:cs="宋体"/>
                <w:color w:val="auto"/>
                <w:sz w:val="24"/>
                <w:highlight w:val="none"/>
                <w:lang w:val="en-US" w:eastAsia="zh-CN"/>
              </w:rPr>
              <w:t>政采云</w:t>
            </w:r>
            <w:r>
              <w:rPr>
                <w:rFonts w:hint="eastAsia" w:ascii="宋体" w:hAnsi="宋体" w:cs="宋体"/>
                <w:color w:val="auto"/>
                <w:sz w:val="24"/>
                <w:highlight w:val="none"/>
              </w:rPr>
              <w:t>专家库中随机抽取。</w:t>
            </w:r>
          </w:p>
        </w:tc>
      </w:tr>
      <w:tr w14:paraId="4380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3253EB64">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w:t>
            </w:r>
            <w:r>
              <w:rPr>
                <w:rFonts w:hint="eastAsia" w:ascii="宋体" w:hAnsi="宋体" w:eastAsia="宋体" w:cs="宋体"/>
                <w:color w:val="auto"/>
                <w:kern w:val="1"/>
                <w:szCs w:val="21"/>
                <w:highlight w:val="none"/>
                <w:lang w:val="en-US" w:eastAsia="zh-CN"/>
              </w:rPr>
              <w:t>5</w:t>
            </w:r>
          </w:p>
        </w:tc>
        <w:tc>
          <w:tcPr>
            <w:tcW w:w="2295" w:type="dxa"/>
            <w:noWrap/>
            <w:vAlign w:val="center"/>
          </w:tcPr>
          <w:p w14:paraId="6E148DE0">
            <w:pPr>
              <w:jc w:val="center"/>
              <w:rPr>
                <w:rFonts w:ascii="宋体" w:hAnsi="宋体" w:cs="宋体"/>
                <w:color w:val="auto"/>
                <w:sz w:val="24"/>
                <w:highlight w:val="none"/>
              </w:rPr>
            </w:pPr>
            <w:r>
              <w:rPr>
                <w:rFonts w:hint="eastAsia" w:ascii="宋体" w:hAnsi="宋体" w:cs="宋体"/>
                <w:color w:val="auto"/>
                <w:sz w:val="24"/>
                <w:highlight w:val="none"/>
              </w:rPr>
              <w:t>是否授权磋商小组确定</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供应商</w:t>
            </w:r>
          </w:p>
        </w:tc>
        <w:tc>
          <w:tcPr>
            <w:tcW w:w="6885" w:type="dxa"/>
            <w:noWrap/>
            <w:vAlign w:val="center"/>
          </w:tcPr>
          <w:p w14:paraId="555B3406">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推荐三名中标候选人，确定排名第一的中标候选人为中标人。</w:t>
            </w:r>
          </w:p>
        </w:tc>
      </w:tr>
      <w:tr w14:paraId="3B86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07D8DE05">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w:t>
            </w:r>
            <w:r>
              <w:rPr>
                <w:rFonts w:hint="eastAsia" w:ascii="宋体" w:hAnsi="宋体" w:eastAsia="宋体" w:cs="宋体"/>
                <w:color w:val="auto"/>
                <w:kern w:val="1"/>
                <w:szCs w:val="21"/>
                <w:highlight w:val="none"/>
                <w:lang w:val="en-US" w:eastAsia="zh-CN"/>
              </w:rPr>
              <w:t>6</w:t>
            </w:r>
          </w:p>
        </w:tc>
        <w:tc>
          <w:tcPr>
            <w:tcW w:w="2295" w:type="dxa"/>
            <w:noWrap/>
            <w:vAlign w:val="center"/>
          </w:tcPr>
          <w:p w14:paraId="4769605C">
            <w:pPr>
              <w:jc w:val="center"/>
              <w:rPr>
                <w:rFonts w:ascii="宋体" w:hAnsi="宋体" w:cs="宋体"/>
                <w:color w:val="auto"/>
                <w:sz w:val="24"/>
                <w:highlight w:val="none"/>
              </w:rPr>
            </w:pPr>
            <w:r>
              <w:rPr>
                <w:rFonts w:hint="eastAsia" w:ascii="宋体" w:hAnsi="宋体" w:cs="宋体"/>
                <w:color w:val="auto"/>
                <w:sz w:val="24"/>
                <w:highlight w:val="none"/>
              </w:rPr>
              <w:t>中标服务费</w:t>
            </w:r>
          </w:p>
        </w:tc>
        <w:tc>
          <w:tcPr>
            <w:tcW w:w="6885" w:type="dxa"/>
            <w:noWrap/>
            <w:vAlign w:val="center"/>
          </w:tcPr>
          <w:p w14:paraId="4F87EBF2">
            <w:pP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参考国家发改委发改价格〔2015〕299号文件规定</w:t>
            </w:r>
            <w:r>
              <w:rPr>
                <w:rFonts w:hint="eastAsia" w:ascii="宋体" w:hAnsi="宋体" w:eastAsia="宋体" w:cs="宋体"/>
                <w:color w:val="auto"/>
                <w:sz w:val="24"/>
                <w:highlight w:val="none"/>
                <w:lang w:val="en-US" w:eastAsia="zh-CN"/>
              </w:rPr>
              <w:t>按每标项3500元计取</w:t>
            </w:r>
            <w:r>
              <w:rPr>
                <w:rFonts w:hint="eastAsia" w:ascii="宋体" w:hAnsi="宋体" w:eastAsia="宋体" w:cs="宋体"/>
                <w:color w:val="auto"/>
                <w:sz w:val="24"/>
                <w:highlight w:val="none"/>
                <w:lang w:val="zh-CN" w:eastAsia="zh-CN"/>
              </w:rPr>
              <w:t>。由中标人支付。</w:t>
            </w:r>
          </w:p>
        </w:tc>
      </w:tr>
      <w:tr w14:paraId="0A2E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574F64F1">
            <w:pPr>
              <w:spacing w:line="360" w:lineRule="auto"/>
              <w:jc w:val="center"/>
              <w:rPr>
                <w:rFonts w:hint="default"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37</w:t>
            </w:r>
          </w:p>
        </w:tc>
        <w:tc>
          <w:tcPr>
            <w:tcW w:w="2295" w:type="dxa"/>
            <w:noWrap/>
            <w:vAlign w:val="center"/>
          </w:tcPr>
          <w:p w14:paraId="26377216">
            <w:pPr>
              <w:jc w:val="center"/>
              <w:rPr>
                <w:rFonts w:ascii="宋体" w:hAnsi="宋体" w:cs="宋体"/>
                <w:color w:val="auto"/>
                <w:sz w:val="24"/>
                <w:highlight w:val="none"/>
              </w:rPr>
            </w:pPr>
            <w:r>
              <w:rPr>
                <w:rFonts w:hint="eastAsia" w:ascii="宋体" w:hAnsi="宋体" w:cs="宋体"/>
                <w:color w:val="auto"/>
                <w:sz w:val="24"/>
                <w:highlight w:val="none"/>
              </w:rPr>
              <w:t>报价</w:t>
            </w:r>
          </w:p>
        </w:tc>
        <w:tc>
          <w:tcPr>
            <w:tcW w:w="6885" w:type="dxa"/>
            <w:noWrap/>
            <w:vAlign w:val="center"/>
          </w:tcPr>
          <w:p w14:paraId="38DF0720">
            <w:pPr>
              <w:spacing w:line="340" w:lineRule="exact"/>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每</w:t>
            </w:r>
            <w:r>
              <w:rPr>
                <w:rFonts w:hint="eastAsia" w:ascii="Times New Roman" w:hAnsi="Times New Roman" w:eastAsia="宋体" w:cs="Times New Roman"/>
                <w:color w:val="auto"/>
                <w:sz w:val="24"/>
                <w:szCs w:val="32"/>
                <w:highlight w:val="none"/>
                <w:lang w:val="en-US" w:eastAsia="zh-CN"/>
              </w:rPr>
              <w:t>标项采用</w:t>
            </w:r>
            <w:r>
              <w:rPr>
                <w:rFonts w:ascii="Times New Roman" w:hAnsi="Times New Roman" w:eastAsia="宋体" w:cs="Times New Roman"/>
                <w:color w:val="auto"/>
                <w:sz w:val="24"/>
                <w:szCs w:val="32"/>
                <w:highlight w:val="none"/>
              </w:rPr>
              <w:t>固定</w:t>
            </w:r>
            <w:r>
              <w:rPr>
                <w:rFonts w:hint="eastAsia" w:ascii="Times New Roman" w:hAnsi="Times New Roman" w:eastAsia="宋体" w:cs="Times New Roman"/>
                <w:color w:val="auto"/>
                <w:sz w:val="24"/>
                <w:szCs w:val="32"/>
                <w:highlight w:val="none"/>
                <w:lang w:eastAsia="zh-CN"/>
              </w:rPr>
              <w:t>金额</w:t>
            </w:r>
            <w:r>
              <w:rPr>
                <w:rFonts w:hint="eastAsia" w:ascii="Times New Roman" w:hAnsi="Times New Roman" w:eastAsia="宋体" w:cs="Times New Roman"/>
                <w:color w:val="auto"/>
                <w:sz w:val="24"/>
                <w:szCs w:val="32"/>
                <w:highlight w:val="none"/>
                <w:lang w:val="en-US" w:eastAsia="zh-CN"/>
              </w:rPr>
              <w:t>报价</w:t>
            </w:r>
            <w:r>
              <w:rPr>
                <w:rFonts w:ascii="Times New Roman" w:hAnsi="Times New Roman" w:eastAsia="宋体" w:cs="Times New Roman"/>
                <w:color w:val="auto"/>
                <w:sz w:val="24"/>
                <w:szCs w:val="32"/>
                <w:highlight w:val="none"/>
              </w:rPr>
              <w:t>，</w:t>
            </w:r>
            <w:r>
              <w:rPr>
                <w:rFonts w:hint="eastAsia" w:ascii="Times New Roman" w:hAnsi="Times New Roman" w:eastAsia="宋体" w:cs="Times New Roman"/>
                <w:color w:val="auto"/>
                <w:sz w:val="24"/>
                <w:szCs w:val="32"/>
                <w:highlight w:val="none"/>
                <w:lang w:val="en-US" w:eastAsia="zh-CN"/>
              </w:rPr>
              <w:t>供应商</w:t>
            </w:r>
            <w:r>
              <w:rPr>
                <w:rFonts w:ascii="Times New Roman" w:hAnsi="Times New Roman" w:eastAsia="宋体" w:cs="Times New Roman"/>
                <w:color w:val="auto"/>
                <w:sz w:val="24"/>
                <w:szCs w:val="32"/>
                <w:highlight w:val="none"/>
              </w:rPr>
              <w:t>对该</w:t>
            </w:r>
            <w:r>
              <w:rPr>
                <w:rFonts w:hint="eastAsia" w:ascii="Times New Roman" w:hAnsi="Times New Roman" w:eastAsia="宋体" w:cs="Times New Roman"/>
                <w:color w:val="auto"/>
                <w:sz w:val="24"/>
                <w:szCs w:val="32"/>
                <w:highlight w:val="none"/>
                <w:lang w:val="en-US" w:eastAsia="zh-CN"/>
              </w:rPr>
              <w:t>标项</w:t>
            </w:r>
            <w:r>
              <w:rPr>
                <w:rFonts w:ascii="Times New Roman" w:hAnsi="Times New Roman" w:eastAsia="宋体" w:cs="Times New Roman"/>
                <w:color w:val="auto"/>
                <w:sz w:val="24"/>
                <w:szCs w:val="32"/>
                <w:highlight w:val="none"/>
              </w:rPr>
              <w:t>能够提供的抽检服务批次数量进行报价，一定金额下提供的抽样检验批次数量越多得分越高</w:t>
            </w:r>
            <w:r>
              <w:rPr>
                <w:rFonts w:hint="eastAsia" w:ascii="Times New Roman" w:hAnsi="Times New Roman" w:eastAsia="宋体" w:cs="Times New Roman"/>
                <w:color w:val="auto"/>
                <w:sz w:val="24"/>
                <w:szCs w:val="32"/>
                <w:highlight w:val="none"/>
                <w:lang w:val="zh-CN"/>
              </w:rPr>
              <w:t>（少于最低控制抽检批次数量的报价，其投标被否决</w:t>
            </w:r>
            <w:r>
              <w:rPr>
                <w:rFonts w:hint="eastAsia" w:ascii="Times New Roman" w:hAnsi="Times New Roman" w:eastAsia="宋体" w:cs="Times New Roman"/>
                <w:color w:val="auto"/>
                <w:sz w:val="24"/>
                <w:szCs w:val="32"/>
                <w:highlight w:val="none"/>
                <w:lang w:eastAsia="zh-CN"/>
              </w:rPr>
              <w:t>）</w:t>
            </w:r>
            <w:r>
              <w:rPr>
                <w:rFonts w:ascii="Times New Roman" w:hAnsi="Times New Roman" w:eastAsia="宋体" w:cs="Times New Roman"/>
                <w:color w:val="auto"/>
                <w:sz w:val="24"/>
                <w:szCs w:val="32"/>
                <w:highlight w:val="none"/>
              </w:rPr>
              <w:t>。</w:t>
            </w:r>
          </w:p>
          <w:p w14:paraId="6CDC98F0">
            <w:pPr>
              <w:pStyle w:val="13"/>
              <w:numPr>
                <w:ilvl w:val="0"/>
                <w:numId w:val="2"/>
              </w:numPr>
              <w:ind w:left="0" w:leftChars="0" w:firstLine="0" w:firstLineChars="0"/>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eastAsia="宋体" w:cs="Times New Roman"/>
                <w:b/>
                <w:bCs/>
                <w:color w:val="auto"/>
                <w:sz w:val="24"/>
                <w:szCs w:val="32"/>
                <w:highlight w:val="none"/>
                <w:lang w:val="en-US" w:eastAsia="zh-CN"/>
              </w:rPr>
              <w:t>供应商报价应包含开展长春市产品质量监督抽查抽样检验服务的全部费用，但不限于抽样产生的人员差旅、住宿、补助费，样品购置费及运输费以及检验费、复检费（如有）等。</w:t>
            </w:r>
          </w:p>
          <w:p w14:paraId="20EB3269">
            <w:pPr>
              <w:pStyle w:val="13"/>
              <w:numPr>
                <w:ilvl w:val="0"/>
                <w:numId w:val="2"/>
              </w:numPr>
              <w:ind w:left="0" w:leftChars="0" w:firstLine="0" w:firstLineChars="0"/>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eastAsia="宋体" w:cs="Times New Roman"/>
                <w:b/>
                <w:bCs/>
                <w:color w:val="auto"/>
                <w:sz w:val="24"/>
                <w:szCs w:val="32"/>
                <w:highlight w:val="none"/>
                <w:lang w:val="en-US" w:eastAsia="zh-CN"/>
              </w:rPr>
              <w:t>评标委员会认为供应商的报价</w:t>
            </w:r>
            <w:r>
              <w:rPr>
                <w:rFonts w:hint="eastAsia" w:ascii="Times New Roman" w:hAnsi="Times New Roman" w:eastAsia="宋体" w:cs="Times New Roman"/>
                <w:b/>
                <w:bCs/>
                <w:color w:val="auto"/>
                <w:sz w:val="24"/>
                <w:szCs w:val="32"/>
                <w:highlight w:val="none"/>
                <w:lang w:val="zh-CN" w:eastAsia="zh-CN"/>
              </w:rPr>
              <w:t>批次数量</w:t>
            </w:r>
            <w:r>
              <w:rPr>
                <w:rFonts w:hint="eastAsia" w:ascii="Times New Roman" w:hAnsi="Times New Roman" w:eastAsia="宋体" w:cs="Times New Roman"/>
                <w:b/>
                <w:bCs/>
                <w:color w:val="auto"/>
                <w:sz w:val="24"/>
                <w:szCs w:val="32"/>
                <w:highlight w:val="none"/>
                <w:lang w:val="en-US" w:eastAsia="zh-CN"/>
              </w:rPr>
              <w:t>明显高于（每批次价格偏低）其他通过符合性审查供应商的报价</w:t>
            </w:r>
            <w:r>
              <w:rPr>
                <w:rFonts w:hint="eastAsia" w:ascii="Times New Roman" w:hAnsi="Times New Roman" w:eastAsia="宋体" w:cs="Times New Roman"/>
                <w:b/>
                <w:bCs/>
                <w:color w:val="auto"/>
                <w:sz w:val="24"/>
                <w:szCs w:val="32"/>
                <w:highlight w:val="none"/>
                <w:lang w:val="zh-CN" w:eastAsia="zh-CN"/>
              </w:rPr>
              <w:t>批次数量</w:t>
            </w:r>
            <w:r>
              <w:rPr>
                <w:rFonts w:hint="eastAsia" w:ascii="Times New Roman" w:hAnsi="Times New Roman" w:eastAsia="宋体" w:cs="Times New Roman"/>
                <w:b/>
                <w:bCs/>
                <w:color w:val="auto"/>
                <w:sz w:val="24"/>
                <w:szCs w:val="32"/>
                <w:highlight w:val="none"/>
                <w:lang w:val="en-US" w:eastAsia="zh-CN"/>
              </w:rPr>
              <w:t>，有可能影响提供服务的质量或者不能诚信履约的，应当要求其在评标现场合理的时间内提供书面说明，必要时提交相关证明材料；供应商不能证明其报价合理性的，评标委员会应当将其作为无效投标处理。</w:t>
            </w:r>
          </w:p>
          <w:p w14:paraId="52D74948">
            <w:pPr>
              <w:rPr>
                <w:rFonts w:hint="eastAsia" w:ascii="宋体" w:hAnsi="宋体" w:eastAsia="宋体" w:cs="宋体"/>
                <w:color w:val="auto"/>
                <w:sz w:val="24"/>
                <w:highlight w:val="none"/>
                <w:lang w:eastAsia="zh-CN"/>
              </w:rPr>
            </w:pPr>
            <w:r>
              <w:rPr>
                <w:rFonts w:hint="eastAsia" w:ascii="宋体" w:hAnsi="宋体" w:eastAsia="宋体" w:cs="宋体"/>
                <w:b/>
                <w:bCs/>
                <w:color w:val="auto"/>
                <w:sz w:val="24"/>
                <w:szCs w:val="32"/>
                <w:highlight w:val="none"/>
                <w:lang w:val="en-US" w:eastAsia="zh-CN"/>
              </w:rPr>
              <w:t>3、最终结算的批次数量以采购人分配的批次数量为准，但分配的批次数量不高于中标方投标时承诺的批次数量。</w:t>
            </w:r>
          </w:p>
        </w:tc>
      </w:tr>
      <w:tr w14:paraId="18F0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631F5E88">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w:t>
            </w:r>
            <w:r>
              <w:rPr>
                <w:rFonts w:hint="eastAsia" w:ascii="宋体" w:hAnsi="宋体" w:eastAsia="宋体" w:cs="宋体"/>
                <w:color w:val="auto"/>
                <w:kern w:val="1"/>
                <w:szCs w:val="21"/>
                <w:highlight w:val="none"/>
                <w:lang w:val="en-US" w:eastAsia="zh-CN"/>
              </w:rPr>
              <w:t>8</w:t>
            </w:r>
          </w:p>
        </w:tc>
        <w:tc>
          <w:tcPr>
            <w:tcW w:w="2295" w:type="dxa"/>
            <w:noWrap/>
            <w:vAlign w:val="center"/>
          </w:tcPr>
          <w:p w14:paraId="01DD045C">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付款方式</w:t>
            </w:r>
          </w:p>
        </w:tc>
        <w:tc>
          <w:tcPr>
            <w:tcW w:w="6885" w:type="dxa"/>
            <w:noWrap/>
            <w:vAlign w:val="center"/>
          </w:tcPr>
          <w:p w14:paraId="6937EBE9">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签订合同后，检测项目完成，验收合格后</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eastAsia="zh-CN"/>
              </w:rPr>
              <w:t>；</w:t>
            </w:r>
          </w:p>
        </w:tc>
      </w:tr>
      <w:tr w14:paraId="5044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Merge w:val="restart"/>
            <w:noWrap/>
            <w:vAlign w:val="center"/>
          </w:tcPr>
          <w:p w14:paraId="3FDCCC3E">
            <w:pPr>
              <w:spacing w:line="360" w:lineRule="auto"/>
              <w:jc w:val="center"/>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39</w:t>
            </w:r>
          </w:p>
        </w:tc>
        <w:tc>
          <w:tcPr>
            <w:tcW w:w="2295" w:type="dxa"/>
            <w:vMerge w:val="restart"/>
            <w:noWrap/>
            <w:vAlign w:val="center"/>
          </w:tcPr>
          <w:p w14:paraId="30D0E7F1">
            <w:pPr>
              <w:jc w:val="center"/>
              <w:rPr>
                <w:rFonts w:ascii="宋体" w:hAnsi="宋体" w:cs="宋体"/>
                <w:color w:val="auto"/>
                <w:sz w:val="24"/>
                <w:highlight w:val="none"/>
              </w:rPr>
            </w:pPr>
            <w:r>
              <w:rPr>
                <w:rFonts w:hint="eastAsia" w:ascii="宋体" w:hAnsi="宋体" w:cs="宋体"/>
                <w:color w:val="auto"/>
                <w:sz w:val="24"/>
                <w:highlight w:val="none"/>
              </w:rPr>
              <w:t>需要落实的政府采购政策</w:t>
            </w:r>
          </w:p>
        </w:tc>
        <w:tc>
          <w:tcPr>
            <w:tcW w:w="6885" w:type="dxa"/>
            <w:noWrap/>
            <w:vAlign w:val="center"/>
          </w:tcPr>
          <w:p w14:paraId="083E2ED7">
            <w:pPr>
              <w:rPr>
                <w:rFonts w:ascii="宋体" w:hAnsi="宋体" w:cs="宋体"/>
                <w:color w:val="auto"/>
                <w:sz w:val="24"/>
                <w:highlight w:val="none"/>
              </w:rPr>
            </w:pPr>
            <w:r>
              <w:rPr>
                <w:rFonts w:hint="eastAsia" w:ascii="宋体" w:hAnsi="宋体" w:cs="宋体"/>
                <w:color w:val="auto"/>
                <w:sz w:val="24"/>
                <w:highlight w:val="none"/>
              </w:rPr>
              <w:t>《政府采购促进中小企业发展管理办法》（财库〔2020〕46号）、《关于进一步加大政府采购支持中小企业力度的通知》（财库〔2022〕19号）、《关于政府采购支持监狱企业发展有关问题的通知》(财库〔2014〕68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号）、《关于调整优化节能产品、环境标志产品政府采购执行机制的通知》（财库〔2020〕9 号）等政策。</w:t>
            </w:r>
          </w:p>
        </w:tc>
      </w:tr>
      <w:tr w14:paraId="43D4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Merge w:val="continue"/>
            <w:noWrap/>
            <w:vAlign w:val="center"/>
          </w:tcPr>
          <w:p w14:paraId="2B21E743">
            <w:pPr>
              <w:spacing w:line="360" w:lineRule="auto"/>
              <w:jc w:val="center"/>
              <w:rPr>
                <w:rFonts w:hint="eastAsia" w:ascii="宋体" w:hAnsi="宋体" w:eastAsia="宋体" w:cs="宋体"/>
                <w:color w:val="auto"/>
                <w:kern w:val="1"/>
                <w:szCs w:val="21"/>
                <w:highlight w:val="none"/>
              </w:rPr>
            </w:pPr>
          </w:p>
        </w:tc>
        <w:tc>
          <w:tcPr>
            <w:tcW w:w="2295" w:type="dxa"/>
            <w:vMerge w:val="continue"/>
            <w:noWrap/>
            <w:vAlign w:val="center"/>
          </w:tcPr>
          <w:p w14:paraId="424A7015">
            <w:pPr>
              <w:jc w:val="center"/>
              <w:rPr>
                <w:rFonts w:hint="eastAsia" w:ascii="宋体" w:hAnsi="宋体" w:cs="宋体"/>
                <w:color w:val="auto"/>
                <w:sz w:val="24"/>
                <w:highlight w:val="none"/>
              </w:rPr>
            </w:pPr>
          </w:p>
        </w:tc>
        <w:tc>
          <w:tcPr>
            <w:tcW w:w="6885" w:type="dxa"/>
            <w:noWrap/>
            <w:vAlign w:val="center"/>
          </w:tcPr>
          <w:p w14:paraId="1F1AA988">
            <w:pPr>
              <w:spacing w:line="34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政府采购支持中小企业（含监狱企业）发展：</w:t>
            </w:r>
          </w:p>
          <w:p w14:paraId="03064DD3">
            <w:pPr>
              <w:spacing w:line="34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□专门面向中小企业采购（应同时在</w:t>
            </w:r>
            <w:r>
              <w:rPr>
                <w:rFonts w:hint="eastAsia" w:ascii="宋体" w:hAnsi="宋体" w:cs="宋体"/>
                <w:color w:val="auto"/>
                <w:kern w:val="1"/>
                <w:szCs w:val="21"/>
                <w:highlight w:val="none"/>
                <w:lang w:val="en-US" w:eastAsia="zh-CN"/>
              </w:rPr>
              <w:t>公开招标</w:t>
            </w:r>
            <w:r>
              <w:rPr>
                <w:rFonts w:hint="eastAsia" w:ascii="宋体" w:hAnsi="宋体" w:cs="宋体"/>
                <w:color w:val="auto"/>
                <w:kern w:val="1"/>
                <w:szCs w:val="21"/>
                <w:highlight w:val="none"/>
              </w:rPr>
              <w:t>公告中注明）。</w:t>
            </w:r>
          </w:p>
          <w:p w14:paraId="3E0C1BF4">
            <w:pPr>
              <w:spacing w:line="340" w:lineRule="exact"/>
              <w:rPr>
                <w:rFonts w:hint="eastAsia" w:ascii="宋体" w:hAnsi="宋体" w:cs="宋体"/>
                <w:color w:val="auto"/>
                <w:kern w:val="1"/>
                <w:szCs w:val="21"/>
                <w:highlight w:val="none"/>
              </w:rPr>
            </w:pP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非专门面向中小企业采购：</w:t>
            </w:r>
          </w:p>
          <w:p w14:paraId="68BE7FCE">
            <w:pPr>
              <w:rPr>
                <w:rFonts w:hint="eastAsia" w:ascii="宋体" w:hAnsi="宋体" w:eastAsia="宋体" w:cs="宋体"/>
                <w:color w:val="auto"/>
                <w:sz w:val="24"/>
                <w:highlight w:val="none"/>
              </w:rPr>
            </w:pPr>
            <w:r>
              <w:rPr>
                <w:rFonts w:hint="eastAsia" w:ascii="宋体" w:hAnsi="宋体" w:cs="宋体"/>
                <w:color w:val="auto"/>
                <w:kern w:val="1"/>
                <w:szCs w:val="21"/>
                <w:highlight w:val="none"/>
                <w:lang w:val="en-US" w:eastAsia="zh-CN"/>
              </w:rPr>
              <w:t>本项目采取固定金额报价，不执行</w:t>
            </w:r>
            <w:r>
              <w:rPr>
                <w:rFonts w:hint="eastAsia" w:ascii="宋体" w:hAnsi="宋体" w:cs="宋体"/>
                <w:color w:val="auto"/>
                <w:kern w:val="1"/>
                <w:szCs w:val="21"/>
                <w:highlight w:val="none"/>
              </w:rPr>
              <w:t>价格扣除。</w:t>
            </w:r>
          </w:p>
        </w:tc>
      </w:tr>
      <w:tr w14:paraId="12AC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Merge w:val="continue"/>
            <w:noWrap/>
            <w:vAlign w:val="center"/>
          </w:tcPr>
          <w:p w14:paraId="73198DDA">
            <w:pPr>
              <w:spacing w:line="360" w:lineRule="auto"/>
              <w:jc w:val="center"/>
              <w:rPr>
                <w:rFonts w:hint="eastAsia" w:ascii="宋体" w:hAnsi="宋体" w:eastAsia="宋体" w:cs="宋体"/>
                <w:color w:val="auto"/>
                <w:kern w:val="1"/>
                <w:szCs w:val="21"/>
                <w:highlight w:val="none"/>
              </w:rPr>
            </w:pPr>
          </w:p>
        </w:tc>
        <w:tc>
          <w:tcPr>
            <w:tcW w:w="2295" w:type="dxa"/>
            <w:vMerge w:val="continue"/>
            <w:noWrap/>
            <w:vAlign w:val="center"/>
          </w:tcPr>
          <w:p w14:paraId="11972EAF">
            <w:pPr>
              <w:jc w:val="center"/>
              <w:rPr>
                <w:rFonts w:ascii="宋体" w:hAnsi="宋体" w:cs="宋体"/>
                <w:color w:val="auto"/>
                <w:sz w:val="24"/>
                <w:highlight w:val="none"/>
              </w:rPr>
            </w:pPr>
          </w:p>
        </w:tc>
        <w:tc>
          <w:tcPr>
            <w:tcW w:w="6885" w:type="dxa"/>
            <w:noWrap/>
            <w:vAlign w:val="center"/>
          </w:tcPr>
          <w:p w14:paraId="6BC3A12F">
            <w:pPr>
              <w:adjustRightInd w:val="0"/>
              <w:snapToGrid w:val="0"/>
              <w:rPr>
                <w:rFonts w:ascii="宋体" w:hAnsi="宋体" w:cs="宋体"/>
                <w:color w:val="auto"/>
                <w:sz w:val="24"/>
                <w:highlight w:val="none"/>
              </w:rPr>
            </w:pPr>
            <w:r>
              <w:rPr>
                <w:rFonts w:hint="eastAsia" w:ascii="宋体" w:hAnsi="宋体" w:cs="宋体"/>
                <w:color w:val="auto"/>
                <w:sz w:val="24"/>
                <w:highlight w:val="none"/>
              </w:rPr>
              <w:t>政府采购强制采购：强制采购的节能产品：按照财政部、发展改革委最新发布执行的《节能产品政府采购清单》的规定，《</w:t>
            </w:r>
            <w:r>
              <w:rPr>
                <w:rFonts w:hint="eastAsia" w:ascii="宋体" w:hAnsi="宋体" w:cs="宋体"/>
                <w:color w:val="auto"/>
                <w:sz w:val="24"/>
                <w:highlight w:val="none"/>
                <w:lang w:eastAsia="zh-CN"/>
              </w:rPr>
              <w:t>技术服务要求</w:t>
            </w:r>
            <w:r>
              <w:rPr>
                <w:rFonts w:hint="eastAsia" w:ascii="宋体" w:hAnsi="宋体" w:cs="宋体"/>
                <w:color w:val="auto"/>
                <w:sz w:val="24"/>
                <w:highlight w:val="none"/>
              </w:rPr>
              <w:t>》中凡包含强制采购产品的，投标供应商必须提供列入《节能产品政府采购清单》的产品，否则投标无效。</w:t>
            </w:r>
          </w:p>
          <w:p w14:paraId="4D4A89C9">
            <w:pPr>
              <w:adjustRightInd w:val="0"/>
              <w:snapToGrid w:val="0"/>
              <w:rPr>
                <w:rFonts w:ascii="宋体" w:hAnsi="宋体" w:cs="宋体"/>
                <w:color w:val="auto"/>
                <w:sz w:val="24"/>
                <w:highlight w:val="none"/>
              </w:rPr>
            </w:pPr>
            <w:r>
              <w:rPr>
                <w:rFonts w:hint="eastAsia" w:ascii="宋体" w:hAnsi="宋体" w:cs="宋体"/>
                <w:color w:val="auto"/>
                <w:sz w:val="24"/>
                <w:highlight w:val="none"/>
              </w:rPr>
              <w:t>政府采购强制采购标记★符号的节能产品：</w:t>
            </w:r>
          </w:p>
          <w:p w14:paraId="5D6AF6E2">
            <w:pPr>
              <w:adjustRightInd w:val="0"/>
              <w:snapToGrid w:val="0"/>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 xml:space="preserve"> 否</w:t>
            </w:r>
          </w:p>
          <w:p w14:paraId="587ECE04">
            <w:pPr>
              <w:rPr>
                <w:rFonts w:ascii="宋体" w:hAnsi="宋体" w:cs="宋体"/>
                <w:color w:val="auto"/>
                <w:sz w:val="24"/>
                <w:highlight w:val="none"/>
              </w:rPr>
            </w:pPr>
            <w:r>
              <w:rPr>
                <w:rFonts w:hint="eastAsia" w:ascii="宋体" w:hAnsi="宋体" w:cs="宋体"/>
                <w:color w:val="auto"/>
                <w:sz w:val="24"/>
                <w:highlight w:val="none"/>
              </w:rPr>
              <w:t>□是，采购《节能产品政府采购清单》内标记★符号的节能产品。</w:t>
            </w:r>
          </w:p>
        </w:tc>
      </w:tr>
      <w:tr w14:paraId="3507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vMerge w:val="continue"/>
            <w:noWrap/>
            <w:vAlign w:val="center"/>
          </w:tcPr>
          <w:p w14:paraId="4DE63C4F">
            <w:pPr>
              <w:spacing w:line="360" w:lineRule="auto"/>
              <w:jc w:val="center"/>
              <w:rPr>
                <w:rFonts w:hint="eastAsia" w:ascii="宋体" w:hAnsi="宋体" w:eastAsia="宋体" w:cs="宋体"/>
                <w:color w:val="auto"/>
                <w:kern w:val="1"/>
                <w:szCs w:val="21"/>
                <w:highlight w:val="none"/>
              </w:rPr>
            </w:pPr>
          </w:p>
        </w:tc>
        <w:tc>
          <w:tcPr>
            <w:tcW w:w="2295" w:type="dxa"/>
            <w:vMerge w:val="continue"/>
            <w:noWrap/>
            <w:vAlign w:val="center"/>
          </w:tcPr>
          <w:p w14:paraId="76CB38DC">
            <w:pPr>
              <w:jc w:val="center"/>
              <w:rPr>
                <w:rFonts w:ascii="宋体" w:hAnsi="宋体" w:cs="宋体"/>
                <w:color w:val="auto"/>
                <w:sz w:val="24"/>
                <w:highlight w:val="none"/>
              </w:rPr>
            </w:pPr>
          </w:p>
        </w:tc>
        <w:tc>
          <w:tcPr>
            <w:tcW w:w="6885" w:type="dxa"/>
            <w:noWrap/>
            <w:vAlign w:val="center"/>
          </w:tcPr>
          <w:p w14:paraId="66DFF837">
            <w:pPr>
              <w:adjustRightInd w:val="0"/>
              <w:snapToGrid w:val="0"/>
              <w:rPr>
                <w:rFonts w:ascii="宋体" w:hAnsi="宋体" w:cs="宋体"/>
                <w:color w:val="auto"/>
                <w:sz w:val="24"/>
                <w:highlight w:val="none"/>
              </w:rPr>
            </w:pPr>
            <w:r>
              <w:rPr>
                <w:rFonts w:hint="eastAsia" w:ascii="宋体" w:hAnsi="宋体" w:cs="宋体"/>
                <w:color w:val="auto"/>
                <w:sz w:val="24"/>
                <w:highlight w:val="none"/>
              </w:rPr>
              <w:t>政府采购优先采购非标记★符号的节能产品：采购产品为</w:t>
            </w:r>
            <w:r>
              <w:rPr>
                <w:rFonts w:hint="eastAsia" w:ascii="宋体" w:hAnsi="宋体" w:cs="宋体"/>
                <w:color w:val="auto"/>
                <w:sz w:val="24"/>
                <w:highlight w:val="none"/>
                <w:lang w:val="zh-CN"/>
              </w:rPr>
              <w:t>《关于印发节能产品政府采购品目清单的通知》（财库[2019]19号）</w:t>
            </w:r>
            <w:r>
              <w:rPr>
                <w:rFonts w:hint="eastAsia" w:ascii="宋体" w:hAnsi="宋体" w:cs="宋体"/>
                <w:color w:val="auto"/>
                <w:sz w:val="24"/>
                <w:highlight w:val="none"/>
              </w:rPr>
              <w:t>内非标记★符号的：</w:t>
            </w:r>
          </w:p>
          <w:p w14:paraId="713C0BA8">
            <w:pPr>
              <w:adjustRightInd w:val="0"/>
              <w:snapToGrid w:val="0"/>
              <w:rPr>
                <w:rFonts w:ascii="宋体" w:hAnsi="宋体" w:cs="宋体"/>
                <w:color w:val="auto"/>
                <w:sz w:val="24"/>
                <w:highlight w:val="none"/>
              </w:rPr>
            </w:pPr>
            <w:r>
              <w:rPr>
                <w:rFonts w:hint="eastAsia" w:ascii="宋体" w:hAnsi="宋体" w:cs="宋体"/>
                <w:color w:val="auto"/>
                <w:sz w:val="24"/>
                <w:highlight w:val="none"/>
              </w:rPr>
              <w:t>(1)采用最低评标价法时，应给予3％的价格扣除。本项目具体扣除比例为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29C211E">
            <w:pPr>
              <w:rPr>
                <w:rFonts w:ascii="宋体" w:hAnsi="宋体" w:cs="宋体"/>
                <w:color w:val="auto"/>
                <w:sz w:val="24"/>
                <w:highlight w:val="none"/>
              </w:rPr>
            </w:pPr>
            <w:r>
              <w:rPr>
                <w:rFonts w:hint="eastAsia" w:ascii="宋体" w:hAnsi="宋体" w:cs="宋体"/>
                <w:color w:val="auto"/>
                <w:sz w:val="24"/>
                <w:highlight w:val="none"/>
              </w:rPr>
              <w:t>(2)采用综合评分法时，对于技术和价格分，应分别给予总分值3%的加分。本项目具体加分比例分别为 ：技术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％、价格</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5140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98" w:type="dxa"/>
            <w:vMerge w:val="continue"/>
            <w:noWrap/>
            <w:vAlign w:val="center"/>
          </w:tcPr>
          <w:p w14:paraId="320B6FDE">
            <w:pPr>
              <w:spacing w:line="360" w:lineRule="auto"/>
              <w:jc w:val="center"/>
              <w:rPr>
                <w:rFonts w:hint="eastAsia" w:ascii="宋体" w:hAnsi="宋体" w:eastAsia="宋体" w:cs="宋体"/>
                <w:color w:val="auto"/>
                <w:kern w:val="1"/>
                <w:szCs w:val="21"/>
                <w:highlight w:val="none"/>
              </w:rPr>
            </w:pPr>
          </w:p>
        </w:tc>
        <w:tc>
          <w:tcPr>
            <w:tcW w:w="2295" w:type="dxa"/>
            <w:vMerge w:val="continue"/>
            <w:noWrap/>
            <w:vAlign w:val="center"/>
          </w:tcPr>
          <w:p w14:paraId="71339AC8">
            <w:pPr>
              <w:jc w:val="center"/>
              <w:rPr>
                <w:rFonts w:ascii="宋体" w:hAnsi="宋体" w:cs="宋体"/>
                <w:color w:val="auto"/>
                <w:sz w:val="24"/>
                <w:highlight w:val="none"/>
              </w:rPr>
            </w:pPr>
          </w:p>
        </w:tc>
        <w:tc>
          <w:tcPr>
            <w:tcW w:w="6885" w:type="dxa"/>
            <w:noWrap/>
            <w:vAlign w:val="center"/>
          </w:tcPr>
          <w:p w14:paraId="28BDECBB">
            <w:pPr>
              <w:adjustRightInd w:val="0"/>
              <w:snapToGrid w:val="0"/>
              <w:rPr>
                <w:rFonts w:ascii="宋体" w:hAnsi="宋体" w:cs="宋体"/>
                <w:color w:val="auto"/>
                <w:sz w:val="24"/>
                <w:highlight w:val="none"/>
              </w:rPr>
            </w:pPr>
            <w:r>
              <w:rPr>
                <w:rFonts w:hint="eastAsia" w:ascii="宋体" w:hAnsi="宋体" w:cs="宋体"/>
                <w:color w:val="auto"/>
                <w:sz w:val="24"/>
                <w:highlight w:val="none"/>
              </w:rPr>
              <w:t>政府采购优先采购环境标志产品：采购产品为《关于印发环境标志产品政府采购品目清单的通知》(财库[2019]18号)内的：</w:t>
            </w:r>
          </w:p>
          <w:p w14:paraId="2A38CF94">
            <w:pPr>
              <w:adjustRightInd w:val="0"/>
              <w:snapToGrid w:val="0"/>
              <w:rPr>
                <w:rFonts w:ascii="宋体" w:hAnsi="宋体" w:cs="宋体"/>
                <w:color w:val="auto"/>
                <w:sz w:val="24"/>
                <w:highlight w:val="none"/>
              </w:rPr>
            </w:pPr>
            <w:r>
              <w:rPr>
                <w:rFonts w:hint="eastAsia" w:ascii="宋体" w:hAnsi="宋体" w:cs="宋体"/>
                <w:color w:val="auto"/>
                <w:sz w:val="24"/>
                <w:highlight w:val="none"/>
              </w:rPr>
              <w:t>(1)采用最低评标价法时，应给予3%的价格扣除。本项目具体扣除比例为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4514760">
            <w:pPr>
              <w:rPr>
                <w:rFonts w:ascii="宋体" w:hAnsi="宋体" w:cs="宋体"/>
                <w:color w:val="auto"/>
                <w:sz w:val="24"/>
                <w:highlight w:val="none"/>
              </w:rPr>
            </w:pPr>
            <w:r>
              <w:rPr>
                <w:rFonts w:hint="eastAsia" w:ascii="宋体" w:hAnsi="宋体" w:cs="宋体"/>
                <w:color w:val="auto"/>
                <w:sz w:val="24"/>
                <w:highlight w:val="none"/>
              </w:rPr>
              <w:t>(2)采用综合评分法时，对于技术和价格分，应分别给予总分值3%的加分。本项目具体加分比例分别为 ：技术</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％、价格</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tc>
      </w:tr>
      <w:tr w14:paraId="1425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ign w:val="center"/>
          </w:tcPr>
          <w:p w14:paraId="28A1374D">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4</w:t>
            </w:r>
            <w:r>
              <w:rPr>
                <w:rFonts w:hint="eastAsia" w:ascii="宋体" w:hAnsi="宋体" w:eastAsia="宋体" w:cs="宋体"/>
                <w:color w:val="auto"/>
                <w:kern w:val="1"/>
                <w:szCs w:val="21"/>
                <w:highlight w:val="none"/>
                <w:lang w:val="en-US" w:eastAsia="zh-CN"/>
              </w:rPr>
              <w:t>0</w:t>
            </w:r>
          </w:p>
        </w:tc>
        <w:tc>
          <w:tcPr>
            <w:tcW w:w="2295" w:type="dxa"/>
            <w:noWrap/>
            <w:vAlign w:val="center"/>
          </w:tcPr>
          <w:p w14:paraId="0FA6992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信用信息查询</w:t>
            </w:r>
          </w:p>
        </w:tc>
        <w:tc>
          <w:tcPr>
            <w:tcW w:w="6885" w:type="dxa"/>
            <w:noWrap/>
            <w:vAlign w:val="center"/>
          </w:tcPr>
          <w:p w14:paraId="04D955B6">
            <w:pPr>
              <w:adjustRightInd w:val="0"/>
              <w:snapToGrid w:val="0"/>
              <w:rPr>
                <w:rFonts w:ascii="宋体" w:hAnsi="宋体" w:cs="宋体"/>
                <w:color w:val="auto"/>
                <w:sz w:val="24"/>
                <w:highlight w:val="none"/>
              </w:rPr>
            </w:pPr>
            <w:r>
              <w:rPr>
                <w:rFonts w:hint="eastAsia" w:ascii="宋体" w:hAnsi="宋体" w:cs="宋体"/>
                <w:color w:val="auto"/>
                <w:sz w:val="24"/>
                <w:highlight w:val="none"/>
              </w:rPr>
              <w:t>对供应商信用信息的查询：</w:t>
            </w:r>
          </w:p>
          <w:p w14:paraId="59977DD9">
            <w:pPr>
              <w:adjustRightInd w:val="0"/>
              <w:snapToGrid w:val="0"/>
              <w:rPr>
                <w:rFonts w:ascii="宋体" w:hAnsi="宋体" w:cs="宋体"/>
                <w:color w:val="auto"/>
                <w:sz w:val="24"/>
                <w:highlight w:val="none"/>
              </w:rPr>
            </w:pPr>
            <w:r>
              <w:rPr>
                <w:rFonts w:hint="eastAsia" w:ascii="宋体" w:hAnsi="宋体" w:cs="宋体"/>
                <w:color w:val="auto"/>
                <w:sz w:val="24"/>
                <w:highlight w:val="none"/>
              </w:rPr>
              <w:t>查询渠道：①“信用中国”网站（www.creditchina.gov.cn）：失信被执行人、重大税收违法</w:t>
            </w:r>
            <w:r>
              <w:rPr>
                <w:rFonts w:hint="eastAsia" w:ascii="宋体" w:hAnsi="宋体" w:cs="宋体"/>
                <w:color w:val="auto"/>
                <w:sz w:val="24"/>
                <w:highlight w:val="none"/>
                <w:lang w:val="en-US" w:eastAsia="zh-CN"/>
              </w:rPr>
              <w:t>失信主体</w:t>
            </w:r>
            <w:r>
              <w:rPr>
                <w:rFonts w:hint="eastAsia" w:ascii="宋体" w:hAnsi="宋体" w:cs="宋体"/>
                <w:color w:val="auto"/>
                <w:sz w:val="24"/>
                <w:highlight w:val="none"/>
              </w:rPr>
              <w:t>、严重失信主体名单查询。</w:t>
            </w:r>
          </w:p>
          <w:p w14:paraId="69BD663D">
            <w:pPr>
              <w:adjustRightInd w:val="0"/>
              <w:snapToGrid w:val="0"/>
              <w:rPr>
                <w:rFonts w:ascii="宋体" w:hAnsi="宋体" w:cs="宋体"/>
                <w:color w:val="auto"/>
                <w:sz w:val="24"/>
                <w:highlight w:val="none"/>
              </w:rPr>
            </w:pPr>
            <w:r>
              <w:rPr>
                <w:rFonts w:hint="eastAsia" w:ascii="宋体" w:hAnsi="宋体" w:cs="宋体"/>
                <w:color w:val="auto"/>
                <w:sz w:val="24"/>
                <w:highlight w:val="none"/>
              </w:rPr>
              <w:t>②中国政府采购网(www.ccgp.gov.cn)：政府采购严重违法失信行为信息记录。</w:t>
            </w:r>
          </w:p>
          <w:p w14:paraId="4F92B47F">
            <w:pPr>
              <w:adjustRightInd w:val="0"/>
              <w:snapToGrid w:val="0"/>
              <w:rPr>
                <w:rFonts w:ascii="宋体" w:hAnsi="宋体" w:cs="宋体"/>
                <w:color w:val="auto"/>
                <w:sz w:val="24"/>
                <w:highlight w:val="none"/>
              </w:rPr>
            </w:pPr>
            <w:r>
              <w:rPr>
                <w:rFonts w:hint="eastAsia" w:ascii="宋体" w:hAnsi="宋体" w:cs="宋体"/>
                <w:color w:val="auto"/>
                <w:sz w:val="24"/>
                <w:highlight w:val="none"/>
              </w:rPr>
              <w:t>查询截止时点：投标截止时间。</w:t>
            </w:r>
          </w:p>
          <w:p w14:paraId="7DC4B5D9">
            <w:pPr>
              <w:adjustRightInd w:val="0"/>
              <w:snapToGrid w:val="0"/>
              <w:rPr>
                <w:rFonts w:ascii="宋体" w:hAnsi="宋体" w:cs="宋体"/>
                <w:color w:val="auto"/>
                <w:sz w:val="24"/>
                <w:highlight w:val="none"/>
              </w:rPr>
            </w:pPr>
            <w:r>
              <w:rPr>
                <w:rFonts w:hint="eastAsia" w:ascii="宋体" w:hAnsi="宋体" w:cs="宋体"/>
                <w:color w:val="auto"/>
                <w:sz w:val="24"/>
                <w:highlight w:val="none"/>
              </w:rPr>
              <w:t>信用信息查询记录和证据留存的具体方式：</w:t>
            </w:r>
          </w:p>
          <w:p w14:paraId="4122C4B3">
            <w:pPr>
              <w:adjustRightInd w:val="0"/>
              <w:snapToGrid w:val="0"/>
              <w:rPr>
                <w:rFonts w:ascii="宋体" w:hAnsi="宋体" w:cs="宋体"/>
                <w:color w:val="auto"/>
                <w:sz w:val="24"/>
                <w:highlight w:val="none"/>
              </w:rPr>
            </w:pPr>
            <w:r>
              <w:rPr>
                <w:rFonts w:hint="eastAsia" w:ascii="宋体" w:hAnsi="宋体" w:cs="宋体"/>
                <w:color w:val="auto"/>
                <w:sz w:val="24"/>
                <w:highlight w:val="none"/>
              </w:rPr>
              <w:t>采购人或采购代理机构将按查询截止时点对所有供应商的信用信息进行查询，网站查询记录作为采购活动存档备案材料的组成部分进行留存。</w:t>
            </w:r>
          </w:p>
          <w:p w14:paraId="5BA03E37">
            <w:pPr>
              <w:adjustRightInd w:val="0"/>
              <w:snapToGrid w:val="0"/>
              <w:rPr>
                <w:rFonts w:ascii="宋体" w:hAnsi="宋体" w:cs="宋体"/>
                <w:color w:val="auto"/>
                <w:sz w:val="24"/>
                <w:highlight w:val="none"/>
              </w:rPr>
            </w:pPr>
            <w:r>
              <w:rPr>
                <w:rFonts w:hint="eastAsia" w:ascii="宋体" w:hAnsi="宋体" w:cs="宋体"/>
                <w:color w:val="auto"/>
                <w:sz w:val="24"/>
                <w:highlight w:val="none"/>
              </w:rPr>
              <w:t>信用信息的使用规则：</w:t>
            </w:r>
          </w:p>
          <w:p w14:paraId="0E67AE27">
            <w:pPr>
              <w:adjustRightInd w:val="0"/>
              <w:snapToGrid w:val="0"/>
              <w:rPr>
                <w:rFonts w:ascii="宋体" w:hAnsi="宋体" w:cs="宋体"/>
                <w:color w:val="auto"/>
                <w:sz w:val="24"/>
                <w:highlight w:val="none"/>
              </w:rPr>
            </w:pPr>
            <w:r>
              <w:rPr>
                <w:rFonts w:hint="eastAsia" w:ascii="宋体" w:hAnsi="宋体" w:cs="宋体"/>
                <w:color w:val="auto"/>
                <w:sz w:val="24"/>
                <w:highlight w:val="none"/>
              </w:rPr>
              <w:t>采购人或采购代理机构将按查询截止时点对所有供应商的信用信息进行查询，查询结果作为是否接受投标报名的依据之一，被列入失信被执行人、重大税收违法失信主体、严重失信主体名单</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政府采购严重违法失信行为记录名单的供应商参与投标将不接受其参加政府采购活动</w:t>
            </w:r>
            <w:r>
              <w:rPr>
                <w:rFonts w:hint="eastAsia" w:ascii="宋体" w:hAnsi="宋体" w:cs="宋体"/>
                <w:color w:val="auto"/>
                <w:sz w:val="24"/>
                <w:highlight w:val="none"/>
                <w:lang w:val="en-US" w:eastAsia="zh-CN"/>
              </w:rPr>
              <w:t>资格</w:t>
            </w:r>
            <w:r>
              <w:rPr>
                <w:rFonts w:hint="eastAsia" w:ascii="宋体" w:hAnsi="宋体" w:cs="宋体"/>
                <w:color w:val="auto"/>
                <w:sz w:val="24"/>
                <w:highlight w:val="none"/>
              </w:rPr>
              <w:t>。</w:t>
            </w:r>
          </w:p>
        </w:tc>
      </w:tr>
      <w:tr w14:paraId="6BEE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jc w:val="center"/>
        </w:trPr>
        <w:tc>
          <w:tcPr>
            <w:tcW w:w="898" w:type="dxa"/>
            <w:noWrap/>
            <w:vAlign w:val="center"/>
          </w:tcPr>
          <w:p w14:paraId="4E0C6C4A">
            <w:pPr>
              <w:spacing w:line="360" w:lineRule="auto"/>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41</w:t>
            </w:r>
          </w:p>
        </w:tc>
        <w:tc>
          <w:tcPr>
            <w:tcW w:w="2295" w:type="dxa"/>
            <w:noWrap/>
            <w:vAlign w:val="center"/>
          </w:tcPr>
          <w:p w14:paraId="6C3F0B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全流程电子化相关要求</w:t>
            </w:r>
          </w:p>
        </w:tc>
        <w:tc>
          <w:tcPr>
            <w:tcW w:w="6885" w:type="dxa"/>
            <w:noWrap/>
            <w:vAlign w:val="center"/>
          </w:tcPr>
          <w:p w14:paraId="7205BDBE">
            <w:pPr>
              <w:spacing w:line="340" w:lineRule="exac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1、政府采购各参与方要严格按照《中华人民共和国政 府采购法》等相关规定，做好政府采购电子化项目的线上委托、 编制电子采购文件、在线发布采购公告、电子开评标、在线发 送中标通知书、采购结果公告、签订合同等政府采购电子化交易相关工作。</w:t>
            </w:r>
          </w:p>
          <w:p w14:paraId="4BBC8C14">
            <w:pPr>
              <w:spacing w:line="340" w:lineRule="exac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2、项目所委托的采购代理机构需在电子化平台登记备 案。采购代理机构登记备案链接：https://www.zcygov.cn/lu  ban/ruzhu/d1jg。 采购代理机构的开评标场地建设、可视化监 控系统及信息化设备部署须满足电子化平台的运行标准。采购 代理机构相关经办人均应熟练掌握平台的操作和使用，同时承 担对现场参与评标的评审专家的操作指导，但不得交流超出平台操作范围以外的事项。</w:t>
            </w:r>
          </w:p>
          <w:p w14:paraId="5F9EA75E">
            <w:pPr>
              <w:spacing w:line="340" w:lineRule="exac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3、供应商在电子化平台参与政府采购项目前，应在电子化平台完成信息注册(如已注册长春市政府采购电子商城则 无需重复注册),注册链接：</w:t>
            </w:r>
          </w:p>
          <w:p w14:paraId="39BAAA03">
            <w:pPr>
              <w:spacing w:line="340" w:lineRule="exac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fldChar w:fldCharType="begin"/>
            </w:r>
            <w:r>
              <w:rPr>
                <w:rFonts w:hint="eastAsia" w:ascii="宋体" w:hAnsi="宋体" w:eastAsia="宋体" w:cs="宋体"/>
                <w:color w:val="auto"/>
                <w:kern w:val="1"/>
                <w:sz w:val="24"/>
                <w:szCs w:val="24"/>
                <w:highlight w:val="none"/>
                <w:lang w:val="en-US" w:eastAsia="zh-CN"/>
              </w:rPr>
              <w:instrText xml:space="preserve"> HYPERLINK "https://middle.zcygov.cn/v-settle-" </w:instrText>
            </w:r>
            <w:r>
              <w:rPr>
                <w:rFonts w:hint="eastAsia" w:ascii="宋体" w:hAnsi="宋体" w:eastAsia="宋体" w:cs="宋体"/>
                <w:color w:val="auto"/>
                <w:kern w:val="1"/>
                <w:sz w:val="24"/>
                <w:szCs w:val="24"/>
                <w:highlight w:val="none"/>
                <w:lang w:val="en-US" w:eastAsia="zh-CN"/>
              </w:rPr>
              <w:fldChar w:fldCharType="separate"/>
            </w:r>
            <w:r>
              <w:rPr>
                <w:rStyle w:val="39"/>
                <w:rFonts w:hint="eastAsia" w:ascii="宋体" w:hAnsi="宋体" w:eastAsia="宋体" w:cs="宋体"/>
                <w:kern w:val="1"/>
                <w:sz w:val="24"/>
                <w:szCs w:val="24"/>
                <w:highlight w:val="none"/>
                <w:lang w:val="en-US" w:eastAsia="zh-CN"/>
              </w:rPr>
              <w:t>https://middle.zcygov.cn/v-settle-</w:t>
            </w:r>
            <w:r>
              <w:rPr>
                <w:rFonts w:hint="eastAsia" w:ascii="宋体" w:hAnsi="宋体" w:eastAsia="宋体" w:cs="宋体"/>
                <w:color w:val="auto"/>
                <w:kern w:val="1"/>
                <w:sz w:val="24"/>
                <w:szCs w:val="24"/>
                <w:highlight w:val="none"/>
                <w:lang w:val="en-US" w:eastAsia="zh-CN"/>
              </w:rPr>
              <w:fldChar w:fldCharType="end"/>
            </w:r>
            <w:r>
              <w:rPr>
                <w:rFonts w:hint="eastAsia" w:ascii="宋体" w:hAnsi="宋体" w:eastAsia="宋体" w:cs="宋体"/>
                <w:color w:val="auto"/>
                <w:kern w:val="1"/>
                <w:sz w:val="24"/>
                <w:szCs w:val="24"/>
                <w:highlight w:val="none"/>
                <w:lang w:val="en-US" w:eastAsia="zh-CN"/>
              </w:rPr>
              <w:t>front/registry。</w:t>
            </w:r>
          </w:p>
          <w:p w14:paraId="17A877D0">
            <w:pPr>
              <w:spacing w:line="340" w:lineRule="exac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政采云投标客户端及CA 驱动下载地址：</w:t>
            </w:r>
          </w:p>
          <w:p w14:paraId="3BB19079">
            <w:pPr>
              <w:spacing w:line="340" w:lineRule="exact"/>
              <w:rPr>
                <w:rFonts w:hint="eastAsia" w:ascii="宋体" w:hAnsi="宋体" w:cs="宋体"/>
                <w:color w:val="auto"/>
                <w:sz w:val="24"/>
                <w:highlight w:val="none"/>
              </w:rPr>
            </w:pPr>
            <w:r>
              <w:rPr>
                <w:rFonts w:hint="eastAsia" w:ascii="宋体" w:hAnsi="宋体" w:eastAsia="宋体" w:cs="宋体"/>
                <w:color w:val="auto"/>
                <w:kern w:val="1"/>
                <w:sz w:val="24"/>
                <w:szCs w:val="24"/>
                <w:highlight w:val="none"/>
                <w:lang w:val="en-US" w:eastAsia="zh-CN"/>
              </w:rPr>
              <w:fldChar w:fldCharType="begin"/>
            </w:r>
            <w:r>
              <w:rPr>
                <w:rFonts w:hint="eastAsia" w:ascii="宋体" w:hAnsi="宋体" w:eastAsia="宋体" w:cs="宋体"/>
                <w:color w:val="auto"/>
                <w:kern w:val="1"/>
                <w:sz w:val="24"/>
                <w:szCs w:val="24"/>
                <w:highlight w:val="none"/>
                <w:lang w:val="en-US" w:eastAsia="zh-CN"/>
              </w:rPr>
              <w:instrText xml:space="preserve"> HYPERLINK "https://customer.zcygov.cn/CA-driver-download?utm=" </w:instrText>
            </w:r>
            <w:r>
              <w:rPr>
                <w:rFonts w:hint="eastAsia" w:ascii="宋体" w:hAnsi="宋体" w:eastAsia="宋体" w:cs="宋体"/>
                <w:color w:val="auto"/>
                <w:kern w:val="1"/>
                <w:sz w:val="24"/>
                <w:szCs w:val="24"/>
                <w:highlight w:val="none"/>
                <w:lang w:val="en-US" w:eastAsia="zh-CN"/>
              </w:rPr>
              <w:fldChar w:fldCharType="separate"/>
            </w:r>
            <w:r>
              <w:rPr>
                <w:rFonts w:hint="eastAsia" w:ascii="宋体" w:hAnsi="宋体" w:eastAsia="宋体" w:cs="宋体"/>
                <w:color w:val="auto"/>
                <w:kern w:val="1"/>
                <w:sz w:val="24"/>
                <w:szCs w:val="24"/>
                <w:highlight w:val="none"/>
                <w:lang w:val="en-US" w:eastAsia="zh-CN"/>
              </w:rPr>
              <w:t>https://customer.zcygov.cn/CA-driver-download?utm=</w:t>
            </w:r>
            <w:r>
              <w:rPr>
                <w:rFonts w:hint="eastAsia" w:ascii="宋体" w:hAnsi="宋体" w:eastAsia="宋体" w:cs="宋体"/>
                <w:color w:val="auto"/>
                <w:kern w:val="1"/>
                <w:sz w:val="24"/>
                <w:szCs w:val="24"/>
                <w:highlight w:val="none"/>
                <w:lang w:val="en-US" w:eastAsia="zh-CN"/>
              </w:rPr>
              <w:fldChar w:fldCharType="end"/>
            </w:r>
            <w:r>
              <w:rPr>
                <w:rFonts w:hint="eastAsia" w:ascii="宋体" w:hAnsi="宋体" w:eastAsia="宋体" w:cs="宋体"/>
                <w:color w:val="auto"/>
                <w:kern w:val="1"/>
                <w:sz w:val="24"/>
                <w:szCs w:val="24"/>
                <w:highlight w:val="none"/>
                <w:lang w:val="en-US" w:eastAsia="zh-CN"/>
              </w:rPr>
              <w:t>web-login-front.52cebfa2.0.0.04df404003451ledaac705fda12edb43。</w:t>
            </w:r>
          </w:p>
        </w:tc>
      </w:tr>
      <w:tr w14:paraId="6DD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8" w:type="dxa"/>
            <w:noWrap/>
            <w:vAlign w:val="center"/>
          </w:tcPr>
          <w:p w14:paraId="57490983">
            <w:pPr>
              <w:spacing w:line="360" w:lineRule="auto"/>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42</w:t>
            </w:r>
          </w:p>
        </w:tc>
        <w:tc>
          <w:tcPr>
            <w:tcW w:w="2295" w:type="dxa"/>
            <w:noWrap/>
            <w:vAlign w:val="center"/>
          </w:tcPr>
          <w:p w14:paraId="4BD32876">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电子响应文件编制及报送要求：</w:t>
            </w:r>
          </w:p>
          <w:p w14:paraId="7810DFCD">
            <w:pPr>
              <w:jc w:val="center"/>
              <w:rPr>
                <w:rFonts w:hint="eastAsia" w:ascii="宋体" w:hAnsi="宋体" w:eastAsia="宋体" w:cs="宋体"/>
                <w:color w:val="auto"/>
                <w:sz w:val="24"/>
                <w:highlight w:val="none"/>
              </w:rPr>
            </w:pPr>
          </w:p>
        </w:tc>
        <w:tc>
          <w:tcPr>
            <w:tcW w:w="6885" w:type="dxa"/>
            <w:noWrap/>
            <w:vAlign w:val="center"/>
          </w:tcPr>
          <w:p w14:paraId="7B3323F8">
            <w:pPr>
              <w:spacing w:line="340" w:lineRule="exac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1、供应商须在“政采云投标客户端”按照本项目招标文件和政府采购云平台要求编制，将所有</w:t>
            </w:r>
            <w:r>
              <w:rPr>
                <w:rFonts w:hint="eastAsia" w:ascii="宋体" w:hAnsi="宋体" w:cs="宋体"/>
                <w:color w:val="auto"/>
                <w:kern w:val="1"/>
                <w:sz w:val="24"/>
                <w:szCs w:val="24"/>
                <w:highlight w:val="none"/>
                <w:lang w:val="en-US" w:eastAsia="zh-CN"/>
              </w:rPr>
              <w:t>响应文件</w:t>
            </w:r>
            <w:r>
              <w:rPr>
                <w:rFonts w:hint="eastAsia" w:ascii="宋体" w:hAnsi="宋体" w:eastAsia="宋体" w:cs="宋体"/>
                <w:color w:val="auto"/>
                <w:kern w:val="1"/>
                <w:sz w:val="24"/>
                <w:szCs w:val="24"/>
                <w:highlight w:val="none"/>
                <w:lang w:val="en-US" w:eastAsia="zh-CN"/>
              </w:rPr>
              <w:t>内容上传至“政采云”平台，并在开启时间后30分钟内持制作</w:t>
            </w:r>
            <w:r>
              <w:rPr>
                <w:rFonts w:hint="eastAsia" w:ascii="宋体" w:hAnsi="宋体" w:cs="宋体"/>
                <w:color w:val="auto"/>
                <w:kern w:val="1"/>
                <w:sz w:val="24"/>
                <w:szCs w:val="24"/>
                <w:highlight w:val="none"/>
                <w:lang w:val="en-US" w:eastAsia="zh-CN"/>
              </w:rPr>
              <w:t>响应文件</w:t>
            </w:r>
            <w:r>
              <w:rPr>
                <w:rFonts w:hint="eastAsia" w:ascii="宋体" w:hAnsi="宋体" w:eastAsia="宋体" w:cs="宋体"/>
                <w:color w:val="auto"/>
                <w:kern w:val="1"/>
                <w:sz w:val="24"/>
                <w:szCs w:val="24"/>
                <w:highlight w:val="none"/>
                <w:lang w:val="en-US" w:eastAsia="zh-CN"/>
              </w:rPr>
              <w:t>时用来加密的有效数字证书（CA认证）对</w:t>
            </w:r>
            <w:r>
              <w:rPr>
                <w:rFonts w:hint="eastAsia" w:ascii="宋体" w:hAnsi="宋体" w:cs="宋体"/>
                <w:color w:val="auto"/>
                <w:kern w:val="1"/>
                <w:sz w:val="24"/>
                <w:szCs w:val="24"/>
                <w:highlight w:val="none"/>
                <w:lang w:val="en-US" w:eastAsia="zh-CN"/>
              </w:rPr>
              <w:t>响应文件</w:t>
            </w:r>
            <w:r>
              <w:rPr>
                <w:rFonts w:hint="eastAsia" w:ascii="宋体" w:hAnsi="宋体" w:eastAsia="宋体" w:cs="宋体"/>
                <w:color w:val="auto"/>
                <w:kern w:val="1"/>
                <w:sz w:val="24"/>
                <w:szCs w:val="24"/>
                <w:highlight w:val="none"/>
                <w:lang w:val="en-US" w:eastAsia="zh-CN"/>
              </w:rPr>
              <w:t>进行解密。</w:t>
            </w:r>
          </w:p>
          <w:p w14:paraId="7A22869A">
            <w:pPr>
              <w:spacing w:line="340" w:lineRule="exac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2、供应商在制作</w:t>
            </w:r>
            <w:r>
              <w:rPr>
                <w:rFonts w:hint="eastAsia" w:ascii="宋体" w:hAnsi="宋体" w:cs="宋体"/>
                <w:color w:val="auto"/>
                <w:kern w:val="1"/>
                <w:sz w:val="24"/>
                <w:szCs w:val="24"/>
                <w:highlight w:val="none"/>
                <w:lang w:val="en-US" w:eastAsia="zh-CN"/>
              </w:rPr>
              <w:t>响应文件</w:t>
            </w:r>
            <w:r>
              <w:rPr>
                <w:rFonts w:hint="eastAsia" w:ascii="宋体" w:hAnsi="宋体" w:eastAsia="宋体" w:cs="宋体"/>
                <w:color w:val="auto"/>
                <w:kern w:val="1"/>
                <w:sz w:val="24"/>
                <w:szCs w:val="24"/>
                <w:highlight w:val="none"/>
                <w:lang w:val="en-US" w:eastAsia="zh-CN"/>
              </w:rPr>
              <w:t>时，</w:t>
            </w:r>
            <w:r>
              <w:rPr>
                <w:rFonts w:hint="eastAsia" w:ascii="宋体" w:hAnsi="宋体" w:cs="宋体"/>
                <w:color w:val="auto"/>
                <w:kern w:val="1"/>
                <w:sz w:val="24"/>
                <w:szCs w:val="24"/>
                <w:highlight w:val="none"/>
                <w:lang w:val="en-US" w:eastAsia="zh-CN"/>
              </w:rPr>
              <w:t>响应文件</w:t>
            </w:r>
            <w:r>
              <w:rPr>
                <w:rFonts w:hint="eastAsia" w:ascii="宋体" w:hAnsi="宋体" w:eastAsia="宋体" w:cs="宋体"/>
                <w:color w:val="auto"/>
                <w:kern w:val="1"/>
                <w:sz w:val="24"/>
                <w:szCs w:val="24"/>
                <w:highlight w:val="none"/>
                <w:lang w:val="en-US" w:eastAsia="zh-CN"/>
              </w:rPr>
              <w:t>以“政采云”平台上传的</w:t>
            </w:r>
            <w:r>
              <w:rPr>
                <w:rFonts w:hint="eastAsia" w:ascii="宋体" w:hAnsi="宋体" w:cs="宋体"/>
                <w:color w:val="auto"/>
                <w:kern w:val="1"/>
                <w:sz w:val="24"/>
                <w:szCs w:val="24"/>
                <w:highlight w:val="none"/>
                <w:lang w:val="en-US" w:eastAsia="zh-CN"/>
              </w:rPr>
              <w:t>响应文件</w:t>
            </w:r>
            <w:r>
              <w:rPr>
                <w:rFonts w:hint="eastAsia" w:ascii="宋体" w:hAnsi="宋体" w:eastAsia="宋体" w:cs="宋体"/>
                <w:color w:val="auto"/>
                <w:kern w:val="1"/>
                <w:sz w:val="24"/>
                <w:szCs w:val="24"/>
                <w:highlight w:val="none"/>
                <w:lang w:val="en-US" w:eastAsia="zh-CN"/>
              </w:rPr>
              <w:t>为准；</w:t>
            </w:r>
          </w:p>
          <w:p w14:paraId="72D1F545">
            <w:pPr>
              <w:spacing w:line="340" w:lineRule="exac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3、</w:t>
            </w:r>
            <w:r>
              <w:rPr>
                <w:rFonts w:hint="eastAsia" w:ascii="宋体" w:hAnsi="宋体" w:cs="宋体"/>
                <w:color w:val="auto"/>
                <w:kern w:val="1"/>
                <w:sz w:val="24"/>
                <w:szCs w:val="24"/>
                <w:highlight w:val="none"/>
                <w:lang w:val="en-US" w:eastAsia="zh-CN"/>
              </w:rPr>
              <w:t>响应文件</w:t>
            </w:r>
            <w:r>
              <w:rPr>
                <w:rFonts w:hint="eastAsia" w:ascii="宋体" w:hAnsi="宋体" w:eastAsia="宋体" w:cs="宋体"/>
                <w:color w:val="auto"/>
                <w:kern w:val="1"/>
                <w:sz w:val="24"/>
                <w:szCs w:val="24"/>
                <w:highlight w:val="none"/>
                <w:lang w:val="en-US" w:eastAsia="zh-CN"/>
              </w:rPr>
              <w:t>中反应供应商资格审查的图片、扫描件、文字描述等，必须清晰可见。其中所有证书和执照必须为原件扫描。</w:t>
            </w:r>
          </w:p>
          <w:p w14:paraId="2C1CA76E">
            <w:pPr>
              <w:spacing w:line="340" w:lineRule="exac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4、若供应商上传的</w:t>
            </w:r>
            <w:r>
              <w:rPr>
                <w:rFonts w:hint="eastAsia" w:ascii="宋体" w:hAnsi="宋体" w:cs="宋体"/>
                <w:color w:val="auto"/>
                <w:kern w:val="1"/>
                <w:sz w:val="24"/>
                <w:szCs w:val="24"/>
                <w:highlight w:val="none"/>
                <w:lang w:val="en-US" w:eastAsia="zh-CN"/>
              </w:rPr>
              <w:t>响应文件</w:t>
            </w:r>
            <w:r>
              <w:rPr>
                <w:rFonts w:hint="eastAsia" w:ascii="宋体" w:hAnsi="宋体" w:eastAsia="宋体" w:cs="宋体"/>
                <w:color w:val="auto"/>
                <w:kern w:val="1"/>
                <w:sz w:val="24"/>
                <w:szCs w:val="24"/>
                <w:highlight w:val="none"/>
                <w:lang w:val="en-US" w:eastAsia="zh-CN"/>
              </w:rPr>
              <w:t>在规定的时间内无法解密而对</w:t>
            </w:r>
            <w:r>
              <w:rPr>
                <w:rFonts w:hint="eastAsia" w:ascii="宋体" w:hAnsi="宋体" w:cs="宋体"/>
                <w:color w:val="auto"/>
                <w:kern w:val="1"/>
                <w:sz w:val="24"/>
                <w:szCs w:val="24"/>
                <w:highlight w:val="none"/>
                <w:lang w:val="en-US" w:eastAsia="zh-CN"/>
              </w:rPr>
              <w:t>响应文件</w:t>
            </w:r>
            <w:r>
              <w:rPr>
                <w:rFonts w:hint="eastAsia" w:ascii="宋体" w:hAnsi="宋体" w:eastAsia="宋体" w:cs="宋体"/>
                <w:color w:val="auto"/>
                <w:kern w:val="1"/>
                <w:sz w:val="24"/>
                <w:szCs w:val="24"/>
                <w:highlight w:val="none"/>
                <w:lang w:val="en-US" w:eastAsia="zh-CN"/>
              </w:rPr>
              <w:t>无法进行评标的，采购人可以拒绝该供应商投标。</w:t>
            </w:r>
          </w:p>
          <w:p w14:paraId="2FCFDF12">
            <w:pPr>
              <w:spacing w:line="340" w:lineRule="exact"/>
              <w:rPr>
                <w:rFonts w:hint="eastAsia" w:ascii="宋体" w:hAnsi="宋体" w:cs="宋体"/>
                <w:color w:val="auto"/>
                <w:sz w:val="24"/>
                <w:highlight w:val="none"/>
              </w:rPr>
            </w:pPr>
            <w:r>
              <w:rPr>
                <w:rFonts w:hint="eastAsia" w:ascii="宋体" w:hAnsi="宋体" w:eastAsia="宋体" w:cs="宋体"/>
                <w:b/>
                <w:bCs/>
                <w:color w:val="auto"/>
                <w:kern w:val="1"/>
                <w:sz w:val="24"/>
                <w:szCs w:val="24"/>
                <w:highlight w:val="none"/>
                <w:lang w:val="zh-CN" w:eastAsia="zh-CN"/>
              </w:rPr>
              <w:t>若对项目采购电子交易系统操作有疑问</w:t>
            </w:r>
            <w:r>
              <w:rPr>
                <w:rFonts w:hint="eastAsia" w:ascii="宋体" w:hAnsi="宋体" w:eastAsia="宋体" w:cs="宋体"/>
                <w:b/>
                <w:bCs/>
                <w:color w:val="auto"/>
                <w:kern w:val="1"/>
                <w:sz w:val="24"/>
                <w:szCs w:val="24"/>
                <w:highlight w:val="none"/>
                <w:lang w:val="en-US" w:eastAsia="zh-CN"/>
              </w:rPr>
              <w:t>拨打电子化平台客服热线：95763。</w:t>
            </w:r>
          </w:p>
        </w:tc>
      </w:tr>
      <w:tr w14:paraId="3A9D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8" w:type="dxa"/>
            <w:gridSpan w:val="3"/>
            <w:noWrap/>
            <w:vAlign w:val="center"/>
          </w:tcPr>
          <w:p w14:paraId="1DB626BA">
            <w:pPr>
              <w:widowControl/>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本项目</w:t>
            </w:r>
            <w:r>
              <w:rPr>
                <w:rFonts w:hint="eastAsia" w:ascii="宋体" w:hAnsi="宋体" w:cs="宋体"/>
                <w:color w:val="auto"/>
                <w:sz w:val="24"/>
                <w:highlight w:val="none"/>
              </w:rPr>
              <w:t>竞争性磋商</w:t>
            </w:r>
            <w:r>
              <w:rPr>
                <w:rFonts w:hint="eastAsia" w:ascii="宋体" w:hAnsi="宋体" w:cs="宋体"/>
                <w:bCs/>
                <w:color w:val="auto"/>
                <w:sz w:val="24"/>
                <w:highlight w:val="none"/>
                <w:lang w:val="zh-CN"/>
              </w:rPr>
              <w:t>公告与</w:t>
            </w:r>
            <w:r>
              <w:rPr>
                <w:rFonts w:hint="eastAsia" w:ascii="宋体" w:hAnsi="宋体" w:cs="宋体"/>
                <w:color w:val="auto"/>
                <w:sz w:val="24"/>
                <w:highlight w:val="none"/>
              </w:rPr>
              <w:t>竞争性磋商</w:t>
            </w:r>
            <w:r>
              <w:rPr>
                <w:rFonts w:hint="eastAsia" w:ascii="宋体" w:hAnsi="宋体" w:cs="宋体"/>
                <w:bCs/>
                <w:color w:val="auto"/>
                <w:sz w:val="24"/>
                <w:highlight w:val="none"/>
                <w:lang w:val="zh-CN"/>
              </w:rPr>
              <w:t>文件供应商须知内容有不符之处，以</w:t>
            </w:r>
            <w:r>
              <w:rPr>
                <w:rFonts w:hint="eastAsia" w:ascii="宋体" w:hAnsi="宋体" w:cs="宋体"/>
                <w:color w:val="auto"/>
                <w:sz w:val="24"/>
                <w:highlight w:val="none"/>
              </w:rPr>
              <w:t>竞争性磋商</w:t>
            </w:r>
            <w:r>
              <w:rPr>
                <w:rFonts w:hint="eastAsia" w:ascii="宋体" w:hAnsi="宋体" w:cs="宋体"/>
                <w:bCs/>
                <w:color w:val="auto"/>
                <w:sz w:val="24"/>
                <w:highlight w:val="none"/>
                <w:lang w:val="zh-CN"/>
              </w:rPr>
              <w:t>文件供应商须知内容为准。</w:t>
            </w:r>
          </w:p>
        </w:tc>
      </w:tr>
    </w:tbl>
    <w:p w14:paraId="37DA78A3">
      <w:pPr>
        <w:spacing w:line="360" w:lineRule="auto"/>
        <w:ind w:firstLine="482" w:firstLineChars="200"/>
        <w:jc w:val="center"/>
        <w:rPr>
          <w:rFonts w:ascii="宋体" w:hAnsi="宋体" w:cs="宋体"/>
          <w:b/>
          <w:bCs/>
          <w:color w:val="auto"/>
          <w:sz w:val="24"/>
          <w:highlight w:val="none"/>
        </w:rPr>
        <w:sectPr>
          <w:footerReference r:id="rId3" w:type="default"/>
          <w:pgSz w:w="11910" w:h="16840"/>
          <w:pgMar w:top="720" w:right="720" w:bottom="720" w:left="720" w:header="0" w:footer="663" w:gutter="0"/>
          <w:pgNumType w:fmt="decimal" w:start="1"/>
          <w:cols w:space="720" w:num="1"/>
        </w:sectPr>
      </w:pPr>
    </w:p>
    <w:p w14:paraId="357ADA75">
      <w:pPr>
        <w:bidi w:val="0"/>
        <w:jc w:val="center"/>
        <w:rPr>
          <w:rFonts w:hint="eastAsia"/>
          <w:b/>
          <w:bCs/>
          <w:sz w:val="24"/>
          <w:szCs w:val="24"/>
          <w:highlight w:val="none"/>
        </w:rPr>
      </w:pPr>
      <w:r>
        <w:rPr>
          <w:rFonts w:hint="eastAsia"/>
          <w:b/>
          <w:bCs/>
          <w:sz w:val="24"/>
          <w:szCs w:val="24"/>
          <w:highlight w:val="none"/>
          <w:lang w:eastAsia="zh-CN"/>
        </w:rPr>
        <w:t>（二）</w:t>
      </w:r>
      <w:r>
        <w:rPr>
          <w:rFonts w:hint="eastAsia"/>
          <w:b/>
          <w:bCs/>
          <w:sz w:val="24"/>
          <w:szCs w:val="24"/>
          <w:highlight w:val="none"/>
        </w:rPr>
        <w:t>供应商须知</w:t>
      </w:r>
    </w:p>
    <w:p w14:paraId="071616CD">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1. 总则</w:t>
      </w:r>
    </w:p>
    <w:p w14:paraId="1321071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 项目概况</w:t>
      </w:r>
    </w:p>
    <w:p w14:paraId="720F71B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1.1.1根据《中华人民共和国政府采购法》、《政府采购竞争性磋商采购方式管理暂行办法》等有关法律、法规和规章的规定，本采购项目已具备采购条件，现对本项目进行采购。</w:t>
      </w:r>
    </w:p>
    <w:p w14:paraId="2668F19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本采购项目采购人：见供应商须知前附表。</w:t>
      </w:r>
    </w:p>
    <w:p w14:paraId="67B0220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本项目采购代理机构：见供应商须知前附表。</w:t>
      </w:r>
    </w:p>
    <w:p w14:paraId="4C26F6E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本采购项目名称：见供应商须知前附表。</w:t>
      </w:r>
    </w:p>
    <w:p w14:paraId="0EF60B6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本项目</w:t>
      </w:r>
      <w:r>
        <w:rPr>
          <w:rFonts w:hint="eastAsia" w:ascii="宋体" w:hAnsi="宋体" w:cs="宋体"/>
          <w:sz w:val="24"/>
          <w:highlight w:val="none"/>
          <w:lang w:eastAsia="zh-CN"/>
        </w:rPr>
        <w:t>服务</w:t>
      </w:r>
      <w:r>
        <w:rPr>
          <w:rFonts w:hint="eastAsia" w:ascii="宋体" w:hAnsi="宋体" w:eastAsia="宋体" w:cs="宋体"/>
          <w:sz w:val="24"/>
          <w:highlight w:val="none"/>
        </w:rPr>
        <w:t>地点：见供应商须知前附表。</w:t>
      </w:r>
    </w:p>
    <w:p w14:paraId="23E89B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 资金来源和落实情况</w:t>
      </w:r>
    </w:p>
    <w:p w14:paraId="0D78DB3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 本采购项目的资金来源：见供应商须知前附表。</w:t>
      </w:r>
    </w:p>
    <w:p w14:paraId="778143A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 本采购项目的出资比例：见供应商须知前附表。</w:t>
      </w:r>
    </w:p>
    <w:p w14:paraId="1D59C2B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 本采购项目的资金落实情况：见供应商须知前附表。</w:t>
      </w:r>
    </w:p>
    <w:p w14:paraId="368602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 采购需求、</w:t>
      </w:r>
      <w:r>
        <w:rPr>
          <w:rFonts w:hint="eastAsia" w:ascii="宋体" w:hAnsi="宋体" w:eastAsia="宋体" w:cs="宋体"/>
          <w:sz w:val="24"/>
          <w:highlight w:val="none"/>
          <w:lang w:val="en-US" w:eastAsia="zh-CN"/>
        </w:rPr>
        <w:t>合同履行期限</w:t>
      </w:r>
      <w:r>
        <w:rPr>
          <w:rFonts w:hint="eastAsia" w:ascii="宋体" w:hAnsi="宋体" w:eastAsia="宋体" w:cs="宋体"/>
          <w:sz w:val="24"/>
          <w:highlight w:val="none"/>
        </w:rPr>
        <w:t>和质量标准</w:t>
      </w:r>
    </w:p>
    <w:p w14:paraId="3B8ACCC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 采购需求：见供应商须知前附表。</w:t>
      </w:r>
    </w:p>
    <w:p w14:paraId="6E90AC4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1.3.2 </w:t>
      </w:r>
      <w:r>
        <w:rPr>
          <w:rFonts w:hint="eastAsia" w:ascii="宋体" w:hAnsi="宋体" w:eastAsia="宋体" w:cs="宋体"/>
          <w:sz w:val="24"/>
          <w:highlight w:val="none"/>
          <w:lang w:val="en-US" w:eastAsia="zh-CN"/>
        </w:rPr>
        <w:t>合同履行期限</w:t>
      </w:r>
      <w:r>
        <w:rPr>
          <w:rFonts w:hint="eastAsia" w:ascii="宋体" w:hAnsi="宋体" w:eastAsia="宋体" w:cs="宋体"/>
          <w:sz w:val="24"/>
          <w:highlight w:val="none"/>
        </w:rPr>
        <w:t>：见供应商须知前附表。</w:t>
      </w:r>
    </w:p>
    <w:p w14:paraId="25DE229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 质量标准：见供应商须知前附表。</w:t>
      </w:r>
    </w:p>
    <w:p w14:paraId="069AA1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 供应商资格要求</w:t>
      </w:r>
    </w:p>
    <w:p w14:paraId="286354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供应商应具备承担本项目的资质条件、能力和信誉。</w:t>
      </w:r>
    </w:p>
    <w:p w14:paraId="7EB5EF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（1）资质条件：见供应商须知前附表；</w:t>
      </w:r>
    </w:p>
    <w:p w14:paraId="799257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（2）财务要求：见供应商须知前附表；</w:t>
      </w:r>
    </w:p>
    <w:p w14:paraId="46B922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（3）业绩要求：见供应商须知前附表；</w:t>
      </w:r>
    </w:p>
    <w:p w14:paraId="47884A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（4）信誉要求：见供应商须知前附表；</w:t>
      </w:r>
    </w:p>
    <w:p w14:paraId="2252D2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（5）其他要求：见供应商须知前附表。</w:t>
      </w:r>
    </w:p>
    <w:p w14:paraId="0E1F8E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供应商须知前附表规定接受联合体参加的，除应符合本章第1.4.1项和供应商须知前附表的要求外，还应遵守下列规定：</w:t>
      </w:r>
    </w:p>
    <w:p w14:paraId="64EE0B0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（1）联合体各方应按照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提供的格式签订联合体协议书，明确联合体牵头人和各方权利义务；</w:t>
      </w:r>
    </w:p>
    <w:p w14:paraId="5D3F8BA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（2）由同一专业的单位组成的联合体，按照资质等级较低的单位确定资质等级；</w:t>
      </w:r>
    </w:p>
    <w:p w14:paraId="49486D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（3）联合体各方不得再以自己的名义单独或参加其他联合体在同一</w:t>
      </w:r>
      <w:r>
        <w:rPr>
          <w:rFonts w:hint="eastAsia" w:ascii="宋体" w:hAnsi="宋体" w:eastAsia="宋体" w:cs="宋体"/>
          <w:sz w:val="24"/>
          <w:highlight w:val="none"/>
          <w:lang w:eastAsia="zh-CN"/>
        </w:rPr>
        <w:t>标项</w:t>
      </w:r>
      <w:r>
        <w:rPr>
          <w:rFonts w:hint="eastAsia" w:ascii="宋体" w:hAnsi="宋体" w:eastAsia="宋体" w:cs="宋体"/>
          <w:sz w:val="24"/>
          <w:highlight w:val="none"/>
        </w:rPr>
        <w:t>中参加。</w:t>
      </w:r>
    </w:p>
    <w:p w14:paraId="7A07E81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 费用承担</w:t>
      </w:r>
    </w:p>
    <w:p w14:paraId="5047B46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供应商准备和参加磋商活动发生的费用自理。</w:t>
      </w:r>
    </w:p>
    <w:p w14:paraId="688E1F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 保密</w:t>
      </w:r>
    </w:p>
    <w:p w14:paraId="79A83CA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参与采购投标活动的各方应对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和</w:t>
      </w:r>
      <w:r>
        <w:rPr>
          <w:rFonts w:hint="eastAsia" w:ascii="宋体" w:hAnsi="宋体" w:cs="宋体"/>
          <w:sz w:val="24"/>
          <w:highlight w:val="none"/>
          <w:lang w:eastAsia="zh-CN"/>
        </w:rPr>
        <w:t>响应文件</w:t>
      </w:r>
      <w:r>
        <w:rPr>
          <w:rFonts w:hint="eastAsia" w:ascii="宋体" w:hAnsi="宋体" w:eastAsia="宋体" w:cs="宋体"/>
          <w:sz w:val="24"/>
          <w:highlight w:val="none"/>
        </w:rPr>
        <w:t xml:space="preserve">中的商业和技术等秘密保密，违者应对由此造成的后果承担法律责任。 </w:t>
      </w:r>
    </w:p>
    <w:p w14:paraId="6B5929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 语言文字</w:t>
      </w:r>
    </w:p>
    <w:p w14:paraId="21DF94C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除专用术语外，与采购投标有关的语言均使用中文。必要时专用术语应附有中文注释。</w:t>
      </w:r>
    </w:p>
    <w:p w14:paraId="0F729BA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 计量单位</w:t>
      </w:r>
    </w:p>
    <w:p w14:paraId="36BB644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所有计量均采用中华人民共和国法定计量单位。</w:t>
      </w:r>
    </w:p>
    <w:p w14:paraId="2F253BB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 踏勘现场</w:t>
      </w:r>
    </w:p>
    <w:p w14:paraId="46E9EAE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1.9.1供应商须知前附表规定组织踏勘现场的，采购人按供应商须知前附表规定的时间、地点组织供应商踏勘项目现场。 </w:t>
      </w:r>
    </w:p>
    <w:p w14:paraId="2D2287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 供应商踏勘现场发生的费用自理。</w:t>
      </w:r>
    </w:p>
    <w:p w14:paraId="3744A24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 除采购人的原因外，供应商自行负责在踏勘现场中所发生的人员伤亡和财产损失。</w:t>
      </w:r>
    </w:p>
    <w:p w14:paraId="380F4D2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 采购人在踏勘现场中介绍的工程场地和相关的周边环境情况，供应商在编制</w:t>
      </w:r>
      <w:r>
        <w:rPr>
          <w:rFonts w:hint="eastAsia" w:ascii="宋体" w:hAnsi="宋体" w:eastAsia="宋体" w:cs="宋体"/>
          <w:sz w:val="24"/>
          <w:highlight w:val="none"/>
          <w:lang w:eastAsia="zh-CN"/>
        </w:rPr>
        <w:t>响应</w:t>
      </w:r>
      <w:r>
        <w:rPr>
          <w:rFonts w:hint="eastAsia" w:ascii="宋体" w:hAnsi="宋体" w:eastAsia="宋体" w:cs="宋体"/>
          <w:sz w:val="24"/>
          <w:highlight w:val="none"/>
        </w:rPr>
        <w:t>文件时参考，采购人不对供应商据此作出的判断和决策负责。</w:t>
      </w:r>
    </w:p>
    <w:p w14:paraId="3BD16E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 答疑会</w:t>
      </w:r>
    </w:p>
    <w:p w14:paraId="2FB0194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1.10.1 供应商须知前附表规定召开磋商预备会的，采购人按供应商须知前附表规定的时间和地点召开</w:t>
      </w:r>
      <w:r>
        <w:rPr>
          <w:rFonts w:hint="eastAsia" w:ascii="宋体" w:hAnsi="宋体" w:eastAsia="宋体" w:cs="宋体"/>
          <w:sz w:val="24"/>
          <w:highlight w:val="none"/>
          <w:lang w:eastAsia="zh-CN"/>
        </w:rPr>
        <w:t>磋商</w:t>
      </w:r>
      <w:r>
        <w:rPr>
          <w:rFonts w:hint="eastAsia" w:ascii="宋体" w:hAnsi="宋体" w:eastAsia="宋体" w:cs="宋体"/>
          <w:sz w:val="24"/>
          <w:highlight w:val="none"/>
        </w:rPr>
        <w:t>。预备会，澄清供应商提出的问题。</w:t>
      </w:r>
    </w:p>
    <w:p w14:paraId="74AD04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1.10.2 供应商应在供应商须知前附表规定的时间前，以书面和电子邮件形式将提出的问题送达采购代理机构，以便采购人和采购代理机构在会议期间澄清。</w:t>
      </w:r>
    </w:p>
    <w:p w14:paraId="386B09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1.10.3 采购人、采购代理机构在供应商须知前附表规定的时间内，将对供应商所提问题的澄清，以书面方式通知所有购买</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的供应商。该澄清内容为</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的组成部分。</w:t>
      </w:r>
    </w:p>
    <w:p w14:paraId="04C99B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分包</w:t>
      </w:r>
    </w:p>
    <w:p w14:paraId="19484A1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供应商拟在中选后将中选项目的部分非主体、非关键性工作进行分包的，应符合供应商须知前附表规定的分包内容、分包金额和接受分包的第三人资质要求等限制性条件。</w:t>
      </w:r>
    </w:p>
    <w:p w14:paraId="1B1450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偏离</w:t>
      </w:r>
    </w:p>
    <w:p w14:paraId="063CF5D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供应商须知前附表允许</w:t>
      </w:r>
      <w:r>
        <w:rPr>
          <w:rFonts w:hint="eastAsia" w:ascii="宋体" w:hAnsi="宋体" w:cs="宋体"/>
          <w:sz w:val="24"/>
          <w:highlight w:val="none"/>
          <w:lang w:eastAsia="zh-CN"/>
        </w:rPr>
        <w:t>响应文件</w:t>
      </w:r>
      <w:r>
        <w:rPr>
          <w:rFonts w:hint="eastAsia" w:ascii="宋体" w:hAnsi="宋体" w:eastAsia="宋体" w:cs="宋体"/>
          <w:sz w:val="24"/>
          <w:highlight w:val="none"/>
        </w:rPr>
        <w:t>偏离</w:t>
      </w:r>
      <w:r>
        <w:rPr>
          <w:rFonts w:hint="eastAsia" w:ascii="宋体" w:hAnsi="宋体" w:cs="宋体"/>
          <w:sz w:val="24"/>
          <w:highlight w:val="none"/>
          <w:lang w:eastAsia="zh-CN"/>
        </w:rPr>
        <w:t>竞争性磋商文件</w:t>
      </w:r>
      <w:r>
        <w:rPr>
          <w:rFonts w:hint="eastAsia" w:ascii="宋体" w:hAnsi="宋体" w:eastAsia="宋体" w:cs="宋体"/>
          <w:sz w:val="24"/>
          <w:highlight w:val="none"/>
        </w:rPr>
        <w:t>某些要求的，偏离应当符合</w:t>
      </w:r>
      <w:r>
        <w:rPr>
          <w:rFonts w:hint="eastAsia" w:ascii="宋体" w:hAnsi="宋体" w:cs="宋体"/>
          <w:sz w:val="24"/>
          <w:highlight w:val="none"/>
          <w:lang w:eastAsia="zh-CN"/>
        </w:rPr>
        <w:t>竞争性磋商文件</w:t>
      </w:r>
      <w:r>
        <w:rPr>
          <w:rFonts w:hint="eastAsia" w:ascii="宋体" w:hAnsi="宋体" w:eastAsia="宋体" w:cs="宋体"/>
          <w:sz w:val="24"/>
          <w:highlight w:val="none"/>
        </w:rPr>
        <w:t>规定的偏离范围和幅度。</w:t>
      </w:r>
    </w:p>
    <w:p w14:paraId="20E36668">
      <w:pPr>
        <w:spacing w:line="360" w:lineRule="auto"/>
        <w:ind w:firstLine="482" w:firstLineChars="200"/>
        <w:jc w:val="center"/>
        <w:rPr>
          <w:rFonts w:hint="eastAsia" w:ascii="宋体" w:hAnsi="宋体" w:eastAsia="宋体" w:cs="宋体"/>
          <w:sz w:val="24"/>
          <w:highlight w:val="none"/>
          <w:lang w:eastAsia="zh-CN"/>
        </w:rPr>
      </w:pPr>
      <w:r>
        <w:rPr>
          <w:rFonts w:hint="eastAsia" w:ascii="宋体" w:hAnsi="宋体" w:eastAsia="宋体" w:cs="宋体"/>
          <w:b/>
          <w:bCs/>
          <w:sz w:val="24"/>
          <w:highlight w:val="none"/>
        </w:rPr>
        <w:t xml:space="preserve">2. </w:t>
      </w:r>
      <w:r>
        <w:rPr>
          <w:rFonts w:hint="eastAsia" w:ascii="宋体" w:hAnsi="宋体" w:cs="宋体"/>
          <w:b/>
          <w:bCs/>
          <w:sz w:val="24"/>
          <w:highlight w:val="none"/>
          <w:lang w:eastAsia="zh-CN"/>
        </w:rPr>
        <w:t>竞争性磋商文件</w:t>
      </w:r>
    </w:p>
    <w:p w14:paraId="5E28ED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2.1 </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w:t>
      </w:r>
    </w:p>
    <w:p w14:paraId="2929C5EB">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竞争性磋商文件</w:t>
      </w:r>
      <w:r>
        <w:rPr>
          <w:rFonts w:hint="eastAsia" w:ascii="宋体" w:hAnsi="宋体" w:eastAsia="宋体" w:cs="宋体"/>
          <w:sz w:val="24"/>
          <w:highlight w:val="none"/>
        </w:rPr>
        <w:t>除以下内容外，采购人在采购期间发出的答疑纪要和其他补充修改函件，均是</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的组成部分，对供应商起约束作用。</w:t>
      </w:r>
      <w:r>
        <w:rPr>
          <w:rFonts w:hint="eastAsia" w:ascii="宋体" w:hAnsi="宋体" w:cs="宋体"/>
          <w:sz w:val="24"/>
          <w:highlight w:val="none"/>
          <w:lang w:eastAsia="zh-CN"/>
        </w:rPr>
        <w:t>竞争性磋商文件</w:t>
      </w:r>
      <w:r>
        <w:rPr>
          <w:rFonts w:hint="eastAsia" w:ascii="宋体" w:hAnsi="宋体" w:eastAsia="宋体" w:cs="宋体"/>
          <w:sz w:val="24"/>
          <w:highlight w:val="none"/>
        </w:rPr>
        <w:t>包括下列内容：</w:t>
      </w:r>
    </w:p>
    <w:p w14:paraId="0905102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（1）竞争性磋商公告；</w:t>
      </w:r>
    </w:p>
    <w:p w14:paraId="33CC1A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（2）供应商须知；</w:t>
      </w:r>
    </w:p>
    <w:p w14:paraId="5AFEB74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（3）评分办法；</w:t>
      </w:r>
    </w:p>
    <w:p w14:paraId="7B63E2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（4）合同条款（合同参考格式） </w:t>
      </w:r>
    </w:p>
    <w:p w14:paraId="1B9702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eastAsia="zh-CN"/>
        </w:rPr>
        <w:t>技术服务要求</w:t>
      </w:r>
      <w:r>
        <w:rPr>
          <w:rFonts w:hint="eastAsia" w:ascii="宋体" w:hAnsi="宋体" w:eastAsia="宋体" w:cs="宋体"/>
          <w:sz w:val="24"/>
          <w:highlight w:val="none"/>
        </w:rPr>
        <w:t xml:space="preserve">； </w:t>
      </w:r>
    </w:p>
    <w:p w14:paraId="59D734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cs="宋体"/>
          <w:sz w:val="24"/>
          <w:highlight w:val="none"/>
          <w:lang w:eastAsia="zh-CN"/>
        </w:rPr>
        <w:t>响应文件</w:t>
      </w:r>
      <w:r>
        <w:rPr>
          <w:rFonts w:hint="eastAsia" w:ascii="宋体" w:hAnsi="宋体" w:eastAsia="宋体" w:cs="宋体"/>
          <w:sz w:val="24"/>
          <w:highlight w:val="none"/>
        </w:rPr>
        <w:t>格式；</w:t>
      </w:r>
    </w:p>
    <w:p w14:paraId="0314186F">
      <w:pPr>
        <w:spacing w:line="360" w:lineRule="auto"/>
        <w:ind w:firstLine="480" w:firstLineChars="200"/>
        <w:rPr>
          <w:rFonts w:hint="eastAsia"/>
        </w:rPr>
      </w:pPr>
      <w:r>
        <w:rPr>
          <w:rFonts w:hint="eastAsia" w:ascii="宋体" w:hAnsi="宋体" w:eastAsia="宋体" w:cs="宋体"/>
          <w:sz w:val="24"/>
          <w:highlight w:val="none"/>
        </w:rPr>
        <w:t>根据本章第1.10款、第2.2款和第2.3款对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所作的澄清、修改，构成</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的组成部分。</w:t>
      </w:r>
    </w:p>
    <w:p w14:paraId="6E14D0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2.2 </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的澄清</w:t>
      </w:r>
    </w:p>
    <w:p w14:paraId="1BE1C05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2.2.1 </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应仔细阅读和检查</w:t>
      </w:r>
      <w:r>
        <w:rPr>
          <w:rFonts w:hint="eastAsia" w:ascii="宋体" w:hAnsi="宋体" w:eastAsia="宋体" w:cs="宋体"/>
          <w:sz w:val="24"/>
          <w:highlight w:val="none"/>
          <w:lang w:val="en-US" w:eastAsia="zh-CN"/>
        </w:rPr>
        <w:t>竞争性磋商</w:t>
      </w:r>
      <w:r>
        <w:rPr>
          <w:rFonts w:hint="eastAsia" w:ascii="宋体" w:hAnsi="宋体" w:eastAsia="宋体" w:cs="宋体"/>
          <w:sz w:val="24"/>
          <w:highlight w:val="none"/>
        </w:rPr>
        <w:t>文件的全部内容。如发现缺页或附件不全，应及时向采购人提出，以便补齐。如有疑问，应在</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须知前附表规定的时间前以书面形式（包括信函、电报、传真等可以有形地表现所载内容的形式，下同），要求采购人对</w:t>
      </w:r>
      <w:r>
        <w:rPr>
          <w:rFonts w:hint="eastAsia" w:ascii="宋体" w:hAnsi="宋体" w:eastAsia="宋体" w:cs="宋体"/>
          <w:sz w:val="24"/>
          <w:highlight w:val="none"/>
          <w:lang w:val="en-US" w:eastAsia="zh-CN"/>
        </w:rPr>
        <w:t>竞争性磋商</w:t>
      </w:r>
      <w:r>
        <w:rPr>
          <w:rFonts w:hint="eastAsia" w:ascii="宋体" w:hAnsi="宋体" w:eastAsia="宋体" w:cs="宋体"/>
          <w:sz w:val="24"/>
          <w:highlight w:val="none"/>
        </w:rPr>
        <w:t>文件予以澄清。</w:t>
      </w:r>
    </w:p>
    <w:p w14:paraId="0AE9701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2.2.2 </w:t>
      </w:r>
      <w:r>
        <w:rPr>
          <w:rFonts w:hint="eastAsia" w:ascii="宋体" w:hAnsi="宋体" w:eastAsia="宋体" w:cs="宋体"/>
          <w:sz w:val="24"/>
          <w:highlight w:val="none"/>
          <w:lang w:val="en-US" w:eastAsia="zh-CN"/>
        </w:rPr>
        <w:t>竞争性磋商</w:t>
      </w:r>
      <w:r>
        <w:rPr>
          <w:rFonts w:hint="eastAsia" w:ascii="宋体" w:hAnsi="宋体" w:eastAsia="宋体" w:cs="宋体"/>
          <w:sz w:val="24"/>
          <w:highlight w:val="none"/>
        </w:rPr>
        <w:t>文件的澄清将以网上发布更正，但不指明澄清问题的来源。如果澄清发出的时间距</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须知前附表规定的投标截止时间不足</w:t>
      </w:r>
      <w:r>
        <w:rPr>
          <w:rFonts w:hint="eastAsia" w:ascii="宋体" w:hAnsi="宋体" w:eastAsia="宋体" w:cs="宋体"/>
          <w:sz w:val="24"/>
          <w:highlight w:val="none"/>
          <w:lang w:val="en-US" w:eastAsia="zh-CN"/>
        </w:rPr>
        <w:t>5日</w:t>
      </w:r>
      <w:r>
        <w:rPr>
          <w:rFonts w:hint="eastAsia" w:ascii="宋体" w:hAnsi="宋体" w:eastAsia="宋体" w:cs="宋体"/>
          <w:sz w:val="24"/>
          <w:highlight w:val="none"/>
        </w:rPr>
        <w:t>，并且澄清内容影响</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 xml:space="preserve">文件编制的，将相应延长投标截止时间。 </w:t>
      </w:r>
    </w:p>
    <w:p w14:paraId="7CA39D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2.2.3 采购人以网上发布更正澄清文件，视为</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收到更正澄清文件。</w:t>
      </w:r>
    </w:p>
    <w:p w14:paraId="7596F5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2.3 </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的修改</w:t>
      </w:r>
    </w:p>
    <w:p w14:paraId="05DF96B1">
      <w:pPr>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2.3.1采购人</w:t>
      </w:r>
      <w:r>
        <w:rPr>
          <w:rFonts w:hint="eastAsia" w:ascii="宋体" w:hAnsi="宋体" w:eastAsia="宋体" w:cs="宋体"/>
          <w:sz w:val="21"/>
          <w:szCs w:val="21"/>
          <w:highlight w:val="none"/>
          <w:lang w:val="en-US" w:eastAsia="zh-CN"/>
        </w:rPr>
        <w:t>以网上发布更正</w:t>
      </w:r>
      <w:r>
        <w:rPr>
          <w:rFonts w:hint="eastAsia" w:ascii="宋体" w:hAnsi="宋体" w:eastAsia="宋体" w:cs="宋体"/>
          <w:sz w:val="21"/>
          <w:szCs w:val="21"/>
          <w:highlight w:val="none"/>
        </w:rPr>
        <w:t>修改</w:t>
      </w:r>
      <w:r>
        <w:rPr>
          <w:rFonts w:hint="eastAsia" w:ascii="宋体" w:hAnsi="宋体" w:eastAsia="宋体" w:cs="宋体"/>
          <w:sz w:val="24"/>
          <w:highlight w:val="none"/>
          <w:lang w:val="en-US" w:eastAsia="zh-CN"/>
        </w:rPr>
        <w:t>竞争性磋商</w:t>
      </w:r>
      <w:r>
        <w:rPr>
          <w:rFonts w:hint="eastAsia" w:ascii="宋体" w:hAnsi="宋体" w:eastAsia="宋体" w:cs="宋体"/>
          <w:sz w:val="24"/>
          <w:highlight w:val="none"/>
        </w:rPr>
        <w:t>文件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供应商自行关注更正公告</w:t>
      </w:r>
      <w:r>
        <w:rPr>
          <w:rFonts w:hint="eastAsia" w:ascii="宋体" w:hAnsi="宋体" w:eastAsia="宋体" w:cs="宋体"/>
          <w:sz w:val="21"/>
          <w:szCs w:val="21"/>
          <w:highlight w:val="none"/>
        </w:rPr>
        <w:t>。但如果修改</w:t>
      </w:r>
      <w:r>
        <w:rPr>
          <w:rFonts w:hint="eastAsia" w:ascii="宋体" w:hAnsi="宋体" w:eastAsia="宋体" w:cs="宋体"/>
          <w:sz w:val="24"/>
          <w:highlight w:val="none"/>
          <w:lang w:val="en-US" w:eastAsia="zh-CN"/>
        </w:rPr>
        <w:t>竞争性磋商</w:t>
      </w:r>
      <w:r>
        <w:rPr>
          <w:rFonts w:hint="eastAsia" w:ascii="宋体" w:hAnsi="宋体" w:eastAsia="宋体" w:cs="宋体"/>
          <w:sz w:val="24"/>
          <w:highlight w:val="none"/>
        </w:rPr>
        <w:t>文件</w:t>
      </w:r>
      <w:r>
        <w:rPr>
          <w:rFonts w:hint="eastAsia" w:ascii="宋体" w:hAnsi="宋体" w:eastAsia="宋体" w:cs="宋体"/>
          <w:sz w:val="21"/>
          <w:szCs w:val="21"/>
          <w:highlight w:val="none"/>
        </w:rPr>
        <w:t>的时间距投标截止时间不足</w:t>
      </w:r>
      <w:r>
        <w:rPr>
          <w:rFonts w:hint="eastAsia" w:ascii="宋体" w:hAnsi="宋体" w:eastAsia="宋体" w:cs="宋体"/>
          <w:sz w:val="21"/>
          <w:szCs w:val="21"/>
          <w:highlight w:val="none"/>
          <w:lang w:val="en-US" w:eastAsia="zh-CN"/>
        </w:rPr>
        <w:t>5日</w:t>
      </w:r>
      <w:r>
        <w:rPr>
          <w:rFonts w:hint="eastAsia" w:ascii="宋体" w:hAnsi="宋体" w:eastAsia="宋体" w:cs="宋体"/>
          <w:sz w:val="21"/>
          <w:szCs w:val="21"/>
          <w:highlight w:val="none"/>
        </w:rPr>
        <w:t>，并且修改内容影响</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文件编制的，将相应延长投标截止时间。</w:t>
      </w:r>
    </w:p>
    <w:p w14:paraId="2A198133">
      <w:pPr>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2.3.2 </w:t>
      </w:r>
      <w:r>
        <w:rPr>
          <w:rFonts w:hint="eastAsia" w:ascii="宋体" w:hAnsi="宋体" w:eastAsia="宋体" w:cs="宋体"/>
          <w:sz w:val="21"/>
          <w:szCs w:val="21"/>
          <w:highlight w:val="none"/>
          <w:lang w:val="en-US" w:eastAsia="zh-CN"/>
        </w:rPr>
        <w:t>采购人发布更正公告后，视为供应商</w:t>
      </w:r>
      <w:r>
        <w:rPr>
          <w:rFonts w:hint="eastAsia" w:ascii="宋体" w:hAnsi="宋体" w:eastAsia="宋体" w:cs="宋体"/>
          <w:sz w:val="21"/>
          <w:szCs w:val="21"/>
          <w:highlight w:val="none"/>
        </w:rPr>
        <w:t>收到</w:t>
      </w:r>
      <w:r>
        <w:rPr>
          <w:rFonts w:hint="eastAsia" w:ascii="宋体" w:hAnsi="宋体" w:eastAsia="宋体" w:cs="宋体"/>
          <w:sz w:val="21"/>
          <w:szCs w:val="21"/>
          <w:highlight w:val="none"/>
          <w:lang w:val="en-US" w:eastAsia="zh-CN"/>
        </w:rPr>
        <w:t>更正的</w:t>
      </w:r>
      <w:r>
        <w:rPr>
          <w:rFonts w:hint="eastAsia" w:ascii="宋体" w:hAnsi="宋体" w:eastAsia="宋体" w:cs="宋体"/>
          <w:sz w:val="24"/>
          <w:highlight w:val="none"/>
          <w:lang w:val="en-US" w:eastAsia="zh-CN"/>
        </w:rPr>
        <w:t>竞争性磋商</w:t>
      </w:r>
      <w:r>
        <w:rPr>
          <w:rFonts w:hint="eastAsia" w:ascii="宋体" w:hAnsi="宋体" w:eastAsia="宋体" w:cs="宋体"/>
          <w:sz w:val="24"/>
          <w:highlight w:val="none"/>
        </w:rPr>
        <w:t>文件</w:t>
      </w:r>
      <w:r>
        <w:rPr>
          <w:rFonts w:hint="eastAsia" w:ascii="宋体" w:hAnsi="宋体" w:eastAsia="宋体" w:cs="宋体"/>
          <w:sz w:val="21"/>
          <w:szCs w:val="21"/>
          <w:highlight w:val="none"/>
        </w:rPr>
        <w:t>。</w:t>
      </w:r>
    </w:p>
    <w:p w14:paraId="39B03A79">
      <w:pPr>
        <w:spacing w:line="360" w:lineRule="auto"/>
        <w:ind w:firstLine="480" w:firstLineChars="200"/>
        <w:rPr>
          <w:rFonts w:hint="eastAsia" w:ascii="宋体" w:hAnsi="宋体" w:eastAsia="宋体" w:cs="宋体"/>
          <w:sz w:val="24"/>
          <w:highlight w:val="none"/>
        </w:rPr>
      </w:pPr>
    </w:p>
    <w:p w14:paraId="34BA48A2">
      <w:pPr>
        <w:spacing w:line="360" w:lineRule="auto"/>
        <w:ind w:firstLine="480" w:firstLineChars="200"/>
        <w:rPr>
          <w:rFonts w:hint="eastAsia" w:ascii="宋体" w:hAnsi="宋体" w:eastAsia="宋体" w:cs="宋体"/>
          <w:sz w:val="24"/>
          <w:highlight w:val="none"/>
        </w:rPr>
      </w:pPr>
    </w:p>
    <w:p w14:paraId="68F1F972">
      <w:pPr>
        <w:spacing w:line="360" w:lineRule="auto"/>
        <w:ind w:firstLine="482" w:firstLineChars="200"/>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rPr>
        <w:t xml:space="preserve">3. </w:t>
      </w:r>
      <w:r>
        <w:rPr>
          <w:rFonts w:hint="eastAsia" w:ascii="宋体" w:hAnsi="宋体" w:cs="宋体"/>
          <w:b/>
          <w:bCs/>
          <w:sz w:val="24"/>
          <w:highlight w:val="none"/>
          <w:lang w:eastAsia="zh-CN"/>
        </w:rPr>
        <w:t>响应文件</w:t>
      </w:r>
    </w:p>
    <w:p w14:paraId="0A28619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3.1 </w:t>
      </w:r>
      <w:r>
        <w:rPr>
          <w:rFonts w:hint="eastAsia" w:ascii="宋体" w:hAnsi="宋体" w:cs="宋体"/>
          <w:sz w:val="24"/>
          <w:highlight w:val="none"/>
          <w:lang w:eastAsia="zh-CN"/>
        </w:rPr>
        <w:t>响应文件</w:t>
      </w:r>
      <w:r>
        <w:rPr>
          <w:rFonts w:hint="eastAsia" w:ascii="宋体" w:hAnsi="宋体" w:eastAsia="宋体" w:cs="宋体"/>
          <w:sz w:val="24"/>
          <w:highlight w:val="none"/>
        </w:rPr>
        <w:t>的组成</w:t>
      </w:r>
    </w:p>
    <w:p w14:paraId="2770B0D6">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1、磋商响应函</w:t>
      </w:r>
    </w:p>
    <w:p w14:paraId="01C40FC8">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2、法定代表人身份证明</w:t>
      </w:r>
    </w:p>
    <w:p w14:paraId="1639EF95">
      <w:pPr>
        <w:tabs>
          <w:tab w:val="left" w:pos="1365"/>
        </w:tabs>
        <w:spacing w:line="360" w:lineRule="auto"/>
        <w:ind w:left="-4" w:leftChars="-2" w:firstLine="480" w:firstLineChars="200"/>
        <w:rPr>
          <w:rFonts w:ascii="宋体" w:hAnsi="宋体" w:cs="宋体"/>
          <w:color w:val="auto"/>
          <w:sz w:val="24"/>
          <w:highlight w:val="none"/>
        </w:rPr>
      </w:pPr>
      <w:r>
        <w:rPr>
          <w:rFonts w:hint="eastAsia" w:ascii="宋体" w:hAnsi="宋体" w:cs="宋体"/>
          <w:color w:val="auto"/>
          <w:sz w:val="24"/>
          <w:highlight w:val="none"/>
        </w:rPr>
        <w:t>3、授权委托书</w:t>
      </w:r>
    </w:p>
    <w:p w14:paraId="0F8956C5">
      <w:pPr>
        <w:tabs>
          <w:tab w:val="left" w:pos="1365"/>
        </w:tabs>
        <w:spacing w:line="360" w:lineRule="auto"/>
        <w:ind w:left="-4" w:leftChars="-2" w:firstLine="480" w:firstLineChars="200"/>
        <w:rPr>
          <w:color w:val="auto"/>
          <w:highlight w:val="none"/>
        </w:rPr>
      </w:pPr>
      <w:r>
        <w:rPr>
          <w:rFonts w:hint="eastAsia" w:ascii="宋体" w:hAnsi="宋体" w:cs="宋体"/>
          <w:color w:val="auto"/>
          <w:sz w:val="24"/>
          <w:highlight w:val="none"/>
        </w:rPr>
        <w:t>4、磋商报价表</w:t>
      </w:r>
    </w:p>
    <w:p w14:paraId="261568F8">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方案</w:t>
      </w:r>
    </w:p>
    <w:p w14:paraId="44B671D2">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、供应商基本情况</w:t>
      </w:r>
    </w:p>
    <w:p w14:paraId="64C9EDCB">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、资格条件承诺函</w:t>
      </w:r>
    </w:p>
    <w:p w14:paraId="27C2AE7A">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8、项目管理机构</w:t>
      </w:r>
    </w:p>
    <w:p w14:paraId="523F025F">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9、供应商类似项目业绩一览表</w:t>
      </w:r>
    </w:p>
    <w:p w14:paraId="515B9EFC">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、磋商保证金</w:t>
      </w:r>
    </w:p>
    <w:p w14:paraId="07E10C80">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、供应商认为需要提供的其他材料</w:t>
      </w:r>
    </w:p>
    <w:p w14:paraId="2213B2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取费报价</w:t>
      </w:r>
    </w:p>
    <w:p w14:paraId="3CC646B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 除非</w:t>
      </w:r>
      <w:r>
        <w:rPr>
          <w:rFonts w:hint="eastAsia" w:ascii="宋体" w:hAnsi="宋体" w:cs="宋体"/>
          <w:sz w:val="24"/>
          <w:highlight w:val="none"/>
          <w:lang w:eastAsia="zh-CN"/>
        </w:rPr>
        <w:t>竞争性磋商文件</w:t>
      </w:r>
      <w:r>
        <w:rPr>
          <w:rFonts w:hint="eastAsia" w:ascii="宋体" w:hAnsi="宋体" w:eastAsia="宋体" w:cs="宋体"/>
          <w:sz w:val="24"/>
          <w:highlight w:val="none"/>
        </w:rPr>
        <w:t>中另有规定，服务取费报价应包括完成本项目过程中提供的所有服务，所需采购人支付的全部服务费。</w:t>
      </w:r>
    </w:p>
    <w:p w14:paraId="7A19D52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设计费用在合同实施期间固定不变。</w:t>
      </w:r>
    </w:p>
    <w:p w14:paraId="346781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 磋商响应有效期</w:t>
      </w:r>
    </w:p>
    <w:p w14:paraId="6BA04A8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 在供应商须知前附表规定的磋商响应有效期内，供应商不得要求撤销或修改其</w:t>
      </w:r>
      <w:r>
        <w:rPr>
          <w:rFonts w:hint="eastAsia" w:ascii="宋体" w:hAnsi="宋体" w:cs="宋体"/>
          <w:sz w:val="24"/>
          <w:highlight w:val="none"/>
          <w:lang w:eastAsia="zh-CN"/>
        </w:rPr>
        <w:t>响应文件</w:t>
      </w:r>
      <w:r>
        <w:rPr>
          <w:rFonts w:hint="eastAsia" w:ascii="宋体" w:hAnsi="宋体" w:eastAsia="宋体" w:cs="宋体"/>
          <w:sz w:val="24"/>
          <w:highlight w:val="none"/>
        </w:rPr>
        <w:t>。</w:t>
      </w:r>
    </w:p>
    <w:p w14:paraId="0A50B4B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3.3.2出现特殊情况需要延长磋商响应有效期的，采购人以书面形式通知所有供应商延长磋商响应有效期。供应商同意延长的，应相应延长其磋商保证金的有效期，但不得要求或被允许修改或撤销其</w:t>
      </w:r>
      <w:r>
        <w:rPr>
          <w:rFonts w:hint="eastAsia" w:ascii="宋体" w:hAnsi="宋体" w:cs="宋体"/>
          <w:sz w:val="24"/>
          <w:highlight w:val="none"/>
          <w:lang w:eastAsia="zh-CN"/>
        </w:rPr>
        <w:t>响应文件</w:t>
      </w:r>
      <w:r>
        <w:rPr>
          <w:rFonts w:hint="eastAsia" w:ascii="宋体" w:hAnsi="宋体" w:eastAsia="宋体" w:cs="宋体"/>
          <w:sz w:val="24"/>
          <w:highlight w:val="none"/>
        </w:rPr>
        <w:t xml:space="preserve">；供应商拒绝延长的，其响应失效，但供应商有权收回其磋商保证金。 </w:t>
      </w:r>
    </w:p>
    <w:p w14:paraId="2070AFC5">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3.4 磋商保证金</w:t>
      </w:r>
    </w:p>
    <w:p w14:paraId="2138BB7F">
      <w:pPr>
        <w:spacing w:line="360" w:lineRule="auto"/>
        <w:ind w:firstLine="482" w:firstLineChars="200"/>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依据长财采购【</w:t>
      </w:r>
      <w:r>
        <w:rPr>
          <w:rFonts w:hint="eastAsia" w:ascii="宋体" w:hAnsi="宋体" w:eastAsia="宋体" w:cs="宋体"/>
          <w:b/>
          <w:bCs/>
          <w:sz w:val="24"/>
          <w:highlight w:val="none"/>
          <w:lang w:val="en-US" w:eastAsia="zh-CN"/>
        </w:rPr>
        <w:t>2021</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695号文件规定，</w:t>
      </w:r>
      <w:r>
        <w:rPr>
          <w:rFonts w:hint="eastAsia" w:ascii="宋体" w:hAnsi="宋体" w:eastAsia="宋体" w:cs="宋体"/>
          <w:b/>
          <w:bCs/>
          <w:sz w:val="24"/>
          <w:highlight w:val="none"/>
        </w:rPr>
        <w:t>对于诚信良好的供应商可免收</w:t>
      </w:r>
      <w:r>
        <w:rPr>
          <w:rFonts w:hint="eastAsia" w:ascii="宋体" w:hAnsi="宋体" w:eastAsia="宋体" w:cs="宋体"/>
          <w:b/>
          <w:bCs/>
          <w:sz w:val="24"/>
          <w:highlight w:val="none"/>
          <w:lang w:eastAsia="zh-CN"/>
        </w:rPr>
        <w:t>磋商</w:t>
      </w:r>
      <w:r>
        <w:rPr>
          <w:rFonts w:hint="eastAsia" w:ascii="宋体" w:hAnsi="宋体" w:eastAsia="宋体" w:cs="宋体"/>
          <w:b/>
          <w:bCs/>
          <w:sz w:val="24"/>
          <w:highlight w:val="none"/>
        </w:rPr>
        <w:t>保证金；</w:t>
      </w:r>
      <w:r>
        <w:rPr>
          <w:rFonts w:hint="eastAsia" w:ascii="宋体" w:hAnsi="宋体" w:eastAsia="宋体" w:cs="宋体"/>
          <w:sz w:val="24"/>
          <w:highlight w:val="none"/>
        </w:rPr>
        <w:t>但对于满足《中华人民共和国政府采购法》第二十二条有关规定，经“信用中国”网站查询存在行政处罚信息的供应商，须按规定提交</w:t>
      </w:r>
      <w:r>
        <w:rPr>
          <w:rFonts w:hint="eastAsia" w:ascii="宋体" w:hAnsi="宋体" w:eastAsia="宋体" w:cs="宋体"/>
          <w:sz w:val="24"/>
          <w:highlight w:val="none"/>
          <w:lang w:eastAsia="zh-CN"/>
        </w:rPr>
        <w:t>磋商</w:t>
      </w:r>
      <w:r>
        <w:rPr>
          <w:rFonts w:hint="eastAsia" w:ascii="宋体" w:hAnsi="宋体" w:eastAsia="宋体" w:cs="宋体"/>
          <w:sz w:val="24"/>
          <w:highlight w:val="none"/>
        </w:rPr>
        <w:t>保证金</w:t>
      </w:r>
      <w:r>
        <w:rPr>
          <w:rFonts w:hint="eastAsia" w:ascii="宋体" w:hAnsi="宋体" w:eastAsia="宋体" w:cs="宋体"/>
          <w:sz w:val="24"/>
          <w:highlight w:val="none"/>
          <w:lang w:eastAsia="zh-CN"/>
        </w:rPr>
        <w:t>；</w:t>
      </w:r>
    </w:p>
    <w:p w14:paraId="59CEBED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供应商在</w:t>
      </w:r>
      <w:r>
        <w:rPr>
          <w:rFonts w:hint="eastAsia" w:ascii="宋体" w:hAnsi="宋体" w:cs="宋体"/>
          <w:sz w:val="24"/>
          <w:highlight w:val="none"/>
          <w:lang w:eastAsia="zh-CN"/>
        </w:rPr>
        <w:t>提交响应文件</w:t>
      </w:r>
      <w:r>
        <w:rPr>
          <w:rFonts w:hint="eastAsia" w:ascii="宋体" w:hAnsi="宋体" w:eastAsia="宋体" w:cs="宋体"/>
          <w:sz w:val="24"/>
          <w:highlight w:val="none"/>
        </w:rPr>
        <w:t>的同时，应按供应商须知前附表规定的金额、担保形式和第六章“</w:t>
      </w:r>
      <w:r>
        <w:rPr>
          <w:rFonts w:hint="eastAsia" w:ascii="宋体" w:hAnsi="宋体" w:cs="宋体"/>
          <w:sz w:val="24"/>
          <w:highlight w:val="none"/>
          <w:lang w:eastAsia="zh-CN"/>
        </w:rPr>
        <w:t>响应文件</w:t>
      </w:r>
      <w:r>
        <w:rPr>
          <w:rFonts w:hint="eastAsia" w:ascii="宋体" w:hAnsi="宋体" w:eastAsia="宋体" w:cs="宋体"/>
          <w:sz w:val="24"/>
          <w:highlight w:val="none"/>
        </w:rPr>
        <w:t>格式”规定的磋商保证金格式</w:t>
      </w:r>
      <w:r>
        <w:rPr>
          <w:rFonts w:hint="eastAsia" w:ascii="宋体" w:hAnsi="宋体" w:cs="宋体"/>
          <w:sz w:val="24"/>
          <w:highlight w:val="none"/>
          <w:lang w:eastAsia="zh-CN"/>
        </w:rPr>
        <w:t>提交</w:t>
      </w:r>
      <w:r>
        <w:rPr>
          <w:rFonts w:hint="eastAsia" w:ascii="宋体" w:hAnsi="宋体" w:eastAsia="宋体" w:cs="宋体"/>
          <w:sz w:val="24"/>
          <w:highlight w:val="none"/>
        </w:rPr>
        <w:t>磋商保证金，并作为其</w:t>
      </w:r>
      <w:r>
        <w:rPr>
          <w:rFonts w:hint="eastAsia" w:ascii="宋体" w:hAnsi="宋体" w:cs="宋体"/>
          <w:sz w:val="24"/>
          <w:highlight w:val="none"/>
          <w:lang w:eastAsia="zh-CN"/>
        </w:rPr>
        <w:t>响应文件</w:t>
      </w:r>
      <w:r>
        <w:rPr>
          <w:rFonts w:hint="eastAsia" w:ascii="宋体" w:hAnsi="宋体" w:eastAsia="宋体" w:cs="宋体"/>
          <w:sz w:val="24"/>
          <w:highlight w:val="none"/>
        </w:rPr>
        <w:t>的组成部分。联合体参加的，其磋商保证金由牵头人</w:t>
      </w:r>
      <w:r>
        <w:rPr>
          <w:rFonts w:hint="eastAsia" w:ascii="宋体" w:hAnsi="宋体" w:cs="宋体"/>
          <w:sz w:val="24"/>
          <w:highlight w:val="none"/>
          <w:lang w:eastAsia="zh-CN"/>
        </w:rPr>
        <w:t>提交</w:t>
      </w:r>
      <w:r>
        <w:rPr>
          <w:rFonts w:hint="eastAsia" w:ascii="宋体" w:hAnsi="宋体" w:eastAsia="宋体" w:cs="宋体"/>
          <w:sz w:val="24"/>
          <w:highlight w:val="none"/>
        </w:rPr>
        <w:t>，并应符合供应商须知前附表的规定。</w:t>
      </w:r>
    </w:p>
    <w:p w14:paraId="70CFF9D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 供应商不按本章第3.4.1项要求提交磋商保证金的，将导致</w:t>
      </w:r>
      <w:r>
        <w:rPr>
          <w:rFonts w:hint="eastAsia" w:ascii="宋体" w:hAnsi="宋体" w:cs="宋体"/>
          <w:sz w:val="24"/>
          <w:highlight w:val="none"/>
          <w:lang w:eastAsia="zh-CN"/>
        </w:rPr>
        <w:t>响应文件</w:t>
      </w:r>
      <w:r>
        <w:rPr>
          <w:rFonts w:hint="eastAsia" w:ascii="宋体" w:hAnsi="宋体" w:eastAsia="宋体" w:cs="宋体"/>
          <w:sz w:val="24"/>
          <w:highlight w:val="none"/>
        </w:rPr>
        <w:t>被否决。</w:t>
      </w:r>
    </w:p>
    <w:p w14:paraId="54E0F61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3.4.3 采购人与中选人签订合同后5个工作日内，向未中选的供应商和中选人退还磋商保证金。</w:t>
      </w:r>
    </w:p>
    <w:p w14:paraId="535601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3.4.4 有下列情形之一的，磋商保证金将不予退还：</w:t>
      </w:r>
    </w:p>
    <w:p w14:paraId="20499B8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（1）供应商在规定的磋商有效期内撤销或修改其</w:t>
      </w:r>
      <w:r>
        <w:rPr>
          <w:rFonts w:hint="eastAsia" w:ascii="宋体" w:hAnsi="宋体" w:cs="宋体"/>
          <w:sz w:val="24"/>
          <w:highlight w:val="none"/>
          <w:lang w:eastAsia="zh-CN"/>
        </w:rPr>
        <w:t>响应文件</w:t>
      </w:r>
      <w:r>
        <w:rPr>
          <w:rFonts w:hint="eastAsia" w:ascii="宋体" w:hAnsi="宋体" w:eastAsia="宋体" w:cs="宋体"/>
          <w:sz w:val="24"/>
          <w:highlight w:val="none"/>
        </w:rPr>
        <w:t>；</w:t>
      </w:r>
    </w:p>
    <w:p w14:paraId="4A9D21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w:t>
      </w:r>
      <w:r>
        <w:rPr>
          <w:rFonts w:hint="eastAsia" w:ascii="宋体" w:hAnsi="宋体" w:cs="宋体"/>
          <w:sz w:val="24"/>
          <w:highlight w:val="none"/>
          <w:lang w:val="en-US" w:eastAsia="zh-CN"/>
        </w:rPr>
        <w:t>标</w:t>
      </w:r>
      <w:r>
        <w:rPr>
          <w:rFonts w:hint="eastAsia" w:ascii="宋体" w:hAnsi="宋体" w:eastAsia="宋体" w:cs="宋体"/>
          <w:sz w:val="24"/>
          <w:highlight w:val="none"/>
        </w:rPr>
        <w:t>人在收到成交通知书后，无正当理由拒签合同协议书或未按</w:t>
      </w:r>
      <w:r>
        <w:rPr>
          <w:rFonts w:hint="eastAsia" w:ascii="宋体" w:hAnsi="宋体" w:cs="宋体"/>
          <w:sz w:val="24"/>
          <w:highlight w:val="none"/>
          <w:lang w:eastAsia="zh-CN"/>
        </w:rPr>
        <w:t>竞争性磋商文件</w:t>
      </w:r>
      <w:r>
        <w:rPr>
          <w:rFonts w:hint="eastAsia" w:ascii="宋体" w:hAnsi="宋体" w:eastAsia="宋体" w:cs="宋体"/>
          <w:sz w:val="24"/>
          <w:highlight w:val="none"/>
        </w:rPr>
        <w:t>规定提交履约担保。</w:t>
      </w:r>
    </w:p>
    <w:p w14:paraId="1149CC2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 资格审查资料</w:t>
      </w:r>
    </w:p>
    <w:p w14:paraId="2A2BC1C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 “供应商基本情况表”应附供应商营业执照副本等材料的复印件</w:t>
      </w:r>
      <w:r>
        <w:rPr>
          <w:rFonts w:hint="eastAsia" w:ascii="宋体" w:hAnsi="宋体" w:eastAsia="宋体" w:cs="宋体"/>
          <w:sz w:val="24"/>
          <w:highlight w:val="none"/>
          <w:lang w:eastAsia="zh-CN"/>
        </w:rPr>
        <w:t>加盖公章</w:t>
      </w:r>
      <w:r>
        <w:rPr>
          <w:rFonts w:hint="eastAsia" w:ascii="宋体" w:hAnsi="宋体" w:eastAsia="宋体" w:cs="宋体"/>
          <w:sz w:val="24"/>
          <w:highlight w:val="none"/>
        </w:rPr>
        <w:t>。</w:t>
      </w:r>
    </w:p>
    <w:p w14:paraId="0A00BB7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3.5.2 “近年财务状况表”应附</w:t>
      </w:r>
      <w:r>
        <w:rPr>
          <w:rFonts w:hint="eastAsia" w:ascii="宋体" w:hAnsi="宋体" w:eastAsia="宋体" w:cs="宋体"/>
          <w:kern w:val="2"/>
          <w:sz w:val="24"/>
          <w:szCs w:val="24"/>
          <w:highlight w:val="none"/>
          <w:lang w:val="en-US" w:eastAsia="zh-CN" w:bidi="ar-SA"/>
        </w:rPr>
        <w:t>财务状况良好资格条件承诺函</w:t>
      </w:r>
      <w:r>
        <w:rPr>
          <w:rFonts w:hint="eastAsia" w:ascii="宋体" w:hAnsi="宋体" w:eastAsia="宋体" w:cs="宋体"/>
          <w:sz w:val="24"/>
          <w:highlight w:val="none"/>
        </w:rPr>
        <w:t>。</w:t>
      </w:r>
    </w:p>
    <w:p w14:paraId="3236125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3.5.3 “近年完成的类似项目情况表”应附中标通知书和（或）合同协议书的复印件加盖公章，具体年份要求见供应商须知前附表。</w:t>
      </w:r>
    </w:p>
    <w:p w14:paraId="26BDD68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3.5.4 “近年发生的诉讼及仲裁情况”应说明相关情况，并附法院或仲裁机构作出的判决、裁决等有关法律文书复印件，具体年份要求见供应商须知前附表，无诉讼仲裁则不用提供。</w:t>
      </w:r>
    </w:p>
    <w:p w14:paraId="3984679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3.5.5 供应商须知前附表规定接受联合体参加的，本章第3.5.1项至第3.5.4项规定的表格和资料应包括联合体各方相关情况。</w:t>
      </w:r>
    </w:p>
    <w:p w14:paraId="45F8C4A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 备选</w:t>
      </w:r>
      <w:r>
        <w:rPr>
          <w:rFonts w:hint="eastAsia" w:ascii="宋体" w:hAnsi="宋体" w:cs="宋体"/>
          <w:sz w:val="24"/>
          <w:highlight w:val="none"/>
          <w:lang w:eastAsia="zh-CN"/>
        </w:rPr>
        <w:t>供应商</w:t>
      </w:r>
      <w:r>
        <w:rPr>
          <w:rFonts w:hint="eastAsia" w:ascii="宋体" w:hAnsi="宋体" w:eastAsia="宋体" w:cs="宋体"/>
          <w:sz w:val="24"/>
          <w:highlight w:val="none"/>
        </w:rPr>
        <w:t>案</w:t>
      </w:r>
    </w:p>
    <w:p w14:paraId="50B7C7B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除供应商须知前附表另有规定外，供应商不得</w:t>
      </w:r>
      <w:r>
        <w:rPr>
          <w:rFonts w:hint="eastAsia" w:ascii="宋体" w:hAnsi="宋体" w:cs="宋体"/>
          <w:sz w:val="24"/>
          <w:highlight w:val="none"/>
          <w:lang w:eastAsia="zh-CN"/>
        </w:rPr>
        <w:t>提交</w:t>
      </w:r>
      <w:r>
        <w:rPr>
          <w:rFonts w:hint="eastAsia" w:ascii="宋体" w:hAnsi="宋体" w:eastAsia="宋体" w:cs="宋体"/>
          <w:sz w:val="24"/>
          <w:highlight w:val="none"/>
        </w:rPr>
        <w:t>备选磋商响应方案。</w:t>
      </w:r>
    </w:p>
    <w:p w14:paraId="4C99A4B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3.7 </w:t>
      </w:r>
      <w:r>
        <w:rPr>
          <w:rFonts w:hint="eastAsia" w:ascii="宋体" w:hAnsi="宋体" w:cs="宋体"/>
          <w:sz w:val="24"/>
          <w:highlight w:val="none"/>
          <w:lang w:eastAsia="zh-CN"/>
        </w:rPr>
        <w:t>响应文件</w:t>
      </w:r>
      <w:r>
        <w:rPr>
          <w:rFonts w:hint="eastAsia" w:ascii="宋体" w:hAnsi="宋体" w:eastAsia="宋体" w:cs="宋体"/>
          <w:sz w:val="24"/>
          <w:highlight w:val="none"/>
        </w:rPr>
        <w:t>的编制</w:t>
      </w:r>
    </w:p>
    <w:p w14:paraId="1021098F">
      <w:p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3.7.1供应商应按竞争性磋商文件要求编制响应文件，将所有响应文件内容上传至“政采云”平台，并在开启时间持制作响应文件时用来加密的有效数字证书（CA认证）对响应文件进行解密。</w:t>
      </w:r>
    </w:p>
    <w:p w14:paraId="0730870E">
      <w:pPr>
        <w:pStyle w:val="3"/>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3.7.2电子响应文件中反应供应商资格审查的图片、扫描件、文字描述等，必须清晰可见。其中所有证书和执照必须为原件扫描。</w:t>
      </w:r>
    </w:p>
    <w:p w14:paraId="4CFABB32">
      <w:pPr>
        <w:pStyle w:val="3"/>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3.7.3若供应商上传的电子响应文件因无法解密而对响应文件无法进行评标的，采购人可以拒绝该供应商投标。</w:t>
      </w:r>
    </w:p>
    <w:p w14:paraId="1E2034A2">
      <w:pPr>
        <w:pStyle w:val="3"/>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3.7.4上传至“政采云”平台的响应文件所有要求盖章或签字的地方均应加盖供应商印章并经法定代表人或其委托代理人签字或盖章。</w:t>
      </w:r>
    </w:p>
    <w:p w14:paraId="3D5E132E">
      <w:pPr>
        <w:rPr>
          <w:rFonts w:hint="eastAsia"/>
          <w:lang w:val="en-US" w:eastAsia="zh-CN"/>
        </w:rPr>
      </w:pPr>
    </w:p>
    <w:p w14:paraId="7EBA1BAD">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4. 磋商前</w:t>
      </w:r>
    </w:p>
    <w:p w14:paraId="468821CC">
      <w:pPr>
        <w:shd w:val="clea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4.1 响应文件份数</w:t>
      </w:r>
    </w:p>
    <w:p w14:paraId="534C3AAD">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4.1.1供应商在“政采云”平台（http：//www.zcygov.cn）上制作响应文件1份（此响应文件须上传至“政采云”平台）。</w:t>
      </w:r>
    </w:p>
    <w:p w14:paraId="56D25BFB">
      <w:pPr>
        <w:shd w:val="clear"/>
        <w:spacing w:line="360" w:lineRule="auto"/>
        <w:ind w:firstLine="480" w:firstLineChars="200"/>
        <w:rPr>
          <w:rFonts w:hint="eastAsia" w:ascii="宋体" w:hAnsi="宋体" w:eastAsia="宋体" w:cs="宋体"/>
          <w:color w:val="000000"/>
          <w:kern w:val="15"/>
          <w:sz w:val="24"/>
          <w:szCs w:val="24"/>
          <w:highlight w:val="none"/>
        </w:rPr>
      </w:pPr>
      <w:r>
        <w:rPr>
          <w:rFonts w:hint="eastAsia" w:ascii="宋体" w:hAnsi="宋体" w:eastAsia="宋体" w:cs="宋体"/>
          <w:sz w:val="24"/>
          <w:highlight w:val="none"/>
        </w:rPr>
        <w:t xml:space="preserve">4.2 </w:t>
      </w:r>
      <w:r>
        <w:rPr>
          <w:rFonts w:hint="eastAsia" w:ascii="宋体" w:hAnsi="宋体" w:cs="宋体"/>
          <w:sz w:val="24"/>
          <w:highlight w:val="none"/>
          <w:lang w:eastAsia="zh-CN"/>
        </w:rPr>
        <w:t>响应文件</w:t>
      </w:r>
      <w:r>
        <w:rPr>
          <w:rFonts w:hint="eastAsia" w:ascii="宋体" w:hAnsi="宋体" w:eastAsia="宋体" w:cs="宋体"/>
          <w:sz w:val="24"/>
          <w:highlight w:val="none"/>
        </w:rPr>
        <w:t>的</w:t>
      </w:r>
      <w:r>
        <w:rPr>
          <w:rFonts w:hint="eastAsia" w:ascii="宋体" w:hAnsi="宋体" w:cs="宋体"/>
          <w:sz w:val="24"/>
          <w:highlight w:val="none"/>
          <w:lang w:eastAsia="zh-CN"/>
        </w:rPr>
        <w:t>提交</w:t>
      </w:r>
    </w:p>
    <w:p w14:paraId="0D8A7199">
      <w:pPr>
        <w:shd w:val="clea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4.2.1</w:t>
      </w:r>
      <w:r>
        <w:rPr>
          <w:rFonts w:hint="eastAsia" w:ascii="宋体" w:hAnsi="宋体" w:eastAsia="宋体" w:cs="宋体"/>
          <w:sz w:val="24"/>
          <w:highlight w:val="none"/>
        </w:rPr>
        <w:t>、供应商须在“政采云投标客户端”按照本项目竞争性磋商文件和政府采购云平台要求编制，将所有响应文件内容上传至“政采云”平台，并在开启时间后</w:t>
      </w:r>
      <w:r>
        <w:rPr>
          <w:rFonts w:hint="eastAsia" w:ascii="宋体" w:hAnsi="宋体" w:cs="宋体"/>
          <w:sz w:val="24"/>
          <w:highlight w:val="none"/>
          <w:lang w:val="en-US" w:eastAsia="zh-CN"/>
        </w:rPr>
        <w:t>30</w:t>
      </w:r>
      <w:r>
        <w:rPr>
          <w:rFonts w:hint="eastAsia" w:ascii="宋体" w:hAnsi="宋体" w:eastAsia="宋体" w:cs="宋体"/>
          <w:sz w:val="24"/>
          <w:highlight w:val="none"/>
        </w:rPr>
        <w:t>分钟内持制作响应文件时用来加密的有效数字证书（CA认证）对响应文件进行解密。</w:t>
      </w:r>
    </w:p>
    <w:p w14:paraId="152A3DE6">
      <w:pPr>
        <w:shd w:val="clea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4.2.2</w:t>
      </w:r>
      <w:r>
        <w:rPr>
          <w:rFonts w:hint="eastAsia" w:ascii="宋体" w:hAnsi="宋体" w:eastAsia="宋体" w:cs="宋体"/>
          <w:sz w:val="24"/>
          <w:highlight w:val="none"/>
        </w:rPr>
        <w:t>、</w:t>
      </w:r>
      <w:r>
        <w:rPr>
          <w:rFonts w:hint="default" w:ascii="宋体" w:hAnsi="宋体" w:eastAsia="宋体" w:cs="宋体"/>
          <w:sz w:val="24"/>
          <w:highlight w:val="none"/>
          <w:lang w:val="en-US" w:eastAsia="zh-CN"/>
        </w:rPr>
        <w:t>供应商在制作响应文件时，响应文件以“政采云”平台的响应文件格式为准。</w:t>
      </w:r>
    </w:p>
    <w:p w14:paraId="454DD577">
      <w:pPr>
        <w:shd w:val="clea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4.2.3</w:t>
      </w:r>
      <w:r>
        <w:rPr>
          <w:rFonts w:hint="eastAsia" w:ascii="宋体" w:hAnsi="宋体" w:eastAsia="宋体" w:cs="宋体"/>
          <w:sz w:val="24"/>
          <w:highlight w:val="none"/>
        </w:rPr>
        <w:t>、电子响应文件中反应供应商资格审查的图片、扫描件、文字描述等，必须清晰可见。其中所有证</w:t>
      </w:r>
      <w:r>
        <w:rPr>
          <w:rFonts w:hint="eastAsia" w:ascii="宋体" w:hAnsi="宋体" w:cs="宋体"/>
          <w:sz w:val="24"/>
          <w:highlight w:val="none"/>
          <w:lang w:val="en-US" w:eastAsia="zh-CN"/>
        </w:rPr>
        <w:t>件</w:t>
      </w:r>
      <w:r>
        <w:rPr>
          <w:rFonts w:hint="eastAsia" w:ascii="宋体" w:hAnsi="宋体" w:eastAsia="宋体" w:cs="宋体"/>
          <w:sz w:val="24"/>
          <w:highlight w:val="none"/>
        </w:rPr>
        <w:t>必须为原件扫描。</w:t>
      </w:r>
    </w:p>
    <w:p w14:paraId="0EC096C7">
      <w:pPr>
        <w:shd w:val="clea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4.2.4</w:t>
      </w:r>
      <w:r>
        <w:rPr>
          <w:rFonts w:hint="eastAsia" w:ascii="宋体" w:hAnsi="宋体" w:eastAsia="宋体" w:cs="宋体"/>
          <w:sz w:val="24"/>
          <w:highlight w:val="none"/>
        </w:rPr>
        <w:t>、若供应商上传的电子响应文件</w:t>
      </w:r>
      <w:r>
        <w:rPr>
          <w:rFonts w:hint="eastAsia" w:ascii="宋体" w:hAnsi="宋体" w:cs="宋体"/>
          <w:sz w:val="24"/>
          <w:highlight w:val="none"/>
          <w:lang w:val="en-US" w:eastAsia="zh-CN"/>
        </w:rPr>
        <w:t>在规定的时间内</w:t>
      </w:r>
      <w:r>
        <w:rPr>
          <w:rFonts w:hint="eastAsia" w:ascii="宋体" w:hAnsi="宋体" w:eastAsia="宋体" w:cs="宋体"/>
          <w:sz w:val="24"/>
          <w:highlight w:val="none"/>
        </w:rPr>
        <w:t>无法解密而对响应文件无法进行评标的，采购人可以拒绝该供应商投标。</w:t>
      </w:r>
    </w:p>
    <w:p w14:paraId="19B6446E">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 </w:t>
      </w:r>
      <w:r>
        <w:rPr>
          <w:rFonts w:hint="eastAsia" w:ascii="宋体" w:hAnsi="宋体" w:cs="宋体"/>
          <w:sz w:val="24"/>
          <w:highlight w:val="none"/>
          <w:lang w:eastAsia="zh-CN"/>
        </w:rPr>
        <w:t>响应文件</w:t>
      </w:r>
      <w:r>
        <w:rPr>
          <w:rFonts w:hint="eastAsia" w:ascii="宋体" w:hAnsi="宋体" w:eastAsia="宋体" w:cs="宋体"/>
          <w:sz w:val="24"/>
          <w:highlight w:val="none"/>
        </w:rPr>
        <w:t>的修改与撤回</w:t>
      </w:r>
    </w:p>
    <w:p w14:paraId="0F5CC614">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4.3.1</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应当在</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截止时间前完成</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文件的传输</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交，并可以补充、修改或者撤回</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文件。补充或者修改</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文件的，应当先行撤回原文件，补充、修改后重新传输</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交。</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截止时间前未完成传输的，视为撤回</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截止时间后</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交的</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文件，“政采云”平台将拒收。</w:t>
      </w:r>
    </w:p>
    <w:p w14:paraId="532B8D27">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4.3.2 “政采云”平台收到</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文件，在</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截止时间前，除</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补充、修改或者撤回</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外，任何单位和个人不得解密或提取</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w:t>
      </w:r>
    </w:p>
    <w:p w14:paraId="45D0E1B1">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4.3.3 在</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w:t>
      </w:r>
      <w:r>
        <w:rPr>
          <w:rFonts w:hint="eastAsia" w:ascii="宋体" w:hAnsi="宋体" w:eastAsia="宋体" w:cs="宋体"/>
          <w:sz w:val="24"/>
          <w:highlight w:val="none"/>
          <w:lang w:val="en-US" w:eastAsia="zh-CN"/>
        </w:rPr>
        <w:t>止</w:t>
      </w:r>
      <w:r>
        <w:rPr>
          <w:rFonts w:hint="eastAsia" w:ascii="宋体" w:hAnsi="宋体" w:eastAsia="宋体" w:cs="宋体"/>
          <w:sz w:val="24"/>
          <w:highlight w:val="none"/>
        </w:rPr>
        <w:t>提交</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不足3家时，</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由代理机构在“政采云”平台操作退回，除此之外</w:t>
      </w:r>
      <w:r>
        <w:rPr>
          <w:rFonts w:hint="eastAsia" w:ascii="宋体" w:hAnsi="宋体" w:eastAsia="宋体" w:cs="宋体"/>
          <w:sz w:val="24"/>
          <w:highlight w:val="none"/>
          <w:lang w:eastAsia="zh-CN"/>
        </w:rPr>
        <w:t>采购人和采购代理机构</w:t>
      </w:r>
      <w:r>
        <w:rPr>
          <w:rFonts w:hint="eastAsia" w:ascii="宋体" w:hAnsi="宋体" w:eastAsia="宋体" w:cs="宋体"/>
          <w:sz w:val="24"/>
          <w:highlight w:val="none"/>
        </w:rPr>
        <w:t>对已提交的</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概不退回。</w:t>
      </w:r>
    </w:p>
    <w:p w14:paraId="76DBC398">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5. 磋商</w:t>
      </w:r>
    </w:p>
    <w:p w14:paraId="661B2D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 磋商时间和地点</w:t>
      </w:r>
    </w:p>
    <w:p w14:paraId="01B30909">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采购人在规定的递交</w:t>
      </w:r>
      <w:r>
        <w:rPr>
          <w:rFonts w:hint="eastAsia" w:ascii="宋体" w:hAnsi="宋体" w:cs="宋体"/>
          <w:sz w:val="24"/>
          <w:highlight w:val="none"/>
          <w:lang w:eastAsia="zh-CN"/>
        </w:rPr>
        <w:t>响应文件</w:t>
      </w:r>
      <w:r>
        <w:rPr>
          <w:rFonts w:hint="eastAsia" w:ascii="宋体" w:hAnsi="宋体" w:eastAsia="宋体" w:cs="宋体"/>
          <w:sz w:val="24"/>
          <w:highlight w:val="none"/>
        </w:rPr>
        <w:t>截止时间（磋商时间）和供应商须知前附表规定的地点磋商，并邀请所有供应商的法定代表人或其委托代理人准时参加。</w:t>
      </w:r>
    </w:p>
    <w:p w14:paraId="170898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 磋商程序</w:t>
      </w:r>
    </w:p>
    <w:p w14:paraId="34221807">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第一步：磋商小组对响应文件的有效性、完整性和响应程度进行资格</w:t>
      </w:r>
      <w:r>
        <w:rPr>
          <w:rFonts w:hint="eastAsia" w:ascii="宋体" w:hAnsi="宋体" w:eastAsia="宋体" w:cs="宋体"/>
          <w:sz w:val="24"/>
          <w:highlight w:val="none"/>
          <w:lang w:val="en-US" w:eastAsia="zh-CN"/>
        </w:rPr>
        <w:t>性</w:t>
      </w:r>
      <w:r>
        <w:rPr>
          <w:rFonts w:hint="eastAsia" w:ascii="宋体" w:hAnsi="宋体" w:eastAsia="宋体" w:cs="宋体"/>
          <w:sz w:val="24"/>
          <w:highlight w:val="none"/>
        </w:rPr>
        <w:t>审查</w:t>
      </w:r>
      <w:r>
        <w:rPr>
          <w:rFonts w:hint="eastAsia" w:ascii="宋体" w:hAnsi="宋体" w:cs="宋体"/>
          <w:sz w:val="24"/>
          <w:highlight w:val="none"/>
          <w:lang w:eastAsia="zh-CN"/>
        </w:rPr>
        <w:t>、</w:t>
      </w:r>
      <w:r>
        <w:rPr>
          <w:rFonts w:hint="eastAsia" w:ascii="宋体" w:hAnsi="宋体" w:cs="宋体"/>
          <w:sz w:val="24"/>
          <w:highlight w:val="none"/>
          <w:lang w:val="en-US" w:eastAsia="zh-CN"/>
        </w:rPr>
        <w:t>符合性审查</w:t>
      </w:r>
      <w:r>
        <w:rPr>
          <w:rFonts w:hint="eastAsia" w:ascii="宋体" w:hAnsi="宋体" w:eastAsia="宋体" w:cs="宋体"/>
          <w:sz w:val="24"/>
          <w:highlight w:val="none"/>
        </w:rPr>
        <w:t>，具体内容详见资格</w:t>
      </w:r>
      <w:r>
        <w:rPr>
          <w:rFonts w:hint="eastAsia" w:ascii="宋体" w:hAnsi="宋体" w:eastAsia="宋体" w:cs="宋体"/>
          <w:sz w:val="24"/>
          <w:highlight w:val="none"/>
          <w:lang w:val="en-US" w:eastAsia="zh-CN"/>
        </w:rPr>
        <w:t>性</w:t>
      </w:r>
      <w:r>
        <w:rPr>
          <w:rFonts w:hint="eastAsia" w:ascii="宋体" w:hAnsi="宋体" w:eastAsia="宋体" w:cs="宋体"/>
          <w:sz w:val="24"/>
          <w:highlight w:val="none"/>
        </w:rPr>
        <w:t>审查</w:t>
      </w:r>
      <w:r>
        <w:rPr>
          <w:rFonts w:hint="eastAsia" w:ascii="宋体" w:hAnsi="宋体" w:eastAsia="宋体" w:cs="宋体"/>
          <w:sz w:val="24"/>
          <w:highlight w:val="none"/>
          <w:lang w:val="en-US" w:eastAsia="zh-CN"/>
        </w:rPr>
        <w:t>表及</w:t>
      </w:r>
      <w:r>
        <w:rPr>
          <w:rFonts w:hint="eastAsia" w:ascii="宋体" w:hAnsi="宋体" w:cs="宋体"/>
          <w:sz w:val="24"/>
          <w:highlight w:val="none"/>
          <w:lang w:val="en-US" w:eastAsia="zh-CN"/>
        </w:rPr>
        <w:t>符合性审查表。</w:t>
      </w:r>
    </w:p>
    <w:p w14:paraId="197B280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5233B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00BA886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有下列情况之一者，磋商小组认定其为不合格供应商，并取消其磋商资格：</w:t>
      </w:r>
    </w:p>
    <w:p w14:paraId="655C28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（1）法定代表人或法定代表人委托人未参加磋商仪式的；</w:t>
      </w:r>
    </w:p>
    <w:p w14:paraId="7C4C866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（2）未加盖供应商公章，也未经法定代表人签章或其授权代理人签字的；</w:t>
      </w:r>
    </w:p>
    <w:p w14:paraId="132F91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（3）响应文件未按</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的要求制作的；响应文件内容字迹模糊、无法辨认的；</w:t>
      </w:r>
    </w:p>
    <w:p w14:paraId="38CA05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（4）供应商资格不符合供应商须知规定的合格条件的；</w:t>
      </w:r>
    </w:p>
    <w:p w14:paraId="58385A6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（5）技术文件不符合响应文件规定合格性标准的；</w:t>
      </w:r>
    </w:p>
    <w:p w14:paraId="2CA7E50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（6）响应文件附有采购人不能接受的条件；</w:t>
      </w:r>
    </w:p>
    <w:p w14:paraId="1CA41FC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（7）未响应</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的实质性要求和条件的；</w:t>
      </w:r>
    </w:p>
    <w:p w14:paraId="4DC10A5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（8）供应商未按照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的要求提供磋商保证金的；</w:t>
      </w:r>
    </w:p>
    <w:p w14:paraId="300E81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（9）扰乱磋商仪式会场秩序的；</w:t>
      </w:r>
    </w:p>
    <w:p w14:paraId="295190D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（10）在本项目响应活动中违反相关法律、法规的；</w:t>
      </w:r>
    </w:p>
    <w:p w14:paraId="3D92500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（11）所提供有关证书、证明涂改、转让或提供虚假材料的。</w:t>
      </w:r>
    </w:p>
    <w:p w14:paraId="5C4BCC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（12）不符合资格</w:t>
      </w:r>
      <w:r>
        <w:rPr>
          <w:rFonts w:hint="eastAsia" w:ascii="宋体" w:hAnsi="宋体" w:eastAsia="宋体" w:cs="宋体"/>
          <w:sz w:val="24"/>
          <w:highlight w:val="none"/>
          <w:lang w:val="en-US" w:eastAsia="zh-CN"/>
        </w:rPr>
        <w:t>性</w:t>
      </w:r>
      <w:r>
        <w:rPr>
          <w:rFonts w:hint="eastAsia" w:ascii="宋体" w:hAnsi="宋体" w:eastAsia="宋体" w:cs="宋体"/>
          <w:sz w:val="24"/>
          <w:highlight w:val="none"/>
        </w:rPr>
        <w:t>审查</w:t>
      </w:r>
      <w:r>
        <w:rPr>
          <w:rFonts w:hint="eastAsia" w:ascii="宋体" w:hAnsi="宋体" w:eastAsia="宋体" w:cs="宋体"/>
          <w:sz w:val="24"/>
          <w:highlight w:val="none"/>
          <w:lang w:val="en-US" w:eastAsia="zh-CN"/>
        </w:rPr>
        <w:t>表及符合性审查表</w:t>
      </w:r>
      <w:r>
        <w:rPr>
          <w:rFonts w:hint="eastAsia" w:ascii="宋体" w:hAnsi="宋体" w:eastAsia="宋体" w:cs="宋体"/>
          <w:sz w:val="24"/>
          <w:highlight w:val="none"/>
        </w:rPr>
        <w:t>规定的任意情况</w:t>
      </w:r>
    </w:p>
    <w:p w14:paraId="6EF6AE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响应文件的评审和比较工作由磋商小组负责，评审、比较过程、结果对外不作任何解释。</w:t>
      </w:r>
    </w:p>
    <w:p w14:paraId="1B3ED1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磋商小组将仅对认定资格审查合格，确定为可以进入详细评审的供应商进行评价与比较，未通过资格审查的不参与后续磋商。</w:t>
      </w:r>
    </w:p>
    <w:p w14:paraId="48C3754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第二步：磋商小组所有成员集中与单一供应商分别进行磋商。</w:t>
      </w:r>
    </w:p>
    <w:p w14:paraId="4DEE9D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在磋商过程中，磋商小组可以根据</w:t>
      </w:r>
      <w:r>
        <w:rPr>
          <w:rFonts w:hint="eastAsia" w:ascii="宋体" w:hAnsi="宋体" w:cs="宋体"/>
          <w:sz w:val="24"/>
          <w:highlight w:val="none"/>
          <w:lang w:eastAsia="zh-CN"/>
        </w:rPr>
        <w:t>竞争性磋商文件</w:t>
      </w:r>
      <w:r>
        <w:rPr>
          <w:rFonts w:hint="eastAsia" w:ascii="宋体" w:hAnsi="宋体" w:eastAsia="宋体" w:cs="宋体"/>
          <w:sz w:val="24"/>
          <w:highlight w:val="none"/>
        </w:rPr>
        <w:t>和磋商情况实质性变动采购需求中的技术、服务要求以及合同草案条款，但不得变动</w:t>
      </w:r>
      <w:r>
        <w:rPr>
          <w:rFonts w:hint="eastAsia" w:ascii="宋体" w:hAnsi="宋体" w:cs="宋体"/>
          <w:sz w:val="24"/>
          <w:highlight w:val="none"/>
          <w:lang w:eastAsia="zh-CN"/>
        </w:rPr>
        <w:t>竞争性磋商文件</w:t>
      </w:r>
      <w:r>
        <w:rPr>
          <w:rFonts w:hint="eastAsia" w:ascii="宋体" w:hAnsi="宋体" w:eastAsia="宋体" w:cs="宋体"/>
          <w:sz w:val="24"/>
          <w:highlight w:val="none"/>
        </w:rPr>
        <w:t>中的其他内容。实质性变动的内容，须经采购人代表确认。</w:t>
      </w:r>
    </w:p>
    <w:p w14:paraId="4295AE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作出的实质性变动是</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的有效组成部分，磋商小组应当及时以书面形式同时通知所有参加磋商的供应商。</w:t>
      </w:r>
    </w:p>
    <w:p w14:paraId="42CCE9C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供应商应当按照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的变动情况和磋商小组的要求重新提交响应文件，并由其法定代表人或授权代表签字或者加盖公章。由授权代表签字的，应当附法定代表人授权书。供应商为自然人的，应当由本人签字并附身份证明。</w:t>
      </w:r>
    </w:p>
    <w:p w14:paraId="40DD340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未实质性响应</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的响应文件按无效响应处理，磋商小组应当告知提交响应文件的供应商。</w:t>
      </w:r>
    </w:p>
    <w:p w14:paraId="1B1B0F3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第三步：提交最后报价</w:t>
      </w:r>
    </w:p>
    <w:p w14:paraId="540F9D1A">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因本项目</w:t>
      </w:r>
      <w:r>
        <w:rPr>
          <w:rFonts w:hint="eastAsia" w:ascii="宋体" w:hAnsi="宋体" w:eastAsia="宋体" w:cs="宋体"/>
          <w:color w:val="auto"/>
          <w:sz w:val="24"/>
          <w:highlight w:val="none"/>
        </w:rPr>
        <w:t>每个</w:t>
      </w:r>
      <w:r>
        <w:rPr>
          <w:rFonts w:hint="eastAsia" w:ascii="宋体" w:hAnsi="宋体" w:eastAsia="宋体" w:cs="宋体"/>
          <w:color w:val="auto"/>
          <w:sz w:val="24"/>
          <w:highlight w:val="none"/>
          <w:lang w:eastAsia="zh-CN"/>
        </w:rPr>
        <w:t>标项</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rPr>
        <w:t>固定报价</w:t>
      </w:r>
      <w:r>
        <w:rPr>
          <w:rFonts w:hint="eastAsia" w:ascii="宋体" w:hAnsi="宋体" w:eastAsia="宋体" w:cs="宋体"/>
          <w:color w:val="auto"/>
          <w:sz w:val="24"/>
          <w:highlight w:val="none"/>
          <w:lang w:val="en-US" w:eastAsia="zh-CN"/>
        </w:rPr>
        <w:t>且报价不作为评审因素，最后报价所报固定报价及批次数量，批次数量作为评审因素。</w:t>
      </w:r>
    </w:p>
    <w:p w14:paraId="6A39C8C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第四步：采用综合评分法对供应商的响应文件进行综合评分，具体内容详见</w:t>
      </w:r>
      <w:r>
        <w:rPr>
          <w:rFonts w:hint="eastAsia" w:ascii="宋体" w:hAnsi="宋体" w:eastAsia="宋体" w:cs="宋体"/>
          <w:sz w:val="24"/>
          <w:highlight w:val="none"/>
          <w:lang w:val="en-US" w:eastAsia="zh-CN"/>
        </w:rPr>
        <w:t>详细评审</w:t>
      </w:r>
      <w:r>
        <w:rPr>
          <w:rFonts w:hint="eastAsia" w:ascii="宋体" w:hAnsi="宋体" w:eastAsia="宋体" w:cs="宋体"/>
          <w:sz w:val="24"/>
          <w:highlight w:val="none"/>
        </w:rPr>
        <w:t>。</w:t>
      </w:r>
    </w:p>
    <w:p w14:paraId="568237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经磋商确定最终采购需求和提交最后报价的供应商后，由磋商小组采用综合评分法对提交最后报价的供应商的响应文件和最后报价进行综合评分。</w:t>
      </w:r>
    </w:p>
    <w:p w14:paraId="6132C8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第五步：磋商小组应当根据综合评分情况，按照评审得分由高到低顺序推荐成交候选供应商，确定排名第一的候选供应商为</w:t>
      </w:r>
      <w:r>
        <w:rPr>
          <w:rFonts w:hint="eastAsia" w:ascii="宋体" w:hAnsi="宋体" w:eastAsia="宋体" w:cs="宋体"/>
          <w:sz w:val="24"/>
          <w:highlight w:val="none"/>
          <w:lang w:eastAsia="zh-CN"/>
        </w:rPr>
        <w:t>成交</w:t>
      </w:r>
      <w:r>
        <w:rPr>
          <w:rFonts w:hint="eastAsia" w:ascii="宋体" w:hAnsi="宋体" w:eastAsia="宋体" w:cs="宋体"/>
          <w:sz w:val="24"/>
          <w:highlight w:val="none"/>
        </w:rPr>
        <w:t>供应商，并编写评审报告。</w:t>
      </w:r>
    </w:p>
    <w:p w14:paraId="0E726A1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AF5A8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第六步：采购人确认评审报告及成交供应商，并公告成交结果。</w:t>
      </w:r>
    </w:p>
    <w:p w14:paraId="0340CD1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DF2BD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不保证最低报价的供应商最终成交，也没有义务对未成交的供应商作任何解释和说明。</w:t>
      </w:r>
    </w:p>
    <w:p w14:paraId="48C346F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采购人或者采购代理机构应当在成交供应商确定后2个工作日内，在财政部门指定的政府采购信息发布媒体上公告成交结果，同时向成交供应商发出成交通知书。</w:t>
      </w:r>
    </w:p>
    <w:p w14:paraId="16F64E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为维护国家的利益，采购人在授予合同之前仍有选择和拒绝任何或全部谈判的权力，并对所采取的行为不做任何解释。</w:t>
      </w:r>
    </w:p>
    <w:p w14:paraId="5F3F50F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采购人有权利根据供应商响应文件对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实质性响应的程度决定接受其全部或部分的谈判。</w:t>
      </w:r>
    </w:p>
    <w:p w14:paraId="230BB0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第七步：签订政府采购合同。</w:t>
      </w:r>
    </w:p>
    <w:p w14:paraId="1909C8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采购人与成交供应商应当在成交通知书发出之日起</w:t>
      </w:r>
      <w:r>
        <w:rPr>
          <w:rFonts w:hint="eastAsia" w:ascii="宋体" w:hAnsi="宋体" w:cs="宋体"/>
          <w:sz w:val="24"/>
          <w:highlight w:val="none"/>
          <w:lang w:val="en-US" w:eastAsia="zh-CN"/>
        </w:rPr>
        <w:t>30</w:t>
      </w:r>
      <w:r>
        <w:rPr>
          <w:rFonts w:hint="eastAsia" w:ascii="宋体" w:hAnsi="宋体" w:eastAsia="宋体" w:cs="宋体"/>
          <w:sz w:val="24"/>
          <w:highlight w:val="none"/>
        </w:rPr>
        <w:t>日内，按照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确定的合同文本以及采购标的、采购金额、技术和服务要求等事项签订政府采购合同。</w:t>
      </w:r>
    </w:p>
    <w:p w14:paraId="5C408603">
      <w:pPr>
        <w:spacing w:line="360" w:lineRule="auto"/>
        <w:ind w:firstLine="482" w:firstLineChars="200"/>
        <w:jc w:val="center"/>
        <w:rPr>
          <w:rFonts w:hint="eastAsia" w:ascii="宋体" w:hAnsi="宋体" w:eastAsia="宋体" w:cs="宋体"/>
          <w:sz w:val="24"/>
          <w:highlight w:val="none"/>
        </w:rPr>
      </w:pPr>
      <w:r>
        <w:rPr>
          <w:rFonts w:hint="eastAsia" w:ascii="宋体" w:hAnsi="宋体" w:eastAsia="宋体" w:cs="宋体"/>
          <w:b/>
          <w:bCs/>
          <w:sz w:val="24"/>
          <w:highlight w:val="none"/>
        </w:rPr>
        <w:t>6. 评审</w:t>
      </w:r>
    </w:p>
    <w:p w14:paraId="6D515D2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 磋商小组</w:t>
      </w:r>
    </w:p>
    <w:p w14:paraId="4D0BDC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6.1.1 评标由采购人依法组建的磋商小组负责。磋商小组由有关技术、经济等方面的专家组成。磋商小组成员人数以及技术、经济等方面专家的确定方式见供应商须知前附表。</w:t>
      </w:r>
    </w:p>
    <w:p w14:paraId="33C930C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6.1.2 磋商小组成员有下列情形之一的，应当回避：</w:t>
      </w:r>
    </w:p>
    <w:p w14:paraId="1C1BE5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（1）采购人或供应商的主要负责人的近亲属；</w:t>
      </w:r>
    </w:p>
    <w:p w14:paraId="1E52AA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（2）项目主管部门或者行政监督部门的人员；</w:t>
      </w:r>
    </w:p>
    <w:p w14:paraId="53C1E21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（3）与供应商有经济利益关系，可能影响对投标公正评审的；</w:t>
      </w:r>
    </w:p>
    <w:p w14:paraId="177ED8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（4）曾因在采购、评标以及其他与采购投标有关活动中从事违法行为而受过行政处罚或刑事处罚的。</w:t>
      </w:r>
    </w:p>
    <w:p w14:paraId="43DB2C0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评审原则</w:t>
      </w:r>
      <w:r>
        <w:rPr>
          <w:rFonts w:hint="eastAsia" w:ascii="宋体" w:hAnsi="宋体" w:eastAsia="宋体" w:cs="宋体"/>
          <w:sz w:val="24"/>
          <w:highlight w:val="none"/>
        </w:rPr>
        <w:tab/>
      </w:r>
    </w:p>
    <w:p w14:paraId="6AABAF5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评审活动遵循公平、公正、科学和择优的原则。</w:t>
      </w:r>
    </w:p>
    <w:p w14:paraId="6DF637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 评审</w:t>
      </w:r>
    </w:p>
    <w:p w14:paraId="7A3AF76E">
      <w:pP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磋商小组按照第三章“评标办法”规定的方法、评审因素、标准和程序对</w:t>
      </w:r>
      <w:r>
        <w:rPr>
          <w:rFonts w:hint="eastAsia" w:ascii="宋体" w:hAnsi="宋体" w:cs="宋体"/>
          <w:sz w:val="24"/>
          <w:highlight w:val="none"/>
          <w:lang w:eastAsia="zh-CN"/>
        </w:rPr>
        <w:t>响应文件</w:t>
      </w:r>
      <w:r>
        <w:rPr>
          <w:rFonts w:hint="eastAsia" w:ascii="宋体" w:hAnsi="宋体" w:eastAsia="宋体" w:cs="宋体"/>
          <w:sz w:val="24"/>
          <w:highlight w:val="none"/>
        </w:rPr>
        <w:t>进行评审。第三章“评审办法”没有规定的方法、评审因素和标准，不作为评审依据。</w:t>
      </w:r>
    </w:p>
    <w:p w14:paraId="080F0D1E">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7. 合同授予</w:t>
      </w:r>
    </w:p>
    <w:p w14:paraId="1BDD5E6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 确定方式</w:t>
      </w:r>
    </w:p>
    <w:p w14:paraId="3D0F76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采购人依据磋商小组推荐的中选候选供应商确定中选人，磋商小组推荐中选候选供应商的人数见供应商须知前附表。</w:t>
      </w:r>
    </w:p>
    <w:p w14:paraId="03AD9F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7.2 成交通知</w:t>
      </w:r>
    </w:p>
    <w:p w14:paraId="6642D5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在本章第3.3款规定的磋商响应有效期内，采购人以书面形式向中选供应商发出成交通知书，同时将成交结果通知未中选的供应商。</w:t>
      </w:r>
    </w:p>
    <w:p w14:paraId="398915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 签订合同</w:t>
      </w:r>
    </w:p>
    <w:p w14:paraId="269127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7.3.1 采购人和中选供应商应当自成交通知书发出之日起30天内，根据</w:t>
      </w:r>
      <w:r>
        <w:rPr>
          <w:rFonts w:hint="eastAsia" w:ascii="宋体" w:hAnsi="宋体" w:cs="宋体"/>
          <w:sz w:val="24"/>
          <w:highlight w:val="none"/>
          <w:lang w:eastAsia="zh-CN"/>
        </w:rPr>
        <w:t>竞争性磋商文件</w:t>
      </w:r>
      <w:r>
        <w:rPr>
          <w:rFonts w:hint="eastAsia" w:ascii="宋体" w:hAnsi="宋体" w:eastAsia="宋体" w:cs="宋体"/>
          <w:sz w:val="24"/>
          <w:highlight w:val="none"/>
        </w:rPr>
        <w:t>和中选供应商的</w:t>
      </w:r>
      <w:r>
        <w:rPr>
          <w:rFonts w:hint="eastAsia" w:ascii="宋体" w:hAnsi="宋体" w:cs="宋体"/>
          <w:sz w:val="24"/>
          <w:highlight w:val="none"/>
          <w:lang w:eastAsia="zh-CN"/>
        </w:rPr>
        <w:t>响应文件</w:t>
      </w:r>
      <w:r>
        <w:rPr>
          <w:rFonts w:hint="eastAsia" w:ascii="宋体" w:hAnsi="宋体" w:eastAsia="宋体" w:cs="宋体"/>
          <w:sz w:val="24"/>
          <w:highlight w:val="none"/>
        </w:rPr>
        <w:t xml:space="preserve">订立书面合同。中选供应商无正当理由拒签合同的，采购人取消其中选资格，其磋商保证金不予退还；给采购人造成的损失超过磋商保证金数额的，中选供应商还应当对超过部分予以赔偿。 </w:t>
      </w:r>
    </w:p>
    <w:p w14:paraId="405B20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7.3.2 发出成交通知书后，采购人无正当理由拒签合同的，采购人向中选供应商退还磋商保证金；给中选供应商造成损失的，还应当赔偿损失。</w:t>
      </w:r>
    </w:p>
    <w:p w14:paraId="6639C15E">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8. 重新采购和不再采购</w:t>
      </w:r>
    </w:p>
    <w:p w14:paraId="7BE24E0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8.1 重新采购</w:t>
      </w:r>
    </w:p>
    <w:p w14:paraId="583237C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有下列情形之一的，采购人将重新采购：</w:t>
      </w:r>
    </w:p>
    <w:p w14:paraId="1F48E2D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提交响应文件</w:t>
      </w:r>
      <w:r>
        <w:rPr>
          <w:rFonts w:hint="eastAsia" w:ascii="宋体" w:hAnsi="宋体" w:eastAsia="宋体" w:cs="宋体"/>
          <w:sz w:val="24"/>
          <w:highlight w:val="none"/>
        </w:rPr>
        <w:t>截止时间止，供应商少于3个的；</w:t>
      </w:r>
    </w:p>
    <w:p w14:paraId="72AA531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（2）经磋商小组评审后否决所有响应供应商的。</w:t>
      </w:r>
    </w:p>
    <w:p w14:paraId="2FF210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8.2 不再采购</w:t>
      </w:r>
    </w:p>
    <w:p w14:paraId="28486B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重新采购后供应商仍少于3个或者所有响应被否决的，属于必须审批或核准的项目，经原审批或核准部门批准后不再进行采购。</w:t>
      </w:r>
    </w:p>
    <w:p w14:paraId="4F4AA16B">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9. 纪律和监督</w:t>
      </w:r>
    </w:p>
    <w:p w14:paraId="6A794D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 对采购人的纪律要求</w:t>
      </w:r>
    </w:p>
    <w:p w14:paraId="6AD175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采购人不得泄漏采购活动中应当保密的情况和资料，不得与供应商串通损害国家利益、社会公共利益或者他人合法权益。</w:t>
      </w:r>
    </w:p>
    <w:p w14:paraId="28380F9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 对供应商的纪律要求</w:t>
      </w:r>
    </w:p>
    <w:p w14:paraId="343E808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供应商不得相互串通或者与采购人串通，不得向采购人或者磋商小组成员行贿谋取中选，不得以他人名义响应或者以其他方式弄虚作假骗取中选；供应商不得以任何方式干扰、影响评审工作。</w:t>
      </w:r>
    </w:p>
    <w:p w14:paraId="428399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 对磋商小组成员的纪律要求</w:t>
      </w:r>
    </w:p>
    <w:p w14:paraId="4D47FB5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磋商小组成员不得收受他人的财物或者其他好处，不得向他人透漏对</w:t>
      </w:r>
      <w:r>
        <w:rPr>
          <w:rFonts w:hint="eastAsia" w:ascii="宋体" w:hAnsi="宋体" w:cs="宋体"/>
          <w:sz w:val="24"/>
          <w:highlight w:val="none"/>
          <w:lang w:eastAsia="zh-CN"/>
        </w:rPr>
        <w:t>响应文件</w:t>
      </w:r>
      <w:r>
        <w:rPr>
          <w:rFonts w:hint="eastAsia" w:ascii="宋体" w:hAnsi="宋体" w:eastAsia="宋体" w:cs="宋体"/>
          <w:sz w:val="24"/>
          <w:highlight w:val="none"/>
        </w:rPr>
        <w:t>的评审和比较、中选候选供应商的推荐情况以及评审有关的其他情况。在评审活动中，磋商小组成员不得擅离职守，影响评审程序正常进行，不得使用第三章“评标办法”没有规定的评审因素和标准进行评审。</w:t>
      </w:r>
    </w:p>
    <w:p w14:paraId="066785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9.4 对与评审活动有关的工作人员的纪律要求</w:t>
      </w:r>
    </w:p>
    <w:p w14:paraId="1B870D3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与评审活动有关的工作人员不得收受他人的财物或者其他好处，不得向他人透漏对</w:t>
      </w:r>
      <w:r>
        <w:rPr>
          <w:rFonts w:hint="eastAsia" w:ascii="宋体" w:hAnsi="宋体" w:cs="宋体"/>
          <w:sz w:val="24"/>
          <w:highlight w:val="none"/>
          <w:lang w:eastAsia="zh-CN"/>
        </w:rPr>
        <w:t>响应文件</w:t>
      </w:r>
      <w:r>
        <w:rPr>
          <w:rFonts w:hint="eastAsia" w:ascii="宋体" w:hAnsi="宋体" w:eastAsia="宋体" w:cs="宋体"/>
          <w:sz w:val="24"/>
          <w:highlight w:val="none"/>
        </w:rPr>
        <w:t>的评审和比较、中选候选供应商的推荐情况以及评审有关的其他情况。在评审活动中，与评审活动有关的工作人员不得擅离职守，影响评审程序正常进行。</w:t>
      </w:r>
    </w:p>
    <w:p w14:paraId="60FD02B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9.5 投诉</w:t>
      </w:r>
    </w:p>
    <w:p w14:paraId="7595531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供应商和其他利害关系人认为本次采购活动违反法律、法规和规章规定的，有权向有关行政监督部门投诉。</w:t>
      </w:r>
    </w:p>
    <w:p w14:paraId="2E8243DC">
      <w:pPr>
        <w:spacing w:line="360" w:lineRule="auto"/>
        <w:ind w:firstLine="482" w:firstLineChars="200"/>
        <w:jc w:val="center"/>
        <w:rPr>
          <w:rFonts w:hint="eastAsia" w:ascii="宋体" w:hAnsi="宋体" w:eastAsia="宋体" w:cs="宋体"/>
          <w:sz w:val="24"/>
          <w:highlight w:val="none"/>
        </w:rPr>
      </w:pPr>
      <w:r>
        <w:rPr>
          <w:rFonts w:hint="eastAsia" w:ascii="宋体" w:hAnsi="宋体" w:eastAsia="宋体" w:cs="宋体"/>
          <w:b/>
          <w:bCs/>
          <w:sz w:val="24"/>
          <w:highlight w:val="none"/>
        </w:rPr>
        <w:t>10. 需要补充的其他内容</w:t>
      </w:r>
    </w:p>
    <w:p w14:paraId="0BCEA23D">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需要补充的其他内容：见供应商须知前附表。</w:t>
      </w:r>
    </w:p>
    <w:p w14:paraId="7B486C06">
      <w:pPr>
        <w:spacing w:line="360" w:lineRule="auto"/>
        <w:jc w:val="center"/>
        <w:outlineLvl w:val="0"/>
        <w:rPr>
          <w:rFonts w:ascii="宋体" w:hAnsi="宋体" w:cs="宋体"/>
          <w:bCs/>
          <w:color w:val="auto"/>
          <w:sz w:val="36"/>
          <w:szCs w:val="36"/>
          <w:highlight w:val="none"/>
        </w:rPr>
      </w:pPr>
      <w:r>
        <w:rPr>
          <w:rFonts w:hint="eastAsia" w:ascii="宋体" w:hAnsi="宋体" w:cs="宋体"/>
          <w:color w:val="auto"/>
          <w:sz w:val="24"/>
          <w:highlight w:val="none"/>
        </w:rPr>
        <w:br w:type="page"/>
      </w:r>
      <w:bookmarkStart w:id="49" w:name="_Toc12796"/>
      <w:bookmarkStart w:id="50" w:name="_Toc30401"/>
      <w:bookmarkStart w:id="51" w:name="_Toc17916"/>
      <w:bookmarkStart w:id="52" w:name="_Toc24879"/>
      <w:bookmarkStart w:id="53" w:name="_Toc16246"/>
      <w:bookmarkStart w:id="54" w:name="_Toc26141"/>
      <w:bookmarkStart w:id="55" w:name="_Toc19972"/>
      <w:bookmarkStart w:id="56" w:name="_Toc24464"/>
      <w:r>
        <w:rPr>
          <w:rStyle w:val="46"/>
          <w:rFonts w:hint="eastAsia" w:ascii="宋体" w:hAnsi="宋体" w:cs="宋体"/>
          <w:color w:val="auto"/>
          <w:highlight w:val="none"/>
        </w:rPr>
        <w:t>第三章 评标办法</w:t>
      </w:r>
      <w:bookmarkEnd w:id="49"/>
      <w:bookmarkEnd w:id="50"/>
      <w:bookmarkEnd w:id="51"/>
      <w:bookmarkEnd w:id="52"/>
      <w:bookmarkEnd w:id="53"/>
      <w:bookmarkEnd w:id="54"/>
      <w:bookmarkEnd w:id="55"/>
      <w:bookmarkEnd w:id="56"/>
    </w:p>
    <w:p w14:paraId="2B89B2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评标应当遵循下列工作程序：</w:t>
      </w:r>
    </w:p>
    <w:p w14:paraId="633E03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初审：分为资格性检查和符合性检查。</w:t>
      </w:r>
    </w:p>
    <w:p w14:paraId="01E98C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1.1.1响应文件递交截止时间后，由磋商小组对供应商的资格进行审查，并详细填写下表。合格供应商不足3家的，不进行评标。</w:t>
      </w:r>
    </w:p>
    <w:p w14:paraId="1A8E73D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资格性审查表</w:t>
      </w:r>
    </w:p>
    <w:tbl>
      <w:tblPr>
        <w:tblStyle w:val="28"/>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837"/>
        <w:gridCol w:w="5799"/>
        <w:gridCol w:w="918"/>
      </w:tblGrid>
      <w:tr w14:paraId="11337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vAlign w:val="center"/>
          </w:tcPr>
          <w:p w14:paraId="110A9D6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837" w:type="dxa"/>
            <w:vAlign w:val="center"/>
          </w:tcPr>
          <w:p w14:paraId="61517CE3">
            <w:pPr>
              <w:jc w:val="center"/>
              <w:rPr>
                <w:rFonts w:ascii="宋体" w:hAnsi="宋体" w:cs="宋体"/>
                <w:b/>
                <w:bCs/>
                <w:color w:val="auto"/>
                <w:sz w:val="24"/>
                <w:highlight w:val="none"/>
              </w:rPr>
            </w:pPr>
            <w:r>
              <w:rPr>
                <w:rFonts w:hint="eastAsia" w:ascii="宋体" w:hAnsi="宋体" w:cs="宋体"/>
                <w:b/>
                <w:bCs/>
                <w:color w:val="auto"/>
                <w:sz w:val="24"/>
                <w:highlight w:val="none"/>
              </w:rPr>
              <w:t>资格审查内容</w:t>
            </w:r>
          </w:p>
        </w:tc>
        <w:tc>
          <w:tcPr>
            <w:tcW w:w="5799" w:type="dxa"/>
            <w:vAlign w:val="center"/>
          </w:tcPr>
          <w:p w14:paraId="3C6D1957">
            <w:pPr>
              <w:jc w:val="center"/>
              <w:rPr>
                <w:rFonts w:ascii="宋体" w:hAnsi="宋体" w:cs="宋体"/>
                <w:b/>
                <w:bCs/>
                <w:color w:val="auto"/>
                <w:sz w:val="24"/>
                <w:highlight w:val="none"/>
              </w:rPr>
            </w:pPr>
            <w:r>
              <w:rPr>
                <w:rFonts w:hint="eastAsia" w:ascii="宋体" w:hAnsi="宋体" w:cs="宋体"/>
                <w:b/>
                <w:bCs/>
                <w:color w:val="auto"/>
                <w:sz w:val="24"/>
                <w:highlight w:val="none"/>
              </w:rPr>
              <w:t>评审标准</w:t>
            </w:r>
          </w:p>
        </w:tc>
        <w:tc>
          <w:tcPr>
            <w:tcW w:w="918" w:type="dxa"/>
            <w:vAlign w:val="center"/>
          </w:tcPr>
          <w:p w14:paraId="7AA33405">
            <w:pPr>
              <w:rPr>
                <w:rFonts w:ascii="宋体" w:hAnsi="宋体" w:cs="宋体"/>
                <w:b/>
                <w:bCs/>
                <w:color w:val="auto"/>
                <w:sz w:val="24"/>
                <w:highlight w:val="none"/>
              </w:rPr>
            </w:pPr>
            <w:r>
              <w:rPr>
                <w:rFonts w:hint="eastAsia" w:ascii="宋体" w:hAnsi="宋体" w:cs="宋体"/>
                <w:b/>
                <w:bCs/>
                <w:color w:val="auto"/>
                <w:sz w:val="24"/>
                <w:highlight w:val="none"/>
              </w:rPr>
              <w:t>评审结论（√/×）</w:t>
            </w:r>
          </w:p>
        </w:tc>
      </w:tr>
      <w:tr w14:paraId="27F22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vAlign w:val="center"/>
          </w:tcPr>
          <w:p w14:paraId="469E5B30">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37" w:type="dxa"/>
            <w:vAlign w:val="center"/>
          </w:tcPr>
          <w:p w14:paraId="73A447A0">
            <w:pPr>
              <w:jc w:val="center"/>
              <w:rPr>
                <w:rFonts w:ascii="宋体" w:hAnsi="宋体" w:cs="宋体"/>
                <w:color w:val="auto"/>
                <w:sz w:val="24"/>
                <w:highlight w:val="none"/>
              </w:rPr>
            </w:pPr>
            <w:r>
              <w:rPr>
                <w:rFonts w:hint="eastAsia" w:ascii="宋体" w:hAnsi="宋体" w:cs="宋体"/>
                <w:color w:val="auto"/>
                <w:sz w:val="24"/>
                <w:highlight w:val="none"/>
              </w:rPr>
              <w:t>营业执照</w:t>
            </w:r>
          </w:p>
        </w:tc>
        <w:tc>
          <w:tcPr>
            <w:tcW w:w="5799" w:type="dxa"/>
            <w:vAlign w:val="center"/>
          </w:tcPr>
          <w:p w14:paraId="63F24F2C">
            <w:pPr>
              <w:rPr>
                <w:rFonts w:hint="eastAsia" w:ascii="宋体" w:hAnsi="宋体" w:cs="宋体"/>
                <w:color w:val="auto"/>
                <w:sz w:val="24"/>
                <w:highlight w:val="none"/>
              </w:rPr>
            </w:pPr>
            <w:r>
              <w:rPr>
                <w:rFonts w:hint="eastAsia" w:ascii="宋体" w:hAnsi="宋体" w:cs="宋体"/>
                <w:color w:val="auto"/>
                <w:sz w:val="24"/>
                <w:highlight w:val="none"/>
              </w:rPr>
              <w:t>有效的营业执照（副本）或事业单位法人证书；</w:t>
            </w:r>
          </w:p>
          <w:p w14:paraId="33D69482">
            <w:pPr>
              <w:rPr>
                <w:rFonts w:ascii="宋体" w:hAnsi="宋体" w:cs="宋体"/>
                <w:color w:val="auto"/>
                <w:sz w:val="24"/>
                <w:highlight w:val="none"/>
              </w:rPr>
            </w:pPr>
            <w:r>
              <w:rPr>
                <w:rFonts w:hint="eastAsia" w:ascii="宋体" w:hAnsi="宋体" w:cs="宋体"/>
                <w:color w:val="auto"/>
                <w:sz w:val="24"/>
                <w:highlight w:val="none"/>
              </w:rPr>
              <w:t>响应文件内附复印件加盖公章。</w:t>
            </w:r>
          </w:p>
        </w:tc>
        <w:tc>
          <w:tcPr>
            <w:tcW w:w="918" w:type="dxa"/>
            <w:vAlign w:val="center"/>
          </w:tcPr>
          <w:p w14:paraId="6DE7D9BA">
            <w:pPr>
              <w:rPr>
                <w:rFonts w:ascii="宋体" w:hAnsi="宋体" w:cs="宋体"/>
                <w:color w:val="auto"/>
                <w:sz w:val="24"/>
                <w:highlight w:val="none"/>
              </w:rPr>
            </w:pPr>
          </w:p>
        </w:tc>
      </w:tr>
      <w:tr w14:paraId="757D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00" w:type="dxa"/>
            <w:vAlign w:val="center"/>
          </w:tcPr>
          <w:p w14:paraId="5AE32C43">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w:t>
            </w:r>
          </w:p>
        </w:tc>
        <w:tc>
          <w:tcPr>
            <w:tcW w:w="1837" w:type="dxa"/>
            <w:vAlign w:val="center"/>
          </w:tcPr>
          <w:p w14:paraId="5704273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资质要求</w:t>
            </w:r>
          </w:p>
        </w:tc>
        <w:tc>
          <w:tcPr>
            <w:tcW w:w="5799" w:type="dxa"/>
            <w:vAlign w:val="center"/>
          </w:tcPr>
          <w:p w14:paraId="1300B9C5">
            <w:p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具有国家认证认可监督管理委员会或省级市场监督管理部门颁发的有效期内的检验检测机构计量认证证书（CMA）。</w:t>
            </w:r>
          </w:p>
          <w:p w14:paraId="53932A6E">
            <w:pPr>
              <w:rPr>
                <w:rFonts w:hint="eastAsia" w:ascii="宋体" w:hAnsi="宋体" w:eastAsia="宋体" w:cs="宋体"/>
                <w:color w:val="auto"/>
                <w:sz w:val="24"/>
                <w:highlight w:val="none"/>
              </w:rPr>
            </w:pPr>
            <w:r>
              <w:rPr>
                <w:rFonts w:hint="eastAsia" w:ascii="宋体" w:hAnsi="宋体" w:cs="宋体"/>
                <w:color w:val="auto"/>
                <w:sz w:val="24"/>
                <w:highlight w:val="none"/>
              </w:rPr>
              <w:t>响应文件内附复印件加盖公章。</w:t>
            </w:r>
          </w:p>
        </w:tc>
        <w:tc>
          <w:tcPr>
            <w:tcW w:w="918" w:type="dxa"/>
            <w:vAlign w:val="center"/>
          </w:tcPr>
          <w:p w14:paraId="78544C29">
            <w:pPr>
              <w:rPr>
                <w:rFonts w:ascii="宋体" w:hAnsi="宋体" w:cs="宋体"/>
                <w:color w:val="auto"/>
                <w:sz w:val="24"/>
                <w:highlight w:val="none"/>
              </w:rPr>
            </w:pPr>
          </w:p>
        </w:tc>
      </w:tr>
      <w:tr w14:paraId="4E5DC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vAlign w:val="center"/>
          </w:tcPr>
          <w:p w14:paraId="69C44481">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37" w:type="dxa"/>
            <w:vAlign w:val="center"/>
          </w:tcPr>
          <w:p w14:paraId="66D5E5BD">
            <w:pPr>
              <w:jc w:val="center"/>
              <w:rPr>
                <w:rFonts w:ascii="宋体" w:hAnsi="宋体" w:cs="宋体"/>
                <w:color w:val="auto"/>
                <w:sz w:val="24"/>
                <w:highlight w:val="none"/>
              </w:rPr>
            </w:pPr>
            <w:r>
              <w:rPr>
                <w:rFonts w:hint="eastAsia" w:ascii="宋体" w:hAnsi="宋体" w:eastAsia="宋体" w:cs="宋体"/>
                <w:sz w:val="24"/>
                <w:szCs w:val="24"/>
                <w:highlight w:val="none"/>
              </w:rPr>
              <w:t>财务状况</w:t>
            </w:r>
          </w:p>
        </w:tc>
        <w:tc>
          <w:tcPr>
            <w:tcW w:w="5799" w:type="dxa"/>
            <w:vAlign w:val="center"/>
          </w:tcPr>
          <w:p w14:paraId="2074F679">
            <w:pPr>
              <w:jc w:val="both"/>
              <w:rPr>
                <w:rFonts w:ascii="宋体" w:hAnsi="宋体" w:cs="宋体"/>
                <w:color w:val="auto"/>
                <w:sz w:val="24"/>
                <w:highlight w:val="none"/>
              </w:rPr>
            </w:pPr>
            <w:r>
              <w:rPr>
                <w:rFonts w:hint="eastAsia" w:ascii="宋体" w:hAnsi="宋体" w:cs="宋体"/>
                <w:sz w:val="24"/>
                <w:szCs w:val="24"/>
                <w:highlight w:val="none"/>
                <w:lang w:val="en-US" w:eastAsia="zh-CN"/>
              </w:rPr>
              <w:t>附资格条件承诺函，签字并加盖单位公章。</w:t>
            </w:r>
          </w:p>
        </w:tc>
        <w:tc>
          <w:tcPr>
            <w:tcW w:w="918" w:type="dxa"/>
            <w:vAlign w:val="center"/>
          </w:tcPr>
          <w:p w14:paraId="5DA2FC30">
            <w:pPr>
              <w:rPr>
                <w:rFonts w:ascii="宋体" w:hAnsi="宋体" w:cs="宋体"/>
                <w:color w:val="auto"/>
                <w:sz w:val="24"/>
                <w:highlight w:val="none"/>
              </w:rPr>
            </w:pPr>
          </w:p>
        </w:tc>
      </w:tr>
      <w:tr w14:paraId="2FD16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vAlign w:val="center"/>
          </w:tcPr>
          <w:p w14:paraId="737A35FE">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37" w:type="dxa"/>
            <w:vAlign w:val="center"/>
          </w:tcPr>
          <w:p w14:paraId="5DEC1EF7">
            <w:pPr>
              <w:jc w:val="center"/>
              <w:rPr>
                <w:rFonts w:ascii="宋体" w:hAnsi="宋体" w:cs="宋体"/>
                <w:color w:val="auto"/>
                <w:sz w:val="24"/>
                <w:highlight w:val="none"/>
              </w:rPr>
            </w:pPr>
            <w:r>
              <w:rPr>
                <w:rFonts w:hint="eastAsia" w:ascii="宋体" w:hAnsi="宋体" w:eastAsia="宋体" w:cs="宋体"/>
                <w:sz w:val="24"/>
                <w:highlight w:val="none"/>
              </w:rPr>
              <w:t>依法缴纳税收</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社会保障资金</w:t>
            </w:r>
          </w:p>
        </w:tc>
        <w:tc>
          <w:tcPr>
            <w:tcW w:w="5799" w:type="dxa"/>
            <w:vAlign w:val="center"/>
          </w:tcPr>
          <w:p w14:paraId="091961B0">
            <w:pPr>
              <w:jc w:val="both"/>
              <w:rPr>
                <w:color w:val="auto"/>
                <w:highlight w:val="none"/>
              </w:rPr>
            </w:pPr>
            <w:r>
              <w:rPr>
                <w:rFonts w:hint="eastAsia" w:ascii="宋体" w:hAnsi="宋体" w:cs="宋体"/>
                <w:sz w:val="24"/>
                <w:szCs w:val="24"/>
                <w:highlight w:val="none"/>
                <w:lang w:val="en-US" w:eastAsia="zh-CN"/>
              </w:rPr>
              <w:t>附资格条件承诺函，签字并加盖单位公章。</w:t>
            </w:r>
          </w:p>
        </w:tc>
        <w:tc>
          <w:tcPr>
            <w:tcW w:w="918" w:type="dxa"/>
            <w:vAlign w:val="center"/>
          </w:tcPr>
          <w:p w14:paraId="2549F897">
            <w:pPr>
              <w:rPr>
                <w:rFonts w:ascii="宋体" w:hAnsi="宋体" w:cs="宋体"/>
                <w:color w:val="auto"/>
                <w:sz w:val="24"/>
                <w:highlight w:val="none"/>
              </w:rPr>
            </w:pPr>
          </w:p>
        </w:tc>
      </w:tr>
      <w:tr w14:paraId="2345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vAlign w:val="center"/>
          </w:tcPr>
          <w:p w14:paraId="1815B4AD">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837" w:type="dxa"/>
            <w:vAlign w:val="center"/>
          </w:tcPr>
          <w:p w14:paraId="496FADA1">
            <w:pPr>
              <w:jc w:val="center"/>
              <w:rPr>
                <w:rFonts w:ascii="宋体" w:hAnsi="宋体" w:cs="宋体"/>
                <w:color w:val="auto"/>
                <w:sz w:val="24"/>
                <w:highlight w:val="none"/>
              </w:rPr>
            </w:pPr>
            <w:r>
              <w:rPr>
                <w:rFonts w:hint="eastAsia" w:ascii="宋体" w:hAnsi="宋体" w:cs="宋体"/>
                <w:color w:val="auto"/>
                <w:sz w:val="24"/>
                <w:highlight w:val="none"/>
              </w:rPr>
              <w:t>法人授权委托书</w:t>
            </w:r>
          </w:p>
        </w:tc>
        <w:tc>
          <w:tcPr>
            <w:tcW w:w="5799" w:type="dxa"/>
            <w:vAlign w:val="center"/>
          </w:tcPr>
          <w:p w14:paraId="1DA559A2">
            <w:pPr>
              <w:rPr>
                <w:rFonts w:ascii="宋体" w:hAnsi="宋体" w:cs="宋体"/>
                <w:color w:val="auto"/>
                <w:sz w:val="24"/>
                <w:highlight w:val="none"/>
              </w:rPr>
            </w:pPr>
            <w:r>
              <w:rPr>
                <w:rFonts w:hint="eastAsia" w:ascii="宋体" w:hAnsi="宋体" w:cs="宋体"/>
                <w:color w:val="auto"/>
                <w:sz w:val="24"/>
                <w:highlight w:val="none"/>
              </w:rPr>
              <w:t>由法定代表人及委托代理人签字并加盖公章，</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附复印件加盖公章。</w:t>
            </w:r>
          </w:p>
        </w:tc>
        <w:tc>
          <w:tcPr>
            <w:tcW w:w="918" w:type="dxa"/>
            <w:vAlign w:val="center"/>
          </w:tcPr>
          <w:p w14:paraId="70E0B8FA">
            <w:pPr>
              <w:rPr>
                <w:rFonts w:ascii="宋体" w:hAnsi="宋体" w:cs="宋体"/>
                <w:color w:val="auto"/>
                <w:sz w:val="24"/>
                <w:highlight w:val="none"/>
              </w:rPr>
            </w:pPr>
          </w:p>
        </w:tc>
      </w:tr>
      <w:tr w14:paraId="40D66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vAlign w:val="center"/>
          </w:tcPr>
          <w:p w14:paraId="5AECD627">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837" w:type="dxa"/>
            <w:vAlign w:val="center"/>
          </w:tcPr>
          <w:p w14:paraId="4B2102EF">
            <w:pPr>
              <w:jc w:val="center"/>
              <w:rPr>
                <w:rFonts w:ascii="宋体" w:hAnsi="宋体" w:cs="宋体"/>
                <w:color w:val="auto"/>
                <w:sz w:val="24"/>
                <w:highlight w:val="none"/>
              </w:rPr>
            </w:pPr>
            <w:r>
              <w:rPr>
                <w:rFonts w:hint="eastAsia" w:ascii="宋体" w:hAnsi="宋体" w:cs="宋体"/>
                <w:color w:val="auto"/>
                <w:sz w:val="24"/>
                <w:highlight w:val="none"/>
              </w:rPr>
              <w:t>信誉要求</w:t>
            </w:r>
          </w:p>
        </w:tc>
        <w:tc>
          <w:tcPr>
            <w:tcW w:w="5799" w:type="dxa"/>
            <w:vAlign w:val="center"/>
          </w:tcPr>
          <w:p w14:paraId="31B6447D">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不接受被政府列入取消投标资格期限内的企业或个人参加投标。参加政府采购活动前3年内在经营活动中没有重大违法记录。</w:t>
            </w:r>
            <w:r>
              <w:rPr>
                <w:rFonts w:hint="eastAsia" w:ascii="宋体" w:hAnsi="宋体" w:eastAsia="宋体" w:cs="宋体"/>
                <w:sz w:val="24"/>
                <w:szCs w:val="24"/>
                <w:highlight w:val="none"/>
                <w:lang w:val="en-US" w:eastAsia="zh-CN"/>
              </w:rPr>
              <w:t>未被</w:t>
            </w:r>
            <w:r>
              <w:rPr>
                <w:rFonts w:hint="eastAsia" w:ascii="宋体" w:hAnsi="宋体" w:eastAsia="宋体" w:cs="宋体"/>
                <w:sz w:val="24"/>
                <w:szCs w:val="24"/>
                <w:highlight w:val="none"/>
              </w:rPr>
              <w:t>“信用中国”网站（www.creditchina.gov.cn）列入重大税收违法失信主体、严重失信主体名单查询；对在中国执行信息公开网（http://zxgk.court.gov.cn）列入失信被执行人；对在中国政府采购网（www.ccgp.gov.cn）列入政府采购严重违法失信行为记录名单及其他不符合《中华人民共和国政府采购法》第二十二条规定，不得参加政府采购活动</w:t>
            </w:r>
            <w:r>
              <w:rPr>
                <w:rFonts w:hint="eastAsia" w:ascii="宋体" w:hAnsi="宋体" w:eastAsia="宋体" w:cs="宋体"/>
                <w:sz w:val="24"/>
                <w:szCs w:val="24"/>
                <w:highlight w:val="none"/>
                <w:lang w:eastAsia="zh-CN"/>
              </w:rPr>
              <w:t>；</w:t>
            </w:r>
          </w:p>
          <w:p w14:paraId="2EE05FFD">
            <w:pPr>
              <w:rPr>
                <w:rFonts w:ascii="宋体" w:hAnsi="宋体" w:cs="宋体"/>
                <w:color w:val="auto"/>
                <w:sz w:val="24"/>
                <w:highlight w:val="none"/>
              </w:rPr>
            </w:pPr>
            <w:r>
              <w:rPr>
                <w:rFonts w:hint="eastAsia" w:ascii="宋体" w:hAnsi="宋体" w:eastAsia="宋体" w:cs="宋体"/>
                <w:b/>
                <w:bCs/>
                <w:sz w:val="24"/>
                <w:szCs w:val="24"/>
                <w:highlight w:val="none"/>
                <w:lang w:val="en-US" w:eastAsia="zh-CN"/>
              </w:rPr>
              <w:t>由采购人或采购代理机构现场查询。</w:t>
            </w:r>
          </w:p>
        </w:tc>
        <w:tc>
          <w:tcPr>
            <w:tcW w:w="918" w:type="dxa"/>
            <w:vAlign w:val="center"/>
          </w:tcPr>
          <w:p w14:paraId="3F178DBF">
            <w:pPr>
              <w:rPr>
                <w:rFonts w:ascii="宋体" w:hAnsi="宋体" w:cs="宋体"/>
                <w:color w:val="auto"/>
                <w:sz w:val="24"/>
                <w:highlight w:val="none"/>
              </w:rPr>
            </w:pPr>
          </w:p>
        </w:tc>
      </w:tr>
      <w:tr w14:paraId="6E70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vAlign w:val="center"/>
          </w:tcPr>
          <w:p w14:paraId="355996F7">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37" w:type="dxa"/>
            <w:vAlign w:val="center"/>
          </w:tcPr>
          <w:p w14:paraId="075CD3EF">
            <w:pPr>
              <w:jc w:val="center"/>
              <w:rPr>
                <w:rFonts w:hint="eastAsia" w:ascii="宋体" w:hAnsi="宋体" w:cs="宋体"/>
                <w:color w:val="auto"/>
                <w:sz w:val="24"/>
                <w:highlight w:val="none"/>
              </w:rPr>
            </w:pPr>
            <w:r>
              <w:rPr>
                <w:rFonts w:hint="eastAsia" w:ascii="宋体" w:hAnsi="宋体" w:cs="宋体"/>
                <w:sz w:val="24"/>
                <w:szCs w:val="24"/>
                <w:highlight w:val="none"/>
                <w:lang w:val="en-US" w:eastAsia="zh-CN"/>
              </w:rPr>
              <w:t>其他要求</w:t>
            </w:r>
          </w:p>
        </w:tc>
        <w:tc>
          <w:tcPr>
            <w:tcW w:w="5799" w:type="dxa"/>
            <w:vAlign w:val="center"/>
          </w:tcPr>
          <w:p w14:paraId="332F5B60">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A9D30DF">
            <w:p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提供不存在以上情形承诺书</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由法定代表人</w:t>
            </w:r>
            <w:r>
              <w:rPr>
                <w:rFonts w:hint="eastAsia" w:ascii="宋体" w:hAnsi="宋体" w:eastAsia="宋体" w:cs="宋体"/>
                <w:b/>
                <w:bCs/>
                <w:sz w:val="24"/>
                <w:szCs w:val="24"/>
                <w:highlight w:val="none"/>
                <w:lang w:val="en-US" w:eastAsia="zh-CN"/>
              </w:rPr>
              <w:t>或</w:t>
            </w:r>
            <w:r>
              <w:rPr>
                <w:rFonts w:hint="eastAsia" w:ascii="宋体" w:hAnsi="宋体" w:eastAsia="宋体" w:cs="宋体"/>
                <w:b/>
                <w:bCs/>
                <w:sz w:val="24"/>
                <w:szCs w:val="24"/>
                <w:highlight w:val="none"/>
              </w:rPr>
              <w:t>委托代理人签字并加盖公章</w:t>
            </w:r>
            <w:r>
              <w:rPr>
                <w:rFonts w:hint="eastAsia" w:ascii="宋体" w:hAnsi="宋体" w:cs="宋体"/>
                <w:b/>
                <w:bCs/>
                <w:sz w:val="24"/>
                <w:szCs w:val="24"/>
                <w:highlight w:val="none"/>
                <w:lang w:eastAsia="zh-CN"/>
              </w:rPr>
              <w:t>。</w:t>
            </w:r>
          </w:p>
        </w:tc>
        <w:tc>
          <w:tcPr>
            <w:tcW w:w="918" w:type="dxa"/>
            <w:vAlign w:val="center"/>
          </w:tcPr>
          <w:p w14:paraId="6F0C151A">
            <w:pPr>
              <w:rPr>
                <w:rFonts w:ascii="宋体" w:hAnsi="宋体" w:cs="宋体"/>
                <w:color w:val="auto"/>
                <w:sz w:val="24"/>
                <w:highlight w:val="none"/>
              </w:rPr>
            </w:pPr>
          </w:p>
        </w:tc>
      </w:tr>
      <w:tr w14:paraId="09DB4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37" w:type="dxa"/>
            <w:gridSpan w:val="2"/>
            <w:vAlign w:val="center"/>
          </w:tcPr>
          <w:p w14:paraId="142D38ED">
            <w:pPr>
              <w:rPr>
                <w:rFonts w:ascii="宋体" w:hAnsi="宋体" w:cs="宋体"/>
                <w:color w:val="auto"/>
                <w:sz w:val="24"/>
                <w:highlight w:val="none"/>
              </w:rPr>
            </w:pPr>
            <w:r>
              <w:rPr>
                <w:rFonts w:hint="eastAsia" w:ascii="宋体" w:hAnsi="宋体" w:cs="宋体"/>
                <w:color w:val="auto"/>
                <w:sz w:val="24"/>
                <w:highlight w:val="none"/>
              </w:rPr>
              <w:t>评审结论（合格/不合格）</w:t>
            </w:r>
          </w:p>
        </w:tc>
        <w:tc>
          <w:tcPr>
            <w:tcW w:w="6717" w:type="dxa"/>
            <w:gridSpan w:val="2"/>
            <w:vAlign w:val="center"/>
          </w:tcPr>
          <w:p w14:paraId="572B03C9">
            <w:pPr>
              <w:rPr>
                <w:rFonts w:ascii="宋体" w:hAnsi="宋体" w:cs="宋体"/>
                <w:color w:val="auto"/>
                <w:sz w:val="24"/>
                <w:highlight w:val="none"/>
              </w:rPr>
            </w:pPr>
          </w:p>
        </w:tc>
      </w:tr>
    </w:tbl>
    <w:p w14:paraId="5C2E6A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注：本表中符合评审内容要求的写“√”，不符合评审内容要求的写“×”。结论为“合格”或“不合格。结论不合格的不进入符合性审查阶段。</w:t>
      </w:r>
    </w:p>
    <w:p w14:paraId="696210E3">
      <w:pPr>
        <w:pStyle w:val="25"/>
        <w:spacing w:beforeAutospacing="0" w:afterAutospacing="0" w:line="360" w:lineRule="auto"/>
        <w:ind w:firstLine="480" w:firstLineChars="200"/>
        <w:jc w:val="both"/>
        <w:rPr>
          <w:color w:val="auto"/>
          <w:kern w:val="2"/>
          <w:highlight w:val="none"/>
        </w:rPr>
      </w:pPr>
      <w:r>
        <w:rPr>
          <w:rFonts w:hint="eastAsia"/>
          <w:color w:val="auto"/>
          <w:kern w:val="2"/>
          <w:highlight w:val="none"/>
        </w:rPr>
        <w:t>1.1.2 磋商小组将对符合资格的供应商的</w:t>
      </w:r>
      <w:r>
        <w:rPr>
          <w:rFonts w:hint="eastAsia"/>
          <w:color w:val="auto"/>
          <w:highlight w:val="none"/>
          <w:lang w:eastAsia="zh-CN"/>
        </w:rPr>
        <w:t>响应文件</w:t>
      </w:r>
      <w:r>
        <w:rPr>
          <w:rFonts w:hint="eastAsia"/>
          <w:color w:val="auto"/>
          <w:kern w:val="2"/>
          <w:highlight w:val="none"/>
        </w:rPr>
        <w:t>进行符合性审查，以确定其是否满足竞争性磋商文件的实质性要求。</w:t>
      </w:r>
    </w:p>
    <w:p w14:paraId="7E2F3B99">
      <w:pPr>
        <w:pStyle w:val="25"/>
        <w:spacing w:beforeAutospacing="0" w:afterAutospacing="0" w:line="360" w:lineRule="auto"/>
        <w:jc w:val="center"/>
        <w:rPr>
          <w:b/>
          <w:bCs/>
          <w:color w:val="auto"/>
          <w:highlight w:val="none"/>
        </w:rPr>
      </w:pPr>
      <w:r>
        <w:rPr>
          <w:rFonts w:hint="eastAsia"/>
          <w:b/>
          <w:bCs/>
          <w:color w:val="auto"/>
          <w:kern w:val="2"/>
          <w:highlight w:val="none"/>
        </w:rPr>
        <w:t>符合性审查表</w:t>
      </w:r>
    </w:p>
    <w:tbl>
      <w:tblPr>
        <w:tblStyle w:val="28"/>
        <w:tblW w:w="96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1814"/>
        <w:gridCol w:w="5738"/>
        <w:gridCol w:w="1316"/>
      </w:tblGrid>
      <w:tr w14:paraId="2165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17" w:type="dxa"/>
            <w:vAlign w:val="center"/>
          </w:tcPr>
          <w:p w14:paraId="40DFA63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814" w:type="dxa"/>
            <w:vAlign w:val="center"/>
          </w:tcPr>
          <w:p w14:paraId="1651EF39">
            <w:pPr>
              <w:jc w:val="center"/>
              <w:rPr>
                <w:rFonts w:ascii="宋体" w:hAnsi="宋体" w:cs="宋体"/>
                <w:b/>
                <w:bCs/>
                <w:color w:val="auto"/>
                <w:sz w:val="24"/>
                <w:highlight w:val="none"/>
              </w:rPr>
            </w:pPr>
            <w:r>
              <w:rPr>
                <w:rFonts w:hint="eastAsia" w:ascii="宋体" w:hAnsi="宋体" w:cs="宋体"/>
                <w:b/>
                <w:bCs/>
                <w:color w:val="auto"/>
                <w:sz w:val="24"/>
                <w:highlight w:val="none"/>
              </w:rPr>
              <w:t>评审项目</w:t>
            </w:r>
          </w:p>
        </w:tc>
        <w:tc>
          <w:tcPr>
            <w:tcW w:w="5738" w:type="dxa"/>
            <w:vAlign w:val="center"/>
          </w:tcPr>
          <w:p w14:paraId="07988DC6">
            <w:pPr>
              <w:jc w:val="center"/>
              <w:rPr>
                <w:rFonts w:ascii="宋体" w:hAnsi="宋体" w:cs="宋体"/>
                <w:b/>
                <w:bCs/>
                <w:color w:val="auto"/>
                <w:sz w:val="24"/>
                <w:highlight w:val="none"/>
              </w:rPr>
            </w:pPr>
            <w:r>
              <w:rPr>
                <w:rFonts w:hint="eastAsia" w:ascii="宋体" w:hAnsi="宋体" w:cs="宋体"/>
                <w:b/>
                <w:bCs/>
                <w:color w:val="auto"/>
                <w:sz w:val="24"/>
                <w:highlight w:val="none"/>
              </w:rPr>
              <w:t>评审标准</w:t>
            </w:r>
          </w:p>
        </w:tc>
        <w:tc>
          <w:tcPr>
            <w:tcW w:w="1316" w:type="dxa"/>
            <w:vAlign w:val="center"/>
          </w:tcPr>
          <w:p w14:paraId="3F4A1E05">
            <w:pPr>
              <w:jc w:val="center"/>
              <w:rPr>
                <w:rFonts w:ascii="宋体" w:hAnsi="宋体" w:cs="宋体"/>
                <w:b/>
                <w:bCs/>
                <w:color w:val="auto"/>
                <w:sz w:val="24"/>
                <w:highlight w:val="none"/>
              </w:rPr>
            </w:pPr>
            <w:r>
              <w:rPr>
                <w:rFonts w:hint="eastAsia" w:ascii="宋体" w:hAnsi="宋体" w:cs="宋体"/>
                <w:b/>
                <w:bCs/>
                <w:color w:val="auto"/>
                <w:sz w:val="24"/>
                <w:highlight w:val="none"/>
              </w:rPr>
              <w:t>评审结论（√/×）</w:t>
            </w:r>
          </w:p>
        </w:tc>
      </w:tr>
      <w:tr w14:paraId="6A83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17" w:type="dxa"/>
            <w:vAlign w:val="center"/>
          </w:tcPr>
          <w:p w14:paraId="4B25A070">
            <w:pPr>
              <w:jc w:val="center"/>
              <w:rPr>
                <w:rFonts w:ascii="宋体" w:hAnsi="宋体" w:cs="宋体"/>
                <w:b/>
                <w:bCs/>
                <w:color w:val="auto"/>
                <w:sz w:val="24"/>
                <w:highlight w:val="none"/>
              </w:rPr>
            </w:pPr>
            <w:r>
              <w:rPr>
                <w:rFonts w:hint="eastAsia" w:ascii="宋体" w:hAnsi="宋体" w:cs="宋体"/>
                <w:color w:val="auto"/>
                <w:sz w:val="24"/>
                <w:highlight w:val="none"/>
              </w:rPr>
              <w:t>1</w:t>
            </w:r>
          </w:p>
        </w:tc>
        <w:tc>
          <w:tcPr>
            <w:tcW w:w="1814" w:type="dxa"/>
            <w:vAlign w:val="center"/>
          </w:tcPr>
          <w:p w14:paraId="508FDB5E">
            <w:pPr>
              <w:jc w:val="center"/>
              <w:rPr>
                <w:rFonts w:ascii="宋体" w:hAnsi="宋体" w:cs="宋体"/>
                <w:b/>
                <w:bCs/>
                <w:color w:val="auto"/>
                <w:sz w:val="24"/>
                <w:highlight w:val="none"/>
              </w:rPr>
            </w:pPr>
            <w:r>
              <w:rPr>
                <w:rFonts w:hint="eastAsia" w:ascii="宋体" w:hAnsi="宋体" w:cs="宋体"/>
                <w:color w:val="auto"/>
                <w:sz w:val="24"/>
                <w:highlight w:val="none"/>
              </w:rPr>
              <w:t>磋商保证金</w:t>
            </w:r>
          </w:p>
        </w:tc>
        <w:tc>
          <w:tcPr>
            <w:tcW w:w="5738" w:type="dxa"/>
            <w:vAlign w:val="center"/>
          </w:tcPr>
          <w:p w14:paraId="3175EF4D">
            <w:pPr>
              <w:rPr>
                <w:rFonts w:ascii="宋体" w:hAnsi="宋体" w:cs="宋体"/>
                <w:b/>
                <w:bCs/>
                <w:color w:val="auto"/>
                <w:sz w:val="24"/>
                <w:highlight w:val="none"/>
              </w:rPr>
            </w:pPr>
            <w:r>
              <w:rPr>
                <w:rFonts w:hint="eastAsia" w:ascii="宋体" w:hAnsi="宋体" w:cs="宋体"/>
                <w:color w:val="auto"/>
                <w:sz w:val="24"/>
                <w:highlight w:val="none"/>
              </w:rPr>
              <w:t>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tc>
        <w:tc>
          <w:tcPr>
            <w:tcW w:w="1316" w:type="dxa"/>
            <w:vAlign w:val="center"/>
          </w:tcPr>
          <w:p w14:paraId="0E9A10A1">
            <w:pPr>
              <w:jc w:val="both"/>
              <w:rPr>
                <w:rFonts w:ascii="宋体" w:hAnsi="宋体" w:cs="宋体"/>
                <w:b/>
                <w:bCs/>
                <w:color w:val="auto"/>
                <w:sz w:val="24"/>
                <w:highlight w:val="none"/>
              </w:rPr>
            </w:pPr>
          </w:p>
        </w:tc>
      </w:tr>
      <w:tr w14:paraId="2E484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17" w:type="dxa"/>
            <w:vAlign w:val="center"/>
          </w:tcPr>
          <w:p w14:paraId="19664E78">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14" w:type="dxa"/>
            <w:vAlign w:val="center"/>
          </w:tcPr>
          <w:p w14:paraId="49F6DD0F">
            <w:pPr>
              <w:jc w:val="center"/>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签署盖章</w:t>
            </w:r>
          </w:p>
        </w:tc>
        <w:tc>
          <w:tcPr>
            <w:tcW w:w="5738" w:type="dxa"/>
            <w:vAlign w:val="center"/>
          </w:tcPr>
          <w:p w14:paraId="43C20F3C">
            <w:pPr>
              <w:rPr>
                <w:rFonts w:ascii="宋体" w:hAnsi="宋体" w:cs="宋体"/>
                <w:color w:val="auto"/>
                <w:sz w:val="24"/>
                <w:highlight w:val="none"/>
              </w:rPr>
            </w:pPr>
            <w:r>
              <w:rPr>
                <w:rFonts w:hint="eastAsia" w:ascii="宋体" w:hAnsi="宋体" w:cs="宋体"/>
                <w:color w:val="auto"/>
                <w:sz w:val="24"/>
                <w:highlight w:val="none"/>
              </w:rPr>
              <w:t>按竞争性磋商文件要求在规定位置加盖供应商公章和（或）有法定代表人或其授权代表</w:t>
            </w:r>
            <w:r>
              <w:rPr>
                <w:rFonts w:hint="eastAsia" w:ascii="宋体" w:hAnsi="宋体" w:cs="宋体"/>
                <w:color w:val="auto"/>
                <w:sz w:val="24"/>
                <w:highlight w:val="none"/>
                <w:lang w:val="en-US" w:eastAsia="zh-CN"/>
              </w:rPr>
              <w:t>盖章或</w:t>
            </w:r>
            <w:r>
              <w:rPr>
                <w:rFonts w:hint="eastAsia" w:ascii="宋体" w:hAnsi="宋体" w:cs="宋体"/>
                <w:color w:val="auto"/>
                <w:sz w:val="24"/>
                <w:highlight w:val="none"/>
              </w:rPr>
              <w:t>签字；</w:t>
            </w:r>
          </w:p>
        </w:tc>
        <w:tc>
          <w:tcPr>
            <w:tcW w:w="1316" w:type="dxa"/>
            <w:vAlign w:val="center"/>
          </w:tcPr>
          <w:p w14:paraId="53170E3D">
            <w:pPr>
              <w:rPr>
                <w:rFonts w:ascii="宋体" w:hAnsi="宋体" w:cs="宋体"/>
                <w:color w:val="auto"/>
                <w:sz w:val="24"/>
                <w:highlight w:val="none"/>
              </w:rPr>
            </w:pPr>
          </w:p>
        </w:tc>
      </w:tr>
      <w:tr w14:paraId="4F473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17" w:type="dxa"/>
            <w:vAlign w:val="center"/>
          </w:tcPr>
          <w:p w14:paraId="30CC9E2F">
            <w:pPr>
              <w:jc w:val="center"/>
              <w:rPr>
                <w:rFonts w:ascii="宋体" w:hAnsi="宋体" w:cs="宋体"/>
                <w:color w:val="auto"/>
                <w:sz w:val="24"/>
                <w:highlight w:val="none"/>
              </w:rPr>
            </w:pPr>
            <w:r>
              <w:rPr>
                <w:rFonts w:hint="eastAsia" w:ascii="宋体" w:hAnsi="宋体" w:cs="宋体"/>
                <w:color w:val="auto"/>
                <w:sz w:val="24"/>
                <w:highlight w:val="none"/>
              </w:rPr>
              <w:t>3</w:t>
            </w:r>
          </w:p>
        </w:tc>
        <w:tc>
          <w:tcPr>
            <w:tcW w:w="1814" w:type="dxa"/>
            <w:vAlign w:val="center"/>
          </w:tcPr>
          <w:p w14:paraId="7F85C837">
            <w:pPr>
              <w:jc w:val="center"/>
              <w:rPr>
                <w:rFonts w:ascii="宋体" w:hAnsi="宋体" w:cs="宋体"/>
                <w:color w:val="auto"/>
                <w:sz w:val="24"/>
                <w:highlight w:val="none"/>
              </w:rPr>
            </w:pPr>
            <w:r>
              <w:rPr>
                <w:rFonts w:hint="eastAsia" w:ascii="宋体" w:hAnsi="宋体" w:cs="宋体"/>
                <w:color w:val="auto"/>
                <w:sz w:val="24"/>
                <w:highlight w:val="none"/>
              </w:rPr>
              <w:t>报价</w:t>
            </w:r>
          </w:p>
        </w:tc>
        <w:tc>
          <w:tcPr>
            <w:tcW w:w="5738" w:type="dxa"/>
            <w:vAlign w:val="center"/>
          </w:tcPr>
          <w:p w14:paraId="34C1B144">
            <w:pPr>
              <w:spacing w:line="34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t>每</w:t>
            </w:r>
            <w:r>
              <w:rPr>
                <w:rFonts w:hint="eastAsia" w:ascii="Times New Roman" w:hAnsi="Times New Roman" w:eastAsia="宋体" w:cs="Times New Roman"/>
                <w:color w:val="auto"/>
                <w:highlight w:val="none"/>
                <w:lang w:val="en-US" w:eastAsia="zh-CN"/>
              </w:rPr>
              <w:t>标项采用</w:t>
            </w:r>
            <w:r>
              <w:rPr>
                <w:rFonts w:ascii="Times New Roman" w:hAnsi="Times New Roman" w:eastAsia="宋体" w:cs="Times New Roman"/>
                <w:color w:val="auto"/>
                <w:highlight w:val="none"/>
              </w:rPr>
              <w:t>固定</w:t>
            </w:r>
            <w:r>
              <w:rPr>
                <w:rFonts w:hint="eastAsia" w:ascii="Times New Roman" w:hAnsi="Times New Roman" w:eastAsia="宋体" w:cs="Times New Roman"/>
                <w:color w:val="auto"/>
                <w:highlight w:val="none"/>
                <w:lang w:eastAsia="zh-CN"/>
              </w:rPr>
              <w:t>金额</w:t>
            </w:r>
            <w:r>
              <w:rPr>
                <w:rFonts w:hint="eastAsia" w:ascii="Times New Roman" w:hAnsi="Times New Roman" w:eastAsia="宋体" w:cs="Times New Roman"/>
                <w:color w:val="auto"/>
                <w:highlight w:val="none"/>
                <w:lang w:val="en-US" w:eastAsia="zh-CN"/>
              </w:rPr>
              <w:t>报价</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供应商</w:t>
            </w:r>
            <w:r>
              <w:rPr>
                <w:rFonts w:ascii="Times New Roman" w:hAnsi="Times New Roman" w:eastAsia="宋体" w:cs="Times New Roman"/>
                <w:color w:val="auto"/>
                <w:highlight w:val="none"/>
              </w:rPr>
              <w:t>对该</w:t>
            </w:r>
            <w:r>
              <w:rPr>
                <w:rFonts w:hint="eastAsia" w:ascii="Times New Roman" w:hAnsi="Times New Roman" w:eastAsia="宋体" w:cs="Times New Roman"/>
                <w:color w:val="auto"/>
                <w:highlight w:val="none"/>
                <w:lang w:val="en-US" w:eastAsia="zh-CN"/>
              </w:rPr>
              <w:t>标项</w:t>
            </w:r>
            <w:r>
              <w:rPr>
                <w:rFonts w:ascii="Times New Roman" w:hAnsi="Times New Roman" w:eastAsia="宋体" w:cs="Times New Roman"/>
                <w:color w:val="auto"/>
                <w:highlight w:val="none"/>
              </w:rPr>
              <w:t>能够提供的抽检服务批次数量进行报价，一定金额下提供的抽样检验批次数量越多得分越高</w:t>
            </w:r>
            <w:r>
              <w:rPr>
                <w:rFonts w:hint="eastAsia" w:ascii="Times New Roman" w:hAnsi="Times New Roman" w:eastAsia="宋体" w:cs="Times New Roman"/>
                <w:color w:val="auto"/>
                <w:highlight w:val="none"/>
                <w:lang w:val="zh-CN"/>
              </w:rPr>
              <w:t>（少于最低控制抽检批次数量的报价，其投标被否决</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w:t>
            </w:r>
          </w:p>
          <w:p w14:paraId="38B5A370">
            <w:pPr>
              <w:pStyle w:val="13"/>
              <w:numPr>
                <w:ilvl w:val="0"/>
                <w:numId w:val="0"/>
              </w:numPr>
              <w:ind w:leftChars="0"/>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1供应商报价应包含开展长春市产品质量监督抽查抽样检验服务的全部费用，但不限于抽样产生的人员差旅、住宿、补助费，样品购置费及运输费以及检验费、复检费（如有）等。</w:t>
            </w:r>
          </w:p>
          <w:p w14:paraId="0FDEA148">
            <w:pPr>
              <w:pStyle w:val="13"/>
              <w:numPr>
                <w:ilvl w:val="0"/>
                <w:numId w:val="0"/>
              </w:numPr>
              <w:ind w:leftChars="0"/>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2评标委员会认为供应商的报价</w:t>
            </w:r>
            <w:r>
              <w:rPr>
                <w:rFonts w:hint="eastAsia" w:ascii="Times New Roman" w:hAnsi="Times New Roman" w:eastAsia="宋体" w:cs="Times New Roman"/>
                <w:b/>
                <w:bCs/>
                <w:color w:val="auto"/>
                <w:highlight w:val="none"/>
                <w:lang w:val="zh-CN" w:eastAsia="zh-CN"/>
              </w:rPr>
              <w:t>批次数量</w:t>
            </w:r>
            <w:r>
              <w:rPr>
                <w:rFonts w:hint="eastAsia" w:ascii="Times New Roman" w:hAnsi="Times New Roman" w:eastAsia="宋体" w:cs="Times New Roman"/>
                <w:b/>
                <w:bCs/>
                <w:color w:val="auto"/>
                <w:highlight w:val="none"/>
                <w:lang w:val="en-US" w:eastAsia="zh-CN"/>
              </w:rPr>
              <w:t>明显高于（每批次价格偏低）其他通过符合性审查供应商的报价</w:t>
            </w:r>
            <w:r>
              <w:rPr>
                <w:rFonts w:hint="eastAsia" w:ascii="Times New Roman" w:hAnsi="Times New Roman" w:eastAsia="宋体" w:cs="Times New Roman"/>
                <w:b/>
                <w:bCs/>
                <w:color w:val="auto"/>
                <w:highlight w:val="none"/>
                <w:lang w:val="zh-CN" w:eastAsia="zh-CN"/>
              </w:rPr>
              <w:t>批次数量</w:t>
            </w:r>
            <w:r>
              <w:rPr>
                <w:rFonts w:hint="eastAsia" w:ascii="Times New Roman" w:hAnsi="Times New Roman" w:eastAsia="宋体" w:cs="Times New Roman"/>
                <w:b/>
                <w:bCs/>
                <w:color w:val="auto"/>
                <w:highlight w:val="none"/>
                <w:lang w:val="en-US" w:eastAsia="zh-CN"/>
              </w:rPr>
              <w:t>，有可能影响提供服务的质量或者不能诚信履约的，应当要求其在评标现场合理的时间内提供书面说明，必要时提交相关证明材料；供应商不能证明其报价合理性的，评标委员会应当将其作为无效投标处理。</w:t>
            </w:r>
          </w:p>
          <w:p w14:paraId="69F754C3">
            <w:pPr>
              <w:rPr>
                <w:rFonts w:ascii="宋体" w:hAnsi="宋体" w:cs="宋体"/>
                <w:color w:val="auto"/>
                <w:sz w:val="24"/>
                <w:highlight w:val="none"/>
              </w:rPr>
            </w:pPr>
            <w:r>
              <w:rPr>
                <w:rFonts w:hint="eastAsia" w:ascii="宋体" w:hAnsi="宋体" w:eastAsia="宋体" w:cs="宋体"/>
                <w:b/>
                <w:bCs/>
                <w:color w:val="auto"/>
                <w:highlight w:val="none"/>
                <w:lang w:val="en-US" w:eastAsia="zh-CN"/>
              </w:rPr>
              <w:t>3、最终结算的批次数量以采购人分配的批次数量为准，但分配的批次数量不高于中标方投标时承诺的批次数量。</w:t>
            </w:r>
          </w:p>
        </w:tc>
        <w:tc>
          <w:tcPr>
            <w:tcW w:w="1316" w:type="dxa"/>
            <w:vAlign w:val="center"/>
          </w:tcPr>
          <w:p w14:paraId="056D57F5">
            <w:pPr>
              <w:rPr>
                <w:rFonts w:ascii="宋体" w:hAnsi="宋体" w:cs="宋体"/>
                <w:color w:val="auto"/>
                <w:sz w:val="24"/>
                <w:highlight w:val="none"/>
              </w:rPr>
            </w:pPr>
          </w:p>
        </w:tc>
      </w:tr>
      <w:tr w14:paraId="1C1BF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17" w:type="dxa"/>
            <w:vAlign w:val="center"/>
          </w:tcPr>
          <w:p w14:paraId="64387AD4">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814" w:type="dxa"/>
            <w:vAlign w:val="center"/>
          </w:tcPr>
          <w:p w14:paraId="622A964D">
            <w:pPr>
              <w:jc w:val="center"/>
              <w:rPr>
                <w:rFonts w:ascii="宋体" w:hAnsi="宋体" w:cs="宋体"/>
                <w:color w:val="auto"/>
                <w:sz w:val="24"/>
                <w:highlight w:val="none"/>
              </w:rPr>
            </w:pPr>
            <w:r>
              <w:rPr>
                <w:rFonts w:hint="eastAsia" w:ascii="宋体" w:hAnsi="宋体" w:cs="宋体"/>
                <w:color w:val="auto"/>
                <w:sz w:val="24"/>
                <w:highlight w:val="none"/>
              </w:rPr>
              <w:t>磋商有效期</w:t>
            </w:r>
          </w:p>
        </w:tc>
        <w:tc>
          <w:tcPr>
            <w:tcW w:w="5738" w:type="dxa"/>
            <w:vAlign w:val="center"/>
          </w:tcPr>
          <w:p w14:paraId="618739FD">
            <w:pPr>
              <w:rPr>
                <w:rFonts w:ascii="宋体" w:hAnsi="宋体" w:cs="宋体"/>
                <w:color w:val="auto"/>
                <w:sz w:val="24"/>
                <w:highlight w:val="none"/>
              </w:rPr>
            </w:pPr>
            <w:r>
              <w:rPr>
                <w:rFonts w:hint="eastAsia" w:ascii="宋体" w:hAnsi="宋体" w:cs="宋体"/>
                <w:color w:val="auto"/>
                <w:sz w:val="24"/>
                <w:highlight w:val="none"/>
              </w:rPr>
              <w:t>递交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截止之日起90日历天；</w:t>
            </w:r>
          </w:p>
        </w:tc>
        <w:tc>
          <w:tcPr>
            <w:tcW w:w="1316" w:type="dxa"/>
            <w:vAlign w:val="center"/>
          </w:tcPr>
          <w:p w14:paraId="2359E518">
            <w:pPr>
              <w:rPr>
                <w:rFonts w:ascii="宋体" w:hAnsi="宋体" w:cs="宋体"/>
                <w:color w:val="auto"/>
                <w:sz w:val="24"/>
                <w:highlight w:val="none"/>
              </w:rPr>
            </w:pPr>
          </w:p>
        </w:tc>
      </w:tr>
      <w:tr w14:paraId="1C00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17" w:type="dxa"/>
            <w:vAlign w:val="center"/>
          </w:tcPr>
          <w:p w14:paraId="6351CD95">
            <w:pPr>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814" w:type="dxa"/>
            <w:vAlign w:val="center"/>
          </w:tcPr>
          <w:p w14:paraId="50664B99">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服务内容</w:t>
            </w:r>
          </w:p>
        </w:tc>
        <w:tc>
          <w:tcPr>
            <w:tcW w:w="5738" w:type="dxa"/>
            <w:vAlign w:val="center"/>
          </w:tcPr>
          <w:p w14:paraId="7D6ABF05">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长春市产品质量监督抽查抽样检验服务</w:t>
            </w:r>
            <w:r>
              <w:rPr>
                <w:rFonts w:hint="eastAsia" w:ascii="宋体" w:hAnsi="宋体" w:cs="宋体"/>
                <w:color w:val="auto"/>
                <w:sz w:val="24"/>
                <w:highlight w:val="none"/>
                <w:lang w:eastAsia="zh-CN"/>
              </w:rPr>
              <w:t>；</w:t>
            </w:r>
          </w:p>
        </w:tc>
        <w:tc>
          <w:tcPr>
            <w:tcW w:w="1316" w:type="dxa"/>
            <w:vAlign w:val="center"/>
          </w:tcPr>
          <w:p w14:paraId="07C2AA88">
            <w:pPr>
              <w:rPr>
                <w:rFonts w:ascii="宋体" w:hAnsi="宋体" w:cs="宋体"/>
                <w:color w:val="auto"/>
                <w:sz w:val="24"/>
                <w:highlight w:val="none"/>
              </w:rPr>
            </w:pPr>
          </w:p>
        </w:tc>
      </w:tr>
      <w:tr w14:paraId="4804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17" w:type="dxa"/>
            <w:vAlign w:val="center"/>
          </w:tcPr>
          <w:p w14:paraId="5C38A529">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6</w:t>
            </w:r>
          </w:p>
        </w:tc>
        <w:tc>
          <w:tcPr>
            <w:tcW w:w="1814" w:type="dxa"/>
            <w:vAlign w:val="center"/>
          </w:tcPr>
          <w:p w14:paraId="04EE907B">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服务地点</w:t>
            </w:r>
          </w:p>
        </w:tc>
        <w:tc>
          <w:tcPr>
            <w:tcW w:w="5738" w:type="dxa"/>
            <w:vAlign w:val="center"/>
          </w:tcPr>
          <w:p w14:paraId="77331D48">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指定地点</w:t>
            </w:r>
            <w:r>
              <w:rPr>
                <w:rFonts w:hint="eastAsia" w:ascii="宋体" w:hAnsi="宋体" w:eastAsia="宋体" w:cs="宋体"/>
                <w:color w:val="auto"/>
                <w:sz w:val="24"/>
                <w:highlight w:val="none"/>
                <w:lang w:eastAsia="zh-CN"/>
              </w:rPr>
              <w:t>；</w:t>
            </w:r>
          </w:p>
        </w:tc>
        <w:tc>
          <w:tcPr>
            <w:tcW w:w="1316" w:type="dxa"/>
            <w:vAlign w:val="center"/>
          </w:tcPr>
          <w:p w14:paraId="0675395F">
            <w:pPr>
              <w:rPr>
                <w:rFonts w:ascii="宋体" w:hAnsi="宋体" w:cs="宋体"/>
                <w:color w:val="auto"/>
                <w:sz w:val="24"/>
                <w:highlight w:val="none"/>
              </w:rPr>
            </w:pPr>
          </w:p>
        </w:tc>
      </w:tr>
      <w:tr w14:paraId="73448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17" w:type="dxa"/>
            <w:vAlign w:val="center"/>
          </w:tcPr>
          <w:p w14:paraId="7FD221C2">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14" w:type="dxa"/>
            <w:vAlign w:val="center"/>
          </w:tcPr>
          <w:p w14:paraId="423AEC0C">
            <w:pPr>
              <w:jc w:val="center"/>
              <w:rPr>
                <w:rFonts w:hint="eastAsia" w:ascii="宋体" w:hAnsi="宋体" w:cs="宋体"/>
                <w:color w:val="auto"/>
                <w:sz w:val="24"/>
                <w:highlight w:val="none"/>
              </w:rPr>
            </w:pPr>
            <w:r>
              <w:rPr>
                <w:rFonts w:hint="eastAsia" w:ascii="宋体" w:hAnsi="宋体" w:cs="宋体"/>
                <w:color w:val="auto"/>
                <w:sz w:val="24"/>
                <w:highlight w:val="none"/>
              </w:rPr>
              <w:t>合同履行期限</w:t>
            </w:r>
          </w:p>
        </w:tc>
        <w:tc>
          <w:tcPr>
            <w:tcW w:w="5738" w:type="dxa"/>
            <w:vAlign w:val="center"/>
          </w:tcPr>
          <w:p w14:paraId="53F68B8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满足竞争性磋商文件要求；</w:t>
            </w:r>
          </w:p>
        </w:tc>
        <w:tc>
          <w:tcPr>
            <w:tcW w:w="1316" w:type="dxa"/>
            <w:vAlign w:val="center"/>
          </w:tcPr>
          <w:p w14:paraId="61E27A07">
            <w:pPr>
              <w:rPr>
                <w:rFonts w:ascii="宋体" w:hAnsi="宋体" w:cs="宋体"/>
                <w:color w:val="auto"/>
                <w:sz w:val="24"/>
                <w:highlight w:val="none"/>
              </w:rPr>
            </w:pPr>
          </w:p>
        </w:tc>
      </w:tr>
      <w:tr w14:paraId="6203D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17" w:type="dxa"/>
            <w:vAlign w:val="center"/>
          </w:tcPr>
          <w:p w14:paraId="29518C26">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14" w:type="dxa"/>
            <w:vAlign w:val="center"/>
          </w:tcPr>
          <w:p w14:paraId="2D8658B3">
            <w:pPr>
              <w:jc w:val="center"/>
              <w:rPr>
                <w:rFonts w:hint="eastAsia" w:ascii="宋体" w:hAnsi="宋体" w:cs="宋体"/>
                <w:color w:val="auto"/>
                <w:sz w:val="24"/>
                <w:highlight w:val="none"/>
              </w:rPr>
            </w:pPr>
            <w:r>
              <w:rPr>
                <w:rFonts w:hint="eastAsia" w:ascii="宋体" w:hAnsi="宋体" w:cs="宋体"/>
                <w:color w:val="auto"/>
                <w:sz w:val="24"/>
                <w:highlight w:val="none"/>
                <w:lang w:eastAsia="zh-CN"/>
              </w:rPr>
              <w:t>其他无效情形</w:t>
            </w:r>
          </w:p>
        </w:tc>
        <w:tc>
          <w:tcPr>
            <w:tcW w:w="5738" w:type="dxa"/>
            <w:vAlign w:val="center"/>
          </w:tcPr>
          <w:p w14:paraId="28A4226A">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法律、法规和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eastAsia="zh-CN"/>
              </w:rPr>
              <w:t>文件规定的其他无效情形；</w:t>
            </w:r>
          </w:p>
        </w:tc>
        <w:tc>
          <w:tcPr>
            <w:tcW w:w="1316" w:type="dxa"/>
            <w:vAlign w:val="center"/>
          </w:tcPr>
          <w:p w14:paraId="71A117F9">
            <w:pPr>
              <w:rPr>
                <w:rFonts w:ascii="宋体" w:hAnsi="宋体" w:cs="宋体"/>
                <w:color w:val="auto"/>
                <w:sz w:val="24"/>
                <w:highlight w:val="none"/>
              </w:rPr>
            </w:pPr>
          </w:p>
        </w:tc>
      </w:tr>
      <w:tr w14:paraId="57ED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31" w:type="dxa"/>
            <w:gridSpan w:val="2"/>
            <w:vAlign w:val="center"/>
          </w:tcPr>
          <w:p w14:paraId="15993F9E">
            <w:pPr>
              <w:rPr>
                <w:rFonts w:ascii="宋体" w:hAnsi="宋体" w:cs="宋体"/>
                <w:color w:val="auto"/>
                <w:sz w:val="24"/>
                <w:highlight w:val="none"/>
              </w:rPr>
            </w:pPr>
            <w:r>
              <w:rPr>
                <w:rFonts w:hint="eastAsia" w:ascii="宋体" w:hAnsi="宋体" w:cs="宋体"/>
                <w:color w:val="auto"/>
                <w:sz w:val="24"/>
                <w:highlight w:val="none"/>
              </w:rPr>
              <w:t>评审结论（合格/不合格）</w:t>
            </w:r>
          </w:p>
        </w:tc>
        <w:tc>
          <w:tcPr>
            <w:tcW w:w="7054" w:type="dxa"/>
            <w:gridSpan w:val="2"/>
            <w:vAlign w:val="center"/>
          </w:tcPr>
          <w:p w14:paraId="2AD95A5C">
            <w:pPr>
              <w:rPr>
                <w:rFonts w:ascii="宋体" w:hAnsi="宋体" w:cs="宋体"/>
                <w:color w:val="auto"/>
                <w:sz w:val="24"/>
                <w:highlight w:val="none"/>
              </w:rPr>
            </w:pPr>
          </w:p>
        </w:tc>
      </w:tr>
    </w:tbl>
    <w:p w14:paraId="319F75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注：本表中符合评审内容要求的写“√”，不符合评审内容要求的写“×”。结论为“合格”或“不合格。结论不合格的不进入综合评审阶段。</w:t>
      </w:r>
    </w:p>
    <w:p w14:paraId="0A8B6B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属下列情况之一的，应当在资格性、符合性检查时按照无效投标处理：</w:t>
      </w:r>
    </w:p>
    <w:p w14:paraId="36C61E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（一）未按照规定递交磋商保证金的；</w:t>
      </w:r>
    </w:p>
    <w:p w14:paraId="452227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（二）未按照竞争性磋商文件规定要求签署、盖章的；</w:t>
      </w:r>
    </w:p>
    <w:p w14:paraId="39B1F1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（三）不具备竞争性磋商文件中规定资格要求的；</w:t>
      </w:r>
    </w:p>
    <w:p w14:paraId="3ACC59D0">
      <w:pPr>
        <w:numPr>
          <w:ilvl w:val="0"/>
          <w:numId w:val="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报价</w:t>
      </w:r>
      <w:r>
        <w:rPr>
          <w:rFonts w:hint="eastAsia" w:ascii="宋体" w:hAnsi="宋体" w:cs="宋体"/>
          <w:color w:val="auto"/>
          <w:sz w:val="24"/>
          <w:highlight w:val="none"/>
          <w:lang w:val="en-US" w:eastAsia="zh-CN"/>
        </w:rPr>
        <w:t>未按照</w:t>
      </w:r>
      <w:r>
        <w:rPr>
          <w:rFonts w:hint="eastAsia" w:ascii="宋体" w:hAnsi="宋体" w:cs="宋体"/>
          <w:color w:val="auto"/>
          <w:sz w:val="24"/>
          <w:highlight w:val="none"/>
        </w:rPr>
        <w:t>竞争性磋商文件中规定</w:t>
      </w:r>
      <w:r>
        <w:rPr>
          <w:rFonts w:hint="eastAsia" w:ascii="宋体" w:hAnsi="宋体" w:cs="宋体"/>
          <w:color w:val="auto"/>
          <w:sz w:val="24"/>
          <w:highlight w:val="none"/>
          <w:lang w:val="en-US" w:eastAsia="zh-CN"/>
        </w:rPr>
        <w:t>进行报价及批次的</w:t>
      </w:r>
      <w:r>
        <w:rPr>
          <w:rFonts w:hint="eastAsia" w:ascii="宋体" w:hAnsi="宋体" w:cs="宋体"/>
          <w:color w:val="auto"/>
          <w:sz w:val="24"/>
          <w:highlight w:val="none"/>
        </w:rPr>
        <w:t>；</w:t>
      </w:r>
    </w:p>
    <w:p w14:paraId="57624488">
      <w:pPr>
        <w:numPr>
          <w:ilvl w:val="0"/>
          <w:numId w:val="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含有采购人不能接受的附加条件的;</w:t>
      </w:r>
    </w:p>
    <w:p w14:paraId="443D4785">
      <w:pPr>
        <w:numPr>
          <w:ilvl w:val="0"/>
          <w:numId w:val="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不符合法律、法规和竞争性磋商文件中规定的其他实质性要求的。</w:t>
      </w:r>
    </w:p>
    <w:p w14:paraId="661CAA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审查供应商是否存在串通投标行为：磋商小组发现有下列情形之一的，视为供应商串通投标，其投标无效：</w:t>
      </w:r>
    </w:p>
    <w:p w14:paraId="1E4AE9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（一）不同供应商的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由同一单位或者个人编制；</w:t>
      </w:r>
    </w:p>
    <w:p w14:paraId="3BDB0F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（二）不同供应商委托同一单位或者个人办理磋商事宜；</w:t>
      </w:r>
    </w:p>
    <w:p w14:paraId="1B5F8D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（三）不同供应商的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载明的项目管理成员或者联系人员为同一人；</w:t>
      </w:r>
    </w:p>
    <w:p w14:paraId="228066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（四）不同供应商的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异常一致；</w:t>
      </w:r>
    </w:p>
    <w:p w14:paraId="13155B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（五）不同供应商的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相互混装；</w:t>
      </w:r>
    </w:p>
    <w:p w14:paraId="05858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（六）不同供应商的磋商保证金从同一单位或者个人的账户转出。</w:t>
      </w:r>
    </w:p>
    <w:p w14:paraId="03F91A04">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注：经磋商小组评审合格供应商的家数不足三家，该项目废标，采购人有权委托采购代理机构重新组织采购。</w:t>
      </w:r>
    </w:p>
    <w:p w14:paraId="69F5D808">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1.2澄清有关问题。</w:t>
      </w:r>
      <w:r>
        <w:rPr>
          <w:rFonts w:hint="eastAsia" w:ascii="宋体" w:hAnsi="宋体" w:cs="宋体"/>
          <w:color w:val="auto"/>
          <w:sz w:val="24"/>
          <w:highlight w:val="none"/>
        </w:rPr>
        <w:t>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中含义不明确、同类问题表述不一致或者有明显文字和计算错误的内容，磋商小组可以书面形式要求供应商做出必要的澄清、说明或者纠正。供应商的澄清、说明或者补正不得超出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的范围或者改变</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的实质性内容。</w:t>
      </w:r>
    </w:p>
    <w:p w14:paraId="38C13F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1.2.1磋商小组将允许修正</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中不构成重大偏离的细微偏离，但这些修正应不会对实质上响应竞争性磋商文件要求的供应商的竞争地位（相互排序）产生不公正的影响。</w:t>
      </w:r>
    </w:p>
    <w:p w14:paraId="358CAC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报价出现前后不一致的，除竞争性磋商文件另有规定外，按照下列规定修正：</w:t>
      </w:r>
    </w:p>
    <w:p w14:paraId="042E83C6">
      <w:pPr>
        <w:numPr>
          <w:ilvl w:val="0"/>
          <w:numId w:val="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中磋商（报价表）内容与</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中相应内容不一致的，以报价一览表（报价表）为准；</w:t>
      </w:r>
    </w:p>
    <w:p w14:paraId="692B4FBC">
      <w:pPr>
        <w:numPr>
          <w:ilvl w:val="0"/>
          <w:numId w:val="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14:paraId="103BC403">
      <w:pPr>
        <w:numPr>
          <w:ilvl w:val="0"/>
          <w:numId w:val="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单价金额小数点或者百分比有明显错位的，以报价一览表的总价为准，并修改单价；</w:t>
      </w:r>
    </w:p>
    <w:p w14:paraId="228089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（四）总价金额与按单价汇总金额不一致的，以单价金额计算结果为准。</w:t>
      </w:r>
    </w:p>
    <w:p w14:paraId="28645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同时出现两种以上不一致的，按照规定的顺序修正。修正后的报价经供应商确认后产生约束力，供应商不确认的，其投标无效。</w:t>
      </w:r>
    </w:p>
    <w:p w14:paraId="110377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1.2.3磋商小组认为供应商</w:t>
      </w:r>
      <w:r>
        <w:rPr>
          <w:rFonts w:hint="eastAsia" w:ascii="宋体" w:hAnsi="宋体" w:cs="宋体"/>
          <w:color w:val="auto"/>
          <w:sz w:val="24"/>
          <w:highlight w:val="none"/>
          <w:lang w:val="en-US" w:eastAsia="zh-CN"/>
        </w:rPr>
        <w:t>所报批次数量畸高</w:t>
      </w:r>
      <w:r>
        <w:rPr>
          <w:rFonts w:hint="eastAsia" w:ascii="宋体" w:hAnsi="宋体" w:cs="宋体"/>
          <w:color w:val="auto"/>
          <w:sz w:val="24"/>
          <w:highlight w:val="none"/>
        </w:rPr>
        <w:t>有可能影响</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质量或者不能诚信履约的，应当要求其在评标现场合理的时间内提供书面说明，必要时提交相关证明材料；供应商不能证明其</w:t>
      </w:r>
      <w:r>
        <w:rPr>
          <w:rFonts w:hint="eastAsia" w:ascii="宋体" w:hAnsi="宋体" w:cs="宋体"/>
          <w:color w:val="auto"/>
          <w:sz w:val="24"/>
          <w:highlight w:val="none"/>
          <w:lang w:val="en-US" w:eastAsia="zh-CN"/>
        </w:rPr>
        <w:t>所报批次数量</w:t>
      </w:r>
      <w:r>
        <w:rPr>
          <w:rFonts w:hint="eastAsia" w:ascii="宋体" w:hAnsi="宋体" w:cs="宋体"/>
          <w:color w:val="auto"/>
          <w:sz w:val="24"/>
          <w:highlight w:val="none"/>
        </w:rPr>
        <w:t>合理性的，磋商小组应当将其作为无效投标处理。</w:t>
      </w:r>
    </w:p>
    <w:p w14:paraId="300F43B1">
      <w:pPr>
        <w:pStyle w:val="25"/>
        <w:spacing w:beforeAutospacing="0" w:afterAutospacing="0" w:line="360" w:lineRule="auto"/>
        <w:ind w:firstLine="482" w:firstLineChars="200"/>
        <w:jc w:val="both"/>
        <w:rPr>
          <w:b/>
          <w:bCs/>
          <w:color w:val="auto"/>
          <w:kern w:val="2"/>
          <w:highlight w:val="none"/>
        </w:rPr>
      </w:pPr>
      <w:r>
        <w:rPr>
          <w:rFonts w:hint="eastAsia"/>
          <w:b/>
          <w:bCs/>
          <w:color w:val="auto"/>
          <w:kern w:val="2"/>
          <w:highlight w:val="none"/>
        </w:rPr>
        <w:t>1.3磋商小组应当按照竞争性磋商文件中规定的评标方法和标准，对符合性审查合格的响应文件进行商务和技术评</w:t>
      </w:r>
      <w:r>
        <w:rPr>
          <w:rFonts w:hint="eastAsia"/>
          <w:b/>
          <w:bCs/>
          <w:color w:val="auto"/>
          <w:kern w:val="2"/>
          <w:highlight w:val="none"/>
          <w:lang w:val="en-US" w:eastAsia="zh-CN"/>
        </w:rPr>
        <w:t>审</w:t>
      </w:r>
      <w:r>
        <w:rPr>
          <w:rFonts w:hint="eastAsia"/>
          <w:b/>
          <w:bCs/>
          <w:color w:val="auto"/>
          <w:kern w:val="2"/>
          <w:highlight w:val="none"/>
        </w:rPr>
        <w:t>，综合比较与评价。</w:t>
      </w:r>
    </w:p>
    <w:p w14:paraId="336192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本项目采用综合评分法评标，磋商小组将按下述标准评定成交供应商：独立对每个供应商的响应文件进行评价，并汇总每个供应商的得分。按评审后得分由高到低顺序排列。得分相同的，按</w:t>
      </w:r>
      <w:r>
        <w:rPr>
          <w:rFonts w:hint="eastAsia" w:ascii="宋体" w:hAnsi="宋体" w:eastAsia="宋体" w:cs="宋体"/>
          <w:color w:val="auto"/>
          <w:sz w:val="24"/>
          <w:highlight w:val="none"/>
          <w:lang w:val="en-US" w:eastAsia="zh-CN"/>
        </w:rPr>
        <w:t>批次数量</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到</w:t>
      </w:r>
      <w:r>
        <w:rPr>
          <w:rFonts w:hint="eastAsia" w:ascii="宋体" w:hAnsi="宋体" w:eastAsia="宋体" w:cs="宋体"/>
          <w:color w:val="auto"/>
          <w:sz w:val="24"/>
          <w:highlight w:val="none"/>
          <w:lang w:val="en-US" w:eastAsia="zh-CN"/>
        </w:rPr>
        <w:t>低</w:t>
      </w:r>
      <w:r>
        <w:rPr>
          <w:rFonts w:hint="eastAsia" w:ascii="宋体" w:hAnsi="宋体" w:eastAsia="宋体" w:cs="宋体"/>
          <w:color w:val="auto"/>
          <w:sz w:val="24"/>
          <w:highlight w:val="none"/>
        </w:rPr>
        <w:t>顺序排列。得分且</w:t>
      </w:r>
      <w:r>
        <w:rPr>
          <w:rFonts w:hint="eastAsia" w:ascii="宋体" w:hAnsi="宋体" w:eastAsia="宋体" w:cs="宋体"/>
          <w:color w:val="auto"/>
          <w:sz w:val="24"/>
          <w:highlight w:val="none"/>
          <w:lang w:val="en-US" w:eastAsia="zh-CN"/>
        </w:rPr>
        <w:t>批次数量</w:t>
      </w:r>
      <w:r>
        <w:rPr>
          <w:rFonts w:hint="eastAsia" w:ascii="宋体" w:hAnsi="宋体" w:eastAsia="宋体" w:cs="宋体"/>
          <w:color w:val="auto"/>
          <w:sz w:val="24"/>
          <w:highlight w:val="none"/>
        </w:rPr>
        <w:t>相同的并列。按响应文件满足竞争性磋商文件全部实质性要求，且评审因素的量化指标评审得分最高的供应商为排名第一的为成交供应商。</w:t>
      </w:r>
    </w:p>
    <w:p w14:paraId="25F19935">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21AD1B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1.3.1.1</w:t>
      </w:r>
      <w:r>
        <w:rPr>
          <w:rFonts w:hint="eastAsia" w:ascii="宋体" w:hAnsi="宋体" w:cs="宋体"/>
          <w:color w:val="auto"/>
          <w:sz w:val="24"/>
          <w:highlight w:val="none"/>
          <w:lang w:val="en-US" w:eastAsia="zh-CN"/>
        </w:rPr>
        <w:t>详细评审</w:t>
      </w:r>
      <w:r>
        <w:rPr>
          <w:rFonts w:hint="eastAsia" w:ascii="宋体" w:hAnsi="宋体" w:cs="宋体"/>
          <w:color w:val="auto"/>
          <w:sz w:val="24"/>
          <w:highlight w:val="none"/>
        </w:rPr>
        <w:t>（计算结果精确到小数点后两位）：</w:t>
      </w:r>
    </w:p>
    <w:tbl>
      <w:tblPr>
        <w:tblStyle w:val="28"/>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1459"/>
        <w:gridCol w:w="1254"/>
        <w:gridCol w:w="6930"/>
      </w:tblGrid>
      <w:tr w14:paraId="6A96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jc w:val="center"/>
        </w:trPr>
        <w:tc>
          <w:tcPr>
            <w:tcW w:w="768" w:type="dxa"/>
            <w:noWrap w:val="0"/>
            <w:tcMar>
              <w:top w:w="0" w:type="dxa"/>
              <w:left w:w="108" w:type="dxa"/>
              <w:bottom w:w="0" w:type="dxa"/>
              <w:right w:w="108" w:type="dxa"/>
            </w:tcMar>
            <w:vAlign w:val="center"/>
          </w:tcPr>
          <w:p w14:paraId="23778991">
            <w:pPr>
              <w:widowControl/>
              <w:spacing w:line="360" w:lineRule="auto"/>
              <w:jc w:val="center"/>
              <w:rPr>
                <w:b/>
                <w:color w:val="auto"/>
                <w:sz w:val="24"/>
              </w:rPr>
            </w:pPr>
            <w:r>
              <w:rPr>
                <w:b/>
                <w:color w:val="auto"/>
                <w:sz w:val="24"/>
              </w:rPr>
              <w:t>序号</w:t>
            </w:r>
          </w:p>
        </w:tc>
        <w:tc>
          <w:tcPr>
            <w:tcW w:w="1459" w:type="dxa"/>
            <w:noWrap w:val="0"/>
            <w:tcMar>
              <w:top w:w="0" w:type="dxa"/>
              <w:left w:w="108" w:type="dxa"/>
              <w:bottom w:w="0" w:type="dxa"/>
              <w:right w:w="108" w:type="dxa"/>
            </w:tcMar>
            <w:vAlign w:val="center"/>
          </w:tcPr>
          <w:p w14:paraId="47A477CA">
            <w:pPr>
              <w:widowControl/>
              <w:spacing w:line="360" w:lineRule="auto"/>
              <w:jc w:val="center"/>
              <w:rPr>
                <w:b/>
                <w:color w:val="auto"/>
                <w:sz w:val="24"/>
              </w:rPr>
            </w:pPr>
            <w:r>
              <w:rPr>
                <w:b/>
                <w:color w:val="auto"/>
                <w:sz w:val="24"/>
              </w:rPr>
              <w:t>评分项目</w:t>
            </w:r>
          </w:p>
        </w:tc>
        <w:tc>
          <w:tcPr>
            <w:tcW w:w="1254" w:type="dxa"/>
            <w:noWrap w:val="0"/>
            <w:tcMar>
              <w:top w:w="0" w:type="dxa"/>
              <w:left w:w="108" w:type="dxa"/>
              <w:bottom w:w="0" w:type="dxa"/>
              <w:right w:w="108" w:type="dxa"/>
            </w:tcMar>
            <w:vAlign w:val="center"/>
          </w:tcPr>
          <w:p w14:paraId="5BFD08B4">
            <w:pPr>
              <w:widowControl/>
              <w:spacing w:line="360" w:lineRule="auto"/>
              <w:jc w:val="center"/>
              <w:rPr>
                <w:b/>
                <w:color w:val="auto"/>
                <w:sz w:val="24"/>
              </w:rPr>
            </w:pPr>
            <w:r>
              <w:rPr>
                <w:b/>
                <w:color w:val="auto"/>
                <w:sz w:val="24"/>
              </w:rPr>
              <w:t>基准分值</w:t>
            </w:r>
          </w:p>
        </w:tc>
        <w:tc>
          <w:tcPr>
            <w:tcW w:w="6930" w:type="dxa"/>
            <w:noWrap w:val="0"/>
            <w:tcMar>
              <w:top w:w="0" w:type="dxa"/>
              <w:left w:w="108" w:type="dxa"/>
              <w:bottom w:w="0" w:type="dxa"/>
              <w:right w:w="108" w:type="dxa"/>
            </w:tcMar>
            <w:vAlign w:val="center"/>
          </w:tcPr>
          <w:p w14:paraId="2001B98C">
            <w:pPr>
              <w:widowControl/>
              <w:spacing w:line="360" w:lineRule="auto"/>
              <w:ind w:firstLine="2100"/>
              <w:rPr>
                <w:b/>
                <w:color w:val="auto"/>
                <w:sz w:val="24"/>
              </w:rPr>
            </w:pPr>
            <w:r>
              <w:rPr>
                <w:b/>
                <w:color w:val="auto"/>
                <w:sz w:val="24"/>
              </w:rPr>
              <w:t>评分标准</w:t>
            </w:r>
          </w:p>
        </w:tc>
      </w:tr>
      <w:tr w14:paraId="6AEB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5" w:hRule="atLeast"/>
          <w:jc w:val="center"/>
        </w:trPr>
        <w:tc>
          <w:tcPr>
            <w:tcW w:w="768" w:type="dxa"/>
            <w:noWrap w:val="0"/>
            <w:tcMar>
              <w:top w:w="0" w:type="dxa"/>
              <w:left w:w="108" w:type="dxa"/>
              <w:bottom w:w="0" w:type="dxa"/>
              <w:right w:w="108" w:type="dxa"/>
            </w:tcMar>
            <w:vAlign w:val="center"/>
          </w:tcPr>
          <w:p w14:paraId="00249240">
            <w:pPr>
              <w:widowControl/>
              <w:spacing w:line="240" w:lineRule="auto"/>
              <w:jc w:val="center"/>
              <w:rPr>
                <w:color w:val="auto"/>
                <w:sz w:val="21"/>
                <w:szCs w:val="21"/>
              </w:rPr>
            </w:pPr>
            <w:r>
              <w:rPr>
                <w:color w:val="auto"/>
                <w:sz w:val="21"/>
                <w:szCs w:val="21"/>
              </w:rPr>
              <w:t>1</w:t>
            </w:r>
          </w:p>
        </w:tc>
        <w:tc>
          <w:tcPr>
            <w:tcW w:w="1459" w:type="dxa"/>
            <w:noWrap w:val="0"/>
            <w:tcMar>
              <w:top w:w="0" w:type="dxa"/>
              <w:left w:w="108" w:type="dxa"/>
              <w:bottom w:w="0" w:type="dxa"/>
              <w:right w:w="108" w:type="dxa"/>
            </w:tcMar>
            <w:vAlign w:val="center"/>
          </w:tcPr>
          <w:p w14:paraId="67092EAC">
            <w:pPr>
              <w:widowControl/>
              <w:spacing w:line="240" w:lineRule="auto"/>
              <w:jc w:val="center"/>
              <w:rPr>
                <w:color w:val="auto"/>
                <w:sz w:val="21"/>
                <w:szCs w:val="21"/>
              </w:rPr>
            </w:pPr>
            <w:r>
              <w:rPr>
                <w:rFonts w:hint="eastAsia"/>
                <w:color w:val="auto"/>
                <w:sz w:val="21"/>
                <w:szCs w:val="21"/>
                <w:lang w:val="en-US" w:eastAsia="zh-CN"/>
              </w:rPr>
              <w:t>报价得</w:t>
            </w:r>
            <w:r>
              <w:rPr>
                <w:color w:val="auto"/>
                <w:sz w:val="21"/>
                <w:szCs w:val="21"/>
              </w:rPr>
              <w:t>分</w:t>
            </w:r>
          </w:p>
          <w:p w14:paraId="2E80851F">
            <w:pPr>
              <w:widowControl/>
              <w:spacing w:line="240" w:lineRule="auto"/>
              <w:jc w:val="center"/>
              <w:rPr>
                <w:color w:val="auto"/>
                <w:sz w:val="21"/>
                <w:szCs w:val="21"/>
              </w:rPr>
            </w:pPr>
            <w:r>
              <w:rPr>
                <w:color w:val="auto"/>
                <w:sz w:val="21"/>
                <w:szCs w:val="21"/>
              </w:rPr>
              <w:t>(1</w:t>
            </w:r>
            <w:r>
              <w:rPr>
                <w:rFonts w:hint="eastAsia"/>
                <w:color w:val="auto"/>
                <w:sz w:val="21"/>
                <w:szCs w:val="21"/>
                <w:lang w:val="en-US" w:eastAsia="zh-CN"/>
              </w:rPr>
              <w:t>0</w:t>
            </w:r>
            <w:r>
              <w:rPr>
                <w:color w:val="auto"/>
                <w:sz w:val="21"/>
                <w:szCs w:val="21"/>
              </w:rPr>
              <w:t>分)</w:t>
            </w:r>
          </w:p>
        </w:tc>
        <w:tc>
          <w:tcPr>
            <w:tcW w:w="1254" w:type="dxa"/>
            <w:noWrap w:val="0"/>
            <w:tcMar>
              <w:top w:w="0" w:type="dxa"/>
              <w:left w:w="108" w:type="dxa"/>
              <w:bottom w:w="0" w:type="dxa"/>
              <w:right w:w="108" w:type="dxa"/>
            </w:tcMar>
            <w:vAlign w:val="center"/>
          </w:tcPr>
          <w:p w14:paraId="6D9A3F0C">
            <w:pPr>
              <w:widowControl/>
              <w:spacing w:line="240" w:lineRule="auto"/>
              <w:jc w:val="center"/>
              <w:rPr>
                <w:color w:val="auto"/>
                <w:sz w:val="21"/>
                <w:szCs w:val="21"/>
              </w:rPr>
            </w:pPr>
            <w:r>
              <w:rPr>
                <w:color w:val="auto"/>
                <w:sz w:val="21"/>
                <w:szCs w:val="21"/>
              </w:rPr>
              <w:t>1</w:t>
            </w:r>
            <w:r>
              <w:rPr>
                <w:rFonts w:hint="eastAsia"/>
                <w:color w:val="auto"/>
                <w:sz w:val="21"/>
                <w:szCs w:val="21"/>
                <w:lang w:val="en-US" w:eastAsia="zh-CN"/>
              </w:rPr>
              <w:t>0</w:t>
            </w:r>
            <w:r>
              <w:rPr>
                <w:color w:val="auto"/>
                <w:sz w:val="21"/>
                <w:szCs w:val="21"/>
              </w:rPr>
              <w:t>分</w:t>
            </w:r>
          </w:p>
        </w:tc>
        <w:tc>
          <w:tcPr>
            <w:tcW w:w="6930" w:type="dxa"/>
            <w:noWrap w:val="0"/>
            <w:tcMar>
              <w:top w:w="0" w:type="dxa"/>
              <w:left w:w="108" w:type="dxa"/>
              <w:bottom w:w="0" w:type="dxa"/>
              <w:right w:w="108" w:type="dxa"/>
            </w:tcMar>
            <w:vAlign w:val="center"/>
          </w:tcPr>
          <w:p w14:paraId="125165B1">
            <w:pPr>
              <w:spacing w:line="240" w:lineRule="auto"/>
              <w:jc w:val="left"/>
              <w:rPr>
                <w:color w:val="auto"/>
                <w:sz w:val="21"/>
                <w:szCs w:val="21"/>
              </w:rPr>
            </w:pPr>
            <w:r>
              <w:rPr>
                <w:color w:val="auto"/>
                <w:sz w:val="21"/>
                <w:szCs w:val="21"/>
              </w:rPr>
              <w:t>每</w:t>
            </w:r>
            <w:r>
              <w:rPr>
                <w:rFonts w:hint="eastAsia"/>
                <w:color w:val="auto"/>
                <w:sz w:val="21"/>
                <w:szCs w:val="21"/>
                <w:lang w:val="en-US" w:eastAsia="zh-CN"/>
              </w:rPr>
              <w:t>标项</w:t>
            </w:r>
            <w:r>
              <w:rPr>
                <w:color w:val="auto"/>
                <w:sz w:val="21"/>
                <w:szCs w:val="21"/>
              </w:rPr>
              <w:t>固定</w:t>
            </w:r>
            <w:r>
              <w:rPr>
                <w:rFonts w:hint="eastAsia"/>
                <w:color w:val="auto"/>
                <w:sz w:val="21"/>
                <w:szCs w:val="21"/>
                <w:lang w:eastAsia="zh-CN"/>
              </w:rPr>
              <w:t>报价金额</w:t>
            </w:r>
            <w:r>
              <w:rPr>
                <w:color w:val="auto"/>
                <w:sz w:val="21"/>
                <w:szCs w:val="21"/>
              </w:rPr>
              <w:t>，</w:t>
            </w:r>
            <w:r>
              <w:rPr>
                <w:rFonts w:hint="eastAsia"/>
                <w:color w:val="auto"/>
                <w:sz w:val="21"/>
                <w:szCs w:val="21"/>
                <w:lang w:eastAsia="zh-CN"/>
              </w:rPr>
              <w:t>供应商</w:t>
            </w:r>
            <w:r>
              <w:rPr>
                <w:color w:val="auto"/>
                <w:sz w:val="21"/>
                <w:szCs w:val="21"/>
              </w:rPr>
              <w:t>对该</w:t>
            </w:r>
            <w:r>
              <w:rPr>
                <w:rFonts w:hint="eastAsia"/>
                <w:color w:val="auto"/>
                <w:sz w:val="21"/>
                <w:szCs w:val="21"/>
                <w:lang w:eastAsia="zh-CN"/>
              </w:rPr>
              <w:t>标项</w:t>
            </w:r>
            <w:r>
              <w:rPr>
                <w:color w:val="auto"/>
                <w:sz w:val="21"/>
                <w:szCs w:val="21"/>
              </w:rPr>
              <w:t>能够提供的抽检服务批次数量进行报价，一定金额下提供的抽样检验批次数量越多得分越高。</w:t>
            </w:r>
          </w:p>
          <w:p w14:paraId="2E5BE00E">
            <w:pPr>
              <w:spacing w:line="240" w:lineRule="auto"/>
              <w:jc w:val="left"/>
              <w:rPr>
                <w:color w:val="auto"/>
                <w:sz w:val="21"/>
                <w:szCs w:val="21"/>
              </w:rPr>
            </w:pPr>
            <w:r>
              <w:rPr>
                <w:color w:val="auto"/>
                <w:sz w:val="21"/>
                <w:szCs w:val="21"/>
              </w:rPr>
              <w:t>评标基准为所有有效</w:t>
            </w:r>
            <w:r>
              <w:rPr>
                <w:rFonts w:hint="eastAsia"/>
                <w:color w:val="auto"/>
                <w:sz w:val="21"/>
                <w:szCs w:val="21"/>
                <w:lang w:eastAsia="zh-CN"/>
              </w:rPr>
              <w:t>供应商</w:t>
            </w:r>
            <w:r>
              <w:rPr>
                <w:color w:val="auto"/>
                <w:sz w:val="21"/>
                <w:szCs w:val="21"/>
              </w:rPr>
              <w:t>所投</w:t>
            </w:r>
            <w:r>
              <w:rPr>
                <w:rFonts w:hint="eastAsia"/>
                <w:color w:val="auto"/>
                <w:sz w:val="21"/>
                <w:szCs w:val="21"/>
                <w:lang w:val="en-US" w:eastAsia="zh-CN"/>
              </w:rPr>
              <w:t>标项的最后所报</w:t>
            </w:r>
            <w:r>
              <w:rPr>
                <w:color w:val="auto"/>
                <w:sz w:val="21"/>
                <w:szCs w:val="21"/>
              </w:rPr>
              <w:t>批次数量最高值。</w:t>
            </w:r>
          </w:p>
          <w:p w14:paraId="764C7DE1">
            <w:pPr>
              <w:pStyle w:val="44"/>
              <w:rPr>
                <w:rFonts w:hint="default" w:eastAsia="宋体"/>
                <w:color w:val="auto"/>
                <w:sz w:val="21"/>
                <w:szCs w:val="21"/>
                <w:lang w:val="en-US" w:eastAsia="zh-CN"/>
              </w:rPr>
            </w:pPr>
            <w:r>
              <w:rPr>
                <w:rFonts w:hint="eastAsia"/>
                <w:color w:val="auto"/>
                <w:sz w:val="21"/>
                <w:szCs w:val="21"/>
                <w:lang w:val="en-US" w:eastAsia="zh-CN"/>
              </w:rPr>
              <w:t>其他供应商按以下公式进行计算得分：</w:t>
            </w:r>
          </w:p>
          <w:p w14:paraId="0E49B8FD">
            <w:pPr>
              <w:widowControl/>
              <w:spacing w:line="240" w:lineRule="auto"/>
              <w:jc w:val="left"/>
              <w:rPr>
                <w:color w:val="auto"/>
                <w:sz w:val="21"/>
                <w:szCs w:val="21"/>
              </w:rPr>
            </w:pPr>
            <w:r>
              <w:rPr>
                <w:color w:val="auto"/>
                <w:sz w:val="21"/>
                <w:szCs w:val="21"/>
              </w:rPr>
              <w:t>得分=(</w:t>
            </w:r>
            <w:r>
              <w:rPr>
                <w:rFonts w:hint="eastAsia"/>
                <w:color w:val="auto"/>
                <w:sz w:val="21"/>
                <w:szCs w:val="21"/>
                <w:lang w:val="en-US" w:eastAsia="zh-CN"/>
              </w:rPr>
              <w:t>最后</w:t>
            </w:r>
            <w:r>
              <w:rPr>
                <w:color w:val="auto"/>
                <w:sz w:val="21"/>
                <w:szCs w:val="21"/>
              </w:rPr>
              <w:t>投标批次数／评标基准批次)×权值1</w:t>
            </w:r>
            <w:r>
              <w:rPr>
                <w:rFonts w:hint="eastAsia"/>
                <w:color w:val="auto"/>
                <w:sz w:val="21"/>
                <w:szCs w:val="21"/>
                <w:lang w:val="en-US" w:eastAsia="zh-CN"/>
              </w:rPr>
              <w:t>0</w:t>
            </w:r>
            <w:r>
              <w:rPr>
                <w:color w:val="auto"/>
                <w:sz w:val="21"/>
                <w:szCs w:val="21"/>
              </w:rPr>
              <w:t>%×100</w:t>
            </w:r>
          </w:p>
        </w:tc>
      </w:tr>
      <w:tr w14:paraId="42BA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 w:hRule="atLeast"/>
          <w:jc w:val="center"/>
        </w:trPr>
        <w:tc>
          <w:tcPr>
            <w:tcW w:w="768" w:type="dxa"/>
            <w:noWrap w:val="0"/>
            <w:tcMar>
              <w:top w:w="0" w:type="dxa"/>
              <w:left w:w="108" w:type="dxa"/>
              <w:bottom w:w="0" w:type="dxa"/>
              <w:right w:w="108" w:type="dxa"/>
            </w:tcMar>
            <w:vAlign w:val="center"/>
          </w:tcPr>
          <w:p w14:paraId="06116C36">
            <w:pPr>
              <w:widowControl/>
              <w:spacing w:line="240" w:lineRule="auto"/>
              <w:jc w:val="center"/>
              <w:rPr>
                <w:rFonts w:hint="eastAsia" w:eastAsia="宋体"/>
                <w:color w:val="auto"/>
                <w:sz w:val="21"/>
                <w:szCs w:val="21"/>
                <w:lang w:val="en-US" w:eastAsia="zh-CN"/>
              </w:rPr>
            </w:pPr>
            <w:r>
              <w:rPr>
                <w:rFonts w:hint="eastAsia"/>
                <w:color w:val="auto"/>
                <w:sz w:val="21"/>
                <w:szCs w:val="21"/>
                <w:lang w:val="en-US" w:eastAsia="zh-CN"/>
              </w:rPr>
              <w:t>2</w:t>
            </w:r>
          </w:p>
        </w:tc>
        <w:tc>
          <w:tcPr>
            <w:tcW w:w="1459" w:type="dxa"/>
            <w:noWrap w:val="0"/>
            <w:tcMar>
              <w:top w:w="0" w:type="dxa"/>
              <w:left w:w="108" w:type="dxa"/>
              <w:bottom w:w="0" w:type="dxa"/>
              <w:right w:w="108" w:type="dxa"/>
            </w:tcMar>
            <w:vAlign w:val="center"/>
          </w:tcPr>
          <w:p w14:paraId="4B172C7E">
            <w:pPr>
              <w:widowControl/>
              <w:spacing w:line="240" w:lineRule="auto"/>
              <w:jc w:val="center"/>
              <w:rPr>
                <w:color w:val="auto"/>
                <w:sz w:val="21"/>
                <w:szCs w:val="21"/>
                <w:highlight w:val="none"/>
              </w:rPr>
            </w:pPr>
            <w:r>
              <w:rPr>
                <w:color w:val="auto"/>
                <w:sz w:val="21"/>
                <w:szCs w:val="21"/>
                <w:highlight w:val="none"/>
              </w:rPr>
              <w:t>商务因素分</w:t>
            </w:r>
          </w:p>
          <w:p w14:paraId="478ABAF9">
            <w:pPr>
              <w:widowControl/>
              <w:spacing w:line="240" w:lineRule="auto"/>
              <w:jc w:val="center"/>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分)</w:t>
            </w:r>
          </w:p>
          <w:p w14:paraId="114FA003">
            <w:pPr>
              <w:widowControl/>
              <w:spacing w:line="240" w:lineRule="auto"/>
              <w:jc w:val="center"/>
              <w:rPr>
                <w:color w:val="auto"/>
                <w:sz w:val="21"/>
                <w:szCs w:val="21"/>
                <w:highlight w:val="none"/>
              </w:rPr>
            </w:pPr>
            <w:r>
              <w:rPr>
                <w:color w:val="auto"/>
                <w:sz w:val="21"/>
                <w:szCs w:val="21"/>
                <w:highlight w:val="none"/>
              </w:rPr>
              <w:t xml:space="preserve"> </w:t>
            </w:r>
          </w:p>
        </w:tc>
        <w:tc>
          <w:tcPr>
            <w:tcW w:w="1254" w:type="dxa"/>
            <w:noWrap w:val="0"/>
            <w:tcMar>
              <w:top w:w="0" w:type="dxa"/>
              <w:left w:w="108" w:type="dxa"/>
              <w:bottom w:w="0" w:type="dxa"/>
              <w:right w:w="108" w:type="dxa"/>
            </w:tcMar>
            <w:vAlign w:val="center"/>
          </w:tcPr>
          <w:p w14:paraId="19310C69">
            <w:pPr>
              <w:widowControl/>
              <w:spacing w:line="240" w:lineRule="auto"/>
              <w:jc w:val="center"/>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分</w:t>
            </w:r>
          </w:p>
        </w:tc>
        <w:tc>
          <w:tcPr>
            <w:tcW w:w="6930" w:type="dxa"/>
            <w:noWrap w:val="0"/>
            <w:tcMar>
              <w:top w:w="0" w:type="dxa"/>
              <w:left w:w="108" w:type="dxa"/>
              <w:bottom w:w="0" w:type="dxa"/>
              <w:right w:w="108" w:type="dxa"/>
            </w:tcMar>
            <w:vAlign w:val="center"/>
          </w:tcPr>
          <w:p w14:paraId="39F62CE7">
            <w:pPr>
              <w:spacing w:line="240" w:lineRule="auto"/>
              <w:jc w:val="left"/>
              <w:rPr>
                <w:color w:val="auto"/>
                <w:sz w:val="21"/>
                <w:szCs w:val="21"/>
                <w:highlight w:val="none"/>
              </w:rPr>
            </w:pPr>
            <w:r>
              <w:rPr>
                <w:color w:val="auto"/>
                <w:sz w:val="21"/>
                <w:szCs w:val="21"/>
                <w:highlight w:val="none"/>
              </w:rPr>
              <w:t>提供20</w:t>
            </w:r>
            <w:r>
              <w:rPr>
                <w:rFonts w:hint="eastAsia"/>
                <w:color w:val="auto"/>
                <w:sz w:val="21"/>
                <w:szCs w:val="21"/>
                <w:highlight w:val="none"/>
                <w:lang w:val="en-US" w:eastAsia="zh-CN"/>
              </w:rPr>
              <w:t>22年1月至今所承接市场监督管理部门下达的工业产</w:t>
            </w:r>
            <w:r>
              <w:rPr>
                <w:color w:val="auto"/>
                <w:sz w:val="21"/>
                <w:szCs w:val="21"/>
                <w:highlight w:val="none"/>
              </w:rPr>
              <w:t>品质量监督抽查任务。所承接相关业务的授权委托书、中标通知书或合同(复印件)等证明文件。</w:t>
            </w:r>
          </w:p>
          <w:p w14:paraId="3844F3D7">
            <w:pPr>
              <w:rPr>
                <w:rFonts w:hint="eastAsia" w:ascii="宋体" w:hAnsi="宋体" w:cs="宋体"/>
                <w:color w:val="auto"/>
                <w:sz w:val="21"/>
                <w:szCs w:val="21"/>
                <w:highlight w:val="none"/>
              </w:rPr>
            </w:pPr>
            <w:r>
              <w:rPr>
                <w:rFonts w:hint="eastAsia" w:ascii="宋体" w:hAnsi="宋体" w:cs="宋体"/>
                <w:color w:val="auto"/>
                <w:sz w:val="21"/>
                <w:szCs w:val="21"/>
                <w:highlight w:val="none"/>
              </w:rPr>
              <w:t>1.承担过国家级</w:t>
            </w:r>
            <w:r>
              <w:rPr>
                <w:color w:val="auto"/>
                <w:sz w:val="21"/>
                <w:szCs w:val="21"/>
                <w:highlight w:val="none"/>
              </w:rPr>
              <w:t>产（商）品</w:t>
            </w:r>
            <w:r>
              <w:rPr>
                <w:rFonts w:hint="eastAsia" w:ascii="宋体" w:hAnsi="宋体" w:cs="宋体"/>
                <w:color w:val="auto"/>
                <w:sz w:val="21"/>
                <w:szCs w:val="21"/>
                <w:highlight w:val="none"/>
              </w:rPr>
              <w:t>抽检任务：</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3B90D67E">
            <w:pPr>
              <w:rPr>
                <w:rFonts w:hint="eastAsia" w:ascii="宋体" w:hAnsi="宋体" w:cs="宋体"/>
                <w:color w:val="auto"/>
                <w:sz w:val="21"/>
                <w:szCs w:val="21"/>
                <w:highlight w:val="none"/>
              </w:rPr>
            </w:pPr>
            <w:r>
              <w:rPr>
                <w:rFonts w:hint="eastAsia" w:ascii="宋体" w:hAnsi="宋体" w:cs="宋体"/>
                <w:color w:val="auto"/>
                <w:sz w:val="21"/>
                <w:szCs w:val="21"/>
                <w:highlight w:val="none"/>
              </w:rPr>
              <w:t>2.承担过省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市</w:t>
            </w:r>
            <w:r>
              <w:rPr>
                <w:rFonts w:hint="eastAsia" w:ascii="宋体" w:hAnsi="宋体" w:cs="宋体"/>
                <w:color w:val="auto"/>
                <w:sz w:val="21"/>
                <w:szCs w:val="21"/>
                <w:highlight w:val="none"/>
              </w:rPr>
              <w:t>级</w:t>
            </w:r>
            <w:r>
              <w:rPr>
                <w:color w:val="auto"/>
                <w:sz w:val="21"/>
                <w:szCs w:val="21"/>
                <w:highlight w:val="none"/>
              </w:rPr>
              <w:t>产（商）品</w:t>
            </w:r>
            <w:r>
              <w:rPr>
                <w:rFonts w:hint="eastAsia" w:ascii="宋体" w:hAnsi="宋体" w:cs="宋体"/>
                <w:color w:val="auto"/>
                <w:sz w:val="21"/>
                <w:szCs w:val="21"/>
                <w:highlight w:val="none"/>
              </w:rPr>
              <w:t>抽检任务：</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14:paraId="45822FB5">
            <w:pPr>
              <w:pStyle w:val="21"/>
              <w:ind w:left="0" w:leftChars="0" w:firstLine="0" w:firstLineChars="0"/>
              <w:rPr>
                <w:rFonts w:hint="default" w:eastAsia="宋体"/>
                <w:color w:val="auto"/>
                <w:sz w:val="21"/>
                <w:szCs w:val="21"/>
                <w:highlight w:val="none"/>
                <w:lang w:val="en-US" w:eastAsia="zh-CN"/>
              </w:rPr>
            </w:pPr>
            <w:r>
              <w:rPr>
                <w:rFonts w:hint="eastAsia" w:ascii="宋体" w:hAnsi="宋体" w:eastAsia="长城楷体" w:cs="宋体"/>
                <w:b/>
                <w:bCs w:val="0"/>
                <w:color w:val="auto"/>
                <w:kern w:val="0"/>
                <w:sz w:val="21"/>
                <w:szCs w:val="21"/>
                <w:highlight w:val="none"/>
                <w:lang w:val="en-US" w:eastAsia="zh-CN" w:bidi="ar-SA"/>
              </w:rPr>
              <w:t>（供应商须提供授权委托书及中标通知书或授权委托书及合同等证明文件的主要内容页和签字盖章页的复印件，不具备类似业绩或未提供有效证明文件的不得分）分数累计，最高得3分。</w:t>
            </w:r>
          </w:p>
        </w:tc>
      </w:tr>
      <w:tr w14:paraId="5973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768" w:type="dxa"/>
            <w:vMerge w:val="restart"/>
            <w:noWrap w:val="0"/>
            <w:tcMar>
              <w:top w:w="0" w:type="dxa"/>
              <w:left w:w="108" w:type="dxa"/>
              <w:bottom w:w="0" w:type="dxa"/>
              <w:right w:w="108" w:type="dxa"/>
            </w:tcMar>
            <w:vAlign w:val="center"/>
          </w:tcPr>
          <w:p w14:paraId="255730F1">
            <w:pPr>
              <w:widowControl/>
              <w:spacing w:line="240" w:lineRule="auto"/>
              <w:jc w:val="center"/>
              <w:rPr>
                <w:color w:val="auto"/>
                <w:sz w:val="21"/>
                <w:szCs w:val="21"/>
              </w:rPr>
            </w:pPr>
            <w:r>
              <w:rPr>
                <w:color w:val="auto"/>
                <w:sz w:val="21"/>
                <w:szCs w:val="21"/>
              </w:rPr>
              <w:t>3</w:t>
            </w:r>
          </w:p>
        </w:tc>
        <w:tc>
          <w:tcPr>
            <w:tcW w:w="1459" w:type="dxa"/>
            <w:vMerge w:val="restart"/>
            <w:noWrap w:val="0"/>
            <w:tcMar>
              <w:top w:w="0" w:type="dxa"/>
              <w:left w:w="108" w:type="dxa"/>
              <w:bottom w:w="0" w:type="dxa"/>
              <w:right w:w="108" w:type="dxa"/>
            </w:tcMar>
            <w:vAlign w:val="center"/>
          </w:tcPr>
          <w:p w14:paraId="2B34F268">
            <w:pPr>
              <w:widowControl/>
              <w:spacing w:line="240" w:lineRule="auto"/>
              <w:rPr>
                <w:color w:val="auto"/>
                <w:sz w:val="21"/>
                <w:szCs w:val="21"/>
              </w:rPr>
            </w:pPr>
            <w:r>
              <w:rPr>
                <w:color w:val="auto"/>
                <w:sz w:val="21"/>
                <w:szCs w:val="21"/>
              </w:rPr>
              <w:t xml:space="preserve">技术因素分( </w:t>
            </w:r>
            <w:r>
              <w:rPr>
                <w:rFonts w:hint="eastAsia"/>
                <w:color w:val="auto"/>
                <w:sz w:val="21"/>
                <w:szCs w:val="21"/>
                <w:lang w:val="en-US" w:eastAsia="zh-CN"/>
              </w:rPr>
              <w:t>80</w:t>
            </w:r>
            <w:r>
              <w:rPr>
                <w:color w:val="auto"/>
                <w:sz w:val="21"/>
                <w:szCs w:val="21"/>
              </w:rPr>
              <w:t>分)</w:t>
            </w:r>
          </w:p>
          <w:p w14:paraId="353061B1">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571A8490">
            <w:pPr>
              <w:widowControl/>
              <w:spacing w:line="240" w:lineRule="auto"/>
              <w:jc w:val="center"/>
              <w:rPr>
                <w:color w:val="auto"/>
                <w:sz w:val="21"/>
                <w:szCs w:val="21"/>
              </w:rPr>
            </w:pPr>
            <w:r>
              <w:rPr>
                <w:rFonts w:hint="eastAsia"/>
                <w:color w:val="auto"/>
                <w:sz w:val="21"/>
                <w:szCs w:val="21"/>
                <w:lang w:val="en-US" w:eastAsia="zh-CN"/>
              </w:rPr>
              <w:t>7</w:t>
            </w:r>
            <w:r>
              <w:rPr>
                <w:color w:val="auto"/>
                <w:sz w:val="21"/>
                <w:szCs w:val="21"/>
              </w:rPr>
              <w:t>分</w:t>
            </w:r>
          </w:p>
        </w:tc>
        <w:tc>
          <w:tcPr>
            <w:tcW w:w="6930" w:type="dxa"/>
            <w:noWrap w:val="0"/>
            <w:tcMar>
              <w:top w:w="0" w:type="dxa"/>
              <w:left w:w="108" w:type="dxa"/>
              <w:bottom w:w="0" w:type="dxa"/>
              <w:right w:w="108" w:type="dxa"/>
            </w:tcMar>
            <w:vAlign w:val="center"/>
          </w:tcPr>
          <w:p w14:paraId="41791A1D">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21"/>
                <w:szCs w:val="21"/>
              </w:rPr>
            </w:pPr>
            <w:r>
              <w:rPr>
                <w:color w:val="auto"/>
                <w:sz w:val="21"/>
                <w:szCs w:val="21"/>
              </w:rPr>
              <w:t>具备开展监督抽查工作的管理制度，包括抽样、检验、样品管理、处置、异议处理、复检及结果上报等方面的具体要求。</w:t>
            </w:r>
          </w:p>
          <w:p w14:paraId="67AFED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olor w:val="auto"/>
                <w:sz w:val="21"/>
                <w:szCs w:val="21"/>
                <w:lang w:eastAsia="zh-CN"/>
              </w:rPr>
            </w:pPr>
            <w:r>
              <w:rPr>
                <w:color w:val="auto"/>
                <w:sz w:val="21"/>
                <w:szCs w:val="21"/>
              </w:rPr>
              <w:t>具备且完整，</w:t>
            </w:r>
            <w:r>
              <w:rPr>
                <w:rFonts w:hint="eastAsia"/>
                <w:color w:val="auto"/>
                <w:sz w:val="21"/>
                <w:szCs w:val="21"/>
                <w:lang w:val="en-US" w:eastAsia="zh-CN"/>
              </w:rPr>
              <w:t>制度全面执行性强</w:t>
            </w:r>
            <w:r>
              <w:rPr>
                <w:color w:val="auto"/>
                <w:sz w:val="21"/>
                <w:szCs w:val="21"/>
              </w:rPr>
              <w:t>得</w:t>
            </w:r>
            <w:r>
              <w:rPr>
                <w:rFonts w:hint="eastAsia"/>
                <w:color w:val="auto"/>
                <w:sz w:val="21"/>
                <w:szCs w:val="21"/>
                <w:lang w:val="en-US" w:eastAsia="zh-CN"/>
              </w:rPr>
              <w:t>5</w:t>
            </w:r>
            <w:r>
              <w:rPr>
                <w:color w:val="auto"/>
                <w:sz w:val="21"/>
                <w:szCs w:val="21"/>
              </w:rPr>
              <w:t>分，良得</w:t>
            </w:r>
            <w:r>
              <w:rPr>
                <w:color w:val="auto"/>
                <w:sz w:val="21"/>
                <w:szCs w:val="21"/>
                <w:lang w:val="en-US"/>
              </w:rPr>
              <w:t>4</w:t>
            </w:r>
            <w:r>
              <w:rPr>
                <w:color w:val="auto"/>
                <w:sz w:val="21"/>
                <w:szCs w:val="21"/>
              </w:rPr>
              <w:t>分，一般得</w:t>
            </w:r>
            <w:r>
              <w:rPr>
                <w:rFonts w:hint="eastAsia"/>
                <w:color w:val="auto"/>
                <w:sz w:val="21"/>
                <w:szCs w:val="21"/>
                <w:lang w:val="en-US" w:eastAsia="zh-CN"/>
              </w:rPr>
              <w:t>3</w:t>
            </w:r>
            <w:r>
              <w:rPr>
                <w:color w:val="auto"/>
                <w:sz w:val="21"/>
                <w:szCs w:val="21"/>
              </w:rPr>
              <w:t>分</w:t>
            </w:r>
            <w:r>
              <w:rPr>
                <w:rFonts w:hint="eastAsia"/>
                <w:color w:val="auto"/>
                <w:sz w:val="21"/>
                <w:szCs w:val="21"/>
                <w:lang w:eastAsia="zh-CN"/>
              </w:rPr>
              <w:t>，没有不得分。</w:t>
            </w:r>
          </w:p>
          <w:p w14:paraId="70EEB195">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抽样环节，在满足样品的真实性、合法性（包括但不限于不破坏样品外包装）基础上，对备用样品封存具备创新防伪技术手段，可以清晰辨别备样的：2分，没有得0分。</w:t>
            </w:r>
          </w:p>
          <w:p w14:paraId="002F21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 w:val="21"/>
                <w:szCs w:val="21"/>
                <w:lang w:val="en-US" w:eastAsia="zh-CN"/>
              </w:rPr>
            </w:pPr>
            <w:r>
              <w:rPr>
                <w:color w:val="auto"/>
                <w:sz w:val="21"/>
                <w:szCs w:val="21"/>
              </w:rPr>
              <w:t>注：</w:t>
            </w:r>
            <w:r>
              <w:rPr>
                <w:rFonts w:hint="eastAsia"/>
                <w:color w:val="auto"/>
                <w:sz w:val="21"/>
                <w:szCs w:val="21"/>
                <w:lang w:eastAsia="zh-CN"/>
              </w:rPr>
              <w:t>响应文件</w:t>
            </w:r>
            <w:r>
              <w:rPr>
                <w:color w:val="auto"/>
                <w:sz w:val="21"/>
                <w:szCs w:val="21"/>
              </w:rPr>
              <w:t>内附相关文件，制度执行的记录等，文件加盖单位公章。</w:t>
            </w:r>
          </w:p>
        </w:tc>
      </w:tr>
      <w:tr w14:paraId="718F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768" w:type="dxa"/>
            <w:vMerge w:val="continue"/>
            <w:noWrap w:val="0"/>
            <w:tcMar>
              <w:top w:w="0" w:type="dxa"/>
              <w:left w:w="108" w:type="dxa"/>
              <w:bottom w:w="0" w:type="dxa"/>
              <w:right w:w="108" w:type="dxa"/>
            </w:tcMar>
            <w:vAlign w:val="center"/>
          </w:tcPr>
          <w:p w14:paraId="337D58C9">
            <w:pPr>
              <w:widowControl/>
              <w:spacing w:line="240" w:lineRule="auto"/>
              <w:jc w:val="center"/>
              <w:rPr>
                <w:color w:val="auto"/>
                <w:sz w:val="21"/>
                <w:szCs w:val="21"/>
              </w:rPr>
            </w:pPr>
          </w:p>
        </w:tc>
        <w:tc>
          <w:tcPr>
            <w:tcW w:w="1459" w:type="dxa"/>
            <w:vMerge w:val="continue"/>
            <w:noWrap w:val="0"/>
            <w:tcMar>
              <w:top w:w="0" w:type="dxa"/>
              <w:left w:w="108" w:type="dxa"/>
              <w:bottom w:w="0" w:type="dxa"/>
              <w:right w:w="108" w:type="dxa"/>
            </w:tcMar>
            <w:vAlign w:val="center"/>
          </w:tcPr>
          <w:p w14:paraId="2295A6E6">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32A85573">
            <w:pPr>
              <w:widowControl/>
              <w:spacing w:line="240" w:lineRule="auto"/>
              <w:jc w:val="center"/>
              <w:rPr>
                <w:color w:val="auto"/>
                <w:sz w:val="21"/>
                <w:szCs w:val="21"/>
              </w:rPr>
            </w:pPr>
            <w:r>
              <w:rPr>
                <w:rFonts w:hint="eastAsia"/>
                <w:color w:val="auto"/>
                <w:sz w:val="21"/>
                <w:szCs w:val="21"/>
                <w:lang w:val="en-US" w:eastAsia="zh-CN"/>
              </w:rPr>
              <w:t>10</w:t>
            </w:r>
            <w:r>
              <w:rPr>
                <w:color w:val="auto"/>
                <w:sz w:val="21"/>
                <w:szCs w:val="21"/>
              </w:rPr>
              <w:t>分</w:t>
            </w:r>
          </w:p>
        </w:tc>
        <w:tc>
          <w:tcPr>
            <w:tcW w:w="6930" w:type="dxa"/>
            <w:noWrap w:val="0"/>
            <w:tcMar>
              <w:top w:w="0" w:type="dxa"/>
              <w:left w:w="108" w:type="dxa"/>
              <w:bottom w:w="0" w:type="dxa"/>
              <w:right w:w="108" w:type="dxa"/>
            </w:tcMar>
            <w:vAlign w:val="center"/>
          </w:tcPr>
          <w:p w14:paraId="7D8CF840">
            <w:pPr>
              <w:numPr>
                <w:ilvl w:val="0"/>
                <w:numId w:val="0"/>
              </w:numPr>
              <w:spacing w:line="240" w:lineRule="auto"/>
              <w:jc w:val="left"/>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一</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开展安全抽检工作实验室情况：</w:t>
            </w:r>
          </w:p>
          <w:p w14:paraId="302B819E">
            <w:pPr>
              <w:numPr>
                <w:ilvl w:val="0"/>
                <w:numId w:val="0"/>
              </w:numPr>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rPr>
              <w:t>拥有独立的、固定的检验场所，能满足本项目需要。</w:t>
            </w:r>
            <w:r>
              <w:rPr>
                <w:rFonts w:hint="eastAsia" w:ascii="宋体" w:hAnsi="宋体" w:cs="宋体"/>
                <w:color w:val="auto"/>
                <w:sz w:val="21"/>
                <w:szCs w:val="21"/>
              </w:rPr>
              <w:t>实验室总</w:t>
            </w:r>
            <w:r>
              <w:rPr>
                <w:rFonts w:hint="eastAsia" w:ascii="宋体" w:hAnsi="宋体" w:cs="宋体"/>
                <w:color w:val="auto"/>
                <w:sz w:val="21"/>
                <w:szCs w:val="21"/>
                <w:lang w:val="en-US" w:eastAsia="zh-CN"/>
              </w:rPr>
              <w:t>面积：</w:t>
            </w:r>
          </w:p>
          <w:p w14:paraId="2E9FFFB8">
            <w:pPr>
              <w:spacing w:line="240" w:lineRule="auto"/>
              <w:jc w:val="left"/>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r>
              <w:rPr>
                <w:rFonts w:hint="eastAsia" w:ascii="宋体" w:hAnsi="宋体" w:cs="宋体"/>
                <w:b w:val="0"/>
                <w:bCs/>
                <w:color w:val="auto"/>
                <w:sz w:val="21"/>
                <w:szCs w:val="21"/>
                <w:highlight w:val="none"/>
                <w:lang w:val="en-US" w:eastAsia="zh-CN"/>
              </w:rPr>
              <w:t>10000</w:t>
            </w:r>
            <w:r>
              <w:rPr>
                <w:rFonts w:hint="eastAsia" w:ascii="宋体" w:hAnsi="宋体" w:cs="宋体"/>
                <w:b w:val="0"/>
                <w:bCs/>
                <w:color w:val="auto"/>
                <w:sz w:val="21"/>
                <w:szCs w:val="21"/>
                <w:highlight w:val="none"/>
              </w:rPr>
              <w:t>（含）平方米以上：</w:t>
            </w:r>
            <w:r>
              <w:rPr>
                <w:rFonts w:hint="default" w:ascii="宋体" w:hAnsi="宋体" w:cs="宋体"/>
                <w:b w:val="0"/>
                <w:bCs/>
                <w:color w:val="auto"/>
                <w:sz w:val="21"/>
                <w:szCs w:val="21"/>
                <w:highlight w:val="none"/>
                <w:lang w:val="en-US"/>
              </w:rPr>
              <w:t>6</w:t>
            </w:r>
            <w:r>
              <w:rPr>
                <w:rFonts w:hint="eastAsia" w:ascii="宋体" w:hAnsi="宋体" w:cs="宋体"/>
                <w:b w:val="0"/>
                <w:bCs/>
                <w:color w:val="auto"/>
                <w:sz w:val="21"/>
                <w:szCs w:val="21"/>
                <w:highlight w:val="none"/>
              </w:rPr>
              <w:t>分；</w:t>
            </w:r>
          </w:p>
          <w:p w14:paraId="7489D135">
            <w:pPr>
              <w:spacing w:line="24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5000</w:t>
            </w:r>
            <w:r>
              <w:rPr>
                <w:rFonts w:hint="eastAsia" w:ascii="宋体" w:hAnsi="宋体" w:cs="宋体"/>
                <w:b w:val="0"/>
                <w:bCs/>
                <w:color w:val="auto"/>
                <w:sz w:val="21"/>
                <w:szCs w:val="21"/>
                <w:highlight w:val="none"/>
              </w:rPr>
              <w:t>（含）-</w:t>
            </w:r>
            <w:r>
              <w:rPr>
                <w:rFonts w:hint="eastAsia" w:ascii="宋体" w:hAnsi="宋体" w:cs="宋体"/>
                <w:b w:val="0"/>
                <w:bCs/>
                <w:color w:val="auto"/>
                <w:sz w:val="21"/>
                <w:szCs w:val="21"/>
                <w:highlight w:val="none"/>
                <w:lang w:val="en-US" w:eastAsia="zh-CN"/>
              </w:rPr>
              <w:t>10000</w:t>
            </w:r>
            <w:r>
              <w:rPr>
                <w:rFonts w:hint="eastAsia" w:ascii="宋体" w:hAnsi="宋体" w:cs="宋体"/>
                <w:b w:val="0"/>
                <w:bCs/>
                <w:color w:val="auto"/>
                <w:sz w:val="21"/>
                <w:szCs w:val="21"/>
                <w:highlight w:val="none"/>
              </w:rPr>
              <w:t>（不含）平方米：</w:t>
            </w: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rPr>
              <w:t>分；</w:t>
            </w:r>
          </w:p>
          <w:p w14:paraId="04F3190E">
            <w:pPr>
              <w:numPr>
                <w:ilvl w:val="0"/>
                <w:numId w:val="0"/>
              </w:numPr>
              <w:spacing w:line="24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3.2500</w:t>
            </w:r>
            <w:r>
              <w:rPr>
                <w:rFonts w:hint="eastAsia" w:ascii="宋体" w:hAnsi="宋体" w:cs="宋体"/>
                <w:b w:val="0"/>
                <w:bCs/>
                <w:color w:val="auto"/>
                <w:sz w:val="21"/>
                <w:szCs w:val="21"/>
                <w:highlight w:val="none"/>
              </w:rPr>
              <w:t>（含）-</w:t>
            </w:r>
            <w:r>
              <w:rPr>
                <w:rFonts w:hint="eastAsia" w:ascii="宋体" w:hAnsi="宋体" w:cs="宋体"/>
                <w:b w:val="0"/>
                <w:bCs/>
                <w:color w:val="auto"/>
                <w:sz w:val="21"/>
                <w:szCs w:val="21"/>
                <w:highlight w:val="none"/>
                <w:lang w:val="en-US" w:eastAsia="zh-CN"/>
              </w:rPr>
              <w:t>5000</w:t>
            </w:r>
            <w:r>
              <w:rPr>
                <w:rFonts w:hint="eastAsia" w:ascii="宋体" w:hAnsi="宋体" w:cs="宋体"/>
                <w:b w:val="0"/>
                <w:bCs/>
                <w:color w:val="auto"/>
                <w:sz w:val="21"/>
                <w:szCs w:val="21"/>
                <w:highlight w:val="none"/>
              </w:rPr>
              <w:t>（不含）平方米：</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分。</w:t>
            </w:r>
          </w:p>
          <w:p w14:paraId="68779FC6">
            <w:pPr>
              <w:pStyle w:val="13"/>
              <w:ind w:left="0" w:leftChars="0" w:firstLine="0" w:firstLineChars="0"/>
              <w:rPr>
                <w:rFonts w:hint="default" w:eastAsia="宋体"/>
                <w:b w:val="0"/>
                <w:bCs/>
                <w:color w:val="auto"/>
                <w:sz w:val="21"/>
                <w:szCs w:val="21"/>
                <w:lang w:val="en-US" w:eastAsia="zh-CN"/>
              </w:rPr>
            </w:pPr>
            <w:r>
              <w:rPr>
                <w:rFonts w:hint="eastAsia" w:ascii="宋体" w:hAnsi="宋体" w:cs="宋体"/>
                <w:b w:val="0"/>
                <w:bCs/>
                <w:color w:val="auto"/>
                <w:sz w:val="21"/>
                <w:szCs w:val="21"/>
                <w:highlight w:val="none"/>
                <w:lang w:val="en-US" w:eastAsia="zh-CN"/>
              </w:rPr>
              <w:t>4.2500</w:t>
            </w:r>
            <w:r>
              <w:rPr>
                <w:rFonts w:hint="eastAsia" w:ascii="宋体" w:hAnsi="宋体" w:cs="宋体"/>
                <w:b w:val="0"/>
                <w:bCs/>
                <w:color w:val="auto"/>
                <w:sz w:val="21"/>
                <w:szCs w:val="21"/>
                <w:highlight w:val="none"/>
              </w:rPr>
              <w:t>（不含）平方米</w:t>
            </w:r>
            <w:r>
              <w:rPr>
                <w:rFonts w:hint="eastAsia" w:ascii="宋体" w:hAnsi="宋体" w:cs="宋体"/>
                <w:b w:val="0"/>
                <w:bCs/>
                <w:color w:val="auto"/>
                <w:sz w:val="21"/>
                <w:szCs w:val="21"/>
                <w:highlight w:val="none"/>
                <w:lang w:val="en-US" w:eastAsia="zh-CN"/>
              </w:rPr>
              <w:t>以下：1分。</w:t>
            </w:r>
          </w:p>
          <w:p w14:paraId="471E7A4F">
            <w:pPr>
              <w:pStyle w:val="6"/>
              <w:spacing w:line="240" w:lineRule="auto"/>
              <w:ind w:left="0" w:leftChars="0" w:firstLine="0" w:firstLineChars="0"/>
              <w:rPr>
                <w:rFonts w:hint="eastAsia" w:ascii="宋体" w:hAnsi="宋体" w:cs="宋体"/>
                <w:bCs/>
                <w:color w:val="auto"/>
                <w:sz w:val="21"/>
                <w:szCs w:val="21"/>
                <w:highlight w:val="none"/>
              </w:rPr>
            </w:pPr>
            <w:r>
              <w:rPr>
                <w:rFonts w:hint="eastAsia" w:ascii="宋体" w:hAnsi="宋体" w:cs="宋体"/>
                <w:color w:val="auto"/>
                <w:sz w:val="21"/>
                <w:szCs w:val="21"/>
                <w:highlight w:val="none"/>
              </w:rPr>
              <w:t>（</w:t>
            </w:r>
            <w:r>
              <w:rPr>
                <w:rFonts w:hint="eastAsia" w:ascii="宋体" w:hAnsi="宋体" w:cs="宋体"/>
                <w:bCs/>
                <w:color w:val="auto"/>
                <w:sz w:val="21"/>
                <w:szCs w:val="21"/>
                <w:highlight w:val="none"/>
              </w:rPr>
              <w:t>二）</w:t>
            </w:r>
            <w:r>
              <w:rPr>
                <w:rFonts w:hint="eastAsia" w:ascii="宋体" w:hAnsi="宋体" w:cs="宋体"/>
                <w:bCs/>
                <w:color w:val="auto"/>
                <w:sz w:val="21"/>
                <w:szCs w:val="21"/>
                <w:highlight w:val="none"/>
                <w:lang w:val="en-US" w:eastAsia="zh-CN"/>
              </w:rPr>
              <w:t>实验室距离情况（仅限危险化学品和煤制品，其他产品此项得满分）</w:t>
            </w:r>
            <w:r>
              <w:rPr>
                <w:rFonts w:hint="eastAsia" w:ascii="宋体" w:hAnsi="宋体" w:cs="宋体"/>
                <w:bCs/>
                <w:color w:val="auto"/>
                <w:sz w:val="21"/>
                <w:szCs w:val="21"/>
                <w:highlight w:val="none"/>
              </w:rPr>
              <w:t>：</w:t>
            </w:r>
          </w:p>
          <w:p w14:paraId="705B3B3F">
            <w:pPr>
              <w:pStyle w:val="6"/>
              <w:spacing w:line="240" w:lineRule="auto"/>
              <w:ind w:left="0" w:leftChars="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en-US" w:eastAsia="zh-CN"/>
              </w:rPr>
              <w:t>供应商实验室距离甲方驻地50公里以内</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w:t>
            </w:r>
          </w:p>
          <w:p w14:paraId="137BCBE0">
            <w:pPr>
              <w:pStyle w:val="6"/>
              <w:spacing w:line="240" w:lineRule="auto"/>
              <w:ind w:left="0" w:leftChars="0" w:firstLine="0" w:firstLineChars="0"/>
              <w:rPr>
                <w:rFonts w:hint="default" w:ascii="宋体" w:hAnsi="宋体" w:cs="宋体"/>
                <w:bCs/>
                <w:color w:val="auto"/>
                <w:sz w:val="21"/>
                <w:szCs w:val="21"/>
                <w:highlight w:val="none"/>
                <w:lang w:val="en-US"/>
              </w:rPr>
            </w:pPr>
            <w:r>
              <w:rPr>
                <w:rFonts w:hint="eastAsia" w:ascii="宋体" w:hAnsi="宋体" w:cs="宋体"/>
                <w:bCs/>
                <w:color w:val="auto"/>
                <w:sz w:val="21"/>
                <w:szCs w:val="21"/>
                <w:highlight w:val="none"/>
              </w:rPr>
              <w:t>2.</w:t>
            </w:r>
            <w:r>
              <w:rPr>
                <w:rFonts w:hint="eastAsia" w:ascii="宋体" w:hAnsi="宋体" w:cs="宋体"/>
                <w:bCs/>
                <w:color w:val="auto"/>
                <w:sz w:val="21"/>
                <w:szCs w:val="21"/>
                <w:highlight w:val="none"/>
                <w:lang w:val="en-US" w:eastAsia="zh-CN"/>
              </w:rPr>
              <w:t>供应商实验室距离甲方驻地50公里之外</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3分</w:t>
            </w:r>
          </w:p>
          <w:p w14:paraId="12B24533">
            <w:pPr>
              <w:spacing w:line="240" w:lineRule="auto"/>
              <w:jc w:val="left"/>
              <w:rPr>
                <w:color w:val="auto"/>
                <w:sz w:val="21"/>
                <w:szCs w:val="21"/>
              </w:rPr>
            </w:pPr>
            <w:r>
              <w:rPr>
                <w:rFonts w:hint="eastAsia" w:ascii="宋体" w:hAnsi="宋体" w:cs="宋体"/>
                <w:bCs/>
                <w:color w:val="auto"/>
                <w:sz w:val="21"/>
                <w:szCs w:val="21"/>
                <w:highlight w:val="none"/>
              </w:rPr>
              <w:t>同时具备上述（一）和（二）的条件得分可以累加，最高为</w:t>
            </w:r>
            <w:r>
              <w:rPr>
                <w:rFonts w:hint="eastAsia" w:ascii="宋体" w:hAnsi="宋体" w:cs="宋体"/>
                <w:bCs/>
                <w:color w:val="auto"/>
                <w:sz w:val="21"/>
                <w:szCs w:val="21"/>
                <w:highlight w:val="none"/>
                <w:lang w:val="en-US" w:eastAsia="zh-CN"/>
              </w:rPr>
              <w:t>10</w:t>
            </w:r>
            <w:r>
              <w:rPr>
                <w:rFonts w:hint="eastAsia" w:ascii="宋体" w:hAnsi="宋体" w:cs="宋体"/>
                <w:bCs/>
                <w:color w:val="auto"/>
                <w:sz w:val="21"/>
                <w:szCs w:val="21"/>
                <w:highlight w:val="none"/>
              </w:rPr>
              <w:t>分。（</w:t>
            </w:r>
            <w:r>
              <w:rPr>
                <w:rFonts w:hint="eastAsia" w:ascii="宋体" w:hAnsi="宋体" w:cs="宋体"/>
                <w:bCs/>
                <w:color w:val="auto"/>
                <w:sz w:val="21"/>
                <w:szCs w:val="21"/>
                <w:highlight w:val="none"/>
                <w:lang w:eastAsia="zh-CN"/>
              </w:rPr>
              <w:t>供应商</w:t>
            </w:r>
            <w:r>
              <w:rPr>
                <w:rFonts w:hint="eastAsia" w:ascii="宋体" w:hAnsi="宋体" w:cs="宋体"/>
                <w:bCs/>
                <w:color w:val="auto"/>
                <w:sz w:val="21"/>
                <w:szCs w:val="21"/>
                <w:highlight w:val="none"/>
              </w:rPr>
              <w:t>须提供实验场所的房产证复印件或所有权证明文件或者有效期从投标日起不低于三年的长期房屋租赁合同复印件及相关证明材料。分支机构提供营业执照原件，未达到上述要求或未提供有效证明文件的不得分 。距离以</w:t>
            </w:r>
            <w:r>
              <w:rPr>
                <w:rFonts w:hint="eastAsia" w:ascii="宋体" w:hAnsi="宋体" w:cs="宋体"/>
                <w:bCs/>
                <w:color w:val="auto"/>
                <w:sz w:val="21"/>
                <w:szCs w:val="21"/>
                <w:highlight w:val="none"/>
                <w:lang w:eastAsia="zh-CN"/>
              </w:rPr>
              <w:t>供应商</w:t>
            </w:r>
            <w:r>
              <w:rPr>
                <w:rFonts w:hint="eastAsia" w:ascii="宋体" w:hAnsi="宋体" w:cs="宋体"/>
                <w:bCs/>
                <w:color w:val="auto"/>
                <w:sz w:val="21"/>
                <w:szCs w:val="21"/>
                <w:highlight w:val="none"/>
              </w:rPr>
              <w:t>实验室场所地址到</w:t>
            </w:r>
            <w:r>
              <w:rPr>
                <w:rFonts w:hint="eastAsia" w:ascii="宋体" w:hAnsi="宋体" w:cs="宋体"/>
                <w:bCs/>
                <w:color w:val="auto"/>
                <w:sz w:val="21"/>
                <w:szCs w:val="21"/>
                <w:highlight w:val="none"/>
                <w:lang w:val="en-US" w:eastAsia="zh-CN"/>
              </w:rPr>
              <w:t>长春市市场监督管理局</w:t>
            </w:r>
            <w:r>
              <w:rPr>
                <w:rFonts w:hint="eastAsia" w:ascii="宋体" w:hAnsi="宋体" w:cs="宋体"/>
                <w:bCs/>
                <w:color w:val="auto"/>
                <w:sz w:val="21"/>
                <w:szCs w:val="21"/>
                <w:highlight w:val="none"/>
              </w:rPr>
              <w:t>的百度地图</w:t>
            </w:r>
            <w:r>
              <w:rPr>
                <w:rFonts w:hint="eastAsia" w:ascii="宋体" w:hAnsi="宋体" w:cs="宋体"/>
                <w:bCs/>
                <w:color w:val="auto"/>
                <w:sz w:val="21"/>
                <w:szCs w:val="21"/>
                <w:highlight w:val="none"/>
                <w:lang w:val="en-US" w:eastAsia="zh-CN"/>
              </w:rPr>
              <w:t>等</w:t>
            </w:r>
            <w:r>
              <w:rPr>
                <w:rFonts w:hint="eastAsia" w:ascii="宋体" w:hAnsi="宋体" w:cs="宋体"/>
                <w:bCs/>
                <w:color w:val="auto"/>
                <w:sz w:val="21"/>
                <w:szCs w:val="21"/>
                <w:highlight w:val="none"/>
              </w:rPr>
              <w:t>驾车路线截图为准。）</w:t>
            </w:r>
          </w:p>
        </w:tc>
      </w:tr>
      <w:tr w14:paraId="5B92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768" w:type="dxa"/>
            <w:vMerge w:val="continue"/>
            <w:noWrap w:val="0"/>
            <w:tcMar>
              <w:top w:w="0" w:type="dxa"/>
              <w:left w:w="108" w:type="dxa"/>
              <w:bottom w:w="0" w:type="dxa"/>
              <w:right w:w="108" w:type="dxa"/>
            </w:tcMar>
            <w:vAlign w:val="center"/>
          </w:tcPr>
          <w:p w14:paraId="6B7BAC54">
            <w:pPr>
              <w:widowControl/>
              <w:spacing w:line="240" w:lineRule="auto"/>
              <w:jc w:val="center"/>
              <w:rPr>
                <w:color w:val="auto"/>
                <w:sz w:val="21"/>
                <w:szCs w:val="21"/>
              </w:rPr>
            </w:pPr>
          </w:p>
        </w:tc>
        <w:tc>
          <w:tcPr>
            <w:tcW w:w="1459" w:type="dxa"/>
            <w:vMerge w:val="continue"/>
            <w:noWrap w:val="0"/>
            <w:tcMar>
              <w:top w:w="0" w:type="dxa"/>
              <w:left w:w="108" w:type="dxa"/>
              <w:bottom w:w="0" w:type="dxa"/>
              <w:right w:w="108" w:type="dxa"/>
            </w:tcMar>
            <w:vAlign w:val="center"/>
          </w:tcPr>
          <w:p w14:paraId="0625CF4C">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567AB521">
            <w:pPr>
              <w:widowControl/>
              <w:spacing w:line="240" w:lineRule="auto"/>
              <w:jc w:val="center"/>
              <w:rPr>
                <w:color w:val="auto"/>
                <w:sz w:val="21"/>
                <w:szCs w:val="21"/>
              </w:rPr>
            </w:pPr>
            <w:r>
              <w:rPr>
                <w:color w:val="auto"/>
                <w:sz w:val="21"/>
                <w:szCs w:val="21"/>
                <w:lang w:val="en-US"/>
              </w:rPr>
              <w:t>8</w:t>
            </w:r>
            <w:r>
              <w:rPr>
                <w:color w:val="auto"/>
                <w:sz w:val="21"/>
                <w:szCs w:val="21"/>
              </w:rPr>
              <w:t>分</w:t>
            </w:r>
          </w:p>
        </w:tc>
        <w:tc>
          <w:tcPr>
            <w:tcW w:w="6930" w:type="dxa"/>
            <w:noWrap w:val="0"/>
            <w:tcMar>
              <w:top w:w="0" w:type="dxa"/>
              <w:left w:w="108" w:type="dxa"/>
              <w:bottom w:w="0" w:type="dxa"/>
              <w:right w:w="108" w:type="dxa"/>
            </w:tcMar>
            <w:vAlign w:val="center"/>
          </w:tcPr>
          <w:p w14:paraId="7764D86C">
            <w:pPr>
              <w:spacing w:line="240" w:lineRule="auto"/>
              <w:jc w:val="left"/>
              <w:rPr>
                <w:color w:val="auto"/>
                <w:sz w:val="21"/>
                <w:szCs w:val="21"/>
              </w:rPr>
            </w:pPr>
            <w:r>
              <w:rPr>
                <w:color w:val="auto"/>
                <w:sz w:val="21"/>
                <w:szCs w:val="21"/>
              </w:rPr>
              <w:t>实验室配备满足本项目正常检测所必要的检测设备，并对所有仪器设备进行正常维护。检测设备在计量检定（校准）有效期内，设备信息完整，能覆盖所承担项目需要，台套数能满足大批量样品检测需</w:t>
            </w:r>
            <w:r>
              <w:rPr>
                <w:rFonts w:hint="eastAsia"/>
                <w:color w:val="auto"/>
                <w:sz w:val="21"/>
                <w:szCs w:val="21"/>
                <w:lang w:val="en-US" w:eastAsia="zh-CN"/>
              </w:rPr>
              <w:t>求</w:t>
            </w:r>
            <w:r>
              <w:rPr>
                <w:color w:val="auto"/>
                <w:sz w:val="21"/>
                <w:szCs w:val="21"/>
              </w:rPr>
              <w:t>。</w:t>
            </w:r>
          </w:p>
          <w:p w14:paraId="45BAA5A0">
            <w:pPr>
              <w:spacing w:line="240" w:lineRule="auto"/>
              <w:jc w:val="left"/>
              <w:rPr>
                <w:rFonts w:hint="eastAsia" w:eastAsia="宋体"/>
                <w:color w:val="auto"/>
                <w:sz w:val="21"/>
                <w:szCs w:val="21"/>
                <w:lang w:eastAsia="zh-CN"/>
              </w:rPr>
            </w:pPr>
            <w:r>
              <w:rPr>
                <w:color w:val="auto"/>
                <w:sz w:val="21"/>
                <w:szCs w:val="21"/>
              </w:rPr>
              <w:t>注：</w:t>
            </w:r>
            <w:r>
              <w:rPr>
                <w:rFonts w:hint="eastAsia"/>
                <w:color w:val="auto"/>
                <w:sz w:val="21"/>
                <w:szCs w:val="21"/>
                <w:lang w:eastAsia="zh-CN"/>
              </w:rPr>
              <w:t>响应文件</w:t>
            </w:r>
            <w:r>
              <w:rPr>
                <w:color w:val="auto"/>
                <w:sz w:val="21"/>
                <w:szCs w:val="21"/>
              </w:rPr>
              <w:t>提供设备清单、照片、购置合同或购置发票、计量</w:t>
            </w:r>
            <w:r>
              <w:rPr>
                <w:rFonts w:hint="eastAsia"/>
                <w:color w:val="auto"/>
                <w:sz w:val="21"/>
                <w:szCs w:val="21"/>
                <w:lang w:val="en-US" w:eastAsia="zh-CN"/>
              </w:rPr>
              <w:t>检定（</w:t>
            </w:r>
            <w:r>
              <w:rPr>
                <w:color w:val="auto"/>
                <w:sz w:val="21"/>
                <w:szCs w:val="21"/>
              </w:rPr>
              <w:t>校</w:t>
            </w:r>
            <w:r>
              <w:rPr>
                <w:rFonts w:hint="eastAsia"/>
                <w:color w:val="auto"/>
                <w:sz w:val="21"/>
                <w:szCs w:val="21"/>
                <w:lang w:val="en-US" w:eastAsia="zh-CN"/>
              </w:rPr>
              <w:t>准）</w:t>
            </w:r>
            <w:r>
              <w:rPr>
                <w:color w:val="auto"/>
                <w:sz w:val="21"/>
                <w:szCs w:val="21"/>
              </w:rPr>
              <w:t>证书等证明材料加盖公章，并提供书面真实性承诺。根据检测设备信息完整、能否覆盖所承担项目需要、台套数能否满足大批量样品检测需求等情况进行比较，优得</w:t>
            </w:r>
            <w:r>
              <w:rPr>
                <w:color w:val="auto"/>
                <w:sz w:val="21"/>
                <w:szCs w:val="21"/>
                <w:lang w:val="en-US"/>
              </w:rPr>
              <w:t>8</w:t>
            </w:r>
            <w:r>
              <w:rPr>
                <w:color w:val="auto"/>
                <w:sz w:val="21"/>
                <w:szCs w:val="21"/>
              </w:rPr>
              <w:t>分，良得</w:t>
            </w:r>
            <w:r>
              <w:rPr>
                <w:color w:val="auto"/>
                <w:sz w:val="21"/>
                <w:szCs w:val="21"/>
                <w:lang w:val="en-US"/>
              </w:rPr>
              <w:t>5</w:t>
            </w:r>
            <w:r>
              <w:rPr>
                <w:color w:val="auto"/>
                <w:sz w:val="21"/>
                <w:szCs w:val="21"/>
              </w:rPr>
              <w:t>分，一般得1分。</w:t>
            </w:r>
            <w:r>
              <w:rPr>
                <w:rFonts w:hint="eastAsia"/>
                <w:color w:val="auto"/>
                <w:sz w:val="21"/>
                <w:szCs w:val="21"/>
                <w:lang w:eastAsia="zh-CN"/>
              </w:rPr>
              <w:t>没有不得分。</w:t>
            </w:r>
          </w:p>
        </w:tc>
      </w:tr>
      <w:tr w14:paraId="3F46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768" w:type="dxa"/>
            <w:vMerge w:val="continue"/>
            <w:noWrap w:val="0"/>
            <w:tcMar>
              <w:top w:w="0" w:type="dxa"/>
              <w:left w:w="108" w:type="dxa"/>
              <w:bottom w:w="0" w:type="dxa"/>
              <w:right w:w="108" w:type="dxa"/>
            </w:tcMar>
            <w:vAlign w:val="center"/>
          </w:tcPr>
          <w:p w14:paraId="21613D03">
            <w:pPr>
              <w:widowControl/>
              <w:spacing w:line="240" w:lineRule="auto"/>
              <w:jc w:val="center"/>
              <w:rPr>
                <w:color w:val="auto"/>
                <w:sz w:val="21"/>
                <w:szCs w:val="21"/>
              </w:rPr>
            </w:pPr>
          </w:p>
        </w:tc>
        <w:tc>
          <w:tcPr>
            <w:tcW w:w="1459" w:type="dxa"/>
            <w:vMerge w:val="continue"/>
            <w:noWrap w:val="0"/>
            <w:tcMar>
              <w:top w:w="0" w:type="dxa"/>
              <w:left w:w="108" w:type="dxa"/>
              <w:bottom w:w="0" w:type="dxa"/>
              <w:right w:w="108" w:type="dxa"/>
            </w:tcMar>
            <w:vAlign w:val="center"/>
          </w:tcPr>
          <w:p w14:paraId="64EBC55E">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35C1ED8A">
            <w:pPr>
              <w:widowControl/>
              <w:spacing w:line="240" w:lineRule="auto"/>
              <w:jc w:val="center"/>
              <w:rPr>
                <w:color w:val="auto"/>
                <w:sz w:val="21"/>
                <w:szCs w:val="21"/>
              </w:rPr>
            </w:pPr>
            <w:r>
              <w:rPr>
                <w:rFonts w:hint="eastAsia"/>
                <w:color w:val="auto"/>
                <w:sz w:val="21"/>
                <w:szCs w:val="21"/>
                <w:lang w:val="en-US" w:eastAsia="zh-CN"/>
              </w:rPr>
              <w:t>5</w:t>
            </w:r>
            <w:r>
              <w:rPr>
                <w:color w:val="auto"/>
                <w:sz w:val="21"/>
                <w:szCs w:val="21"/>
              </w:rPr>
              <w:t>分</w:t>
            </w:r>
          </w:p>
        </w:tc>
        <w:tc>
          <w:tcPr>
            <w:tcW w:w="6930" w:type="dxa"/>
            <w:noWrap w:val="0"/>
            <w:tcMar>
              <w:top w:w="0" w:type="dxa"/>
              <w:left w:w="108" w:type="dxa"/>
              <w:bottom w:w="0" w:type="dxa"/>
              <w:right w:w="108" w:type="dxa"/>
            </w:tcMar>
            <w:vAlign w:val="center"/>
          </w:tcPr>
          <w:p w14:paraId="3BB625A2">
            <w:pPr>
              <w:spacing w:line="240" w:lineRule="auto"/>
              <w:jc w:val="left"/>
              <w:rPr>
                <w:color w:val="auto"/>
                <w:sz w:val="21"/>
                <w:szCs w:val="21"/>
              </w:rPr>
            </w:pPr>
            <w:r>
              <w:rPr>
                <w:color w:val="auto"/>
                <w:sz w:val="21"/>
                <w:szCs w:val="21"/>
              </w:rPr>
              <w:t>拥有承担本项目所需的专业技术人员。</w:t>
            </w:r>
          </w:p>
          <w:p w14:paraId="6787E757">
            <w:pPr>
              <w:spacing w:line="240" w:lineRule="auto"/>
              <w:jc w:val="left"/>
              <w:rPr>
                <w:color w:val="auto"/>
                <w:sz w:val="21"/>
                <w:szCs w:val="21"/>
              </w:rPr>
            </w:pPr>
            <w:r>
              <w:rPr>
                <w:color w:val="auto"/>
                <w:sz w:val="21"/>
                <w:szCs w:val="21"/>
              </w:rPr>
              <w:t>（1）所投产品的抽检工作项目负责人具有10年以上检验工作经历并具有</w:t>
            </w:r>
            <w:r>
              <w:rPr>
                <w:rFonts w:hint="eastAsia"/>
                <w:color w:val="auto"/>
                <w:sz w:val="21"/>
                <w:szCs w:val="21"/>
                <w:lang w:val="en-US" w:eastAsia="zh-CN"/>
              </w:rPr>
              <w:t>正</w:t>
            </w:r>
            <w:r>
              <w:rPr>
                <w:color w:val="auto"/>
                <w:sz w:val="21"/>
                <w:szCs w:val="21"/>
              </w:rPr>
              <w:t>高级职称；岗位配置合理，包括项目负责人、抽样相关人员、样品接收人员、检验相关人员（包括检测人员、报告审核人员、授权签字人等）：</w:t>
            </w:r>
            <w:r>
              <w:rPr>
                <w:rFonts w:hint="eastAsia"/>
                <w:color w:val="auto"/>
                <w:sz w:val="21"/>
                <w:szCs w:val="21"/>
                <w:lang w:val="en-US" w:eastAsia="zh-CN"/>
              </w:rPr>
              <w:t>5</w:t>
            </w:r>
            <w:r>
              <w:rPr>
                <w:color w:val="auto"/>
                <w:sz w:val="21"/>
                <w:szCs w:val="21"/>
              </w:rPr>
              <w:t>分。</w:t>
            </w:r>
          </w:p>
          <w:p w14:paraId="5F0C2FAD">
            <w:pPr>
              <w:spacing w:line="240" w:lineRule="auto"/>
              <w:jc w:val="left"/>
              <w:rPr>
                <w:color w:val="auto"/>
                <w:sz w:val="21"/>
                <w:szCs w:val="21"/>
              </w:rPr>
            </w:pPr>
            <w:r>
              <w:rPr>
                <w:color w:val="auto"/>
                <w:sz w:val="21"/>
                <w:szCs w:val="21"/>
              </w:rPr>
              <w:t>（2）所投产品的抽检工作项目负责人未达到10年检验工作经历或</w:t>
            </w:r>
            <w:r>
              <w:rPr>
                <w:rFonts w:hint="eastAsia"/>
                <w:color w:val="auto"/>
                <w:sz w:val="21"/>
                <w:szCs w:val="21"/>
                <w:lang w:val="en-US" w:eastAsia="zh-CN"/>
              </w:rPr>
              <w:t>正</w:t>
            </w:r>
            <w:r>
              <w:rPr>
                <w:color w:val="auto"/>
                <w:sz w:val="21"/>
                <w:szCs w:val="21"/>
              </w:rPr>
              <w:t>高级职称；岗位配置合理，包括了项目负责人、抽样相关人员、样品接收人员、检验相关人员（包括检测人员、报告审核人员、授权签字人等）：</w:t>
            </w:r>
            <w:r>
              <w:rPr>
                <w:rFonts w:hint="eastAsia"/>
                <w:color w:val="auto"/>
                <w:sz w:val="21"/>
                <w:szCs w:val="21"/>
                <w:lang w:val="en-US" w:eastAsia="zh-CN"/>
              </w:rPr>
              <w:t>3</w:t>
            </w:r>
            <w:r>
              <w:rPr>
                <w:color w:val="auto"/>
                <w:sz w:val="21"/>
                <w:szCs w:val="21"/>
              </w:rPr>
              <w:t xml:space="preserve">分。 </w:t>
            </w:r>
          </w:p>
          <w:p w14:paraId="5329C064">
            <w:pPr>
              <w:spacing w:line="240" w:lineRule="auto"/>
              <w:jc w:val="left"/>
              <w:rPr>
                <w:color w:val="auto"/>
                <w:sz w:val="21"/>
                <w:szCs w:val="21"/>
              </w:rPr>
            </w:pPr>
            <w:r>
              <w:rPr>
                <w:color w:val="auto"/>
                <w:sz w:val="21"/>
                <w:szCs w:val="21"/>
              </w:rPr>
              <w:t>（3）岗位配置不完备：0分。</w:t>
            </w:r>
          </w:p>
          <w:p w14:paraId="2F44DF90">
            <w:pPr>
              <w:spacing w:line="240" w:lineRule="auto"/>
              <w:jc w:val="left"/>
              <w:rPr>
                <w:color w:val="auto"/>
                <w:sz w:val="21"/>
                <w:szCs w:val="21"/>
              </w:rPr>
            </w:pPr>
            <w:r>
              <w:rPr>
                <w:color w:val="auto"/>
                <w:sz w:val="21"/>
                <w:szCs w:val="21"/>
              </w:rPr>
              <w:t>注：以提供的社保证明、职称证书复印件加盖公章为评分依据</w:t>
            </w:r>
            <w:r>
              <w:rPr>
                <w:rFonts w:hint="eastAsia"/>
                <w:color w:val="auto"/>
                <w:sz w:val="21"/>
                <w:szCs w:val="21"/>
                <w:lang w:eastAsia="zh-CN"/>
              </w:rPr>
              <w:t>（</w:t>
            </w:r>
            <w:r>
              <w:rPr>
                <w:rFonts w:hint="eastAsia"/>
                <w:color w:val="auto"/>
                <w:sz w:val="21"/>
                <w:szCs w:val="21"/>
                <w:lang w:val="en-US" w:eastAsia="zh-CN"/>
              </w:rPr>
              <w:t>在编人员提供编办手册</w:t>
            </w:r>
            <w:r>
              <w:rPr>
                <w:rFonts w:hint="eastAsia"/>
                <w:color w:val="auto"/>
                <w:sz w:val="21"/>
                <w:szCs w:val="21"/>
                <w:lang w:eastAsia="zh-CN"/>
              </w:rPr>
              <w:t>）</w:t>
            </w:r>
            <w:r>
              <w:rPr>
                <w:color w:val="auto"/>
                <w:sz w:val="21"/>
                <w:szCs w:val="21"/>
              </w:rPr>
              <w:t>。</w:t>
            </w:r>
          </w:p>
        </w:tc>
      </w:tr>
      <w:tr w14:paraId="0570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768" w:type="dxa"/>
            <w:vMerge w:val="continue"/>
            <w:noWrap w:val="0"/>
            <w:tcMar>
              <w:top w:w="0" w:type="dxa"/>
              <w:left w:w="108" w:type="dxa"/>
              <w:bottom w:w="0" w:type="dxa"/>
              <w:right w:w="108" w:type="dxa"/>
            </w:tcMar>
            <w:vAlign w:val="center"/>
          </w:tcPr>
          <w:p w14:paraId="7495ED0F">
            <w:pPr>
              <w:widowControl/>
              <w:spacing w:line="240" w:lineRule="auto"/>
              <w:jc w:val="center"/>
              <w:rPr>
                <w:color w:val="auto"/>
                <w:sz w:val="21"/>
                <w:szCs w:val="21"/>
              </w:rPr>
            </w:pPr>
          </w:p>
        </w:tc>
        <w:tc>
          <w:tcPr>
            <w:tcW w:w="1459" w:type="dxa"/>
            <w:vMerge w:val="continue"/>
            <w:noWrap w:val="0"/>
            <w:tcMar>
              <w:top w:w="0" w:type="dxa"/>
              <w:left w:w="108" w:type="dxa"/>
              <w:bottom w:w="0" w:type="dxa"/>
              <w:right w:w="108" w:type="dxa"/>
            </w:tcMar>
            <w:vAlign w:val="center"/>
          </w:tcPr>
          <w:p w14:paraId="2BF61B30">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7818EE3E">
            <w:pPr>
              <w:widowControl/>
              <w:spacing w:line="240" w:lineRule="auto"/>
              <w:jc w:val="center"/>
              <w:rPr>
                <w:color w:val="auto"/>
                <w:sz w:val="21"/>
                <w:szCs w:val="21"/>
              </w:rPr>
            </w:pPr>
            <w:r>
              <w:rPr>
                <w:rFonts w:hint="eastAsia"/>
                <w:color w:val="auto"/>
                <w:sz w:val="21"/>
                <w:szCs w:val="21"/>
                <w:lang w:val="en-US" w:eastAsia="zh-CN"/>
              </w:rPr>
              <w:t>5</w:t>
            </w:r>
            <w:r>
              <w:rPr>
                <w:color w:val="auto"/>
                <w:sz w:val="21"/>
                <w:szCs w:val="21"/>
              </w:rPr>
              <w:t>分</w:t>
            </w:r>
          </w:p>
        </w:tc>
        <w:tc>
          <w:tcPr>
            <w:tcW w:w="6930" w:type="dxa"/>
            <w:noWrap w:val="0"/>
            <w:tcMar>
              <w:top w:w="0" w:type="dxa"/>
              <w:left w:w="108" w:type="dxa"/>
              <w:bottom w:w="0" w:type="dxa"/>
              <w:right w:w="108" w:type="dxa"/>
            </w:tcMar>
            <w:vAlign w:val="center"/>
          </w:tcPr>
          <w:p w14:paraId="6AAB35BD">
            <w:pPr>
              <w:spacing w:line="240" w:lineRule="auto"/>
              <w:rPr>
                <w:rFonts w:hint="default" w:eastAsia="宋体"/>
                <w:bCs/>
                <w:color w:val="auto"/>
                <w:sz w:val="21"/>
                <w:szCs w:val="21"/>
                <w:lang w:val="en-US" w:eastAsia="zh-CN"/>
              </w:rPr>
            </w:pPr>
            <w:r>
              <w:rPr>
                <w:bCs/>
                <w:color w:val="auto"/>
                <w:sz w:val="21"/>
                <w:szCs w:val="21"/>
              </w:rPr>
              <w:t>拥有承担抽样检验服务所需的</w:t>
            </w:r>
            <w:r>
              <w:rPr>
                <w:rFonts w:hint="eastAsia"/>
                <w:bCs/>
                <w:color w:val="auto"/>
                <w:sz w:val="21"/>
                <w:szCs w:val="21"/>
                <w:lang w:val="en-US" w:eastAsia="zh-CN"/>
              </w:rPr>
              <w:t>车辆以及执法记录仪设备</w:t>
            </w:r>
            <w:r>
              <w:rPr>
                <w:bCs/>
                <w:color w:val="auto"/>
                <w:sz w:val="21"/>
                <w:szCs w:val="21"/>
                <w:lang w:val="zh-CN"/>
              </w:rPr>
              <w:t>。</w:t>
            </w:r>
            <w:r>
              <w:rPr>
                <w:bCs/>
                <w:color w:val="auto"/>
                <w:sz w:val="21"/>
                <w:szCs w:val="21"/>
              </w:rPr>
              <w:t>配备以上设备的</w:t>
            </w:r>
            <w:r>
              <w:rPr>
                <w:bCs/>
                <w:color w:val="auto"/>
                <w:sz w:val="21"/>
                <w:szCs w:val="21"/>
                <w:lang w:val="zh-CN"/>
              </w:rPr>
              <w:t>每台0.</w:t>
            </w:r>
            <w:r>
              <w:rPr>
                <w:rFonts w:hint="eastAsia"/>
                <w:bCs/>
                <w:color w:val="auto"/>
                <w:sz w:val="21"/>
                <w:szCs w:val="21"/>
                <w:lang w:val="en-US" w:eastAsia="zh-CN"/>
              </w:rPr>
              <w:t>5</w:t>
            </w:r>
            <w:r>
              <w:rPr>
                <w:bCs/>
                <w:color w:val="auto"/>
                <w:sz w:val="21"/>
                <w:szCs w:val="21"/>
                <w:lang w:val="zh-CN"/>
              </w:rPr>
              <w:t>分，最高不超过</w:t>
            </w:r>
            <w:r>
              <w:rPr>
                <w:rFonts w:hint="eastAsia"/>
                <w:bCs/>
                <w:color w:val="auto"/>
                <w:sz w:val="21"/>
                <w:szCs w:val="21"/>
                <w:lang w:val="en-US" w:eastAsia="zh-CN"/>
              </w:rPr>
              <w:t>5</w:t>
            </w:r>
            <w:r>
              <w:rPr>
                <w:bCs/>
                <w:color w:val="auto"/>
                <w:sz w:val="21"/>
                <w:szCs w:val="21"/>
                <w:lang w:val="zh-CN"/>
              </w:rPr>
              <w:t>分</w:t>
            </w:r>
            <w:r>
              <w:rPr>
                <w:rFonts w:hint="eastAsia"/>
                <w:bCs/>
                <w:color w:val="auto"/>
                <w:sz w:val="21"/>
                <w:szCs w:val="21"/>
                <w:lang w:val="zh-CN"/>
              </w:rPr>
              <w:t>，</w:t>
            </w:r>
            <w:r>
              <w:rPr>
                <w:rFonts w:hint="eastAsia"/>
                <w:bCs/>
                <w:color w:val="auto"/>
                <w:sz w:val="21"/>
                <w:szCs w:val="21"/>
                <w:lang w:val="en-US" w:eastAsia="zh-CN"/>
              </w:rPr>
              <w:t>没有得0分。</w:t>
            </w:r>
          </w:p>
          <w:p w14:paraId="119ADDDB">
            <w:pPr>
              <w:spacing w:line="240" w:lineRule="auto"/>
              <w:rPr>
                <w:color w:val="auto"/>
                <w:sz w:val="21"/>
                <w:szCs w:val="21"/>
              </w:rPr>
            </w:pPr>
            <w:r>
              <w:rPr>
                <w:bCs/>
                <w:color w:val="auto"/>
                <w:sz w:val="21"/>
                <w:szCs w:val="21"/>
                <w:lang w:val="zh-CN"/>
              </w:rPr>
              <w:t>注：提供设备清单、照片、购置合同或购置发票等相关证明材料。</w:t>
            </w:r>
          </w:p>
        </w:tc>
      </w:tr>
      <w:tr w14:paraId="33DB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768" w:type="dxa"/>
            <w:vMerge w:val="continue"/>
            <w:noWrap w:val="0"/>
            <w:tcMar>
              <w:top w:w="0" w:type="dxa"/>
              <w:left w:w="108" w:type="dxa"/>
              <w:bottom w:w="0" w:type="dxa"/>
              <w:right w:w="108" w:type="dxa"/>
            </w:tcMar>
            <w:vAlign w:val="center"/>
          </w:tcPr>
          <w:p w14:paraId="5B2B7553">
            <w:pPr>
              <w:widowControl/>
              <w:spacing w:line="240" w:lineRule="auto"/>
              <w:jc w:val="center"/>
              <w:rPr>
                <w:color w:val="auto"/>
                <w:sz w:val="21"/>
                <w:szCs w:val="21"/>
              </w:rPr>
            </w:pPr>
          </w:p>
        </w:tc>
        <w:tc>
          <w:tcPr>
            <w:tcW w:w="1459" w:type="dxa"/>
            <w:vMerge w:val="continue"/>
            <w:noWrap w:val="0"/>
            <w:tcMar>
              <w:top w:w="0" w:type="dxa"/>
              <w:left w:w="108" w:type="dxa"/>
              <w:bottom w:w="0" w:type="dxa"/>
              <w:right w:w="108" w:type="dxa"/>
            </w:tcMar>
            <w:vAlign w:val="center"/>
          </w:tcPr>
          <w:p w14:paraId="3CF11D2E">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37BC252E">
            <w:pPr>
              <w:widowControl/>
              <w:spacing w:line="240" w:lineRule="auto"/>
              <w:jc w:val="center"/>
              <w:rPr>
                <w:rFonts w:hint="default" w:eastAsia="宋体"/>
                <w:color w:val="auto"/>
                <w:sz w:val="21"/>
                <w:szCs w:val="21"/>
                <w:lang w:val="en-US" w:eastAsia="zh-CN"/>
              </w:rPr>
            </w:pPr>
            <w:r>
              <w:rPr>
                <w:rFonts w:hint="eastAsia"/>
                <w:color w:val="auto"/>
                <w:sz w:val="21"/>
                <w:szCs w:val="21"/>
                <w:lang w:val="en-US" w:eastAsia="zh-CN"/>
              </w:rPr>
              <w:t>5分</w:t>
            </w:r>
          </w:p>
        </w:tc>
        <w:tc>
          <w:tcPr>
            <w:tcW w:w="6930" w:type="dxa"/>
            <w:noWrap w:val="0"/>
            <w:tcMar>
              <w:top w:w="0" w:type="dxa"/>
              <w:left w:w="108" w:type="dxa"/>
              <w:bottom w:w="0" w:type="dxa"/>
              <w:right w:w="108" w:type="dxa"/>
            </w:tcMar>
            <w:vAlign w:val="center"/>
          </w:tcPr>
          <w:p w14:paraId="4E7D30FB">
            <w:pPr>
              <w:spacing w:line="240" w:lineRule="auto"/>
              <w:jc w:val="left"/>
              <w:rPr>
                <w:rFonts w:hint="eastAsia" w:ascii="宋体" w:hAnsi="宋体" w:cs="宋体"/>
                <w:bCs/>
                <w:color w:val="auto"/>
                <w:sz w:val="21"/>
                <w:szCs w:val="21"/>
              </w:rPr>
            </w:pPr>
            <w:r>
              <w:rPr>
                <w:rFonts w:hint="eastAsia" w:ascii="宋体" w:hAnsi="宋体" w:cs="宋体"/>
                <w:bCs/>
                <w:color w:val="auto"/>
                <w:sz w:val="21"/>
                <w:szCs w:val="21"/>
              </w:rPr>
              <w:t>具备检验业务管理信息化系统：</w:t>
            </w:r>
            <w:r>
              <w:rPr>
                <w:rFonts w:hint="eastAsia" w:ascii="宋体" w:hAnsi="宋体" w:cs="宋体"/>
                <w:bCs/>
                <w:color w:val="auto"/>
                <w:sz w:val="21"/>
                <w:szCs w:val="21"/>
                <w:lang w:val="en-US" w:eastAsia="zh-CN"/>
              </w:rPr>
              <w:t>5</w:t>
            </w:r>
            <w:r>
              <w:rPr>
                <w:rFonts w:hint="eastAsia" w:ascii="宋体" w:hAnsi="宋体" w:cs="宋体"/>
                <w:bCs/>
                <w:color w:val="auto"/>
                <w:sz w:val="21"/>
                <w:szCs w:val="21"/>
              </w:rPr>
              <w:t>分</w:t>
            </w:r>
            <w:r>
              <w:rPr>
                <w:rFonts w:hint="eastAsia"/>
                <w:bCs/>
                <w:color w:val="auto"/>
                <w:sz w:val="21"/>
                <w:szCs w:val="21"/>
                <w:lang w:val="zh-CN"/>
              </w:rPr>
              <w:t>，</w:t>
            </w:r>
            <w:r>
              <w:rPr>
                <w:rFonts w:hint="eastAsia"/>
                <w:bCs/>
                <w:color w:val="auto"/>
                <w:sz w:val="21"/>
                <w:szCs w:val="21"/>
                <w:lang w:val="en-US" w:eastAsia="zh-CN"/>
              </w:rPr>
              <w:t>没有得0分。</w:t>
            </w:r>
          </w:p>
          <w:p w14:paraId="5126A47C">
            <w:pPr>
              <w:spacing w:line="240" w:lineRule="auto"/>
              <w:jc w:val="left"/>
              <w:rPr>
                <w:color w:val="auto"/>
                <w:sz w:val="21"/>
                <w:szCs w:val="21"/>
              </w:rPr>
            </w:pPr>
            <w:r>
              <w:rPr>
                <w:rFonts w:hint="eastAsia" w:ascii="宋体" w:hAnsi="宋体" w:cs="宋体"/>
                <w:bCs/>
                <w:color w:val="auto"/>
                <w:sz w:val="21"/>
                <w:szCs w:val="21"/>
              </w:rPr>
              <w:t>（提供采购原始票据）</w:t>
            </w:r>
          </w:p>
        </w:tc>
      </w:tr>
      <w:tr w14:paraId="159A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768" w:type="dxa"/>
            <w:vMerge w:val="continue"/>
            <w:noWrap w:val="0"/>
            <w:tcMar>
              <w:top w:w="0" w:type="dxa"/>
              <w:left w:w="108" w:type="dxa"/>
              <w:bottom w:w="0" w:type="dxa"/>
              <w:right w:w="108" w:type="dxa"/>
            </w:tcMar>
            <w:vAlign w:val="center"/>
          </w:tcPr>
          <w:p w14:paraId="1EDF6AB8">
            <w:pPr>
              <w:widowControl/>
              <w:spacing w:line="240" w:lineRule="auto"/>
              <w:jc w:val="center"/>
              <w:rPr>
                <w:color w:val="auto"/>
                <w:sz w:val="21"/>
                <w:szCs w:val="21"/>
              </w:rPr>
            </w:pPr>
          </w:p>
        </w:tc>
        <w:tc>
          <w:tcPr>
            <w:tcW w:w="1459" w:type="dxa"/>
            <w:vMerge w:val="continue"/>
            <w:noWrap w:val="0"/>
            <w:tcMar>
              <w:top w:w="0" w:type="dxa"/>
              <w:left w:w="108" w:type="dxa"/>
              <w:bottom w:w="0" w:type="dxa"/>
              <w:right w:w="108" w:type="dxa"/>
            </w:tcMar>
            <w:vAlign w:val="center"/>
          </w:tcPr>
          <w:p w14:paraId="5D2BC1F8">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0D3139CE">
            <w:pPr>
              <w:widowControl/>
              <w:spacing w:line="240" w:lineRule="auto"/>
              <w:jc w:val="center"/>
              <w:rPr>
                <w:color w:val="auto"/>
                <w:sz w:val="21"/>
                <w:szCs w:val="21"/>
                <w:highlight w:val="none"/>
              </w:rPr>
            </w:pPr>
            <w:r>
              <w:rPr>
                <w:rFonts w:hint="eastAsia"/>
                <w:color w:val="auto"/>
                <w:sz w:val="21"/>
                <w:szCs w:val="21"/>
                <w:highlight w:val="none"/>
                <w:lang w:val="en-US" w:eastAsia="zh-CN"/>
              </w:rPr>
              <w:t>10</w:t>
            </w:r>
            <w:r>
              <w:rPr>
                <w:color w:val="auto"/>
                <w:sz w:val="21"/>
                <w:szCs w:val="21"/>
                <w:highlight w:val="none"/>
              </w:rPr>
              <w:t>分</w:t>
            </w:r>
          </w:p>
        </w:tc>
        <w:tc>
          <w:tcPr>
            <w:tcW w:w="6930" w:type="dxa"/>
            <w:noWrap w:val="0"/>
            <w:tcMar>
              <w:top w:w="0" w:type="dxa"/>
              <w:left w:w="108" w:type="dxa"/>
              <w:bottom w:w="0" w:type="dxa"/>
              <w:right w:w="108" w:type="dxa"/>
            </w:tcMar>
            <w:vAlign w:val="center"/>
          </w:tcPr>
          <w:p w14:paraId="6CAA1414">
            <w:pPr>
              <w:spacing w:line="240" w:lineRule="auto"/>
              <w:jc w:val="left"/>
              <w:rPr>
                <w:color w:val="auto"/>
                <w:sz w:val="21"/>
                <w:szCs w:val="21"/>
                <w:highlight w:val="none"/>
              </w:rPr>
            </w:pPr>
            <w:r>
              <w:rPr>
                <w:rFonts w:hint="eastAsia"/>
                <w:color w:val="auto"/>
                <w:sz w:val="21"/>
                <w:szCs w:val="21"/>
                <w:highlight w:val="none"/>
                <w:lang w:eastAsia="zh-CN"/>
              </w:rPr>
              <w:t>响应文件</w:t>
            </w:r>
            <w:r>
              <w:rPr>
                <w:color w:val="auto"/>
                <w:sz w:val="21"/>
                <w:szCs w:val="21"/>
                <w:highlight w:val="none"/>
              </w:rPr>
              <w:t>中提供所投标产品监督抽查</w:t>
            </w:r>
            <w:r>
              <w:rPr>
                <w:rFonts w:hint="eastAsia"/>
                <w:color w:val="auto"/>
                <w:sz w:val="21"/>
                <w:szCs w:val="21"/>
                <w:highlight w:val="none"/>
                <w:lang w:val="en-US" w:eastAsia="zh-CN"/>
              </w:rPr>
              <w:t>操作手册范本</w:t>
            </w:r>
            <w:r>
              <w:rPr>
                <w:color w:val="auto"/>
                <w:sz w:val="21"/>
                <w:szCs w:val="21"/>
                <w:highlight w:val="none"/>
              </w:rPr>
              <w:t>。</w:t>
            </w:r>
            <w:r>
              <w:rPr>
                <w:rFonts w:hint="eastAsia"/>
                <w:color w:val="auto"/>
                <w:sz w:val="21"/>
                <w:szCs w:val="21"/>
                <w:highlight w:val="none"/>
                <w:lang w:val="en-US" w:eastAsia="zh-CN"/>
              </w:rPr>
              <w:t>操作手册</w:t>
            </w:r>
            <w:r>
              <w:rPr>
                <w:color w:val="auto"/>
                <w:sz w:val="21"/>
                <w:szCs w:val="21"/>
                <w:highlight w:val="none"/>
              </w:rPr>
              <w:t>编写贴近该产品实际抽查工作，要素完整，方案合理、可行性强。</w:t>
            </w:r>
          </w:p>
          <w:p w14:paraId="50C9FC54">
            <w:pPr>
              <w:jc w:val="left"/>
              <w:rPr>
                <w:rFonts w:hint="eastAsia"/>
                <w:color w:val="auto"/>
                <w:sz w:val="21"/>
                <w:szCs w:val="21"/>
                <w:highlight w:val="none"/>
              </w:rPr>
            </w:pPr>
            <w:r>
              <w:rPr>
                <w:rFonts w:hint="eastAsia"/>
                <w:color w:val="auto"/>
                <w:sz w:val="21"/>
                <w:szCs w:val="21"/>
                <w:highlight w:val="none"/>
              </w:rPr>
              <w:t>承担本次抽检任务具体</w:t>
            </w:r>
            <w:r>
              <w:rPr>
                <w:rFonts w:hint="eastAsia"/>
                <w:color w:val="auto"/>
                <w:sz w:val="21"/>
                <w:szCs w:val="21"/>
                <w:highlight w:val="none"/>
                <w:lang w:val="en-US" w:eastAsia="zh-CN"/>
              </w:rPr>
              <w:t>操作内容</w:t>
            </w:r>
            <w:r>
              <w:rPr>
                <w:rFonts w:hint="eastAsia"/>
                <w:color w:val="auto"/>
                <w:sz w:val="21"/>
                <w:szCs w:val="21"/>
                <w:highlight w:val="none"/>
              </w:rPr>
              <w:t>：</w:t>
            </w:r>
          </w:p>
          <w:p w14:paraId="621634A0">
            <w:pPr>
              <w:pStyle w:val="13"/>
              <w:numPr>
                <w:ilvl w:val="0"/>
                <w:numId w:val="0"/>
              </w:numPr>
              <w:ind w:leftChars="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1.开展产品质量抽检工作的准备，内容</w:t>
            </w:r>
            <w:r>
              <w:rPr>
                <w:rFonts w:hint="eastAsia" w:ascii="宋体" w:hAnsi="宋体" w:cs="宋体"/>
                <w:bCs/>
                <w:color w:val="auto"/>
                <w:sz w:val="21"/>
                <w:szCs w:val="21"/>
                <w:highlight w:val="none"/>
                <w:lang w:eastAsia="zh-CN"/>
              </w:rPr>
              <w:t>包括</w:t>
            </w:r>
            <w:r>
              <w:rPr>
                <w:rFonts w:hint="eastAsia" w:ascii="宋体" w:hAnsi="宋体" w:cs="宋体"/>
                <w:bCs/>
                <w:color w:val="auto"/>
                <w:sz w:val="21"/>
                <w:szCs w:val="21"/>
                <w:highlight w:val="none"/>
                <w:lang w:val="en-US" w:eastAsia="zh-CN"/>
              </w:rPr>
              <w:t>并不限于：总则、制定目的、引用文件、工作职责、工作纪律、应急情况</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抽样物资准备、风险预警等。</w:t>
            </w:r>
          </w:p>
          <w:p w14:paraId="4BDAFBC1">
            <w:pPr>
              <w:spacing w:line="240" w:lineRule="auto"/>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2.抽样与检验。包括：抽样人员确定、前期培训、抽样流程、样品接受与保存；检验依据、检验项目、检验过程、检验报告等。</w:t>
            </w:r>
          </w:p>
          <w:p w14:paraId="40B8D37F">
            <w:pPr>
              <w:spacing w:line="240" w:lineRule="auto"/>
              <w:jc w:val="left"/>
              <w:rPr>
                <w:rFonts w:hint="eastAsia" w:eastAsia="宋体"/>
                <w:color w:val="auto"/>
                <w:sz w:val="21"/>
                <w:szCs w:val="21"/>
                <w:highlight w:val="none"/>
                <w:lang w:eastAsia="zh-CN"/>
              </w:rPr>
            </w:pPr>
            <w:r>
              <w:rPr>
                <w:rFonts w:hint="eastAsia" w:ascii="宋体" w:hAnsi="宋体" w:cs="宋体"/>
                <w:bCs/>
                <w:color w:val="auto"/>
                <w:sz w:val="21"/>
                <w:szCs w:val="21"/>
                <w:highlight w:val="none"/>
                <w:lang w:eastAsia="zh-CN"/>
              </w:rPr>
              <w:t>根据响应文件综合比较</w:t>
            </w:r>
            <w:r>
              <w:rPr>
                <w:rFonts w:hint="eastAsia" w:ascii="宋体" w:hAnsi="宋体" w:cs="宋体"/>
                <w:bCs/>
                <w:color w:val="auto"/>
                <w:sz w:val="21"/>
                <w:szCs w:val="21"/>
                <w:highlight w:val="none"/>
                <w:lang w:val="en-US" w:eastAsia="zh-CN"/>
              </w:rPr>
              <w:t>优得10分，良得8分，一般得6分，差或没有不得分。</w:t>
            </w:r>
          </w:p>
        </w:tc>
      </w:tr>
      <w:tr w14:paraId="58D5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4" w:hRule="atLeast"/>
          <w:jc w:val="center"/>
        </w:trPr>
        <w:tc>
          <w:tcPr>
            <w:tcW w:w="768" w:type="dxa"/>
            <w:vMerge w:val="continue"/>
            <w:noWrap w:val="0"/>
            <w:tcMar>
              <w:top w:w="0" w:type="dxa"/>
              <w:left w:w="108" w:type="dxa"/>
              <w:bottom w:w="0" w:type="dxa"/>
              <w:right w:w="108" w:type="dxa"/>
            </w:tcMar>
            <w:vAlign w:val="center"/>
          </w:tcPr>
          <w:p w14:paraId="5EF0DD40">
            <w:pPr>
              <w:widowControl/>
              <w:spacing w:line="240" w:lineRule="auto"/>
              <w:jc w:val="center"/>
              <w:rPr>
                <w:color w:val="auto"/>
                <w:sz w:val="21"/>
                <w:szCs w:val="21"/>
              </w:rPr>
            </w:pPr>
          </w:p>
        </w:tc>
        <w:tc>
          <w:tcPr>
            <w:tcW w:w="1459" w:type="dxa"/>
            <w:vMerge w:val="continue"/>
            <w:noWrap w:val="0"/>
            <w:tcMar>
              <w:top w:w="0" w:type="dxa"/>
              <w:left w:w="108" w:type="dxa"/>
              <w:bottom w:w="0" w:type="dxa"/>
              <w:right w:w="108" w:type="dxa"/>
            </w:tcMar>
            <w:vAlign w:val="center"/>
          </w:tcPr>
          <w:p w14:paraId="1C124063">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70810C3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10分</w:t>
            </w:r>
          </w:p>
        </w:tc>
        <w:tc>
          <w:tcPr>
            <w:tcW w:w="6930" w:type="dxa"/>
            <w:noWrap w:val="0"/>
            <w:tcMar>
              <w:top w:w="0" w:type="dxa"/>
              <w:left w:w="108" w:type="dxa"/>
              <w:bottom w:w="0" w:type="dxa"/>
              <w:right w:w="108" w:type="dxa"/>
            </w:tcMar>
            <w:vAlign w:val="center"/>
          </w:tcPr>
          <w:p w14:paraId="12BC640D">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color w:val="auto"/>
                <w:sz w:val="21"/>
                <w:szCs w:val="21"/>
              </w:rPr>
              <w:t>检测任务下达后，</w:t>
            </w:r>
            <w:r>
              <w:rPr>
                <w:rFonts w:hint="eastAsia" w:ascii="宋体" w:hAnsi="宋体" w:eastAsia="宋体" w:cs="宋体"/>
                <w:color w:val="auto"/>
                <w:sz w:val="21"/>
                <w:szCs w:val="21"/>
                <w:lang w:eastAsia="zh-CN"/>
              </w:rPr>
              <w:t>供应商</w:t>
            </w:r>
            <w:r>
              <w:rPr>
                <w:rFonts w:hint="eastAsia" w:ascii="宋体" w:hAnsi="宋体" w:cs="宋体"/>
                <w:color w:val="auto"/>
                <w:sz w:val="21"/>
                <w:szCs w:val="21"/>
                <w:lang w:val="en-US" w:eastAsia="zh-CN"/>
              </w:rPr>
              <w:t>提供</w:t>
            </w:r>
            <w:r>
              <w:rPr>
                <w:rFonts w:hint="eastAsia" w:ascii="宋体" w:hAnsi="宋体" w:eastAsia="宋体" w:cs="宋体"/>
                <w:color w:val="auto"/>
                <w:sz w:val="21"/>
                <w:szCs w:val="21"/>
                <w:lang w:val="en-US" w:eastAsia="zh-CN"/>
              </w:rPr>
              <w:t>安全生产</w:t>
            </w:r>
            <w:r>
              <w:rPr>
                <w:rFonts w:hint="eastAsia" w:ascii="宋体" w:hAnsi="宋体" w:cs="宋体"/>
                <w:color w:val="auto"/>
                <w:sz w:val="21"/>
                <w:szCs w:val="21"/>
                <w:lang w:val="en-US" w:eastAsia="zh-CN"/>
              </w:rPr>
              <w:t>措施承诺</w:t>
            </w:r>
            <w:r>
              <w:rPr>
                <w:rFonts w:hint="eastAsia" w:ascii="宋体" w:hAnsi="宋体" w:eastAsia="宋体" w:cs="宋体"/>
                <w:color w:val="auto"/>
                <w:sz w:val="21"/>
                <w:szCs w:val="21"/>
                <w:lang w:val="en-US" w:eastAsia="zh-CN"/>
              </w:rPr>
              <w:t>以及</w:t>
            </w:r>
            <w:r>
              <w:rPr>
                <w:rFonts w:hint="eastAsia" w:ascii="宋体" w:hAnsi="宋体" w:eastAsia="宋体" w:cs="宋体"/>
                <w:color w:val="auto"/>
                <w:sz w:val="21"/>
                <w:szCs w:val="21"/>
              </w:rPr>
              <w:t>响应时限，包括</w:t>
            </w:r>
            <w:r>
              <w:rPr>
                <w:rFonts w:hint="eastAsia" w:ascii="宋体" w:hAnsi="宋体" w:cs="宋体"/>
                <w:color w:val="auto"/>
                <w:sz w:val="21"/>
                <w:szCs w:val="21"/>
                <w:lang w:val="en-US" w:eastAsia="zh-CN"/>
              </w:rPr>
              <w:t>保证安全生产的具体措施、</w:t>
            </w:r>
            <w:r>
              <w:rPr>
                <w:rFonts w:hint="eastAsia" w:ascii="宋体" w:hAnsi="宋体" w:eastAsia="宋体" w:cs="宋体"/>
                <w:color w:val="auto"/>
                <w:sz w:val="21"/>
                <w:szCs w:val="21"/>
              </w:rPr>
              <w:t>接受任务响应时限、检验报告出具时限、复检复验响应时限。根据</w:t>
            </w:r>
            <w:r>
              <w:rPr>
                <w:rFonts w:hint="eastAsia" w:ascii="宋体" w:hAnsi="宋体" w:cs="宋体"/>
                <w:color w:val="auto"/>
                <w:sz w:val="21"/>
                <w:szCs w:val="21"/>
                <w:lang w:eastAsia="zh-CN"/>
              </w:rPr>
              <w:t>响应文件</w:t>
            </w:r>
            <w:r>
              <w:rPr>
                <w:rFonts w:hint="eastAsia" w:ascii="宋体" w:hAnsi="宋体" w:eastAsia="宋体" w:cs="宋体"/>
                <w:color w:val="auto"/>
                <w:sz w:val="21"/>
                <w:szCs w:val="21"/>
              </w:rPr>
              <w:t>中承诺的</w:t>
            </w:r>
            <w:r>
              <w:rPr>
                <w:rFonts w:hint="eastAsia" w:ascii="宋体" w:hAnsi="宋体" w:cs="宋体"/>
                <w:color w:val="auto"/>
                <w:sz w:val="21"/>
                <w:szCs w:val="21"/>
                <w:lang w:val="en-US" w:eastAsia="zh-CN"/>
              </w:rPr>
              <w:t>具体</w:t>
            </w:r>
            <w:r>
              <w:rPr>
                <w:rFonts w:hint="eastAsia" w:ascii="宋体" w:hAnsi="宋体" w:eastAsia="宋体" w:cs="宋体"/>
                <w:color w:val="auto"/>
                <w:sz w:val="21"/>
                <w:szCs w:val="21"/>
                <w:lang w:val="en-US" w:eastAsia="zh-CN"/>
              </w:rPr>
              <w:t>安全生产</w:t>
            </w:r>
            <w:r>
              <w:rPr>
                <w:rFonts w:hint="eastAsia" w:ascii="宋体" w:hAnsi="宋体" w:cs="宋体"/>
                <w:color w:val="auto"/>
                <w:sz w:val="21"/>
                <w:szCs w:val="21"/>
                <w:lang w:val="en-US" w:eastAsia="zh-CN"/>
              </w:rPr>
              <w:t>措施</w:t>
            </w:r>
            <w:r>
              <w:rPr>
                <w:rFonts w:hint="eastAsia" w:ascii="宋体" w:hAnsi="宋体" w:eastAsia="宋体" w:cs="宋体"/>
                <w:color w:val="auto"/>
                <w:sz w:val="21"/>
                <w:szCs w:val="21"/>
                <w:lang w:val="en-US" w:eastAsia="zh-CN"/>
              </w:rPr>
              <w:t>以及</w:t>
            </w:r>
            <w:r>
              <w:rPr>
                <w:rFonts w:hint="eastAsia" w:ascii="宋体" w:hAnsi="宋体" w:eastAsia="宋体" w:cs="宋体"/>
                <w:color w:val="auto"/>
                <w:sz w:val="21"/>
                <w:szCs w:val="21"/>
              </w:rPr>
              <w:t>响应时限响应速度综合比较优得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color w:val="auto"/>
                <w:sz w:val="21"/>
                <w:szCs w:val="21"/>
              </w:rPr>
              <w:t>，</w:t>
            </w:r>
            <w:r>
              <w:rPr>
                <w:rFonts w:hint="eastAsia"/>
                <w:color w:val="auto"/>
                <w:sz w:val="21"/>
                <w:szCs w:val="21"/>
                <w:lang w:eastAsia="zh-CN"/>
              </w:rPr>
              <w:t>没有不得分。</w:t>
            </w:r>
          </w:p>
        </w:tc>
      </w:tr>
      <w:tr w14:paraId="7B32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4" w:hRule="atLeast"/>
          <w:jc w:val="center"/>
        </w:trPr>
        <w:tc>
          <w:tcPr>
            <w:tcW w:w="768" w:type="dxa"/>
            <w:vMerge w:val="continue"/>
            <w:noWrap w:val="0"/>
            <w:tcMar>
              <w:top w:w="0" w:type="dxa"/>
              <w:left w:w="108" w:type="dxa"/>
              <w:bottom w:w="0" w:type="dxa"/>
              <w:right w:w="108" w:type="dxa"/>
            </w:tcMar>
            <w:vAlign w:val="center"/>
          </w:tcPr>
          <w:p w14:paraId="4538B5DB">
            <w:pPr>
              <w:widowControl/>
              <w:spacing w:line="240" w:lineRule="auto"/>
              <w:jc w:val="center"/>
              <w:rPr>
                <w:color w:val="auto"/>
                <w:sz w:val="21"/>
                <w:szCs w:val="21"/>
              </w:rPr>
            </w:pPr>
          </w:p>
        </w:tc>
        <w:tc>
          <w:tcPr>
            <w:tcW w:w="1459" w:type="dxa"/>
            <w:vMerge w:val="continue"/>
            <w:noWrap w:val="0"/>
            <w:tcMar>
              <w:top w:w="0" w:type="dxa"/>
              <w:left w:w="108" w:type="dxa"/>
              <w:bottom w:w="0" w:type="dxa"/>
              <w:right w:w="108" w:type="dxa"/>
            </w:tcMar>
            <w:vAlign w:val="center"/>
          </w:tcPr>
          <w:p w14:paraId="47626BBE">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2EC14292">
            <w:pPr>
              <w:spacing w:line="240" w:lineRule="auto"/>
              <w:jc w:val="center"/>
              <w:rPr>
                <w:color w:val="auto"/>
                <w:sz w:val="21"/>
                <w:szCs w:val="21"/>
              </w:rPr>
            </w:pPr>
            <w:r>
              <w:rPr>
                <w:rFonts w:hint="eastAsia"/>
                <w:color w:val="auto"/>
                <w:sz w:val="21"/>
                <w:szCs w:val="21"/>
                <w:lang w:val="en-US" w:eastAsia="zh-CN"/>
              </w:rPr>
              <w:t>12</w:t>
            </w:r>
            <w:r>
              <w:rPr>
                <w:color w:val="auto"/>
                <w:sz w:val="21"/>
                <w:szCs w:val="21"/>
              </w:rPr>
              <w:t>分</w:t>
            </w:r>
          </w:p>
        </w:tc>
        <w:tc>
          <w:tcPr>
            <w:tcW w:w="6930" w:type="dxa"/>
            <w:noWrap w:val="0"/>
            <w:tcMar>
              <w:top w:w="0" w:type="dxa"/>
              <w:left w:w="108" w:type="dxa"/>
              <w:bottom w:w="0" w:type="dxa"/>
              <w:right w:w="108" w:type="dxa"/>
            </w:tcMar>
            <w:vAlign w:val="center"/>
          </w:tcPr>
          <w:p w14:paraId="71A6E26E">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取得的CMA资质认定证书覆盖所投</w:t>
            </w:r>
            <w:r>
              <w:rPr>
                <w:rFonts w:hint="eastAsia"/>
                <w:color w:val="auto"/>
                <w:sz w:val="21"/>
                <w:szCs w:val="21"/>
                <w:lang w:val="en-US" w:eastAsia="zh-CN"/>
              </w:rPr>
              <w:t>标项</w:t>
            </w:r>
            <w:r>
              <w:rPr>
                <w:color w:val="auto"/>
                <w:sz w:val="21"/>
                <w:szCs w:val="21"/>
              </w:rPr>
              <w:t>的100%</w:t>
            </w:r>
            <w:r>
              <w:rPr>
                <w:rFonts w:hint="eastAsia"/>
                <w:color w:val="auto"/>
                <w:sz w:val="21"/>
                <w:szCs w:val="21"/>
                <w:lang w:val="en-US" w:eastAsia="zh-CN"/>
              </w:rPr>
              <w:t>检测项目</w:t>
            </w:r>
            <w:r>
              <w:rPr>
                <w:color w:val="auto"/>
                <w:sz w:val="21"/>
                <w:szCs w:val="21"/>
              </w:rPr>
              <w:t>,得</w:t>
            </w:r>
            <w:r>
              <w:rPr>
                <w:rFonts w:hint="eastAsia"/>
                <w:color w:val="auto"/>
                <w:sz w:val="21"/>
                <w:szCs w:val="21"/>
                <w:lang w:val="en-US" w:eastAsia="zh-CN"/>
              </w:rPr>
              <w:t>12</w:t>
            </w:r>
            <w:r>
              <w:rPr>
                <w:color w:val="auto"/>
                <w:sz w:val="21"/>
                <w:szCs w:val="21"/>
              </w:rPr>
              <w:t>分；</w:t>
            </w:r>
          </w:p>
          <w:p w14:paraId="682B41D9">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取得的CMA资质认定证书覆盖所投</w:t>
            </w:r>
            <w:r>
              <w:rPr>
                <w:rFonts w:hint="eastAsia"/>
                <w:color w:val="auto"/>
                <w:sz w:val="21"/>
                <w:szCs w:val="21"/>
                <w:lang w:val="en-US" w:eastAsia="zh-CN"/>
              </w:rPr>
              <w:t>标项</w:t>
            </w:r>
            <w:r>
              <w:rPr>
                <w:color w:val="auto"/>
                <w:sz w:val="21"/>
                <w:szCs w:val="21"/>
              </w:rPr>
              <w:t>的90%（含9</w:t>
            </w:r>
            <w:r>
              <w:rPr>
                <w:rFonts w:hint="eastAsia"/>
                <w:color w:val="auto"/>
                <w:sz w:val="21"/>
                <w:szCs w:val="21"/>
                <w:lang w:val="en-US" w:eastAsia="zh-CN"/>
              </w:rPr>
              <w:t>0</w:t>
            </w:r>
            <w:r>
              <w:rPr>
                <w:color w:val="auto"/>
                <w:sz w:val="21"/>
                <w:szCs w:val="21"/>
              </w:rPr>
              <w:t>%）-100%（不包含100%）</w:t>
            </w:r>
            <w:r>
              <w:rPr>
                <w:rFonts w:hint="eastAsia"/>
                <w:color w:val="auto"/>
                <w:sz w:val="21"/>
                <w:szCs w:val="21"/>
                <w:lang w:val="en-US" w:eastAsia="zh-CN"/>
              </w:rPr>
              <w:t>检测项目</w:t>
            </w:r>
            <w:r>
              <w:rPr>
                <w:color w:val="auto"/>
                <w:sz w:val="21"/>
                <w:szCs w:val="21"/>
              </w:rPr>
              <w:t>,得</w:t>
            </w:r>
            <w:r>
              <w:rPr>
                <w:rFonts w:hint="eastAsia"/>
                <w:color w:val="auto"/>
                <w:sz w:val="21"/>
                <w:szCs w:val="21"/>
                <w:lang w:val="en-US" w:eastAsia="zh-CN"/>
              </w:rPr>
              <w:t>10</w:t>
            </w:r>
            <w:r>
              <w:rPr>
                <w:color w:val="auto"/>
                <w:sz w:val="21"/>
                <w:szCs w:val="21"/>
              </w:rPr>
              <w:t>分；</w:t>
            </w:r>
          </w:p>
          <w:p w14:paraId="2514797B">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取得的CMA资质认定证书覆盖所投</w:t>
            </w:r>
            <w:r>
              <w:rPr>
                <w:rFonts w:hint="eastAsia"/>
                <w:color w:val="auto"/>
                <w:sz w:val="21"/>
                <w:szCs w:val="21"/>
                <w:lang w:val="en-US" w:eastAsia="zh-CN"/>
              </w:rPr>
              <w:t>标项</w:t>
            </w:r>
            <w:r>
              <w:rPr>
                <w:color w:val="auto"/>
                <w:sz w:val="21"/>
                <w:szCs w:val="21"/>
              </w:rPr>
              <w:t>的80%（含80%）-90%（不包含90%）</w:t>
            </w:r>
            <w:r>
              <w:rPr>
                <w:rFonts w:hint="eastAsia"/>
                <w:color w:val="auto"/>
                <w:sz w:val="21"/>
                <w:szCs w:val="21"/>
                <w:lang w:val="en-US" w:eastAsia="zh-CN"/>
              </w:rPr>
              <w:t>检测项目</w:t>
            </w:r>
            <w:r>
              <w:rPr>
                <w:color w:val="auto"/>
                <w:sz w:val="21"/>
                <w:szCs w:val="21"/>
              </w:rPr>
              <w:t>,得</w:t>
            </w:r>
            <w:r>
              <w:rPr>
                <w:rFonts w:hint="eastAsia"/>
                <w:color w:val="auto"/>
                <w:sz w:val="21"/>
                <w:szCs w:val="21"/>
                <w:lang w:val="en-US" w:eastAsia="zh-CN"/>
              </w:rPr>
              <w:t>6</w:t>
            </w:r>
            <w:r>
              <w:rPr>
                <w:color w:val="auto"/>
                <w:sz w:val="21"/>
                <w:szCs w:val="21"/>
              </w:rPr>
              <w:t>分；</w:t>
            </w:r>
          </w:p>
          <w:p w14:paraId="478EA164">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取得的CMA资质认定证书覆盖所投</w:t>
            </w:r>
            <w:r>
              <w:rPr>
                <w:rFonts w:hint="eastAsia"/>
                <w:color w:val="auto"/>
                <w:sz w:val="21"/>
                <w:szCs w:val="21"/>
                <w:lang w:val="en-US" w:eastAsia="zh-CN"/>
              </w:rPr>
              <w:t>标项</w:t>
            </w:r>
            <w:r>
              <w:rPr>
                <w:color w:val="auto"/>
                <w:sz w:val="21"/>
                <w:szCs w:val="21"/>
              </w:rPr>
              <w:t>的60%（含60%）-80%（不包含80%）</w:t>
            </w:r>
            <w:r>
              <w:rPr>
                <w:rFonts w:hint="eastAsia"/>
                <w:color w:val="auto"/>
                <w:sz w:val="21"/>
                <w:szCs w:val="21"/>
                <w:lang w:val="en-US" w:eastAsia="zh-CN"/>
              </w:rPr>
              <w:t>检测项目</w:t>
            </w:r>
            <w:r>
              <w:rPr>
                <w:color w:val="auto"/>
                <w:sz w:val="21"/>
                <w:szCs w:val="21"/>
              </w:rPr>
              <w:t>,得</w:t>
            </w:r>
            <w:r>
              <w:rPr>
                <w:rFonts w:hint="eastAsia"/>
                <w:color w:val="auto"/>
                <w:sz w:val="21"/>
                <w:szCs w:val="21"/>
                <w:lang w:val="en-US" w:eastAsia="zh-CN"/>
              </w:rPr>
              <w:t>1</w:t>
            </w:r>
            <w:r>
              <w:rPr>
                <w:color w:val="auto"/>
                <w:sz w:val="21"/>
                <w:szCs w:val="21"/>
              </w:rPr>
              <w:t>分；</w:t>
            </w:r>
          </w:p>
          <w:p w14:paraId="3B637219">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取得的CMA资质认定证书覆盖所投</w:t>
            </w:r>
            <w:r>
              <w:rPr>
                <w:rFonts w:hint="eastAsia"/>
                <w:color w:val="auto"/>
                <w:sz w:val="21"/>
                <w:szCs w:val="21"/>
                <w:lang w:val="en-US" w:eastAsia="zh-CN"/>
              </w:rPr>
              <w:t>标项</w:t>
            </w:r>
            <w:r>
              <w:rPr>
                <w:color w:val="auto"/>
                <w:sz w:val="21"/>
                <w:szCs w:val="21"/>
              </w:rPr>
              <w:t>的60%（不含60%）</w:t>
            </w:r>
            <w:r>
              <w:rPr>
                <w:rFonts w:hint="eastAsia"/>
                <w:color w:val="auto"/>
                <w:sz w:val="21"/>
                <w:szCs w:val="21"/>
                <w:lang w:val="en-US" w:eastAsia="zh-CN"/>
              </w:rPr>
              <w:t>-50%（含50%）检测项目</w:t>
            </w:r>
            <w:r>
              <w:rPr>
                <w:color w:val="auto"/>
                <w:sz w:val="21"/>
                <w:szCs w:val="21"/>
              </w:rPr>
              <w:t>不得分。</w:t>
            </w:r>
          </w:p>
          <w:p w14:paraId="5FD06296">
            <w:pPr>
              <w:spacing w:line="240" w:lineRule="auto"/>
              <w:jc w:val="left"/>
              <w:rPr>
                <w:color w:val="auto"/>
                <w:sz w:val="21"/>
                <w:szCs w:val="21"/>
                <w:highlight w:val="none"/>
              </w:rPr>
            </w:pPr>
            <w:r>
              <w:rPr>
                <w:rFonts w:hint="eastAsia"/>
                <w:color w:val="auto"/>
                <w:sz w:val="21"/>
                <w:szCs w:val="21"/>
                <w:highlight w:val="none"/>
                <w:lang w:eastAsia="zh-CN"/>
              </w:rPr>
              <w:t>供应商</w:t>
            </w:r>
            <w:r>
              <w:rPr>
                <w:color w:val="auto"/>
                <w:sz w:val="21"/>
                <w:szCs w:val="21"/>
                <w:highlight w:val="none"/>
              </w:rPr>
              <w:t>取得的CMA资质认定证书覆盖所</w:t>
            </w:r>
            <w:r>
              <w:rPr>
                <w:color w:val="auto"/>
                <w:sz w:val="21"/>
                <w:szCs w:val="21"/>
              </w:rPr>
              <w:t>投</w:t>
            </w:r>
            <w:r>
              <w:rPr>
                <w:rFonts w:hint="eastAsia"/>
                <w:color w:val="auto"/>
                <w:sz w:val="21"/>
                <w:szCs w:val="21"/>
                <w:lang w:val="en-US" w:eastAsia="zh-CN"/>
              </w:rPr>
              <w:t>标项</w:t>
            </w:r>
            <w:r>
              <w:rPr>
                <w:color w:val="auto"/>
                <w:sz w:val="21"/>
                <w:szCs w:val="21"/>
              </w:rPr>
              <w:t>的</w:t>
            </w:r>
            <w:r>
              <w:rPr>
                <w:rFonts w:hint="eastAsia"/>
                <w:color w:val="auto"/>
                <w:sz w:val="21"/>
                <w:szCs w:val="21"/>
                <w:highlight w:val="none"/>
                <w:lang w:val="en-US" w:eastAsia="zh-CN"/>
              </w:rPr>
              <w:t>5</w:t>
            </w:r>
            <w:r>
              <w:rPr>
                <w:color w:val="auto"/>
                <w:sz w:val="21"/>
                <w:szCs w:val="21"/>
                <w:highlight w:val="none"/>
              </w:rPr>
              <w:t>0%以下的</w:t>
            </w:r>
            <w:r>
              <w:rPr>
                <w:rFonts w:hint="eastAsia"/>
                <w:color w:val="auto"/>
                <w:sz w:val="21"/>
                <w:szCs w:val="21"/>
                <w:highlight w:val="none"/>
                <w:lang w:val="en-US" w:eastAsia="zh-CN"/>
              </w:rPr>
              <w:t>检测项目</w:t>
            </w:r>
            <w:r>
              <w:rPr>
                <w:color w:val="auto"/>
                <w:sz w:val="21"/>
                <w:szCs w:val="21"/>
                <w:highlight w:val="none"/>
              </w:rPr>
              <w:t>时，投标将被否决。（检验能力覆盖</w:t>
            </w:r>
            <w:r>
              <w:rPr>
                <w:rFonts w:hint="eastAsia"/>
                <w:color w:val="auto"/>
                <w:sz w:val="21"/>
                <w:szCs w:val="21"/>
                <w:highlight w:val="none"/>
                <w:lang w:val="en-US" w:eastAsia="zh-CN"/>
              </w:rPr>
              <w:t>检测项目</w:t>
            </w:r>
            <w:r>
              <w:rPr>
                <w:color w:val="auto"/>
                <w:sz w:val="21"/>
                <w:szCs w:val="21"/>
                <w:highlight w:val="none"/>
              </w:rPr>
              <w:t>数量/所投标</w:t>
            </w:r>
            <w:r>
              <w:rPr>
                <w:rFonts w:hint="eastAsia"/>
                <w:color w:val="auto"/>
                <w:sz w:val="21"/>
                <w:szCs w:val="21"/>
                <w:highlight w:val="none"/>
                <w:lang w:val="en-US" w:eastAsia="zh-CN"/>
              </w:rPr>
              <w:t>标项检测项目</w:t>
            </w:r>
            <w:r>
              <w:rPr>
                <w:color w:val="auto"/>
                <w:sz w:val="21"/>
                <w:szCs w:val="21"/>
                <w:highlight w:val="none"/>
              </w:rPr>
              <w:t>数量(计算结果四舍五</w:t>
            </w:r>
            <w:r>
              <w:rPr>
                <w:rFonts w:hint="eastAsia"/>
                <w:color w:val="auto"/>
                <w:sz w:val="21"/>
                <w:szCs w:val="21"/>
                <w:highlight w:val="none"/>
              </w:rPr>
              <w:t>入</w:t>
            </w:r>
            <w:r>
              <w:rPr>
                <w:rFonts w:hint="eastAsia"/>
                <w:color w:val="auto"/>
                <w:sz w:val="21"/>
                <w:szCs w:val="21"/>
                <w:highlight w:val="none"/>
                <w:lang w:val="en-US" w:eastAsia="zh-CN"/>
              </w:rPr>
              <w:t>应≥</w:t>
            </w:r>
            <w:r>
              <w:rPr>
                <w:color w:val="auto"/>
                <w:sz w:val="21"/>
                <w:szCs w:val="21"/>
                <w:highlight w:val="none"/>
              </w:rPr>
              <w:t>50%）</w:t>
            </w:r>
          </w:p>
          <w:p w14:paraId="02E10D90">
            <w:pPr>
              <w:pStyle w:val="13"/>
              <w:ind w:left="0" w:leftChars="0" w:firstLine="0" w:firstLineChars="0"/>
              <w:rPr>
                <w:color w:val="auto"/>
                <w:sz w:val="21"/>
                <w:szCs w:val="21"/>
              </w:rPr>
            </w:pPr>
            <w:r>
              <w:rPr>
                <w:rFonts w:hint="eastAsia"/>
                <w:color w:val="auto"/>
                <w:sz w:val="21"/>
                <w:szCs w:val="21"/>
                <w:lang w:val="en-US" w:eastAsia="zh-CN"/>
              </w:rPr>
              <w:t>注：提供所投产品检验能力明细表（格式自拟），明细表中承诺覆盖所投标项的检测项目数量和覆盖率并附CMA证书及相关附表</w:t>
            </w:r>
            <w:r>
              <w:rPr>
                <w:color w:val="auto"/>
                <w:sz w:val="21"/>
                <w:szCs w:val="21"/>
              </w:rPr>
              <w:t>（复印件加盖公章）</w:t>
            </w:r>
            <w:r>
              <w:rPr>
                <w:rFonts w:hint="eastAsia"/>
                <w:color w:val="auto"/>
                <w:sz w:val="21"/>
                <w:szCs w:val="21"/>
                <w:lang w:eastAsia="zh-CN"/>
              </w:rPr>
              <w:t>，</w:t>
            </w:r>
            <w:r>
              <w:rPr>
                <w:rFonts w:hint="eastAsia"/>
                <w:color w:val="auto"/>
                <w:sz w:val="21"/>
                <w:szCs w:val="21"/>
                <w:lang w:val="en-US" w:eastAsia="zh-CN"/>
              </w:rPr>
              <w:t>明细表和证明材料不符的不得分。</w:t>
            </w:r>
          </w:p>
        </w:tc>
      </w:tr>
      <w:tr w14:paraId="0DCC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8" w:hRule="atLeast"/>
          <w:jc w:val="center"/>
        </w:trPr>
        <w:tc>
          <w:tcPr>
            <w:tcW w:w="768" w:type="dxa"/>
            <w:vMerge w:val="continue"/>
            <w:noWrap w:val="0"/>
            <w:tcMar>
              <w:top w:w="0" w:type="dxa"/>
              <w:left w:w="108" w:type="dxa"/>
              <w:bottom w:w="0" w:type="dxa"/>
              <w:right w:w="108" w:type="dxa"/>
            </w:tcMar>
            <w:vAlign w:val="center"/>
          </w:tcPr>
          <w:p w14:paraId="687B6210">
            <w:pPr>
              <w:widowControl/>
              <w:spacing w:line="240" w:lineRule="auto"/>
              <w:jc w:val="center"/>
              <w:rPr>
                <w:color w:val="auto"/>
                <w:sz w:val="21"/>
                <w:szCs w:val="21"/>
              </w:rPr>
            </w:pPr>
          </w:p>
        </w:tc>
        <w:tc>
          <w:tcPr>
            <w:tcW w:w="1459" w:type="dxa"/>
            <w:vMerge w:val="continue"/>
            <w:noWrap w:val="0"/>
            <w:tcMar>
              <w:top w:w="0" w:type="dxa"/>
              <w:left w:w="108" w:type="dxa"/>
              <w:bottom w:w="0" w:type="dxa"/>
              <w:right w:w="108" w:type="dxa"/>
            </w:tcMar>
            <w:vAlign w:val="center"/>
          </w:tcPr>
          <w:p w14:paraId="0D0EDDD7">
            <w:pPr>
              <w:widowControl/>
              <w:spacing w:line="240" w:lineRule="auto"/>
              <w:jc w:val="center"/>
              <w:rPr>
                <w:color w:val="auto"/>
                <w:sz w:val="21"/>
                <w:szCs w:val="21"/>
              </w:rPr>
            </w:pPr>
          </w:p>
        </w:tc>
        <w:tc>
          <w:tcPr>
            <w:tcW w:w="1254" w:type="dxa"/>
            <w:noWrap w:val="0"/>
            <w:tcMar>
              <w:top w:w="0" w:type="dxa"/>
              <w:left w:w="108" w:type="dxa"/>
              <w:bottom w:w="0" w:type="dxa"/>
              <w:right w:w="108" w:type="dxa"/>
            </w:tcMar>
            <w:vAlign w:val="center"/>
          </w:tcPr>
          <w:p w14:paraId="6F6286F0">
            <w:pPr>
              <w:spacing w:line="240" w:lineRule="auto"/>
              <w:jc w:val="center"/>
              <w:rPr>
                <w:color w:val="auto"/>
                <w:sz w:val="21"/>
                <w:szCs w:val="21"/>
              </w:rPr>
            </w:pPr>
            <w:r>
              <w:rPr>
                <w:rFonts w:hint="eastAsia"/>
                <w:color w:val="auto"/>
                <w:sz w:val="21"/>
                <w:szCs w:val="21"/>
                <w:lang w:val="en-US" w:eastAsia="zh-CN"/>
              </w:rPr>
              <w:t>8</w:t>
            </w:r>
            <w:r>
              <w:rPr>
                <w:color w:val="auto"/>
                <w:sz w:val="21"/>
                <w:szCs w:val="21"/>
              </w:rPr>
              <w:t>分</w:t>
            </w:r>
          </w:p>
        </w:tc>
        <w:tc>
          <w:tcPr>
            <w:tcW w:w="6930" w:type="dxa"/>
            <w:noWrap w:val="0"/>
            <w:tcMar>
              <w:top w:w="0" w:type="dxa"/>
              <w:left w:w="108" w:type="dxa"/>
              <w:bottom w:w="0" w:type="dxa"/>
              <w:right w:w="108" w:type="dxa"/>
            </w:tcMar>
            <w:vAlign w:val="center"/>
          </w:tcPr>
          <w:p w14:paraId="63ECE5CC">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取得的CNAS资质认定证书覆盖所投</w:t>
            </w:r>
            <w:r>
              <w:rPr>
                <w:rFonts w:hint="eastAsia"/>
                <w:color w:val="auto"/>
                <w:sz w:val="21"/>
                <w:szCs w:val="21"/>
                <w:lang w:val="en-US" w:eastAsia="zh-CN"/>
              </w:rPr>
              <w:t>标项</w:t>
            </w:r>
            <w:r>
              <w:rPr>
                <w:color w:val="auto"/>
                <w:sz w:val="21"/>
                <w:szCs w:val="21"/>
              </w:rPr>
              <w:t>的100%</w:t>
            </w:r>
            <w:r>
              <w:rPr>
                <w:rFonts w:hint="eastAsia"/>
                <w:color w:val="auto"/>
                <w:sz w:val="21"/>
                <w:szCs w:val="21"/>
                <w:lang w:val="en-US" w:eastAsia="zh-CN"/>
              </w:rPr>
              <w:t>检测项目</w:t>
            </w:r>
            <w:r>
              <w:rPr>
                <w:color w:val="auto"/>
                <w:sz w:val="21"/>
                <w:szCs w:val="21"/>
              </w:rPr>
              <w:t>,得</w:t>
            </w:r>
            <w:r>
              <w:rPr>
                <w:rFonts w:hint="eastAsia"/>
                <w:color w:val="auto"/>
                <w:sz w:val="21"/>
                <w:szCs w:val="21"/>
                <w:lang w:val="en-US" w:eastAsia="zh-CN"/>
              </w:rPr>
              <w:t>8</w:t>
            </w:r>
            <w:r>
              <w:rPr>
                <w:color w:val="auto"/>
                <w:sz w:val="21"/>
                <w:szCs w:val="21"/>
              </w:rPr>
              <w:t>分；</w:t>
            </w:r>
          </w:p>
          <w:p w14:paraId="4AFE2C9F">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取得的CNAS资质认定证书覆盖所投</w:t>
            </w:r>
            <w:r>
              <w:rPr>
                <w:rFonts w:hint="eastAsia"/>
                <w:color w:val="auto"/>
                <w:sz w:val="21"/>
                <w:szCs w:val="21"/>
                <w:lang w:val="en-US" w:eastAsia="zh-CN"/>
              </w:rPr>
              <w:t>标项</w:t>
            </w:r>
            <w:r>
              <w:rPr>
                <w:color w:val="auto"/>
                <w:sz w:val="21"/>
                <w:szCs w:val="21"/>
              </w:rPr>
              <w:t>的90%（含9</w:t>
            </w:r>
            <w:r>
              <w:rPr>
                <w:rFonts w:hint="eastAsia"/>
                <w:color w:val="auto"/>
                <w:sz w:val="21"/>
                <w:szCs w:val="21"/>
                <w:lang w:val="en-US" w:eastAsia="zh-CN"/>
              </w:rPr>
              <w:t>0</w:t>
            </w:r>
            <w:r>
              <w:rPr>
                <w:color w:val="auto"/>
                <w:sz w:val="21"/>
                <w:szCs w:val="21"/>
              </w:rPr>
              <w:t>%）-100%（不包含100%）</w:t>
            </w:r>
            <w:r>
              <w:rPr>
                <w:rFonts w:hint="eastAsia"/>
                <w:color w:val="auto"/>
                <w:sz w:val="21"/>
                <w:szCs w:val="21"/>
                <w:lang w:val="en-US" w:eastAsia="zh-CN"/>
              </w:rPr>
              <w:t>检测项目</w:t>
            </w:r>
            <w:r>
              <w:rPr>
                <w:color w:val="auto"/>
                <w:sz w:val="21"/>
                <w:szCs w:val="21"/>
              </w:rPr>
              <w:t>,得</w:t>
            </w:r>
            <w:r>
              <w:rPr>
                <w:rFonts w:hint="eastAsia"/>
                <w:color w:val="auto"/>
                <w:sz w:val="21"/>
                <w:szCs w:val="21"/>
                <w:lang w:val="en-US" w:eastAsia="zh-CN"/>
              </w:rPr>
              <w:t>6</w:t>
            </w:r>
            <w:r>
              <w:rPr>
                <w:color w:val="auto"/>
                <w:sz w:val="21"/>
                <w:szCs w:val="21"/>
              </w:rPr>
              <w:t>分；</w:t>
            </w:r>
          </w:p>
          <w:p w14:paraId="4763097B">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取得的CNAS资质认定证书覆盖所投</w:t>
            </w:r>
            <w:r>
              <w:rPr>
                <w:rFonts w:hint="eastAsia"/>
                <w:color w:val="auto"/>
                <w:sz w:val="21"/>
                <w:szCs w:val="21"/>
                <w:lang w:val="en-US" w:eastAsia="zh-CN"/>
              </w:rPr>
              <w:t>标项</w:t>
            </w:r>
            <w:r>
              <w:rPr>
                <w:color w:val="auto"/>
                <w:sz w:val="21"/>
                <w:szCs w:val="21"/>
              </w:rPr>
              <w:t>的80%（含80%）-90%（不包含90%）</w:t>
            </w:r>
            <w:r>
              <w:rPr>
                <w:rFonts w:hint="eastAsia"/>
                <w:color w:val="auto"/>
                <w:sz w:val="21"/>
                <w:szCs w:val="21"/>
                <w:lang w:val="en-US" w:eastAsia="zh-CN"/>
              </w:rPr>
              <w:t>检测项目</w:t>
            </w:r>
            <w:r>
              <w:rPr>
                <w:color w:val="auto"/>
                <w:sz w:val="21"/>
                <w:szCs w:val="21"/>
              </w:rPr>
              <w:t>,得</w:t>
            </w:r>
            <w:r>
              <w:rPr>
                <w:rFonts w:hint="eastAsia"/>
                <w:color w:val="auto"/>
                <w:sz w:val="21"/>
                <w:szCs w:val="21"/>
                <w:lang w:val="en-US" w:eastAsia="zh-CN"/>
              </w:rPr>
              <w:t>4</w:t>
            </w:r>
            <w:r>
              <w:rPr>
                <w:color w:val="auto"/>
                <w:sz w:val="21"/>
                <w:szCs w:val="21"/>
              </w:rPr>
              <w:t>分；</w:t>
            </w:r>
          </w:p>
          <w:p w14:paraId="4F0A39FA">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取得的CNAS资质认定证书覆盖所投</w:t>
            </w:r>
            <w:r>
              <w:rPr>
                <w:rFonts w:hint="eastAsia"/>
                <w:color w:val="auto"/>
                <w:sz w:val="21"/>
                <w:szCs w:val="21"/>
                <w:lang w:val="en-US" w:eastAsia="zh-CN"/>
              </w:rPr>
              <w:t>标项</w:t>
            </w:r>
            <w:r>
              <w:rPr>
                <w:color w:val="auto"/>
                <w:sz w:val="21"/>
                <w:szCs w:val="21"/>
              </w:rPr>
              <w:t>的60%（含60%）-80%（不包含80%）</w:t>
            </w:r>
            <w:r>
              <w:rPr>
                <w:rFonts w:hint="eastAsia"/>
                <w:color w:val="auto"/>
                <w:sz w:val="21"/>
                <w:szCs w:val="21"/>
                <w:lang w:val="en-US" w:eastAsia="zh-CN"/>
              </w:rPr>
              <w:t>检测项目</w:t>
            </w:r>
            <w:r>
              <w:rPr>
                <w:color w:val="auto"/>
                <w:sz w:val="21"/>
                <w:szCs w:val="21"/>
              </w:rPr>
              <w:t>,得</w:t>
            </w:r>
            <w:r>
              <w:rPr>
                <w:rFonts w:hint="eastAsia"/>
                <w:color w:val="auto"/>
                <w:sz w:val="21"/>
                <w:szCs w:val="21"/>
                <w:lang w:val="en-US" w:eastAsia="zh-CN"/>
              </w:rPr>
              <w:t>1</w:t>
            </w:r>
            <w:r>
              <w:rPr>
                <w:color w:val="auto"/>
                <w:sz w:val="21"/>
                <w:szCs w:val="21"/>
              </w:rPr>
              <w:t>分；</w:t>
            </w:r>
          </w:p>
          <w:p w14:paraId="7303FF47">
            <w:pPr>
              <w:spacing w:line="240" w:lineRule="auto"/>
              <w:jc w:val="left"/>
              <w:rPr>
                <w:color w:val="auto"/>
                <w:sz w:val="21"/>
                <w:szCs w:val="21"/>
              </w:rPr>
            </w:pPr>
            <w:r>
              <w:rPr>
                <w:rFonts w:hint="eastAsia"/>
                <w:color w:val="auto"/>
                <w:sz w:val="21"/>
                <w:szCs w:val="21"/>
                <w:lang w:eastAsia="zh-CN"/>
              </w:rPr>
              <w:t>供应商</w:t>
            </w:r>
            <w:r>
              <w:rPr>
                <w:color w:val="auto"/>
                <w:sz w:val="21"/>
                <w:szCs w:val="21"/>
              </w:rPr>
              <w:t>取得的CNAS资质认定证书覆盖所投</w:t>
            </w:r>
            <w:r>
              <w:rPr>
                <w:rFonts w:hint="eastAsia"/>
                <w:color w:val="auto"/>
                <w:sz w:val="21"/>
                <w:szCs w:val="21"/>
                <w:lang w:val="en-US" w:eastAsia="zh-CN"/>
              </w:rPr>
              <w:t>标项</w:t>
            </w:r>
            <w:r>
              <w:rPr>
                <w:color w:val="auto"/>
                <w:sz w:val="21"/>
                <w:szCs w:val="21"/>
              </w:rPr>
              <w:t>的60%（不含60%）以下</w:t>
            </w:r>
            <w:r>
              <w:rPr>
                <w:rFonts w:hint="eastAsia"/>
                <w:color w:val="auto"/>
                <w:sz w:val="21"/>
                <w:szCs w:val="21"/>
                <w:lang w:val="en-US" w:eastAsia="zh-CN"/>
              </w:rPr>
              <w:t>检测项目</w:t>
            </w:r>
            <w:r>
              <w:rPr>
                <w:color w:val="auto"/>
                <w:sz w:val="21"/>
                <w:szCs w:val="21"/>
              </w:rPr>
              <w:t>不得分。</w:t>
            </w:r>
          </w:p>
          <w:p w14:paraId="7FDB4CB8">
            <w:pPr>
              <w:spacing w:line="240" w:lineRule="auto"/>
              <w:jc w:val="left"/>
              <w:rPr>
                <w:color w:val="auto"/>
                <w:sz w:val="21"/>
                <w:szCs w:val="21"/>
              </w:rPr>
            </w:pPr>
            <w:r>
              <w:rPr>
                <w:rFonts w:hint="eastAsia"/>
                <w:color w:val="auto"/>
                <w:sz w:val="21"/>
                <w:szCs w:val="21"/>
                <w:lang w:val="en-US" w:eastAsia="zh-CN"/>
              </w:rPr>
              <w:t>注：提供所投产品检验能力明细表（格式自拟），明细表中承诺覆盖所投标项的检测项目和覆盖率并附CNAS证书及相关附表</w:t>
            </w:r>
            <w:r>
              <w:rPr>
                <w:color w:val="auto"/>
                <w:sz w:val="21"/>
                <w:szCs w:val="21"/>
              </w:rPr>
              <w:t>（复印件加盖公章）</w:t>
            </w:r>
            <w:r>
              <w:rPr>
                <w:rFonts w:hint="eastAsia"/>
                <w:color w:val="auto"/>
                <w:sz w:val="21"/>
                <w:szCs w:val="21"/>
                <w:lang w:eastAsia="zh-CN"/>
              </w:rPr>
              <w:t>，</w:t>
            </w:r>
            <w:r>
              <w:rPr>
                <w:rFonts w:hint="eastAsia"/>
                <w:color w:val="auto"/>
                <w:sz w:val="21"/>
                <w:szCs w:val="21"/>
                <w:lang w:val="en-US" w:eastAsia="zh-CN"/>
              </w:rPr>
              <w:t>明细表和证明材料不符的不得分。</w:t>
            </w:r>
          </w:p>
        </w:tc>
      </w:tr>
      <w:tr w14:paraId="1243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768" w:type="dxa"/>
            <w:noWrap w:val="0"/>
            <w:tcMar>
              <w:top w:w="0" w:type="dxa"/>
              <w:left w:w="108" w:type="dxa"/>
              <w:bottom w:w="0" w:type="dxa"/>
              <w:right w:w="108" w:type="dxa"/>
            </w:tcMar>
            <w:vAlign w:val="center"/>
          </w:tcPr>
          <w:p w14:paraId="4D42FDF1">
            <w:pPr>
              <w:widowControl/>
              <w:spacing w:line="240" w:lineRule="auto"/>
              <w:jc w:val="center"/>
              <w:rPr>
                <w:color w:val="auto"/>
                <w:sz w:val="21"/>
                <w:szCs w:val="21"/>
              </w:rPr>
            </w:pPr>
            <w:r>
              <w:rPr>
                <w:color w:val="auto"/>
                <w:sz w:val="21"/>
                <w:szCs w:val="21"/>
              </w:rPr>
              <w:t>4</w:t>
            </w:r>
          </w:p>
        </w:tc>
        <w:tc>
          <w:tcPr>
            <w:tcW w:w="1459" w:type="dxa"/>
            <w:noWrap w:val="0"/>
            <w:tcMar>
              <w:top w:w="0" w:type="dxa"/>
              <w:left w:w="108" w:type="dxa"/>
              <w:bottom w:w="0" w:type="dxa"/>
              <w:right w:w="108" w:type="dxa"/>
            </w:tcMar>
            <w:vAlign w:val="center"/>
          </w:tcPr>
          <w:p w14:paraId="528D9212">
            <w:pPr>
              <w:snapToGrid w:val="0"/>
              <w:spacing w:line="240" w:lineRule="auto"/>
              <w:rPr>
                <w:color w:val="auto"/>
                <w:sz w:val="21"/>
                <w:szCs w:val="21"/>
              </w:rPr>
            </w:pPr>
            <w:r>
              <w:rPr>
                <w:color w:val="auto"/>
                <w:sz w:val="21"/>
                <w:szCs w:val="21"/>
                <w:lang w:val="zh-CN"/>
              </w:rPr>
              <w:t>售后服务因素</w:t>
            </w:r>
            <w:r>
              <w:rPr>
                <w:color w:val="auto"/>
                <w:sz w:val="21"/>
                <w:szCs w:val="21"/>
              </w:rPr>
              <w:t>分（</w:t>
            </w:r>
            <w:r>
              <w:rPr>
                <w:rFonts w:hint="eastAsia"/>
                <w:color w:val="auto"/>
                <w:sz w:val="21"/>
                <w:szCs w:val="21"/>
                <w:lang w:val="en-US" w:eastAsia="zh-CN"/>
              </w:rPr>
              <w:t>5</w:t>
            </w:r>
            <w:r>
              <w:rPr>
                <w:color w:val="auto"/>
                <w:sz w:val="21"/>
                <w:szCs w:val="21"/>
              </w:rPr>
              <w:t>分）</w:t>
            </w:r>
          </w:p>
        </w:tc>
        <w:tc>
          <w:tcPr>
            <w:tcW w:w="1254" w:type="dxa"/>
            <w:noWrap w:val="0"/>
            <w:tcMar>
              <w:top w:w="0" w:type="dxa"/>
              <w:left w:w="108" w:type="dxa"/>
              <w:bottom w:w="0" w:type="dxa"/>
              <w:right w:w="108" w:type="dxa"/>
            </w:tcMar>
            <w:vAlign w:val="center"/>
          </w:tcPr>
          <w:p w14:paraId="7A7D06B4">
            <w:pPr>
              <w:spacing w:line="240" w:lineRule="auto"/>
              <w:jc w:val="center"/>
              <w:rPr>
                <w:color w:val="auto"/>
                <w:sz w:val="21"/>
                <w:szCs w:val="21"/>
              </w:rPr>
            </w:pPr>
            <w:r>
              <w:rPr>
                <w:rFonts w:hint="eastAsia"/>
                <w:color w:val="auto"/>
                <w:sz w:val="21"/>
                <w:szCs w:val="21"/>
                <w:lang w:val="en-US" w:eastAsia="zh-CN"/>
              </w:rPr>
              <w:t>5</w:t>
            </w:r>
            <w:r>
              <w:rPr>
                <w:color w:val="auto"/>
                <w:sz w:val="21"/>
                <w:szCs w:val="21"/>
              </w:rPr>
              <w:t>分</w:t>
            </w:r>
          </w:p>
        </w:tc>
        <w:tc>
          <w:tcPr>
            <w:tcW w:w="6930" w:type="dxa"/>
            <w:noWrap w:val="0"/>
            <w:tcMar>
              <w:top w:w="0" w:type="dxa"/>
              <w:left w:w="108" w:type="dxa"/>
              <w:bottom w:w="0" w:type="dxa"/>
              <w:right w:w="108" w:type="dxa"/>
            </w:tcMar>
            <w:vAlign w:val="center"/>
          </w:tcPr>
          <w:p w14:paraId="5A7B786D">
            <w:pPr>
              <w:spacing w:line="240" w:lineRule="auto"/>
              <w:jc w:val="left"/>
              <w:rPr>
                <w:rFonts w:hint="default"/>
                <w:color w:val="auto"/>
                <w:sz w:val="21"/>
                <w:szCs w:val="21"/>
                <w:lang w:val="en-US"/>
              </w:rPr>
            </w:pPr>
            <w:r>
              <w:rPr>
                <w:rFonts w:hint="eastAsia"/>
                <w:color w:val="auto"/>
                <w:sz w:val="21"/>
                <w:szCs w:val="21"/>
                <w:lang w:eastAsia="zh-CN"/>
              </w:rPr>
              <w:t>供应商</w:t>
            </w:r>
            <w:r>
              <w:rPr>
                <w:color w:val="auto"/>
                <w:sz w:val="21"/>
                <w:szCs w:val="21"/>
              </w:rPr>
              <w:t>根据采购</w:t>
            </w:r>
            <w:r>
              <w:rPr>
                <w:rFonts w:hint="eastAsia"/>
                <w:color w:val="auto"/>
                <w:sz w:val="21"/>
                <w:szCs w:val="21"/>
                <w:lang w:val="en-US" w:eastAsia="zh-CN"/>
              </w:rPr>
              <w:t>人</w:t>
            </w:r>
            <w:r>
              <w:rPr>
                <w:color w:val="auto"/>
                <w:sz w:val="21"/>
                <w:szCs w:val="21"/>
              </w:rPr>
              <w:t>的需求提供</w:t>
            </w:r>
            <w:r>
              <w:rPr>
                <w:rFonts w:hint="eastAsia"/>
                <w:color w:val="auto"/>
                <w:sz w:val="21"/>
                <w:szCs w:val="21"/>
                <w:lang w:val="en-US" w:eastAsia="zh-CN"/>
              </w:rPr>
              <w:t>实质性增值服务并提供具体服务措施，优5分，良3分，一般1分，没有不得分。</w:t>
            </w:r>
          </w:p>
          <w:p w14:paraId="1A2CF799">
            <w:pPr>
              <w:spacing w:line="240" w:lineRule="auto"/>
              <w:rPr>
                <w:color w:val="auto"/>
                <w:sz w:val="21"/>
                <w:szCs w:val="21"/>
              </w:rPr>
            </w:pPr>
            <w:r>
              <w:rPr>
                <w:color w:val="auto"/>
                <w:sz w:val="21"/>
                <w:szCs w:val="21"/>
              </w:rPr>
              <w:t>注：</w:t>
            </w:r>
            <w:r>
              <w:rPr>
                <w:rFonts w:hint="eastAsia"/>
                <w:color w:val="auto"/>
                <w:sz w:val="21"/>
                <w:szCs w:val="21"/>
                <w:lang w:eastAsia="zh-CN"/>
              </w:rPr>
              <w:t>响应文件</w:t>
            </w:r>
            <w:r>
              <w:rPr>
                <w:color w:val="auto"/>
                <w:sz w:val="21"/>
                <w:szCs w:val="21"/>
              </w:rPr>
              <w:t>内提供承诺书加盖单位公章。</w:t>
            </w:r>
          </w:p>
        </w:tc>
      </w:tr>
    </w:tbl>
    <w:p w14:paraId="466ED684">
      <w:pPr>
        <w:pStyle w:val="25"/>
        <w:widowControl w:val="0"/>
        <w:spacing w:beforeAutospacing="0" w:afterAutospacing="0" w:line="360" w:lineRule="auto"/>
        <w:ind w:firstLine="241" w:firstLineChars="100"/>
        <w:jc w:val="both"/>
        <w:rPr>
          <w:b/>
          <w:bCs/>
          <w:color w:val="auto"/>
          <w:kern w:val="2"/>
          <w:highlight w:val="none"/>
        </w:rPr>
      </w:pPr>
      <w:r>
        <w:rPr>
          <w:rFonts w:hint="eastAsia"/>
          <w:b/>
          <w:bCs/>
          <w:color w:val="auto"/>
          <w:kern w:val="2"/>
          <w:highlight w:val="none"/>
        </w:rPr>
        <w:t>1.4编写评标报告，授权磋商小组</w:t>
      </w:r>
      <w:r>
        <w:rPr>
          <w:rFonts w:hint="eastAsia"/>
          <w:b/>
          <w:bCs/>
          <w:color w:val="auto"/>
          <w:kern w:val="2"/>
          <w:highlight w:val="none"/>
          <w:lang w:val="en-US" w:eastAsia="zh-CN"/>
        </w:rPr>
        <w:t>推荐三名中标候选人</w:t>
      </w:r>
      <w:r>
        <w:rPr>
          <w:rFonts w:hint="eastAsia"/>
          <w:b/>
          <w:bCs/>
          <w:color w:val="auto"/>
          <w:kern w:val="2"/>
          <w:highlight w:val="none"/>
        </w:rPr>
        <w:t>确定综合得分排名第一的</w:t>
      </w:r>
      <w:r>
        <w:rPr>
          <w:rFonts w:hint="eastAsia"/>
          <w:b/>
          <w:bCs/>
          <w:color w:val="auto"/>
          <w:kern w:val="2"/>
          <w:highlight w:val="none"/>
          <w:lang w:val="en-US" w:eastAsia="zh-CN"/>
        </w:rPr>
        <w:t>中标候选人</w:t>
      </w:r>
      <w:r>
        <w:rPr>
          <w:rFonts w:hint="eastAsia"/>
          <w:b/>
          <w:bCs/>
          <w:color w:val="auto"/>
          <w:kern w:val="2"/>
          <w:highlight w:val="none"/>
        </w:rPr>
        <w:t>为成交供应商。</w:t>
      </w:r>
    </w:p>
    <w:p w14:paraId="7F981AC8">
      <w:pPr>
        <w:rPr>
          <w:rFonts w:ascii="宋体" w:hAnsi="宋体" w:cs="宋体"/>
          <w:color w:val="auto"/>
          <w:sz w:val="24"/>
          <w:highlight w:val="none"/>
        </w:rPr>
      </w:pPr>
      <w:r>
        <w:rPr>
          <w:rFonts w:hint="eastAsia" w:ascii="宋体" w:hAnsi="宋体" w:cs="宋体"/>
          <w:color w:val="auto"/>
          <w:sz w:val="24"/>
          <w:highlight w:val="none"/>
        </w:rPr>
        <w:br w:type="page"/>
      </w:r>
    </w:p>
    <w:p w14:paraId="0625A584">
      <w:pPr>
        <w:pStyle w:val="4"/>
        <w:numPr>
          <w:ilvl w:val="0"/>
          <w:numId w:val="5"/>
        </w:numPr>
        <w:spacing w:line="360" w:lineRule="auto"/>
        <w:jc w:val="center"/>
        <w:rPr>
          <w:rFonts w:hint="eastAsia" w:ascii="宋体" w:hAnsi="宋体" w:eastAsia="宋体" w:cs="宋体"/>
          <w:b/>
          <w:bCs w:val="0"/>
          <w:color w:val="auto"/>
          <w:kern w:val="44"/>
          <w:sz w:val="44"/>
          <w:szCs w:val="24"/>
          <w:highlight w:val="none"/>
          <w:lang w:val="en-US" w:eastAsia="zh-CN" w:bidi="ar-SA"/>
        </w:rPr>
      </w:pPr>
      <w:bookmarkStart w:id="57" w:name="_Toc28173"/>
      <w:bookmarkStart w:id="58" w:name="_Toc4302"/>
      <w:bookmarkStart w:id="59" w:name="_Toc1684"/>
      <w:bookmarkStart w:id="60" w:name="_Toc25668"/>
      <w:bookmarkStart w:id="61" w:name="_Toc15349"/>
      <w:bookmarkStart w:id="62" w:name="_Toc6167"/>
      <w:bookmarkStart w:id="63" w:name="_Toc8439"/>
      <w:bookmarkStart w:id="64" w:name="_Toc12680"/>
      <w:r>
        <w:rPr>
          <w:rFonts w:hint="eastAsia" w:ascii="宋体" w:hAnsi="宋体" w:eastAsia="宋体" w:cs="宋体"/>
          <w:b/>
          <w:bCs w:val="0"/>
          <w:color w:val="auto"/>
          <w:kern w:val="44"/>
          <w:sz w:val="44"/>
          <w:szCs w:val="24"/>
          <w:highlight w:val="none"/>
          <w:lang w:val="en-US" w:eastAsia="zh-CN" w:bidi="ar-SA"/>
        </w:rPr>
        <w:t>采购合同条款及格式</w:t>
      </w:r>
      <w:bookmarkEnd w:id="57"/>
    </w:p>
    <w:p w14:paraId="6A39817F">
      <w:pPr>
        <w:pStyle w:val="25"/>
        <w:widowControl/>
        <w:spacing w:before="240" w:after="60"/>
        <w:jc w:val="center"/>
        <w:outlineLvl w:val="0"/>
        <w:rPr>
          <w:rFonts w:ascii="宋体" w:hAnsi="宋体" w:cs="宋体"/>
          <w:b/>
          <w:bCs/>
          <w:kern w:val="44"/>
          <w:sz w:val="21"/>
          <w:szCs w:val="21"/>
          <w:highlight w:val="none"/>
        </w:rPr>
      </w:pPr>
      <w:r>
        <w:rPr>
          <w:rFonts w:hint="eastAsia" w:ascii="宋体" w:hAnsi="宋体" w:cs="宋体"/>
          <w:sz w:val="21"/>
          <w:szCs w:val="21"/>
          <w:highlight w:val="none"/>
          <w:lang w:bidi="ar"/>
        </w:rPr>
        <w:t>采购合同条款及格式</w:t>
      </w:r>
    </w:p>
    <w:p w14:paraId="7B21DEF4">
      <w:pPr>
        <w:ind w:firstLine="420" w:firstLineChars="200"/>
        <w:rPr>
          <w:rFonts w:ascii="宋体" w:hAnsi="宋体" w:cs="宋体"/>
          <w:szCs w:val="21"/>
          <w:highlight w:val="none"/>
        </w:rPr>
      </w:pPr>
      <w:r>
        <w:rPr>
          <w:rFonts w:hint="eastAsia" w:ascii="宋体" w:hAnsi="宋体" w:cs="宋体"/>
          <w:szCs w:val="21"/>
          <w:highlight w:val="none"/>
          <w:lang w:bidi="ar"/>
        </w:rPr>
        <w:t>合同编号：</w:t>
      </w:r>
    </w:p>
    <w:p w14:paraId="201AA89F">
      <w:pPr>
        <w:ind w:firstLine="420" w:firstLineChars="200"/>
        <w:rPr>
          <w:rFonts w:ascii="宋体" w:hAnsi="宋体" w:cs="宋体"/>
          <w:szCs w:val="21"/>
          <w:highlight w:val="none"/>
        </w:rPr>
      </w:pPr>
      <w:r>
        <w:rPr>
          <w:rFonts w:hint="eastAsia" w:ascii="宋体" w:hAnsi="宋体" w:cs="宋体"/>
          <w:szCs w:val="21"/>
          <w:highlight w:val="none"/>
          <w:lang w:bidi="ar"/>
        </w:rPr>
        <w:t xml:space="preserve">签订地点： </w:t>
      </w:r>
    </w:p>
    <w:p w14:paraId="17D14967">
      <w:pPr>
        <w:ind w:firstLine="420" w:firstLineChars="200"/>
        <w:rPr>
          <w:rFonts w:ascii="宋体" w:hAnsi="宋体" w:cs="宋体"/>
          <w:szCs w:val="21"/>
          <w:highlight w:val="none"/>
        </w:rPr>
      </w:pPr>
      <w:r>
        <w:rPr>
          <w:rFonts w:hint="eastAsia" w:ascii="宋体" w:hAnsi="宋体" w:cs="宋体"/>
          <w:szCs w:val="21"/>
          <w:highlight w:val="none"/>
          <w:lang w:bidi="ar"/>
        </w:rPr>
        <w:t>签订日期：</w:t>
      </w:r>
    </w:p>
    <w:p w14:paraId="583A78B4">
      <w:pPr>
        <w:ind w:firstLine="420" w:firstLineChars="200"/>
        <w:rPr>
          <w:rFonts w:ascii="宋体" w:hAnsi="宋体" w:cs="宋体"/>
          <w:szCs w:val="21"/>
          <w:highlight w:val="none"/>
        </w:rPr>
      </w:pPr>
      <w:r>
        <w:rPr>
          <w:rFonts w:hint="eastAsia" w:ascii="宋体" w:hAnsi="宋体" w:cs="宋体"/>
          <w:szCs w:val="21"/>
          <w:highlight w:val="none"/>
          <w:lang w:bidi="ar"/>
        </w:rPr>
        <w:t>采购任务编号：</w:t>
      </w:r>
    </w:p>
    <w:p w14:paraId="40109C30">
      <w:pPr>
        <w:ind w:firstLine="420" w:firstLineChars="200"/>
        <w:rPr>
          <w:rFonts w:ascii="宋体" w:hAnsi="宋体" w:cs="宋体"/>
          <w:szCs w:val="21"/>
          <w:highlight w:val="none"/>
        </w:rPr>
      </w:pP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（需方）需求的“</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 xml:space="preserve">（项目名称）经        以编号为 </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的</w:t>
      </w:r>
      <w:r>
        <w:rPr>
          <w:rFonts w:hint="eastAsia" w:ascii="宋体" w:hAnsi="宋体" w:cs="宋体"/>
          <w:szCs w:val="21"/>
          <w:highlight w:val="none"/>
          <w:lang w:val="en-US" w:eastAsia="zh-CN" w:bidi="ar"/>
        </w:rPr>
        <w:t>竞争性磋商文件</w:t>
      </w:r>
      <w:r>
        <w:rPr>
          <w:rFonts w:hint="eastAsia" w:ascii="宋体" w:hAnsi="宋体" w:cs="宋体"/>
          <w:szCs w:val="21"/>
          <w:highlight w:val="none"/>
          <w:lang w:bidi="ar"/>
        </w:rPr>
        <w:t>在国内</w:t>
      </w:r>
      <w:r>
        <w:rPr>
          <w:rFonts w:hint="eastAsia" w:ascii="宋体" w:hAnsi="宋体" w:cs="宋体"/>
          <w:szCs w:val="21"/>
          <w:highlight w:val="none"/>
          <w:lang w:val="en-US" w:eastAsia="zh-CN" w:bidi="ar"/>
        </w:rPr>
        <w:t>进行竞争性磋商</w:t>
      </w:r>
      <w:r>
        <w:rPr>
          <w:rFonts w:hint="eastAsia" w:ascii="宋体" w:hAnsi="宋体" w:cs="宋体"/>
          <w:szCs w:val="21"/>
          <w:highlight w:val="none"/>
          <w:lang w:bidi="ar"/>
        </w:rPr>
        <w:t>，经</w:t>
      </w:r>
      <w:r>
        <w:rPr>
          <w:rFonts w:hint="eastAsia" w:ascii="宋体" w:hAnsi="宋体" w:cs="宋体"/>
          <w:szCs w:val="21"/>
          <w:highlight w:val="none"/>
          <w:lang w:eastAsia="zh-CN" w:bidi="ar"/>
        </w:rPr>
        <w:t>磋商小组</w:t>
      </w:r>
      <w:r>
        <w:rPr>
          <w:rFonts w:hint="eastAsia" w:ascii="宋体" w:hAnsi="宋体" w:cs="宋体"/>
          <w:szCs w:val="21"/>
          <w:highlight w:val="none"/>
          <w:lang w:bidi="ar"/>
        </w:rPr>
        <w:t>评定</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（供方）（包号）为</w:t>
      </w:r>
      <w:r>
        <w:rPr>
          <w:rFonts w:hint="eastAsia" w:ascii="宋体" w:hAnsi="宋体" w:cs="宋体"/>
          <w:szCs w:val="21"/>
          <w:highlight w:val="none"/>
          <w:lang w:val="en-US" w:eastAsia="zh-CN" w:bidi="ar"/>
        </w:rPr>
        <w:t>成交供应商</w:t>
      </w:r>
      <w:r>
        <w:rPr>
          <w:rFonts w:hint="eastAsia" w:ascii="宋体" w:hAnsi="宋体" w:cs="宋体"/>
          <w:szCs w:val="21"/>
          <w:highlight w:val="none"/>
          <w:lang w:bidi="ar"/>
        </w:rPr>
        <w:t>。供需双方按照《中华人民共和国</w:t>
      </w:r>
      <w:r>
        <w:rPr>
          <w:rFonts w:hint="eastAsia" w:ascii="宋体" w:hAnsi="宋体" w:cs="宋体"/>
          <w:szCs w:val="21"/>
          <w:highlight w:val="none"/>
          <w:lang w:val="en-US" w:eastAsia="zh-CN" w:bidi="ar"/>
        </w:rPr>
        <w:t>民法典</w:t>
      </w:r>
      <w:r>
        <w:rPr>
          <w:rFonts w:hint="eastAsia" w:ascii="宋体" w:hAnsi="宋体" w:cs="宋体"/>
          <w:szCs w:val="21"/>
          <w:highlight w:val="none"/>
          <w:lang w:bidi="ar"/>
        </w:rPr>
        <w:t>》和有关法律法规，遵循平等、自愿、公平和诚实信用原则，同意按照下面的条款和条件订立本合同，共同信守。</w:t>
      </w:r>
    </w:p>
    <w:p w14:paraId="43EAFA33">
      <w:pPr>
        <w:ind w:firstLine="422" w:firstLineChars="200"/>
        <w:rPr>
          <w:rFonts w:ascii="宋体" w:hAnsi="宋体" w:cs="宋体"/>
          <w:b/>
          <w:bCs/>
          <w:szCs w:val="21"/>
          <w:highlight w:val="none"/>
        </w:rPr>
      </w:pPr>
      <w:r>
        <w:rPr>
          <w:rFonts w:hint="eastAsia" w:ascii="宋体" w:hAnsi="宋体" w:cs="宋体"/>
          <w:b/>
          <w:bCs/>
          <w:szCs w:val="21"/>
          <w:highlight w:val="none"/>
          <w:lang w:bidi="ar"/>
        </w:rPr>
        <w:t>一、服务项目名称</w:t>
      </w:r>
    </w:p>
    <w:p w14:paraId="6700C873">
      <w:pPr>
        <w:ind w:firstLine="422" w:firstLineChars="200"/>
        <w:rPr>
          <w:rFonts w:ascii="宋体" w:hAnsi="宋体" w:cs="宋体"/>
          <w:b/>
          <w:bCs/>
          <w:szCs w:val="21"/>
          <w:highlight w:val="none"/>
        </w:rPr>
      </w:pPr>
      <w:r>
        <w:rPr>
          <w:rFonts w:hint="eastAsia" w:ascii="宋体" w:hAnsi="宋体" w:cs="宋体"/>
          <w:b/>
          <w:bCs/>
          <w:szCs w:val="21"/>
          <w:highlight w:val="none"/>
          <w:lang w:bidi="ar"/>
        </w:rPr>
        <w:t>二、合同价款</w:t>
      </w:r>
    </w:p>
    <w:p w14:paraId="73A5F731">
      <w:pPr>
        <w:ind w:firstLine="480"/>
        <w:rPr>
          <w:rFonts w:hint="eastAsia" w:ascii="宋体" w:hAnsi="宋体" w:cs="宋体"/>
          <w:szCs w:val="21"/>
          <w:highlight w:val="none"/>
          <w:lang w:bidi="ar"/>
        </w:rPr>
      </w:pPr>
      <w:r>
        <w:rPr>
          <w:rFonts w:hint="eastAsia" w:ascii="宋体" w:hAnsi="宋体" w:cs="宋体"/>
          <w:szCs w:val="21"/>
          <w:highlight w:val="none"/>
          <w:lang w:bidi="ar"/>
        </w:rPr>
        <w:t>2.1合同总价：人民币（大写）              元，（小写）            元。</w:t>
      </w:r>
    </w:p>
    <w:p w14:paraId="72519D80">
      <w:pPr>
        <w:pStyle w:val="5"/>
        <w:ind w:firstLine="420" w:firstLineChars="200"/>
        <w:rPr>
          <w:rFonts w:hint="default" w:ascii="宋体" w:hAnsi="宋体" w:eastAsia="宋体" w:cs="宋体"/>
          <w:b w:val="0"/>
          <w:bCs w:val="0"/>
          <w:kern w:val="2"/>
          <w:sz w:val="21"/>
          <w:szCs w:val="21"/>
          <w:highlight w:val="none"/>
          <w:lang w:val="en-US" w:eastAsia="zh-CN" w:bidi="ar"/>
        </w:rPr>
      </w:pPr>
      <w:r>
        <w:rPr>
          <w:rFonts w:hint="eastAsia" w:ascii="宋体" w:hAnsi="宋体" w:eastAsia="宋体" w:cs="宋体"/>
          <w:b w:val="0"/>
          <w:bCs w:val="0"/>
          <w:kern w:val="2"/>
          <w:sz w:val="21"/>
          <w:szCs w:val="21"/>
          <w:highlight w:val="none"/>
          <w:lang w:val="en-US" w:eastAsia="zh-CN" w:bidi="ar"/>
        </w:rPr>
        <w:t>2.2合同类型：固定总价合同，供应商的报价应当包含为完成本项目全部工作所需的一切费用，包括成本、利润、税金等。</w:t>
      </w:r>
    </w:p>
    <w:p w14:paraId="07B821C8">
      <w:pPr>
        <w:ind w:firstLine="422" w:firstLineChars="200"/>
        <w:rPr>
          <w:rFonts w:ascii="宋体" w:hAnsi="宋体" w:cs="宋体"/>
          <w:b/>
          <w:bCs/>
          <w:szCs w:val="21"/>
          <w:highlight w:val="none"/>
        </w:rPr>
      </w:pPr>
      <w:r>
        <w:rPr>
          <w:rFonts w:hint="eastAsia" w:ascii="宋体" w:hAnsi="宋体" w:cs="宋体"/>
          <w:b/>
          <w:bCs/>
          <w:szCs w:val="21"/>
          <w:highlight w:val="none"/>
          <w:lang w:bidi="ar"/>
        </w:rPr>
        <w:t>三、服务地点及合同履行期限：</w:t>
      </w:r>
    </w:p>
    <w:p w14:paraId="2F09C2E9">
      <w:pPr>
        <w:ind w:firstLine="420" w:firstLineChars="200"/>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lang w:bidi="ar"/>
        </w:rPr>
        <w:t>3.1项目地点：</w:t>
      </w:r>
      <w:r>
        <w:rPr>
          <w:rFonts w:hint="eastAsia" w:ascii="宋体" w:hAnsi="宋体" w:cs="宋体"/>
          <w:b w:val="0"/>
          <w:bCs w:val="0"/>
          <w:szCs w:val="21"/>
          <w:highlight w:val="none"/>
          <w:lang w:val="en-US" w:eastAsia="zh-CN" w:bidi="ar"/>
        </w:rPr>
        <w:t>采购人指定地点</w:t>
      </w:r>
      <w:r>
        <w:rPr>
          <w:rFonts w:hint="eastAsia" w:ascii="宋体" w:hAnsi="宋体" w:cs="宋体"/>
          <w:b w:val="0"/>
          <w:bCs w:val="0"/>
          <w:szCs w:val="21"/>
          <w:highlight w:val="none"/>
          <w:lang w:eastAsia="zh-CN" w:bidi="ar"/>
        </w:rPr>
        <w:t>；</w:t>
      </w:r>
    </w:p>
    <w:p w14:paraId="21FC72B3">
      <w:pPr>
        <w:widowControl/>
        <w:jc w:val="left"/>
        <w:textAlignment w:val="top"/>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lang w:bidi="ar"/>
        </w:rPr>
        <w:t xml:space="preserve">    3.2合同履行期限：</w:t>
      </w:r>
      <w:r>
        <w:rPr>
          <w:rFonts w:hint="eastAsia"/>
          <w:lang w:val="en-US" w:eastAsia="zh-CN"/>
        </w:rPr>
        <w:t>合同签订后至2025年12月31日</w:t>
      </w:r>
      <w:r>
        <w:rPr>
          <w:rFonts w:hint="eastAsia" w:ascii="宋体" w:hAnsi="宋体" w:cs="宋体"/>
          <w:b w:val="0"/>
          <w:bCs w:val="0"/>
          <w:szCs w:val="21"/>
          <w:highlight w:val="none"/>
          <w:lang w:bidi="ar"/>
        </w:rPr>
        <w:t>；</w:t>
      </w:r>
    </w:p>
    <w:p w14:paraId="5B1A5366">
      <w:pPr>
        <w:ind w:firstLine="422" w:firstLineChars="200"/>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bidi="ar"/>
        </w:rPr>
        <w:t>四、</w:t>
      </w:r>
      <w:r>
        <w:rPr>
          <w:rFonts w:hint="eastAsia" w:ascii="宋体" w:hAnsi="宋体" w:cs="宋体"/>
          <w:b/>
          <w:bCs/>
          <w:szCs w:val="21"/>
          <w:highlight w:val="none"/>
          <w:lang w:bidi="ar"/>
        </w:rPr>
        <w:t>付款</w:t>
      </w:r>
      <w:r>
        <w:rPr>
          <w:rFonts w:hint="eastAsia" w:ascii="宋体" w:hAnsi="宋体" w:cs="宋体"/>
          <w:b/>
          <w:bCs/>
          <w:szCs w:val="21"/>
          <w:highlight w:val="none"/>
          <w:lang w:val="en-US" w:eastAsia="zh-CN" w:bidi="ar"/>
        </w:rPr>
        <w:t>方式及履约担保</w:t>
      </w:r>
    </w:p>
    <w:p w14:paraId="1426217F">
      <w:pPr>
        <w:spacing w:line="240" w:lineRule="auto"/>
        <w:ind w:firstLine="420" w:firstLineChars="200"/>
        <w:rPr>
          <w:rFonts w:hint="eastAsia" w:ascii="宋体" w:hAnsi="宋体" w:cs="宋体"/>
          <w:b w:val="0"/>
          <w:bCs/>
          <w:szCs w:val="21"/>
          <w:highlight w:val="none"/>
          <w:lang w:val="en-US" w:eastAsia="zh-CN" w:bidi="ar"/>
        </w:rPr>
      </w:pPr>
      <w:r>
        <w:rPr>
          <w:rFonts w:hint="eastAsia" w:ascii="宋体" w:hAnsi="宋体" w:cs="宋体"/>
          <w:b w:val="0"/>
          <w:bCs/>
          <w:szCs w:val="21"/>
          <w:highlight w:val="none"/>
          <w:lang w:val="en-US" w:eastAsia="zh-CN" w:bidi="ar"/>
        </w:rPr>
        <w:t>4.1付款方式：签订合同后，检测项目完成，验收合格后一次性支付；</w:t>
      </w:r>
    </w:p>
    <w:p w14:paraId="040CB677">
      <w:pPr>
        <w:ind w:firstLine="420" w:firstLineChars="200"/>
        <w:rPr>
          <w:rFonts w:hint="eastAsia" w:ascii="宋体" w:hAnsi="宋体" w:eastAsia="宋体" w:cs="宋体"/>
          <w:b w:val="0"/>
          <w:bCs w:val="0"/>
          <w:kern w:val="2"/>
          <w:sz w:val="21"/>
          <w:szCs w:val="21"/>
          <w:highlight w:val="none"/>
          <w:lang w:val="en-US" w:eastAsia="zh-CN" w:bidi="ar"/>
        </w:rPr>
      </w:pPr>
      <w:r>
        <w:rPr>
          <w:rFonts w:hint="eastAsia" w:ascii="宋体" w:hAnsi="宋体" w:eastAsia="宋体" w:cs="宋体"/>
          <w:b w:val="0"/>
          <w:bCs w:val="0"/>
          <w:kern w:val="2"/>
          <w:sz w:val="21"/>
          <w:szCs w:val="21"/>
          <w:highlight w:val="none"/>
          <w:lang w:val="en-US" w:eastAsia="zh-CN" w:bidi="ar"/>
        </w:rPr>
        <w:t>4.2履约</w:t>
      </w:r>
      <w:r>
        <w:rPr>
          <w:rFonts w:hint="eastAsia" w:ascii="宋体" w:hAnsi="宋体" w:cs="宋体"/>
          <w:b w:val="0"/>
          <w:bCs w:val="0"/>
          <w:kern w:val="2"/>
          <w:sz w:val="21"/>
          <w:szCs w:val="21"/>
          <w:highlight w:val="none"/>
          <w:lang w:val="en-US" w:eastAsia="zh-CN" w:bidi="ar"/>
        </w:rPr>
        <w:t>担保</w:t>
      </w:r>
      <w:r>
        <w:rPr>
          <w:rFonts w:hint="eastAsia" w:ascii="宋体" w:hAnsi="宋体" w:eastAsia="宋体" w:cs="宋体"/>
          <w:b w:val="0"/>
          <w:bCs w:val="0"/>
          <w:kern w:val="2"/>
          <w:sz w:val="21"/>
          <w:szCs w:val="21"/>
          <w:highlight w:val="none"/>
          <w:lang w:val="en-US" w:eastAsia="zh-CN" w:bidi="ar"/>
        </w:rPr>
        <w:t>：</w:t>
      </w:r>
      <w:r>
        <w:rPr>
          <w:rFonts w:hint="eastAsia" w:ascii="宋体" w:hAnsi="宋体" w:cs="宋体"/>
          <w:b w:val="0"/>
          <w:bCs w:val="0"/>
          <w:kern w:val="2"/>
          <w:sz w:val="21"/>
          <w:szCs w:val="21"/>
          <w:highlight w:val="none"/>
          <w:lang w:val="en-US" w:eastAsia="zh-CN" w:bidi="ar"/>
        </w:rPr>
        <w:t>无</w:t>
      </w:r>
      <w:r>
        <w:rPr>
          <w:rFonts w:hint="eastAsia" w:ascii="宋体" w:hAnsi="宋体" w:eastAsia="宋体" w:cs="宋体"/>
          <w:b w:val="0"/>
          <w:bCs w:val="0"/>
          <w:kern w:val="2"/>
          <w:sz w:val="21"/>
          <w:szCs w:val="21"/>
          <w:highlight w:val="none"/>
          <w:lang w:val="en-US" w:eastAsia="zh-CN" w:bidi="ar"/>
        </w:rPr>
        <w:t>。</w:t>
      </w:r>
    </w:p>
    <w:p w14:paraId="46741373">
      <w:pPr>
        <w:ind w:firstLine="422" w:firstLineChars="200"/>
        <w:rPr>
          <w:rFonts w:hint="eastAsia" w:ascii="宋体" w:hAnsi="宋体" w:eastAsia="宋体" w:cs="宋体"/>
          <w:b w:val="0"/>
          <w:bCs w:val="0"/>
          <w:kern w:val="2"/>
          <w:sz w:val="21"/>
          <w:szCs w:val="21"/>
          <w:highlight w:val="none"/>
          <w:lang w:val="en-US" w:eastAsia="zh-CN" w:bidi="ar"/>
        </w:rPr>
      </w:pPr>
      <w:r>
        <w:rPr>
          <w:rFonts w:hint="eastAsia" w:ascii="宋体" w:hAnsi="宋体" w:cs="宋体"/>
          <w:b/>
          <w:bCs/>
          <w:kern w:val="2"/>
          <w:sz w:val="21"/>
          <w:szCs w:val="21"/>
          <w:highlight w:val="none"/>
          <w:lang w:val="en-US" w:eastAsia="zh-CN" w:bidi="ar"/>
        </w:rPr>
        <w:t>五</w:t>
      </w:r>
      <w:r>
        <w:rPr>
          <w:rFonts w:hint="eastAsia" w:ascii="宋体" w:hAnsi="宋体" w:eastAsia="宋体" w:cs="宋体"/>
          <w:b/>
          <w:bCs/>
          <w:kern w:val="2"/>
          <w:sz w:val="21"/>
          <w:szCs w:val="21"/>
          <w:highlight w:val="none"/>
          <w:lang w:val="en-US" w:eastAsia="zh-CN" w:bidi="ar"/>
        </w:rPr>
        <w:t>、服务标准</w:t>
      </w:r>
      <w:r>
        <w:rPr>
          <w:rFonts w:hint="eastAsia" w:ascii="宋体" w:hAnsi="宋体" w:eastAsia="宋体" w:cs="宋体"/>
          <w:b w:val="0"/>
          <w:bCs w:val="0"/>
          <w:kern w:val="2"/>
          <w:sz w:val="21"/>
          <w:szCs w:val="21"/>
          <w:highlight w:val="none"/>
          <w:lang w:val="en-US" w:eastAsia="zh-CN" w:bidi="ar"/>
        </w:rPr>
        <w:t>：</w:t>
      </w:r>
      <w:r>
        <w:rPr>
          <w:rFonts w:hint="eastAsia" w:ascii="宋体" w:hAnsi="宋体" w:cs="宋体"/>
          <w:color w:val="auto"/>
          <w:sz w:val="24"/>
          <w:highlight w:val="none"/>
        </w:rPr>
        <w:t>符合国家及行业统一标准，且达到优质服务</w:t>
      </w:r>
      <w:r>
        <w:rPr>
          <w:rFonts w:hint="eastAsia" w:ascii="宋体" w:hAnsi="宋体" w:cs="宋体"/>
          <w:color w:val="auto"/>
          <w:sz w:val="24"/>
          <w:highlight w:val="none"/>
          <w:lang w:eastAsia="zh-CN"/>
        </w:rPr>
        <w:t>；</w:t>
      </w:r>
    </w:p>
    <w:p w14:paraId="1C61C28A">
      <w:pPr>
        <w:ind w:firstLine="422" w:firstLineChars="200"/>
        <w:rPr>
          <w:rFonts w:hint="eastAsia" w:ascii="宋体" w:hAnsi="宋体" w:cs="宋体"/>
          <w:b/>
          <w:bCs/>
          <w:szCs w:val="21"/>
          <w:highlight w:val="none"/>
          <w:lang w:bidi="ar"/>
        </w:rPr>
      </w:pPr>
      <w:r>
        <w:rPr>
          <w:rFonts w:hint="eastAsia" w:ascii="宋体" w:hAnsi="宋体" w:cs="宋体"/>
          <w:b/>
          <w:bCs/>
          <w:szCs w:val="21"/>
          <w:highlight w:val="none"/>
          <w:lang w:bidi="ar"/>
        </w:rPr>
        <w:t>六、验收</w:t>
      </w:r>
    </w:p>
    <w:p w14:paraId="2DB675AB">
      <w:pPr>
        <w:ind w:firstLine="440" w:firstLineChars="200"/>
        <w:rPr>
          <w:rFonts w:hint="eastAsia" w:ascii="宋体" w:hAnsi="宋体"/>
          <w:sz w:val="22"/>
          <w:szCs w:val="24"/>
          <w:highlight w:val="none"/>
        </w:rPr>
      </w:pPr>
      <w:r>
        <w:rPr>
          <w:rFonts w:hint="eastAsia" w:ascii="宋体" w:hAnsi="宋体"/>
          <w:sz w:val="22"/>
          <w:szCs w:val="24"/>
          <w:highlight w:val="none"/>
          <w:lang w:val="en-US" w:eastAsia="zh-CN"/>
        </w:rPr>
        <w:t>6.1</w:t>
      </w:r>
      <w:r>
        <w:rPr>
          <w:rFonts w:hint="eastAsia" w:ascii="宋体" w:hAnsi="宋体"/>
          <w:sz w:val="22"/>
          <w:szCs w:val="24"/>
          <w:highlight w:val="none"/>
        </w:rPr>
        <w:t>成立验收小组成立验收工作小组</w:t>
      </w:r>
    </w:p>
    <w:p w14:paraId="35C7AFFE">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由需</w:t>
      </w:r>
      <w:r>
        <w:rPr>
          <w:rFonts w:hint="eastAsia" w:ascii="宋体" w:hAnsi="宋体" w:cs="宋体"/>
          <w:color w:val="auto"/>
          <w:szCs w:val="21"/>
          <w:highlight w:val="none"/>
          <w:lang w:val="en-US" w:eastAsia="zh-CN" w:bidi="ar"/>
        </w:rPr>
        <w:t>求</w:t>
      </w:r>
      <w:r>
        <w:rPr>
          <w:rFonts w:hint="eastAsia" w:ascii="宋体" w:hAnsi="宋体" w:cs="宋体"/>
          <w:color w:val="auto"/>
          <w:szCs w:val="21"/>
          <w:highlight w:val="none"/>
          <w:lang w:bidi="ar"/>
        </w:rPr>
        <w:t>方组成验收工作小组。验收小组成员应为单数。</w:t>
      </w:r>
    </w:p>
    <w:p w14:paraId="3CE3B9EE">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6.2制定验收方案</w:t>
      </w:r>
    </w:p>
    <w:p w14:paraId="13D2DF20">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验收小组成立后应当根据项目的具体情况，制定详细的采购项目履约验收工作方案，验收小组成员应当在实施履约验收前掌握该采购项目的采购需求、验收清单和标准及政府采购合同内约定的双方权利义务并完成其他验收前相应的准备工作。</w:t>
      </w:r>
    </w:p>
    <w:p w14:paraId="778F7931">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6.3验收程序与要求 </w:t>
      </w:r>
    </w:p>
    <w:p w14:paraId="712AAFBA">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6.3.1验收应在</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 xml:space="preserve">履行完合同义务起十个工作日后，由需求方提出并组织进行履约验收。 </w:t>
      </w:r>
    </w:p>
    <w:p w14:paraId="3F4F22A7">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6.3.2验收应以采购合同、招投标（采购）及其补充文件、国家或行业相关标准、封存样品为验收的主要依据。 </w:t>
      </w:r>
    </w:p>
    <w:p w14:paraId="000A58BA">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6.3.3验收小组成员应到合同标的交付现场进行实地审查验收。根据标的所示清单逐一进行检查，对标的进行检测试验或演试，检查安装调试运行情况以及了解相关人员的培训情况，验收时，应做好验收记录。验收记录必须精确、详细的记载和反应采购项目重要事项的履约情况。</w:t>
      </w:r>
    </w:p>
    <w:p w14:paraId="63D28789">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6.4出具验收报告 </w:t>
      </w:r>
    </w:p>
    <w:p w14:paraId="3B9EC18D">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6.4.1验收小组完成验收后，应出具验收报告，所有验收情况应在验收报告中进行详细记录和如实反应，验收过程中发现问题应提出相应处理办法。 </w:t>
      </w:r>
    </w:p>
    <w:p w14:paraId="076FE29B">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6.4.2验收小组应对验收结果作出结论性的意见，在验收报告上签字确认并对验收报告的内容负责。有不同意见的，应当写明意见并说明理由，签字但不写明理由的视同为无意见，拒不签字又不另行书面说明的，视同为同意验收结果。</w:t>
      </w:r>
    </w:p>
    <w:p w14:paraId="658DC57B">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6.4.3验收报告单与采购合同、发票作为支付合同金额款项的必备依据。验收时发现问题应立马通知</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进行处理并严格按合同履约，因故不能及时纠正应向财政部门报告。</w:t>
      </w:r>
    </w:p>
    <w:p w14:paraId="741BB60B">
      <w:pPr>
        <w:ind w:firstLine="422" w:firstLineChars="200"/>
        <w:rPr>
          <w:rFonts w:hint="eastAsia" w:ascii="宋体" w:hAnsi="宋体" w:eastAsia="宋体" w:cs="宋体"/>
          <w:b/>
          <w:bCs/>
          <w:szCs w:val="21"/>
          <w:highlight w:val="none"/>
          <w:lang w:eastAsia="zh-CN" w:bidi="ar"/>
        </w:rPr>
      </w:pPr>
      <w:r>
        <w:rPr>
          <w:rFonts w:hint="eastAsia" w:ascii="宋体" w:hAnsi="宋体" w:cs="宋体"/>
          <w:b/>
          <w:bCs/>
          <w:szCs w:val="21"/>
          <w:highlight w:val="none"/>
          <w:lang w:bidi="ar"/>
        </w:rPr>
        <w:t>七、知识产权及有关规定</w:t>
      </w:r>
    </w:p>
    <w:p w14:paraId="29017E1E">
      <w:pPr>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bidi="ar"/>
        </w:rPr>
        <w:t>7.</w:t>
      </w:r>
      <w:r>
        <w:rPr>
          <w:rFonts w:hint="eastAsia" w:ascii="宋体" w:hAnsi="宋体" w:cs="宋体"/>
          <w:szCs w:val="21"/>
          <w:highlight w:val="none"/>
          <w:lang w:val="en-US" w:eastAsia="zh-CN" w:bidi="ar"/>
        </w:rPr>
        <w:t>1</w:t>
      </w:r>
      <w:r>
        <w:rPr>
          <w:rFonts w:hint="eastAsia" w:ascii="宋体" w:hAnsi="宋体" w:cs="宋体"/>
          <w:szCs w:val="21"/>
          <w:highlight w:val="none"/>
          <w:lang w:bidi="ar"/>
        </w:rPr>
        <w:t>知识产权的归属</w:t>
      </w:r>
      <w:r>
        <w:rPr>
          <w:rFonts w:hint="eastAsia" w:ascii="宋体" w:hAnsi="宋体" w:cs="宋体"/>
          <w:szCs w:val="21"/>
          <w:highlight w:val="none"/>
          <w:lang w:val="en-US" w:eastAsia="zh-CN" w:bidi="ar"/>
        </w:rPr>
        <w:t>于：无。</w:t>
      </w:r>
    </w:p>
    <w:p w14:paraId="2503331C">
      <w:pPr>
        <w:ind w:firstLine="422" w:firstLineChars="200"/>
        <w:rPr>
          <w:rFonts w:ascii="宋体" w:hAnsi="宋体" w:cs="宋体"/>
          <w:b/>
          <w:bCs/>
          <w:szCs w:val="21"/>
          <w:highlight w:val="none"/>
        </w:rPr>
      </w:pPr>
      <w:r>
        <w:rPr>
          <w:rFonts w:hint="eastAsia" w:ascii="宋体" w:hAnsi="宋体" w:cs="宋体"/>
          <w:b/>
          <w:bCs/>
          <w:szCs w:val="21"/>
          <w:highlight w:val="none"/>
          <w:lang w:bidi="ar"/>
        </w:rPr>
        <w:t>八、伴随服务</w:t>
      </w:r>
    </w:p>
    <w:p w14:paraId="2DE24938">
      <w:pPr>
        <w:ind w:firstLine="420" w:firstLineChars="200"/>
        <w:rPr>
          <w:rFonts w:ascii="宋体" w:hAnsi="宋体" w:cs="宋体"/>
          <w:szCs w:val="21"/>
          <w:highlight w:val="none"/>
        </w:rPr>
      </w:pPr>
      <w:r>
        <w:rPr>
          <w:rFonts w:hint="eastAsia" w:ascii="宋体" w:hAnsi="宋体" w:cs="宋体"/>
          <w:szCs w:val="21"/>
          <w:highlight w:val="none"/>
          <w:lang w:bidi="ar"/>
        </w:rPr>
        <w:t>8.1供方应提供服务成果的全套文件资料。</w:t>
      </w:r>
    </w:p>
    <w:p w14:paraId="6C190552">
      <w:pPr>
        <w:ind w:firstLine="420" w:firstLineChars="200"/>
        <w:rPr>
          <w:rFonts w:ascii="宋体" w:hAnsi="宋体" w:cs="宋体"/>
          <w:szCs w:val="21"/>
          <w:highlight w:val="none"/>
        </w:rPr>
      </w:pPr>
      <w:r>
        <w:rPr>
          <w:rFonts w:hint="eastAsia" w:ascii="宋体" w:hAnsi="宋体" w:cs="宋体"/>
          <w:szCs w:val="21"/>
          <w:highlight w:val="none"/>
          <w:lang w:bidi="ar"/>
        </w:rPr>
        <w:t>8.2上述伴随服务的费用应包含在合同价中，不单独进行支付。</w:t>
      </w:r>
    </w:p>
    <w:p w14:paraId="6E7CE926">
      <w:pPr>
        <w:ind w:firstLine="422" w:firstLineChars="200"/>
        <w:rPr>
          <w:rFonts w:ascii="宋体" w:hAnsi="宋体" w:cs="宋体"/>
          <w:b/>
          <w:bCs/>
          <w:szCs w:val="21"/>
          <w:highlight w:val="none"/>
        </w:rPr>
      </w:pPr>
      <w:r>
        <w:rPr>
          <w:rFonts w:hint="eastAsia" w:ascii="宋体" w:hAnsi="宋体" w:cs="宋体"/>
          <w:b/>
          <w:bCs/>
          <w:szCs w:val="21"/>
          <w:highlight w:val="none"/>
          <w:lang w:val="en-US" w:eastAsia="zh-CN" w:bidi="ar"/>
        </w:rPr>
        <w:t>九、</w:t>
      </w:r>
      <w:r>
        <w:rPr>
          <w:rFonts w:hint="eastAsia" w:ascii="宋体" w:hAnsi="宋体" w:cs="宋体"/>
          <w:b/>
          <w:bCs/>
          <w:szCs w:val="21"/>
          <w:highlight w:val="none"/>
          <w:lang w:bidi="ar"/>
        </w:rPr>
        <w:t>质量保证期</w:t>
      </w:r>
      <w:r>
        <w:rPr>
          <w:rFonts w:hint="eastAsia" w:ascii="宋体" w:hAnsi="宋体" w:cs="宋体"/>
          <w:b/>
          <w:bCs/>
          <w:szCs w:val="21"/>
          <w:highlight w:val="none"/>
          <w:lang w:eastAsia="zh-CN" w:bidi="ar"/>
        </w:rPr>
        <w:t>（</w:t>
      </w:r>
      <w:r>
        <w:rPr>
          <w:rFonts w:hint="eastAsia" w:ascii="宋体" w:hAnsi="宋体" w:cs="宋体"/>
          <w:b/>
          <w:bCs/>
          <w:szCs w:val="21"/>
          <w:highlight w:val="none"/>
          <w:lang w:bidi="ar"/>
        </w:rPr>
        <w:t>服务期</w:t>
      </w:r>
      <w:r>
        <w:rPr>
          <w:rFonts w:hint="eastAsia" w:ascii="宋体" w:hAnsi="宋体" w:cs="宋体"/>
          <w:b/>
          <w:bCs/>
          <w:szCs w:val="21"/>
          <w:highlight w:val="none"/>
          <w:lang w:eastAsia="zh-CN" w:bidi="ar"/>
        </w:rPr>
        <w:t>）</w:t>
      </w:r>
      <w:r>
        <w:rPr>
          <w:rFonts w:hint="eastAsia" w:ascii="宋体" w:hAnsi="宋体" w:cs="宋体"/>
          <w:b/>
          <w:bCs/>
          <w:szCs w:val="21"/>
          <w:highlight w:val="none"/>
          <w:lang w:bidi="ar"/>
        </w:rPr>
        <w:t>及售后服务</w:t>
      </w:r>
    </w:p>
    <w:p w14:paraId="7D4CDA95">
      <w:pPr>
        <w:ind w:firstLine="420" w:firstLineChars="200"/>
        <w:rPr>
          <w:rFonts w:hint="eastAsia" w:ascii="宋体" w:hAnsi="宋体" w:cs="宋体"/>
          <w:bCs/>
          <w:szCs w:val="21"/>
          <w:highlight w:val="none"/>
          <w:lang w:bidi="ar"/>
        </w:rPr>
      </w:pPr>
      <w:r>
        <w:rPr>
          <w:rFonts w:hint="eastAsia" w:ascii="宋体" w:hAnsi="宋体" w:cs="宋体"/>
          <w:bCs/>
          <w:color w:val="auto"/>
          <w:szCs w:val="21"/>
          <w:highlight w:val="none"/>
          <w:lang w:bidi="ar"/>
        </w:rPr>
        <w:t>9.</w:t>
      </w:r>
      <w:r>
        <w:rPr>
          <w:rFonts w:hint="eastAsia" w:ascii="宋体" w:hAnsi="宋体" w:cs="宋体"/>
          <w:bCs/>
          <w:color w:val="auto"/>
          <w:szCs w:val="21"/>
          <w:highlight w:val="none"/>
          <w:lang w:val="en-US" w:eastAsia="zh-CN" w:bidi="ar"/>
        </w:rPr>
        <w:t>1</w:t>
      </w:r>
      <w:r>
        <w:rPr>
          <w:rFonts w:hint="eastAsia" w:ascii="宋体" w:hAnsi="宋体" w:cs="宋体"/>
          <w:bCs/>
          <w:color w:val="auto"/>
          <w:szCs w:val="21"/>
          <w:highlight w:val="none"/>
          <w:lang w:bidi="ar"/>
        </w:rPr>
        <w:t>服务要求：提供最优质、最快捷、最满意的售后服务，以合同要求为准。</w:t>
      </w:r>
    </w:p>
    <w:p w14:paraId="62F7CCAB">
      <w:pPr>
        <w:ind w:firstLine="422" w:firstLineChars="200"/>
        <w:rPr>
          <w:rFonts w:ascii="宋体" w:hAnsi="宋体" w:cs="宋体"/>
          <w:b/>
          <w:bCs/>
          <w:szCs w:val="21"/>
          <w:highlight w:val="none"/>
        </w:rPr>
      </w:pPr>
      <w:r>
        <w:rPr>
          <w:rFonts w:hint="eastAsia" w:ascii="宋体" w:hAnsi="宋体" w:cs="宋体"/>
          <w:b/>
          <w:bCs/>
          <w:szCs w:val="21"/>
          <w:highlight w:val="none"/>
          <w:lang w:val="en-US" w:eastAsia="zh-CN" w:bidi="ar"/>
        </w:rPr>
        <w:t>十、</w:t>
      </w:r>
      <w:r>
        <w:rPr>
          <w:rFonts w:hint="eastAsia" w:ascii="宋体" w:hAnsi="宋体" w:cs="宋体"/>
          <w:b/>
          <w:bCs/>
          <w:szCs w:val="21"/>
          <w:highlight w:val="none"/>
          <w:lang w:bidi="ar"/>
        </w:rPr>
        <w:t>质量保证</w:t>
      </w:r>
    </w:p>
    <w:p w14:paraId="4364077B">
      <w:pPr>
        <w:ind w:left="420" w:leftChars="200"/>
        <w:rPr>
          <w:rFonts w:ascii="宋体" w:hAnsi="宋体" w:cs="宋体"/>
          <w:bCs/>
          <w:szCs w:val="21"/>
          <w:highlight w:val="none"/>
        </w:rPr>
      </w:pPr>
      <w:r>
        <w:rPr>
          <w:rFonts w:hint="eastAsia" w:ascii="宋体" w:hAnsi="宋体" w:cs="宋体"/>
          <w:bCs/>
          <w:szCs w:val="21"/>
          <w:highlight w:val="none"/>
          <w:lang w:bidi="ar"/>
        </w:rPr>
        <w:t>应满足国家有关行业的质量要求，提供优质服务。</w:t>
      </w:r>
    </w:p>
    <w:p w14:paraId="1909E6A7">
      <w:pPr>
        <w:ind w:firstLine="422" w:firstLineChars="200"/>
        <w:rPr>
          <w:rFonts w:ascii="宋体" w:hAnsi="宋体" w:cs="宋体"/>
          <w:b/>
          <w:bCs/>
          <w:szCs w:val="21"/>
          <w:highlight w:val="none"/>
        </w:rPr>
      </w:pPr>
      <w:r>
        <w:rPr>
          <w:rFonts w:hint="eastAsia" w:ascii="宋体" w:hAnsi="宋体" w:cs="宋体"/>
          <w:b/>
          <w:bCs/>
          <w:szCs w:val="21"/>
          <w:highlight w:val="none"/>
          <w:lang w:bidi="ar"/>
        </w:rPr>
        <w:t>十一、不可抗力</w:t>
      </w:r>
    </w:p>
    <w:p w14:paraId="64578833">
      <w:pPr>
        <w:rPr>
          <w:rFonts w:ascii="宋体" w:hAnsi="宋体" w:cs="宋体"/>
          <w:szCs w:val="21"/>
          <w:highlight w:val="none"/>
        </w:rPr>
      </w:pPr>
      <w:r>
        <w:rPr>
          <w:rFonts w:hint="eastAsia" w:ascii="宋体" w:hAnsi="宋体" w:cs="宋体"/>
          <w:szCs w:val="21"/>
          <w:highlight w:val="none"/>
          <w:lang w:bidi="ar"/>
        </w:rPr>
        <w:t xml:space="preserve">    11.1 如果供需双方因不可抗力而导致合同实施延误或不能履行合同义务，不应该承担误期赔偿或不能履行合同义务的责任。</w:t>
      </w:r>
    </w:p>
    <w:p w14:paraId="7BA61BA1">
      <w:pPr>
        <w:rPr>
          <w:rFonts w:ascii="宋体" w:hAnsi="宋体" w:cs="宋体"/>
          <w:szCs w:val="21"/>
          <w:highlight w:val="none"/>
        </w:rPr>
      </w:pPr>
      <w:r>
        <w:rPr>
          <w:rFonts w:hint="eastAsia" w:ascii="宋体" w:hAnsi="宋体" w:cs="宋体"/>
          <w:szCs w:val="21"/>
          <w:highlight w:val="none"/>
          <w:lang w:bidi="ar"/>
        </w:rPr>
        <w:t xml:space="preserve">    11.2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02F52C85">
      <w:pPr>
        <w:ind w:firstLine="420" w:firstLineChars="200"/>
        <w:rPr>
          <w:rFonts w:ascii="宋体" w:hAnsi="宋体" w:cs="宋体"/>
          <w:szCs w:val="21"/>
          <w:highlight w:val="none"/>
        </w:rPr>
      </w:pPr>
      <w:r>
        <w:rPr>
          <w:rFonts w:hint="eastAsia" w:ascii="宋体" w:hAnsi="宋体" w:cs="宋体"/>
          <w:szCs w:val="21"/>
          <w:highlight w:val="none"/>
          <w:lang w:bidi="ar"/>
        </w:rPr>
        <w:t>11.3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0A03A534">
      <w:pPr>
        <w:ind w:firstLine="422" w:firstLineChars="200"/>
        <w:rPr>
          <w:rFonts w:ascii="宋体" w:hAnsi="宋体" w:cs="宋体"/>
          <w:b/>
          <w:bCs/>
          <w:szCs w:val="21"/>
          <w:highlight w:val="none"/>
        </w:rPr>
      </w:pPr>
      <w:r>
        <w:rPr>
          <w:rFonts w:hint="eastAsia" w:ascii="宋体" w:hAnsi="宋体" w:cs="宋体"/>
          <w:b/>
          <w:bCs/>
          <w:szCs w:val="21"/>
          <w:highlight w:val="none"/>
          <w:lang w:bidi="ar"/>
        </w:rPr>
        <w:t>十二、税费</w:t>
      </w:r>
    </w:p>
    <w:p w14:paraId="0A15FB21">
      <w:pPr>
        <w:rPr>
          <w:rFonts w:ascii="宋体" w:hAnsi="宋体" w:cs="宋体"/>
          <w:szCs w:val="21"/>
          <w:highlight w:val="none"/>
        </w:rPr>
      </w:pPr>
      <w:r>
        <w:rPr>
          <w:rFonts w:hint="eastAsia" w:ascii="宋体" w:hAnsi="宋体" w:cs="宋体"/>
          <w:szCs w:val="21"/>
          <w:highlight w:val="none"/>
          <w:lang w:bidi="ar"/>
        </w:rPr>
        <w:t xml:space="preserve">    12.1 根据现行法律规定对需方征收的与本合同有关的一切税费均由需方负担。</w:t>
      </w:r>
    </w:p>
    <w:p w14:paraId="13BA1AF8">
      <w:pPr>
        <w:rPr>
          <w:rFonts w:ascii="宋体" w:hAnsi="宋体" w:cs="宋体"/>
          <w:szCs w:val="21"/>
          <w:highlight w:val="none"/>
        </w:rPr>
      </w:pPr>
      <w:r>
        <w:rPr>
          <w:rFonts w:hint="eastAsia" w:ascii="宋体" w:hAnsi="宋体" w:cs="宋体"/>
          <w:szCs w:val="21"/>
          <w:highlight w:val="none"/>
          <w:lang w:bidi="ar"/>
        </w:rPr>
        <w:t xml:space="preserve">    12.2 根据现行法律规定对供方征收的与本合同有关的一切税费均由供方负担。</w:t>
      </w:r>
    </w:p>
    <w:p w14:paraId="3B5DF1C3">
      <w:pPr>
        <w:ind w:firstLine="420" w:firstLineChars="200"/>
        <w:rPr>
          <w:rFonts w:ascii="宋体" w:hAnsi="宋体" w:cs="宋体"/>
          <w:szCs w:val="21"/>
          <w:highlight w:val="none"/>
        </w:rPr>
      </w:pPr>
      <w:r>
        <w:rPr>
          <w:rFonts w:hint="eastAsia" w:ascii="宋体" w:hAnsi="宋体" w:cs="宋体"/>
          <w:szCs w:val="21"/>
          <w:highlight w:val="none"/>
          <w:lang w:bidi="ar"/>
        </w:rPr>
        <w:t>12.3 在中国境外发生的与执行本合同有关的一切税费均由供方负担。</w:t>
      </w:r>
    </w:p>
    <w:p w14:paraId="392C348B">
      <w:pPr>
        <w:ind w:firstLine="422" w:firstLineChars="200"/>
        <w:rPr>
          <w:rFonts w:ascii="宋体" w:hAnsi="宋体" w:cs="宋体"/>
          <w:b/>
          <w:bCs/>
          <w:szCs w:val="21"/>
          <w:highlight w:val="none"/>
        </w:rPr>
      </w:pPr>
      <w:r>
        <w:rPr>
          <w:rFonts w:hint="eastAsia" w:ascii="宋体" w:hAnsi="宋体" w:cs="宋体"/>
          <w:b/>
          <w:bCs/>
          <w:szCs w:val="21"/>
          <w:highlight w:val="none"/>
          <w:lang w:bidi="ar"/>
        </w:rPr>
        <w:t>十三、争端的解决</w:t>
      </w:r>
    </w:p>
    <w:p w14:paraId="71C58F81">
      <w:pPr>
        <w:rPr>
          <w:rFonts w:ascii="宋体" w:hAnsi="宋体" w:cs="宋体"/>
          <w:szCs w:val="21"/>
          <w:highlight w:val="none"/>
        </w:rPr>
      </w:pPr>
      <w:r>
        <w:rPr>
          <w:rFonts w:hint="eastAsia" w:ascii="宋体" w:hAnsi="宋体" w:cs="宋体"/>
          <w:szCs w:val="21"/>
          <w:highlight w:val="none"/>
          <w:lang w:bidi="ar"/>
        </w:rPr>
        <w:t xml:space="preserve">    13.1 供需双方应通过友好协商，解决在执行本合同过程中所发生的或与本合同有关的一切争端。如从协商开始十（10）天内仍不能解决，可以向有关合同管理部门提请调解。</w:t>
      </w:r>
    </w:p>
    <w:p w14:paraId="5D1A1D48">
      <w:pPr>
        <w:ind w:firstLine="420" w:firstLineChars="200"/>
        <w:rPr>
          <w:rFonts w:ascii="宋体" w:hAnsi="宋体" w:cs="宋体"/>
          <w:szCs w:val="21"/>
          <w:highlight w:val="none"/>
        </w:rPr>
      </w:pPr>
      <w:r>
        <w:rPr>
          <w:rFonts w:hint="eastAsia" w:ascii="宋体" w:hAnsi="宋体" w:cs="宋体"/>
          <w:szCs w:val="21"/>
          <w:highlight w:val="none"/>
          <w:lang w:bidi="ar"/>
        </w:rPr>
        <w:t>13.2 如果调解不成，供需双方的任何一方可以向人民法院提起诉讼。诉讼由合同签订地人民法院管辖。</w:t>
      </w:r>
    </w:p>
    <w:p w14:paraId="0F227EBB">
      <w:pPr>
        <w:ind w:firstLine="420" w:firstLineChars="200"/>
        <w:rPr>
          <w:rFonts w:ascii="宋体" w:hAnsi="宋体" w:cs="宋体"/>
          <w:szCs w:val="21"/>
          <w:highlight w:val="none"/>
        </w:rPr>
      </w:pPr>
      <w:r>
        <w:rPr>
          <w:rFonts w:hint="eastAsia" w:ascii="宋体" w:hAnsi="宋体" w:cs="宋体"/>
          <w:szCs w:val="21"/>
          <w:highlight w:val="none"/>
          <w:lang w:bidi="ar"/>
        </w:rPr>
        <w:t>13.3诉讼费除法院另有裁决外均由败诉方负担。</w:t>
      </w:r>
    </w:p>
    <w:p w14:paraId="04400903">
      <w:pPr>
        <w:ind w:firstLine="420" w:firstLineChars="200"/>
        <w:rPr>
          <w:rFonts w:ascii="宋体" w:hAnsi="宋体" w:cs="宋体"/>
          <w:szCs w:val="21"/>
          <w:highlight w:val="none"/>
        </w:rPr>
      </w:pPr>
      <w:r>
        <w:rPr>
          <w:rFonts w:hint="eastAsia" w:ascii="宋体" w:hAnsi="宋体" w:cs="宋体"/>
          <w:szCs w:val="21"/>
          <w:highlight w:val="none"/>
          <w:lang w:bidi="ar"/>
        </w:rPr>
        <w:t>13.4在诉讼期间，除正在进行诉讼的部分外，本合同的其它部分应继续执行。</w:t>
      </w:r>
    </w:p>
    <w:p w14:paraId="1ED29D75">
      <w:pPr>
        <w:ind w:firstLine="422" w:firstLineChars="200"/>
        <w:rPr>
          <w:rFonts w:ascii="宋体" w:hAnsi="宋体" w:cs="宋体"/>
          <w:b/>
          <w:bCs/>
          <w:szCs w:val="21"/>
          <w:highlight w:val="none"/>
        </w:rPr>
      </w:pPr>
      <w:r>
        <w:rPr>
          <w:rFonts w:hint="eastAsia" w:ascii="宋体" w:hAnsi="宋体" w:cs="宋体"/>
          <w:b/>
          <w:bCs/>
          <w:szCs w:val="21"/>
          <w:highlight w:val="none"/>
          <w:lang w:bidi="ar"/>
        </w:rPr>
        <w:t>十四、违约终止合同</w:t>
      </w:r>
    </w:p>
    <w:p w14:paraId="501875E8">
      <w:pPr>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14.1</w:t>
      </w:r>
      <w:r>
        <w:rPr>
          <w:rFonts w:hint="eastAsia" w:ascii="宋体" w:hAnsi="宋体" w:cs="宋体"/>
          <w:szCs w:val="21"/>
          <w:highlight w:val="none"/>
          <w:lang w:bidi="ar"/>
        </w:rPr>
        <w:t>甲方未按照约定付款的，或乙方无正当理由延迟发货、交付的，应承担违约金责任，违约金以日为单位计算，每逾期一日支付合同总价款千分之三（3‰）的违约金，最高不超过合同总价款的百分之五（5%）。</w:t>
      </w:r>
    </w:p>
    <w:p w14:paraId="53C1CE6D">
      <w:pPr>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14.2</w:t>
      </w:r>
      <w:r>
        <w:rPr>
          <w:rFonts w:hint="eastAsia" w:ascii="宋体" w:hAnsi="宋体" w:cs="宋体"/>
          <w:szCs w:val="21"/>
          <w:highlight w:val="none"/>
          <w:lang w:bidi="ar"/>
        </w:rPr>
        <w:t>甲乙双方任何一方未履行或未完全履行合同约定之义务的，对方有权中止履行合同至违约方适当履行义务之日，由此引起的任何损失均由违约方承担。</w:t>
      </w:r>
    </w:p>
    <w:p w14:paraId="7A9E14D4">
      <w:pPr>
        <w:ind w:firstLine="422" w:firstLineChars="200"/>
        <w:rPr>
          <w:rFonts w:ascii="宋体" w:hAnsi="宋体" w:cs="宋体"/>
          <w:b/>
          <w:bCs/>
          <w:szCs w:val="21"/>
          <w:highlight w:val="none"/>
        </w:rPr>
      </w:pPr>
      <w:r>
        <w:rPr>
          <w:rFonts w:hint="eastAsia" w:ascii="宋体" w:hAnsi="宋体" w:cs="宋体"/>
          <w:b/>
          <w:bCs/>
          <w:szCs w:val="21"/>
          <w:highlight w:val="none"/>
          <w:lang w:bidi="ar"/>
        </w:rPr>
        <w:t>十五、破产终止合同</w:t>
      </w:r>
    </w:p>
    <w:p w14:paraId="6133A9A8">
      <w:pPr>
        <w:ind w:firstLine="420" w:firstLineChars="200"/>
        <w:rPr>
          <w:rFonts w:ascii="宋体" w:hAnsi="宋体" w:cs="宋体"/>
          <w:szCs w:val="21"/>
          <w:highlight w:val="none"/>
        </w:rPr>
      </w:pPr>
      <w:r>
        <w:rPr>
          <w:rFonts w:hint="eastAsia" w:ascii="宋体" w:hAnsi="宋体" w:cs="宋体"/>
          <w:szCs w:val="21"/>
          <w:highlight w:val="none"/>
          <w:lang w:bidi="ar"/>
        </w:rPr>
        <w:t>15.1 如果供方破产或丧失清偿能力，需方可在任何时候以书面形式通知供方终止合同而不给供方补偿。该终止合同将不损害或影响需方已经采取或将要采取任何补救措施的权力。</w:t>
      </w:r>
    </w:p>
    <w:p w14:paraId="38946565">
      <w:pPr>
        <w:ind w:firstLine="422" w:firstLineChars="200"/>
        <w:rPr>
          <w:rFonts w:ascii="宋体" w:hAnsi="宋体" w:cs="宋体"/>
          <w:szCs w:val="21"/>
          <w:highlight w:val="none"/>
        </w:rPr>
      </w:pPr>
      <w:r>
        <w:rPr>
          <w:rFonts w:hint="eastAsia" w:ascii="宋体" w:hAnsi="宋体" w:cs="宋体"/>
          <w:b/>
          <w:bCs/>
          <w:szCs w:val="21"/>
          <w:highlight w:val="none"/>
          <w:lang w:bidi="ar"/>
        </w:rPr>
        <w:t>十六、合同转让和分包</w:t>
      </w:r>
    </w:p>
    <w:p w14:paraId="29149417">
      <w:pPr>
        <w:ind w:firstLine="420" w:firstLineChars="200"/>
        <w:rPr>
          <w:rFonts w:ascii="宋体" w:hAnsi="宋体" w:cs="宋体"/>
          <w:szCs w:val="21"/>
          <w:highlight w:val="none"/>
        </w:rPr>
      </w:pPr>
      <w:r>
        <w:rPr>
          <w:rFonts w:hint="eastAsia" w:ascii="宋体" w:hAnsi="宋体" w:cs="宋体"/>
          <w:szCs w:val="21"/>
          <w:highlight w:val="none"/>
          <w:lang w:bidi="ar"/>
        </w:rPr>
        <w:t>16.1 供方不得部分转让和分包或全部转让和分包其应履行的合同义务。</w:t>
      </w:r>
    </w:p>
    <w:p w14:paraId="0AFDBBBA">
      <w:pPr>
        <w:ind w:right="-80" w:rightChars="-38" w:firstLine="422" w:firstLineChars="200"/>
        <w:rPr>
          <w:rFonts w:ascii="宋体" w:hAnsi="宋体" w:cs="宋体"/>
          <w:szCs w:val="21"/>
          <w:highlight w:val="none"/>
        </w:rPr>
      </w:pPr>
      <w:r>
        <w:rPr>
          <w:rFonts w:hint="eastAsia" w:ascii="宋体" w:hAnsi="宋体" w:cs="宋体"/>
          <w:b/>
          <w:bCs/>
          <w:szCs w:val="21"/>
          <w:highlight w:val="none"/>
          <w:lang w:bidi="ar"/>
        </w:rPr>
        <w:t>十七、需要补充的合同条款</w:t>
      </w:r>
    </w:p>
    <w:p w14:paraId="5A0530FD">
      <w:pPr>
        <w:ind w:right="-80" w:rightChars="-38" w:firstLine="472" w:firstLineChars="225"/>
        <w:rPr>
          <w:rFonts w:ascii="宋体" w:hAnsi="宋体" w:cs="宋体"/>
          <w:szCs w:val="21"/>
          <w:highlight w:val="none"/>
        </w:rPr>
      </w:pPr>
      <w:r>
        <w:rPr>
          <w:rFonts w:hint="eastAsia" w:ascii="宋体" w:hAnsi="宋体" w:cs="宋体"/>
          <w:szCs w:val="21"/>
          <w:highlight w:val="none"/>
          <w:lang w:bidi="ar"/>
        </w:rPr>
        <w:t>17.1 根据评标过程中或者商务谈判时商定的条款和条件在订立合同时标明。</w:t>
      </w:r>
    </w:p>
    <w:p w14:paraId="0504103D">
      <w:pPr>
        <w:ind w:firstLine="422" w:firstLineChars="200"/>
        <w:rPr>
          <w:rFonts w:ascii="宋体" w:hAnsi="宋体" w:cs="宋体"/>
          <w:b/>
          <w:bCs/>
          <w:szCs w:val="21"/>
          <w:highlight w:val="none"/>
        </w:rPr>
      </w:pPr>
      <w:r>
        <w:rPr>
          <w:rFonts w:hint="eastAsia" w:ascii="宋体" w:hAnsi="宋体" w:cs="宋体"/>
          <w:b/>
          <w:bCs/>
          <w:szCs w:val="21"/>
          <w:highlight w:val="none"/>
          <w:lang w:bidi="ar"/>
        </w:rPr>
        <w:t>十八、适用法律</w:t>
      </w:r>
    </w:p>
    <w:p w14:paraId="44018D81">
      <w:pPr>
        <w:ind w:firstLine="420" w:firstLineChars="200"/>
        <w:rPr>
          <w:rFonts w:ascii="宋体" w:hAnsi="宋体" w:cs="宋体"/>
          <w:szCs w:val="21"/>
          <w:highlight w:val="none"/>
        </w:rPr>
      </w:pPr>
      <w:r>
        <w:rPr>
          <w:rFonts w:hint="eastAsia" w:ascii="宋体" w:hAnsi="宋体" w:cs="宋体"/>
          <w:szCs w:val="21"/>
          <w:highlight w:val="none"/>
          <w:lang w:bidi="ar"/>
        </w:rPr>
        <w:t>18.1 本合同按照中华人民共和国的现行法律进行解释。</w:t>
      </w:r>
    </w:p>
    <w:p w14:paraId="4F6E2314">
      <w:pPr>
        <w:ind w:firstLine="422" w:firstLineChars="200"/>
        <w:rPr>
          <w:rFonts w:ascii="宋体" w:hAnsi="宋体" w:cs="宋体"/>
          <w:b/>
          <w:bCs/>
          <w:szCs w:val="21"/>
          <w:highlight w:val="none"/>
        </w:rPr>
      </w:pPr>
      <w:r>
        <w:rPr>
          <w:rFonts w:hint="eastAsia" w:ascii="宋体" w:hAnsi="宋体" w:cs="宋体"/>
          <w:b/>
          <w:bCs/>
          <w:szCs w:val="21"/>
          <w:highlight w:val="none"/>
          <w:lang w:bidi="ar"/>
        </w:rPr>
        <w:t>十九、合同生效</w:t>
      </w:r>
    </w:p>
    <w:p w14:paraId="39BF3C72">
      <w:pPr>
        <w:rPr>
          <w:rFonts w:ascii="宋体" w:hAnsi="宋体" w:cs="宋体"/>
          <w:szCs w:val="21"/>
          <w:highlight w:val="none"/>
        </w:rPr>
      </w:pPr>
      <w:r>
        <w:rPr>
          <w:rFonts w:hint="eastAsia" w:ascii="宋体" w:hAnsi="宋体" w:cs="宋体"/>
          <w:szCs w:val="21"/>
          <w:highlight w:val="none"/>
          <w:lang w:bidi="ar"/>
        </w:rPr>
        <w:t xml:space="preserve">   19.1 本合同在供需双方法定代表人或其授权代理人签字并加盖公章并且采购方收到供方提交的履约保证金后生效。 </w:t>
      </w:r>
    </w:p>
    <w:p w14:paraId="15D04B35">
      <w:pPr>
        <w:ind w:firstLine="422" w:firstLineChars="200"/>
        <w:rPr>
          <w:rFonts w:ascii="宋体" w:hAnsi="宋体" w:cs="宋体"/>
          <w:b/>
          <w:bCs/>
          <w:szCs w:val="21"/>
          <w:highlight w:val="none"/>
        </w:rPr>
      </w:pPr>
      <w:r>
        <w:rPr>
          <w:rFonts w:hint="eastAsia" w:ascii="宋体" w:hAnsi="宋体" w:cs="宋体"/>
          <w:b/>
          <w:bCs/>
          <w:szCs w:val="21"/>
          <w:highlight w:val="none"/>
          <w:lang w:bidi="ar"/>
        </w:rPr>
        <w:t>二十、合同附件</w:t>
      </w:r>
    </w:p>
    <w:p w14:paraId="629382D3">
      <w:pPr>
        <w:ind w:firstLine="420" w:firstLineChars="200"/>
        <w:rPr>
          <w:rFonts w:ascii="宋体" w:hAnsi="宋体" w:cs="宋体"/>
          <w:szCs w:val="21"/>
          <w:highlight w:val="none"/>
        </w:rPr>
      </w:pPr>
      <w:r>
        <w:rPr>
          <w:rFonts w:hint="eastAsia" w:ascii="宋体" w:hAnsi="宋体" w:cs="宋体"/>
          <w:szCs w:val="21"/>
          <w:highlight w:val="none"/>
          <w:lang w:bidi="ar"/>
        </w:rPr>
        <w:t>20.1下列文件构成本合同不可分割的组成部分，与本合同具有同等法律效力：</w:t>
      </w:r>
    </w:p>
    <w:p w14:paraId="157B48E1">
      <w:pPr>
        <w:ind w:firstLine="420" w:firstLineChars="200"/>
        <w:rPr>
          <w:rFonts w:ascii="宋体" w:hAnsi="宋体" w:cs="宋体"/>
          <w:szCs w:val="21"/>
          <w:highlight w:val="none"/>
        </w:rPr>
      </w:pPr>
      <w:r>
        <w:rPr>
          <w:rFonts w:hint="eastAsia" w:ascii="宋体" w:hAnsi="宋体" w:cs="宋体"/>
          <w:szCs w:val="21"/>
          <w:highlight w:val="none"/>
          <w:lang w:bidi="ar"/>
        </w:rPr>
        <w:t>1、</w:t>
      </w:r>
      <w:r>
        <w:rPr>
          <w:rFonts w:hint="eastAsia" w:ascii="宋体" w:hAnsi="宋体" w:cs="宋体"/>
          <w:szCs w:val="21"/>
          <w:highlight w:val="none"/>
          <w:lang w:eastAsia="zh-CN" w:bidi="ar"/>
        </w:rPr>
        <w:t>竞争性磋商文件</w:t>
      </w:r>
      <w:r>
        <w:rPr>
          <w:rFonts w:hint="eastAsia" w:ascii="宋体" w:hAnsi="宋体" w:cs="宋体"/>
          <w:szCs w:val="21"/>
          <w:highlight w:val="none"/>
          <w:lang w:bidi="ar"/>
        </w:rPr>
        <w:t>及澄清、补充文件；</w:t>
      </w:r>
    </w:p>
    <w:p w14:paraId="1BFEFF17">
      <w:pPr>
        <w:ind w:firstLine="420" w:firstLineChars="200"/>
        <w:rPr>
          <w:rFonts w:ascii="宋体" w:hAnsi="宋体" w:cs="宋体"/>
          <w:szCs w:val="21"/>
          <w:highlight w:val="none"/>
        </w:rPr>
      </w:pPr>
      <w:r>
        <w:rPr>
          <w:rFonts w:hint="eastAsia" w:ascii="宋体" w:hAnsi="宋体" w:cs="宋体"/>
          <w:szCs w:val="21"/>
          <w:highlight w:val="none"/>
          <w:lang w:bidi="ar"/>
        </w:rPr>
        <w:t>2、供方的</w:t>
      </w:r>
      <w:r>
        <w:rPr>
          <w:rFonts w:hint="eastAsia" w:ascii="宋体" w:hAnsi="宋体" w:cs="宋体"/>
          <w:szCs w:val="21"/>
          <w:highlight w:val="none"/>
          <w:lang w:eastAsia="zh-CN" w:bidi="ar"/>
        </w:rPr>
        <w:t>响应文件</w:t>
      </w:r>
      <w:r>
        <w:rPr>
          <w:rFonts w:hint="eastAsia" w:ascii="宋体" w:hAnsi="宋体" w:cs="宋体"/>
          <w:szCs w:val="21"/>
          <w:highlight w:val="none"/>
          <w:lang w:bidi="ar"/>
        </w:rPr>
        <w:t xml:space="preserve">、在投标期间的书面承诺文件和售后服务承诺书；        </w:t>
      </w:r>
    </w:p>
    <w:p w14:paraId="70087D22">
      <w:pPr>
        <w:ind w:firstLine="420" w:firstLineChars="200"/>
        <w:rPr>
          <w:rFonts w:ascii="宋体" w:hAnsi="宋体" w:cs="宋体"/>
          <w:szCs w:val="21"/>
          <w:highlight w:val="none"/>
        </w:rPr>
      </w:pPr>
      <w:r>
        <w:rPr>
          <w:rFonts w:hint="eastAsia" w:ascii="宋体" w:hAnsi="宋体" w:cs="宋体"/>
          <w:szCs w:val="21"/>
          <w:highlight w:val="none"/>
          <w:lang w:bidi="ar"/>
        </w:rPr>
        <w:t>3、</w:t>
      </w:r>
      <w:r>
        <w:rPr>
          <w:rFonts w:hint="eastAsia" w:ascii="宋体" w:hAnsi="宋体" w:cs="宋体"/>
          <w:szCs w:val="21"/>
          <w:highlight w:val="none"/>
          <w:lang w:val="en-US" w:eastAsia="zh-CN" w:bidi="ar"/>
        </w:rPr>
        <w:t>成交</w:t>
      </w:r>
      <w:r>
        <w:rPr>
          <w:rFonts w:hint="eastAsia" w:ascii="宋体" w:hAnsi="宋体" w:cs="宋体"/>
          <w:szCs w:val="21"/>
          <w:highlight w:val="none"/>
          <w:lang w:bidi="ar"/>
        </w:rPr>
        <w:t>通知书；</w:t>
      </w:r>
    </w:p>
    <w:p w14:paraId="777FF66B">
      <w:pPr>
        <w:ind w:firstLine="420" w:firstLineChars="200"/>
        <w:rPr>
          <w:rFonts w:ascii="宋体" w:hAnsi="宋体" w:cs="宋体"/>
          <w:szCs w:val="21"/>
          <w:highlight w:val="none"/>
        </w:rPr>
      </w:pPr>
      <w:r>
        <w:rPr>
          <w:rFonts w:hint="eastAsia" w:ascii="宋体" w:hAnsi="宋体" w:cs="宋体"/>
          <w:szCs w:val="21"/>
          <w:highlight w:val="none"/>
          <w:lang w:bidi="ar"/>
        </w:rPr>
        <w:t>4、合同的其他附件：</w:t>
      </w:r>
    </w:p>
    <w:p w14:paraId="0DE977B5">
      <w:pPr>
        <w:ind w:firstLine="420" w:firstLineChars="200"/>
        <w:rPr>
          <w:rFonts w:ascii="宋体" w:hAnsi="宋体" w:cs="宋体"/>
          <w:szCs w:val="21"/>
          <w:highlight w:val="none"/>
        </w:rPr>
      </w:pPr>
      <w:r>
        <w:rPr>
          <w:rFonts w:hint="eastAsia" w:ascii="宋体" w:hAnsi="宋体" w:cs="宋体"/>
          <w:szCs w:val="21"/>
          <w:highlight w:val="none"/>
          <w:lang w:bidi="ar"/>
        </w:rPr>
        <w:t>上述合同附件如果有不一致之处，以日期在后的和对需方有利的为准。</w:t>
      </w:r>
    </w:p>
    <w:p w14:paraId="1599BAA6">
      <w:pPr>
        <w:ind w:firstLine="422" w:firstLineChars="200"/>
        <w:rPr>
          <w:rFonts w:ascii="宋体" w:hAnsi="宋体" w:cs="宋体"/>
          <w:b/>
          <w:bCs/>
          <w:szCs w:val="21"/>
          <w:highlight w:val="none"/>
        </w:rPr>
      </w:pPr>
      <w:r>
        <w:rPr>
          <w:rFonts w:hint="eastAsia" w:ascii="宋体" w:hAnsi="宋体" w:cs="宋体"/>
          <w:b/>
          <w:bCs/>
          <w:szCs w:val="21"/>
          <w:highlight w:val="none"/>
          <w:lang w:bidi="ar"/>
        </w:rPr>
        <w:t>二十一、合同修改</w:t>
      </w:r>
    </w:p>
    <w:p w14:paraId="140A15BB">
      <w:pPr>
        <w:ind w:firstLine="420" w:firstLineChars="200"/>
        <w:rPr>
          <w:rFonts w:ascii="宋体" w:hAnsi="宋体" w:cs="宋体"/>
          <w:szCs w:val="21"/>
          <w:highlight w:val="none"/>
        </w:rPr>
      </w:pPr>
      <w:r>
        <w:rPr>
          <w:rFonts w:hint="eastAsia" w:ascii="宋体" w:hAnsi="宋体" w:cs="宋体"/>
          <w:szCs w:val="21"/>
          <w:highlight w:val="none"/>
          <w:lang w:bidi="ar"/>
        </w:rPr>
        <w:t>21.1除供需双方和采购方签署书面修改、补充协议，并成为本合同不可分割的一部分之外，本合同条件不得有任何变化或修改。</w:t>
      </w:r>
    </w:p>
    <w:p w14:paraId="56EA8073">
      <w:pPr>
        <w:ind w:firstLine="422" w:firstLineChars="200"/>
        <w:rPr>
          <w:rFonts w:ascii="宋体" w:hAnsi="宋体" w:cs="宋体"/>
          <w:b/>
          <w:bCs/>
          <w:szCs w:val="21"/>
          <w:highlight w:val="none"/>
        </w:rPr>
      </w:pPr>
      <w:r>
        <w:rPr>
          <w:rFonts w:hint="eastAsia" w:ascii="宋体" w:hAnsi="宋体" w:cs="宋体"/>
          <w:b/>
          <w:bCs/>
          <w:szCs w:val="21"/>
          <w:highlight w:val="none"/>
          <w:lang w:bidi="ar"/>
        </w:rPr>
        <w:t>二十二、合同备案</w:t>
      </w:r>
    </w:p>
    <w:p w14:paraId="1CA06681">
      <w:pPr>
        <w:ind w:firstLine="420" w:firstLineChars="200"/>
        <w:rPr>
          <w:rFonts w:ascii="宋体" w:hAnsi="宋体" w:cs="宋体"/>
          <w:szCs w:val="21"/>
          <w:highlight w:val="none"/>
        </w:rPr>
      </w:pPr>
      <w:r>
        <w:rPr>
          <w:rFonts w:hint="eastAsia" w:ascii="宋体" w:hAnsi="宋体" w:cs="宋体"/>
          <w:szCs w:val="21"/>
          <w:highlight w:val="none"/>
          <w:lang w:bidi="ar"/>
        </w:rPr>
        <w:t>22.1自本合同订立之日起七个工作日内，向本级政府采购监督管理部门备案。</w:t>
      </w:r>
    </w:p>
    <w:p w14:paraId="10B256A5">
      <w:pPr>
        <w:ind w:firstLine="422" w:firstLineChars="200"/>
        <w:rPr>
          <w:rFonts w:ascii="宋体" w:hAnsi="宋体" w:cs="宋体"/>
          <w:b/>
          <w:bCs/>
          <w:szCs w:val="21"/>
          <w:highlight w:val="none"/>
        </w:rPr>
      </w:pPr>
      <w:r>
        <w:rPr>
          <w:rFonts w:hint="eastAsia" w:ascii="宋体" w:hAnsi="宋体" w:cs="宋体"/>
          <w:b/>
          <w:bCs/>
          <w:szCs w:val="21"/>
          <w:highlight w:val="none"/>
          <w:lang w:bidi="ar"/>
        </w:rPr>
        <w:t>二十三、政府采购法对政府采购合同变更终止的规定：</w:t>
      </w:r>
      <w:r>
        <w:rPr>
          <w:rFonts w:hint="eastAsia" w:ascii="宋体" w:hAnsi="宋体" w:cs="宋体"/>
          <w:szCs w:val="21"/>
          <w:highlight w:val="none"/>
          <w:lang w:bidi="ar"/>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3888BB7D">
      <w:pPr>
        <w:rPr>
          <w:rFonts w:ascii="宋体" w:hAnsi="宋体" w:cs="宋体"/>
          <w:szCs w:val="21"/>
          <w:highlight w:val="none"/>
        </w:rPr>
      </w:pPr>
      <w:r>
        <w:rPr>
          <w:rFonts w:hint="eastAsia" w:ascii="宋体" w:hAnsi="宋体" w:cs="宋体"/>
          <w:szCs w:val="21"/>
          <w:highlight w:val="none"/>
          <w:lang w:bidi="ar"/>
        </w:rPr>
        <w:t xml:space="preserve">  需方：                                  供方：</w:t>
      </w:r>
    </w:p>
    <w:p w14:paraId="526F3364">
      <w:pPr>
        <w:ind w:firstLine="210" w:firstLineChars="100"/>
        <w:rPr>
          <w:rFonts w:ascii="宋体" w:hAnsi="宋体" w:cs="宋体"/>
          <w:szCs w:val="21"/>
          <w:highlight w:val="none"/>
        </w:rPr>
      </w:pPr>
      <w:r>
        <w:rPr>
          <w:rFonts w:hint="eastAsia" w:ascii="宋体" w:hAnsi="宋体" w:cs="宋体"/>
          <w:szCs w:val="21"/>
          <w:highlight w:val="none"/>
          <w:lang w:bidi="ar"/>
        </w:rPr>
        <w:t>地址：                                  地址：</w:t>
      </w:r>
    </w:p>
    <w:p w14:paraId="476C30DC">
      <w:pPr>
        <w:ind w:firstLine="210" w:firstLineChars="100"/>
        <w:rPr>
          <w:rFonts w:ascii="宋体" w:hAnsi="宋体" w:cs="宋体"/>
          <w:szCs w:val="21"/>
          <w:highlight w:val="none"/>
        </w:rPr>
      </w:pPr>
      <w:r>
        <w:rPr>
          <w:rFonts w:hint="eastAsia" w:ascii="宋体" w:hAnsi="宋体" w:cs="宋体"/>
          <w:szCs w:val="21"/>
          <w:highlight w:val="none"/>
          <w:lang w:bidi="ar"/>
        </w:rPr>
        <w:t xml:space="preserve">法定代表人 ：                           法定代表人 :              </w:t>
      </w:r>
    </w:p>
    <w:p w14:paraId="488F027D">
      <w:pPr>
        <w:ind w:firstLine="210" w:firstLineChars="100"/>
        <w:rPr>
          <w:rFonts w:ascii="宋体" w:hAnsi="宋体" w:cs="宋体"/>
          <w:szCs w:val="21"/>
          <w:highlight w:val="none"/>
        </w:rPr>
      </w:pPr>
      <w:r>
        <w:rPr>
          <w:rFonts w:hint="eastAsia" w:ascii="宋体" w:hAnsi="宋体" w:cs="宋体"/>
          <w:szCs w:val="21"/>
          <w:highlight w:val="none"/>
          <w:lang w:bidi="ar"/>
        </w:rPr>
        <w:t>或授权委托人：                          或授权代理人：</w:t>
      </w:r>
    </w:p>
    <w:p w14:paraId="74AF234C">
      <w:pPr>
        <w:ind w:firstLine="210" w:firstLineChars="100"/>
        <w:rPr>
          <w:rFonts w:ascii="宋体" w:hAnsi="宋体" w:cs="宋体"/>
          <w:szCs w:val="21"/>
          <w:highlight w:val="none"/>
        </w:rPr>
      </w:pPr>
      <w:r>
        <w:rPr>
          <w:rFonts w:hint="eastAsia" w:ascii="宋体" w:hAnsi="宋体" w:cs="宋体"/>
          <w:szCs w:val="21"/>
          <w:highlight w:val="none"/>
          <w:lang w:bidi="ar"/>
        </w:rPr>
        <w:t>签字日期：                              签字日期：</w:t>
      </w:r>
    </w:p>
    <w:p w14:paraId="142890E0">
      <w:pPr>
        <w:ind w:firstLine="210" w:firstLineChars="100"/>
        <w:rPr>
          <w:rFonts w:ascii="宋体" w:hAnsi="宋体" w:cs="宋体"/>
          <w:szCs w:val="21"/>
          <w:highlight w:val="none"/>
        </w:rPr>
      </w:pPr>
      <w:r>
        <w:rPr>
          <w:rFonts w:hint="eastAsia" w:ascii="宋体" w:hAnsi="宋体" w:cs="宋体"/>
          <w:szCs w:val="21"/>
          <w:highlight w:val="none"/>
          <w:lang w:bidi="ar"/>
        </w:rPr>
        <w:t>邮政编码：                              邮政编码：</w:t>
      </w:r>
    </w:p>
    <w:p w14:paraId="297E83E3">
      <w:pPr>
        <w:ind w:firstLine="210" w:firstLineChars="100"/>
        <w:rPr>
          <w:rFonts w:ascii="宋体" w:hAnsi="宋体" w:cs="宋体"/>
          <w:szCs w:val="21"/>
          <w:highlight w:val="none"/>
        </w:rPr>
      </w:pPr>
      <w:r>
        <w:rPr>
          <w:rFonts w:hint="eastAsia" w:ascii="宋体" w:hAnsi="宋体" w:cs="宋体"/>
          <w:szCs w:val="21"/>
          <w:highlight w:val="none"/>
          <w:lang w:bidi="ar"/>
        </w:rPr>
        <w:t>电话：                                  电话：</w:t>
      </w:r>
    </w:p>
    <w:p w14:paraId="55FEE771">
      <w:pPr>
        <w:ind w:firstLine="210" w:firstLineChars="100"/>
        <w:rPr>
          <w:rFonts w:ascii="宋体" w:hAnsi="宋体" w:cs="宋体"/>
          <w:szCs w:val="21"/>
          <w:highlight w:val="none"/>
        </w:rPr>
      </w:pPr>
      <w:r>
        <w:rPr>
          <w:rFonts w:hint="eastAsia" w:ascii="宋体" w:hAnsi="宋体" w:cs="宋体"/>
          <w:szCs w:val="21"/>
          <w:highlight w:val="none"/>
          <w:lang w:bidi="ar"/>
        </w:rPr>
        <w:t>传真：                                  传真：</w:t>
      </w:r>
    </w:p>
    <w:p w14:paraId="1ABA8BEE">
      <w:pPr>
        <w:ind w:firstLine="210" w:firstLineChars="100"/>
        <w:rPr>
          <w:rFonts w:ascii="宋体" w:hAnsi="宋体" w:cs="宋体"/>
          <w:szCs w:val="21"/>
          <w:highlight w:val="none"/>
        </w:rPr>
      </w:pPr>
      <w:r>
        <w:rPr>
          <w:rFonts w:hint="eastAsia" w:ascii="宋体" w:hAnsi="宋体" w:cs="宋体"/>
          <w:szCs w:val="21"/>
          <w:highlight w:val="none"/>
          <w:lang w:bidi="ar"/>
        </w:rPr>
        <w:t>联系人：                                联系人：</w:t>
      </w:r>
    </w:p>
    <w:p w14:paraId="3AB66709">
      <w:pPr>
        <w:ind w:firstLine="210" w:firstLineChars="100"/>
        <w:rPr>
          <w:rFonts w:ascii="宋体" w:hAnsi="宋体" w:cs="宋体"/>
          <w:szCs w:val="21"/>
          <w:highlight w:val="none"/>
        </w:rPr>
      </w:pPr>
      <w:r>
        <w:rPr>
          <w:rFonts w:hint="eastAsia" w:ascii="宋体" w:hAnsi="宋体" w:cs="宋体"/>
          <w:szCs w:val="21"/>
          <w:highlight w:val="none"/>
          <w:lang w:bidi="ar"/>
        </w:rPr>
        <w:t>开户银行：                              开户银行：</w:t>
      </w:r>
    </w:p>
    <w:p w14:paraId="7483820E">
      <w:pPr>
        <w:ind w:firstLine="210" w:firstLineChars="100"/>
        <w:rPr>
          <w:rFonts w:ascii="宋体" w:hAnsi="宋体" w:cs="宋体"/>
          <w:szCs w:val="21"/>
          <w:highlight w:val="none"/>
        </w:rPr>
      </w:pPr>
      <w:r>
        <w:rPr>
          <w:rFonts w:hint="eastAsia" w:ascii="宋体" w:hAnsi="宋体" w:cs="宋体"/>
          <w:szCs w:val="21"/>
          <w:highlight w:val="none"/>
          <w:lang w:eastAsia="zh-CN" w:bidi="ar"/>
        </w:rPr>
        <w:t>账</w:t>
      </w:r>
      <w:r>
        <w:rPr>
          <w:rFonts w:hint="eastAsia" w:ascii="宋体" w:hAnsi="宋体" w:cs="宋体"/>
          <w:szCs w:val="21"/>
          <w:highlight w:val="none"/>
          <w:lang w:bidi="ar"/>
        </w:rPr>
        <w:t xml:space="preserve">户名称:                               </w:t>
      </w:r>
      <w:r>
        <w:rPr>
          <w:rFonts w:hint="eastAsia" w:ascii="宋体" w:hAnsi="宋体" w:cs="宋体"/>
          <w:szCs w:val="21"/>
          <w:highlight w:val="none"/>
          <w:lang w:eastAsia="zh-CN" w:bidi="ar"/>
        </w:rPr>
        <w:t>账</w:t>
      </w:r>
      <w:r>
        <w:rPr>
          <w:rFonts w:hint="eastAsia" w:ascii="宋体" w:hAnsi="宋体" w:cs="宋体"/>
          <w:szCs w:val="21"/>
          <w:highlight w:val="none"/>
          <w:lang w:bidi="ar"/>
        </w:rPr>
        <w:t>户名称：</w:t>
      </w:r>
    </w:p>
    <w:p w14:paraId="33F16754">
      <w:pPr>
        <w:ind w:firstLine="210" w:firstLineChars="100"/>
        <w:rPr>
          <w:rFonts w:ascii="宋体" w:hAnsi="宋体" w:cs="宋体"/>
          <w:szCs w:val="21"/>
          <w:highlight w:val="none"/>
        </w:rPr>
      </w:pPr>
      <w:r>
        <w:rPr>
          <w:rFonts w:hint="eastAsia" w:ascii="宋体" w:hAnsi="宋体" w:cs="宋体"/>
          <w:szCs w:val="21"/>
          <w:highlight w:val="none"/>
          <w:lang w:eastAsia="zh-CN" w:bidi="ar"/>
        </w:rPr>
        <w:t>账</w:t>
      </w:r>
      <w:r>
        <w:rPr>
          <w:rFonts w:hint="eastAsia" w:ascii="宋体" w:hAnsi="宋体" w:cs="宋体"/>
          <w:szCs w:val="21"/>
          <w:highlight w:val="none"/>
          <w:lang w:bidi="ar"/>
        </w:rPr>
        <w:t xml:space="preserve">号：                                  </w:t>
      </w:r>
      <w:r>
        <w:rPr>
          <w:rFonts w:hint="eastAsia" w:ascii="宋体" w:hAnsi="宋体" w:cs="宋体"/>
          <w:szCs w:val="21"/>
          <w:highlight w:val="none"/>
          <w:lang w:eastAsia="zh-CN" w:bidi="ar"/>
        </w:rPr>
        <w:t>账</w:t>
      </w:r>
      <w:r>
        <w:rPr>
          <w:rFonts w:hint="eastAsia" w:ascii="宋体" w:hAnsi="宋体" w:cs="宋体"/>
          <w:szCs w:val="21"/>
          <w:highlight w:val="none"/>
          <w:lang w:bidi="ar"/>
        </w:rPr>
        <w:t>号</w:t>
      </w:r>
    </w:p>
    <w:p w14:paraId="081A692E">
      <w:pPr>
        <w:ind w:firstLine="211" w:firstLineChars="100"/>
        <w:rPr>
          <w:rFonts w:hint="eastAsia" w:ascii="宋体" w:hAnsi="宋体" w:eastAsia="宋体" w:cs="宋体"/>
          <w:b/>
          <w:bCs/>
          <w:highlight w:val="none"/>
          <w:lang w:val="en-US" w:eastAsia="zh-CN"/>
        </w:rPr>
      </w:pPr>
      <w:r>
        <w:rPr>
          <w:rFonts w:hint="eastAsia" w:ascii="宋体" w:hAnsi="宋体" w:cs="宋体"/>
          <w:b/>
          <w:bCs/>
          <w:szCs w:val="21"/>
          <w:highlight w:val="none"/>
          <w:lang w:bidi="ar"/>
        </w:rPr>
        <w:t>注：最终合同内容以双方实际签订合同为准。</w:t>
      </w:r>
    </w:p>
    <w:p w14:paraId="7DA3E86C">
      <w:pPr>
        <w:numPr>
          <w:ilvl w:val="0"/>
          <w:numId w:val="0"/>
        </w:numPr>
        <w:rPr>
          <w:rFonts w:hint="eastAsia"/>
          <w:highlight w:val="none"/>
          <w:lang w:val="en-US" w:eastAsia="zh-CN"/>
        </w:rPr>
      </w:pPr>
    </w:p>
    <w:bookmarkEnd w:id="58"/>
    <w:bookmarkEnd w:id="59"/>
    <w:bookmarkEnd w:id="60"/>
    <w:bookmarkEnd w:id="61"/>
    <w:bookmarkEnd w:id="62"/>
    <w:bookmarkEnd w:id="63"/>
    <w:bookmarkEnd w:id="64"/>
    <w:p w14:paraId="14E785F9">
      <w:pPr>
        <w:pStyle w:val="5"/>
        <w:rPr>
          <w:rFonts w:hint="eastAsia"/>
          <w:highlight w:val="none"/>
        </w:rPr>
      </w:pPr>
      <w:bookmarkStart w:id="65" w:name="_Toc4066"/>
      <w:bookmarkStart w:id="66" w:name="_Toc2124"/>
      <w:bookmarkStart w:id="67" w:name="_Toc29506"/>
      <w:bookmarkStart w:id="68" w:name="_Toc5796"/>
      <w:bookmarkStart w:id="69" w:name="_Toc3073"/>
      <w:bookmarkStart w:id="70" w:name="_Toc4746"/>
      <w:bookmarkStart w:id="71" w:name="_Toc22112"/>
      <w:bookmarkStart w:id="72" w:name="_Toc317"/>
    </w:p>
    <w:p w14:paraId="38135C99">
      <w:pPr>
        <w:rPr>
          <w:rFonts w:hint="eastAsia"/>
          <w:highlight w:val="none"/>
        </w:rPr>
      </w:pPr>
    </w:p>
    <w:p w14:paraId="0A2F73D5">
      <w:pPr>
        <w:pStyle w:val="27"/>
        <w:rPr>
          <w:rFonts w:hint="eastAsia"/>
          <w:highlight w:val="none"/>
        </w:rPr>
      </w:pPr>
    </w:p>
    <w:p w14:paraId="73295CDE">
      <w:pPr>
        <w:pStyle w:val="27"/>
        <w:rPr>
          <w:rFonts w:hint="eastAsia"/>
          <w:highlight w:val="none"/>
        </w:rPr>
      </w:pPr>
    </w:p>
    <w:p w14:paraId="6E1D2ECB">
      <w:pPr>
        <w:pStyle w:val="27"/>
        <w:rPr>
          <w:rFonts w:hint="eastAsia"/>
          <w:highlight w:val="none"/>
        </w:rPr>
      </w:pPr>
    </w:p>
    <w:p w14:paraId="7ADA550E">
      <w:pPr>
        <w:pStyle w:val="27"/>
        <w:rPr>
          <w:rFonts w:hint="eastAsia"/>
          <w:highlight w:val="none"/>
        </w:rPr>
      </w:pPr>
    </w:p>
    <w:p w14:paraId="14499900">
      <w:pPr>
        <w:pStyle w:val="27"/>
        <w:rPr>
          <w:rFonts w:hint="eastAsia"/>
          <w:highlight w:val="none"/>
        </w:rPr>
      </w:pPr>
    </w:p>
    <w:p w14:paraId="1E19496F">
      <w:pPr>
        <w:pStyle w:val="27"/>
        <w:rPr>
          <w:rFonts w:hint="eastAsia"/>
          <w:highlight w:val="none"/>
        </w:rPr>
      </w:pPr>
    </w:p>
    <w:p w14:paraId="6B0C633F">
      <w:pPr>
        <w:pStyle w:val="27"/>
        <w:rPr>
          <w:rFonts w:hint="eastAsia"/>
          <w:highlight w:val="none"/>
        </w:rPr>
      </w:pPr>
    </w:p>
    <w:p w14:paraId="1B91E7C6">
      <w:pPr>
        <w:pStyle w:val="27"/>
        <w:rPr>
          <w:rFonts w:hint="eastAsia"/>
          <w:highlight w:val="none"/>
        </w:rPr>
      </w:pPr>
    </w:p>
    <w:p w14:paraId="7CD4B591">
      <w:pPr>
        <w:pStyle w:val="27"/>
        <w:rPr>
          <w:rFonts w:hint="eastAsia"/>
          <w:highlight w:val="none"/>
        </w:rPr>
      </w:pPr>
    </w:p>
    <w:p w14:paraId="498C04ED">
      <w:pPr>
        <w:pStyle w:val="27"/>
        <w:rPr>
          <w:rFonts w:hint="eastAsia"/>
          <w:highlight w:val="none"/>
        </w:rPr>
      </w:pPr>
    </w:p>
    <w:p w14:paraId="54705E82">
      <w:pPr>
        <w:pStyle w:val="27"/>
        <w:rPr>
          <w:rFonts w:hint="eastAsia"/>
          <w:highlight w:val="none"/>
        </w:rPr>
      </w:pPr>
    </w:p>
    <w:p w14:paraId="3183A30B">
      <w:pPr>
        <w:pStyle w:val="27"/>
        <w:rPr>
          <w:rFonts w:hint="eastAsia"/>
          <w:highlight w:val="none"/>
        </w:rPr>
      </w:pPr>
    </w:p>
    <w:p w14:paraId="741444AA">
      <w:pPr>
        <w:pStyle w:val="27"/>
        <w:rPr>
          <w:rFonts w:hint="eastAsia"/>
          <w:highlight w:val="none"/>
        </w:rPr>
      </w:pPr>
    </w:p>
    <w:p w14:paraId="5286C169">
      <w:pPr>
        <w:pStyle w:val="27"/>
        <w:rPr>
          <w:rFonts w:hint="eastAsia"/>
          <w:highlight w:val="none"/>
        </w:rPr>
      </w:pPr>
    </w:p>
    <w:p w14:paraId="482F99E1">
      <w:pPr>
        <w:pStyle w:val="27"/>
        <w:rPr>
          <w:rFonts w:hint="eastAsia"/>
          <w:highlight w:val="none"/>
        </w:rPr>
      </w:pPr>
    </w:p>
    <w:p w14:paraId="30726537">
      <w:pPr>
        <w:pStyle w:val="27"/>
        <w:rPr>
          <w:rFonts w:hint="eastAsia"/>
          <w:highlight w:val="none"/>
        </w:rPr>
      </w:pPr>
    </w:p>
    <w:p w14:paraId="5F2D4ED3">
      <w:pPr>
        <w:pStyle w:val="27"/>
        <w:rPr>
          <w:rFonts w:hint="eastAsia"/>
          <w:highlight w:val="none"/>
        </w:rPr>
      </w:pPr>
    </w:p>
    <w:p w14:paraId="37D39EF4">
      <w:pPr>
        <w:pStyle w:val="27"/>
        <w:rPr>
          <w:rFonts w:hint="eastAsia"/>
          <w:highlight w:val="none"/>
        </w:rPr>
      </w:pPr>
    </w:p>
    <w:p w14:paraId="491C27EA">
      <w:pPr>
        <w:pStyle w:val="27"/>
        <w:rPr>
          <w:rFonts w:hint="eastAsia"/>
          <w:highlight w:val="none"/>
        </w:rPr>
      </w:pPr>
    </w:p>
    <w:p w14:paraId="54BFE7A5">
      <w:pPr>
        <w:pStyle w:val="27"/>
        <w:rPr>
          <w:rFonts w:hint="eastAsia"/>
          <w:highlight w:val="none"/>
        </w:rPr>
      </w:pPr>
    </w:p>
    <w:p w14:paraId="42BF9A9E">
      <w:pPr>
        <w:pStyle w:val="27"/>
        <w:rPr>
          <w:rFonts w:hint="eastAsia"/>
          <w:highlight w:val="none"/>
        </w:rPr>
      </w:pPr>
    </w:p>
    <w:p w14:paraId="2B87ADDF">
      <w:pPr>
        <w:pStyle w:val="27"/>
        <w:rPr>
          <w:rFonts w:hint="eastAsia"/>
          <w:highlight w:val="none"/>
        </w:rPr>
      </w:pPr>
    </w:p>
    <w:p w14:paraId="3B9808F0">
      <w:pPr>
        <w:pStyle w:val="27"/>
        <w:rPr>
          <w:rFonts w:hint="eastAsia"/>
          <w:highlight w:val="none"/>
        </w:rPr>
      </w:pPr>
    </w:p>
    <w:p w14:paraId="321C519B">
      <w:pPr>
        <w:pStyle w:val="27"/>
        <w:rPr>
          <w:rFonts w:hint="eastAsia"/>
          <w:highlight w:val="none"/>
        </w:rPr>
      </w:pPr>
    </w:p>
    <w:p w14:paraId="668E5D32">
      <w:pPr>
        <w:pStyle w:val="27"/>
        <w:rPr>
          <w:rFonts w:hint="eastAsia"/>
          <w:highlight w:val="none"/>
        </w:rPr>
      </w:pPr>
    </w:p>
    <w:p w14:paraId="1DE33960">
      <w:pPr>
        <w:pStyle w:val="27"/>
        <w:rPr>
          <w:rFonts w:hint="eastAsia"/>
          <w:highlight w:val="none"/>
        </w:rPr>
      </w:pPr>
    </w:p>
    <w:p w14:paraId="519FFD52">
      <w:pPr>
        <w:pStyle w:val="27"/>
        <w:rPr>
          <w:rFonts w:hint="eastAsia"/>
          <w:highlight w:val="none"/>
        </w:rPr>
      </w:pPr>
    </w:p>
    <w:p w14:paraId="2BCE5F17">
      <w:pPr>
        <w:pStyle w:val="27"/>
        <w:rPr>
          <w:rFonts w:hint="eastAsia"/>
          <w:highlight w:val="none"/>
        </w:rPr>
      </w:pPr>
    </w:p>
    <w:p w14:paraId="2A88592F">
      <w:pPr>
        <w:pStyle w:val="27"/>
        <w:rPr>
          <w:rFonts w:hint="eastAsia"/>
          <w:highlight w:val="none"/>
        </w:rPr>
      </w:pPr>
    </w:p>
    <w:p w14:paraId="25F7ED9B">
      <w:pPr>
        <w:pStyle w:val="27"/>
        <w:rPr>
          <w:rFonts w:hint="eastAsia"/>
          <w:highlight w:val="none"/>
        </w:rPr>
      </w:pPr>
    </w:p>
    <w:p w14:paraId="1A1653B3">
      <w:pPr>
        <w:pStyle w:val="27"/>
        <w:rPr>
          <w:rFonts w:hint="eastAsia"/>
          <w:highlight w:val="none"/>
        </w:rPr>
      </w:pPr>
    </w:p>
    <w:p w14:paraId="1BD8F359">
      <w:pPr>
        <w:pStyle w:val="2"/>
        <w:numPr>
          <w:ilvl w:val="0"/>
          <w:numId w:val="0"/>
        </w:numPr>
        <w:spacing w:line="240" w:lineRule="auto"/>
        <w:jc w:val="center"/>
        <w:rPr>
          <w:rFonts w:hint="eastAsia" w:ascii="宋体" w:hAnsi="宋体" w:cs="宋体"/>
          <w:kern w:val="1"/>
          <w:highlight w:val="red"/>
          <w:lang w:val="zh-CN"/>
        </w:rPr>
      </w:pPr>
      <w:r>
        <w:rPr>
          <w:rFonts w:hint="eastAsia" w:ascii="宋体" w:hAnsi="宋体" w:cs="宋体"/>
          <w:color w:val="auto"/>
          <w:highlight w:val="none"/>
        </w:rPr>
        <w:t xml:space="preserve">第五章 </w:t>
      </w:r>
      <w:bookmarkEnd w:id="65"/>
      <w:bookmarkEnd w:id="66"/>
      <w:bookmarkStart w:id="73" w:name="_Toc7939"/>
      <w:bookmarkStart w:id="74" w:name="_Toc7022"/>
      <w:r>
        <w:rPr>
          <w:rFonts w:hint="eastAsia" w:ascii="宋体" w:hAnsi="宋体" w:cs="宋体"/>
          <w:kern w:val="1"/>
          <w:highlight w:val="none"/>
          <w:lang w:val="zh-CN"/>
        </w:rPr>
        <w:t>技术服务要求</w:t>
      </w:r>
      <w:bookmarkEnd w:id="73"/>
    </w:p>
    <w:p w14:paraId="0724E5E3">
      <w:pPr>
        <w:spacing w:line="360" w:lineRule="auto"/>
        <w:ind w:firstLine="376" w:firstLineChars="171"/>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一、</w:t>
      </w:r>
      <w:r>
        <w:rPr>
          <w:rFonts w:hint="eastAsia" w:ascii="宋体" w:hAnsi="宋体" w:eastAsia="宋体" w:cs="宋体"/>
          <w:sz w:val="22"/>
          <w:szCs w:val="22"/>
          <w:highlight w:val="none"/>
          <w:lang w:val="en-US" w:eastAsia="zh-CN"/>
        </w:rPr>
        <w:t>项目简要说明</w:t>
      </w:r>
    </w:p>
    <w:p w14:paraId="4D70D760">
      <w:pPr>
        <w:pStyle w:val="27"/>
        <w:numPr>
          <w:ilvl w:val="0"/>
          <w:numId w:val="0"/>
        </w:numPr>
        <w:spacing w:line="360" w:lineRule="auto"/>
        <w:ind w:firstLine="480" w:firstLineChars="200"/>
        <w:rPr>
          <w:rFonts w:hint="eastAsia" w:cs="Times New Roman"/>
          <w:lang w:val="zh-CN" w:eastAsia="zh-CN"/>
        </w:rPr>
      </w:pPr>
      <w:r>
        <w:rPr>
          <w:rFonts w:hint="eastAsia" w:cs="Times New Roman"/>
          <w:lang w:val="en-US" w:eastAsia="zh-CN"/>
        </w:rPr>
        <w:t>1.</w:t>
      </w:r>
      <w:r>
        <w:rPr>
          <w:rFonts w:hint="eastAsia" w:cs="Times New Roman"/>
          <w:lang w:val="zh-CN" w:eastAsia="zh-CN"/>
        </w:rPr>
        <w:t>复检工作。原则上，复检机构与初检机构不得为同一机构，有关费用包含在中标费用中，复检工作不再另行付费。复检结论与初检结论一致的，复检费用由复检申请人承担；与初检结论不一致的，复检费用由初检机构承担。</w:t>
      </w:r>
    </w:p>
    <w:p w14:paraId="4E6B8DA7">
      <w:pPr>
        <w:pStyle w:val="27"/>
        <w:numPr>
          <w:ilvl w:val="0"/>
          <w:numId w:val="0"/>
        </w:numPr>
        <w:spacing w:line="360" w:lineRule="auto"/>
        <w:ind w:firstLine="480" w:firstLineChars="200"/>
        <w:rPr>
          <w:rFonts w:hint="eastAsia" w:cs="Times New Roman"/>
          <w:lang w:val="zh-CN" w:eastAsia="zh-CN"/>
        </w:rPr>
      </w:pPr>
      <w:r>
        <w:rPr>
          <w:rFonts w:hint="eastAsia" w:cs="Times New Roman"/>
          <w:lang w:val="en-US" w:eastAsia="zh-CN"/>
        </w:rPr>
        <w:t>2.</w:t>
      </w:r>
      <w:r>
        <w:rPr>
          <w:rFonts w:hint="eastAsia" w:cs="Times New Roman"/>
          <w:lang w:val="zh-CN" w:eastAsia="zh-CN"/>
        </w:rPr>
        <w:t>复查工作。复查工作仅针对于生产领域，原则上由出具最终不合格报告的检验机构完成复查相关检验工作。有关费用已包含在中标费用中，复查工作不再另行付费。</w:t>
      </w:r>
    </w:p>
    <w:p w14:paraId="44666B7F">
      <w:pPr>
        <w:pStyle w:val="27"/>
        <w:numPr>
          <w:ilvl w:val="0"/>
          <w:numId w:val="0"/>
        </w:numPr>
        <w:spacing w:line="360" w:lineRule="auto"/>
        <w:ind w:firstLine="480" w:firstLineChars="200"/>
        <w:rPr>
          <w:rFonts w:hint="eastAsia" w:cs="Times New Roman"/>
          <w:lang w:val="zh-CN" w:eastAsia="zh-CN"/>
        </w:rPr>
      </w:pPr>
      <w:r>
        <w:rPr>
          <w:rFonts w:hint="eastAsia" w:cs="Times New Roman"/>
          <w:lang w:val="zh-CN" w:eastAsia="zh-CN"/>
        </w:rPr>
        <w:t>注：供应商报价应包含开展产品质量监督抽查抽样检验服务的全部费用，包含但不限于抽样产生的人员差旅、住宿、补助费，样品购置费及运输费以及检验费、复检费等。</w:t>
      </w:r>
    </w:p>
    <w:p w14:paraId="0B4881EC">
      <w:pPr>
        <w:spacing w:line="360" w:lineRule="auto"/>
        <w:ind w:firstLine="376" w:firstLineChars="171"/>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二、采购需求如下表：</w:t>
      </w:r>
    </w:p>
    <w:p w14:paraId="0DCBD04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p w14:paraId="441A29D9">
      <w:pPr>
        <w:pStyle w:val="44"/>
        <w:rPr>
          <w:rFonts w:hint="eastAsia"/>
        </w:rPr>
      </w:pPr>
    </w:p>
    <w:p w14:paraId="2A25B6B7">
      <w:pPr>
        <w:jc w:val="center"/>
        <w:rPr>
          <w:rFonts w:hint="eastAsia" w:ascii="宋体" w:hAnsi="宋体"/>
          <w:color w:val="auto"/>
          <w:kern w:val="1"/>
          <w:lang w:val="zh-CN"/>
        </w:rPr>
        <w:sectPr>
          <w:footerReference r:id="rId5" w:type="first"/>
          <w:footerReference r:id="rId4" w:type="default"/>
          <w:pgSz w:w="11906" w:h="16838"/>
          <w:pgMar w:top="720" w:right="1417" w:bottom="720" w:left="1417" w:header="720" w:footer="737" w:gutter="0"/>
          <w:pgNumType w:fmt="decimal"/>
          <w:cols w:space="720" w:num="1"/>
          <w:titlePg/>
        </w:sectPr>
      </w:pPr>
    </w:p>
    <w:p w14:paraId="60838ACB">
      <w:pPr>
        <w:pStyle w:val="83"/>
        <w:jc w:val="both"/>
        <w:outlineLvl w:val="0"/>
        <w:rPr>
          <w:rFonts w:ascii="宋体" w:cs="宋体"/>
          <w:b/>
          <w:bCs/>
          <w:sz w:val="24"/>
          <w:szCs w:val="24"/>
          <w:lang w:val="zh-CN"/>
        </w:rPr>
      </w:pPr>
      <w:r>
        <w:rPr>
          <w:rFonts w:hint="eastAsia" w:ascii="宋体" w:hAnsi="宋体" w:cs="宋体"/>
          <w:b/>
          <w:bCs/>
          <w:sz w:val="24"/>
          <w:szCs w:val="24"/>
          <w:lang w:val="zh-CN"/>
        </w:rPr>
        <w:t>服务需求及服务要求</w:t>
      </w:r>
      <w:r>
        <w:rPr>
          <w:rFonts w:hint="eastAsia" w:ascii="宋体" w:cs="宋体"/>
          <w:b/>
          <w:bCs/>
          <w:sz w:val="24"/>
          <w:szCs w:val="24"/>
          <w:lang w:val="zh-CN"/>
        </w:rPr>
        <w:t>一览表</w:t>
      </w:r>
    </w:p>
    <w:tbl>
      <w:tblPr>
        <w:tblStyle w:val="28"/>
        <w:tblW w:w="92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1878"/>
        <w:gridCol w:w="4233"/>
        <w:gridCol w:w="1112"/>
        <w:gridCol w:w="1197"/>
      </w:tblGrid>
      <w:tr w14:paraId="0EC4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9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产品分类</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3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抽检批次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0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经费支出  （万元）</w:t>
            </w:r>
          </w:p>
        </w:tc>
      </w:tr>
      <w:tr w14:paraId="0B3F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1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9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儿童学生用品及纺织品</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1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学生校服、文具、玩具、童鞋、婴幼儿服装；羽绒服、运动服装、老人鞋、一次性防护用品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4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8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r>
      <w:tr w14:paraId="2F68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D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手提式灭火器、消防应急照明灯具、消火栓、消防水带、消防水枪、防火门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9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r>
      <w:tr w14:paraId="318A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4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6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燃气灶、配件及相关产品</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F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用可燃气体探测器、家用燃气灶、商用燃气灶、瓶装液化石油气调压器、</w:t>
            </w:r>
            <w:r>
              <w:rPr>
                <w:rFonts w:hint="eastAsia" w:ascii="宋体" w:hAnsi="宋体" w:eastAsia="宋体" w:cs="宋体"/>
                <w:i w:val="0"/>
                <w:iCs w:val="0"/>
                <w:color w:val="000000"/>
                <w:kern w:val="0"/>
                <w:sz w:val="22"/>
                <w:szCs w:val="22"/>
                <w:u w:val="none"/>
                <w:lang w:val="en-US" w:eastAsia="zh-CN" w:bidi="ar"/>
              </w:rPr>
              <w:softHyphen/>
            </w:r>
            <w:r>
              <w:rPr>
                <w:rFonts w:hint="eastAsia" w:ascii="宋体" w:hAnsi="宋体" w:eastAsia="宋体" w:cs="宋体"/>
                <w:i w:val="0"/>
                <w:iCs w:val="0"/>
                <w:color w:val="000000"/>
                <w:kern w:val="0"/>
                <w:sz w:val="22"/>
                <w:szCs w:val="22"/>
                <w:u w:val="none"/>
                <w:lang w:val="en-US" w:eastAsia="zh-CN" w:bidi="ar"/>
              </w:rPr>
              <w:t>燃气用具连接用软管；户外燃气燃烧器具；吸油烟机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4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14:paraId="4726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E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3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危险化学品及包装物</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6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变性燃料乙醇、工业糠醛、工业用合成盐酸、液化石油气、醇基燃料</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C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7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46E8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A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F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电动自行车</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B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电动自行车、电池、充电器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8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5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3345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1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D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食品相关产品</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D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餐具洗涤剂、食品接触用纸包装及容器等制品、食品接触用玻璃器皿、塑料包装容器、塑料菜板、不锈钢真空杯、食品接触用金属器皿及工具；月饼、茶叶包装</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5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3D2A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劳动保护用品及建材</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6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安全帽、安全带、检查井盖、安全网；水泥、细木工板、胶合板</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E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5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9A7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C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煤制品</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A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民用散煤、民用型煤</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2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9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bl>
    <w:p w14:paraId="4140F26A">
      <w:pPr>
        <w:spacing w:line="360" w:lineRule="auto"/>
        <w:ind w:left="0" w:leftChars="0" w:firstLine="420" w:firstLineChars="175"/>
        <w:rPr>
          <w:rFonts w:hint="eastAsia" w:ascii="宋体" w:hAnsi="宋体" w:cs="宋体"/>
          <w:color w:val="auto"/>
          <w:sz w:val="24"/>
          <w:szCs w:val="24"/>
          <w:highlight w:val="none"/>
          <w:lang w:val="en-US" w:eastAsia="zh-Hans"/>
        </w:rPr>
      </w:pPr>
    </w:p>
    <w:p w14:paraId="1C504711">
      <w:pPr>
        <w:pStyle w:val="44"/>
        <w:rPr>
          <w:rFonts w:hint="eastAsia" w:ascii="宋体" w:hAnsi="宋体" w:cs="宋体"/>
          <w:color w:val="auto"/>
          <w:highlight w:val="none"/>
        </w:rPr>
      </w:pPr>
      <w:bookmarkStart w:id="75" w:name="_Toc24015"/>
    </w:p>
    <w:p w14:paraId="7DFD1034">
      <w:pPr>
        <w:rPr>
          <w:rFonts w:hint="eastAsia"/>
        </w:rPr>
      </w:pPr>
    </w:p>
    <w:p w14:paraId="2D1ACC2C">
      <w:pPr>
        <w:pStyle w:val="10"/>
        <w:rPr>
          <w:rFonts w:hint="eastAsia"/>
        </w:rPr>
      </w:pPr>
    </w:p>
    <w:p w14:paraId="4F11A415">
      <w:pPr>
        <w:pStyle w:val="11"/>
        <w:rPr>
          <w:rFonts w:hint="eastAsia"/>
        </w:rPr>
      </w:pPr>
    </w:p>
    <w:p w14:paraId="72EED64F">
      <w:pPr>
        <w:rPr>
          <w:rFonts w:hint="eastAsia"/>
        </w:rPr>
      </w:pPr>
    </w:p>
    <w:p w14:paraId="6D6C4CAA">
      <w:pPr>
        <w:pStyle w:val="10"/>
        <w:rPr>
          <w:rFonts w:hint="eastAsia"/>
        </w:rPr>
      </w:pPr>
    </w:p>
    <w:p w14:paraId="5F5C90DC">
      <w:pPr>
        <w:pStyle w:val="11"/>
        <w:rPr>
          <w:rFonts w:hint="eastAsia"/>
        </w:rPr>
      </w:pPr>
    </w:p>
    <w:p w14:paraId="11B23FE6">
      <w:pPr>
        <w:rPr>
          <w:rFonts w:hint="eastAsia"/>
        </w:rPr>
      </w:pPr>
    </w:p>
    <w:p w14:paraId="02C8320B">
      <w:pPr>
        <w:pStyle w:val="10"/>
        <w:rPr>
          <w:rFonts w:hint="eastAsia"/>
        </w:rPr>
      </w:pPr>
    </w:p>
    <w:p w14:paraId="26C30E94">
      <w:pPr>
        <w:pStyle w:val="83"/>
        <w:jc w:val="both"/>
        <w:outlineLvl w:val="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检测项目表</w:t>
      </w:r>
    </w:p>
    <w:tbl>
      <w:tblPr>
        <w:tblStyle w:val="2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0"/>
        <w:gridCol w:w="2102"/>
        <w:gridCol w:w="1814"/>
        <w:gridCol w:w="1555"/>
        <w:gridCol w:w="3045"/>
      </w:tblGrid>
      <w:tr w14:paraId="3B3A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32A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34E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细类</w:t>
            </w:r>
          </w:p>
        </w:tc>
        <w:tc>
          <w:tcPr>
            <w:tcW w:w="0" w:type="auto"/>
            <w:gridSpan w:val="2"/>
            <w:tcBorders>
              <w:top w:val="single" w:color="auto" w:sz="4" w:space="0"/>
              <w:left w:val="single" w:color="auto" w:sz="4" w:space="0"/>
              <w:bottom w:val="nil"/>
              <w:right w:val="single" w:color="000000" w:sz="8" w:space="0"/>
            </w:tcBorders>
            <w:shd w:val="clear" w:color="auto" w:fill="auto"/>
            <w:vAlign w:val="center"/>
          </w:tcPr>
          <w:p w14:paraId="4294A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检测项目</w:t>
            </w:r>
          </w:p>
        </w:tc>
        <w:tc>
          <w:tcPr>
            <w:tcW w:w="0" w:type="auto"/>
            <w:tcBorders>
              <w:top w:val="single" w:color="auto" w:sz="4" w:space="0"/>
              <w:left w:val="single" w:color="000000" w:sz="8" w:space="0"/>
              <w:bottom w:val="nil"/>
              <w:right w:val="single" w:color="auto" w:sz="4" w:space="0"/>
            </w:tcBorders>
            <w:shd w:val="clear" w:color="auto" w:fill="auto"/>
            <w:vAlign w:val="center"/>
          </w:tcPr>
          <w:p w14:paraId="6D5AE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检测方法</w:t>
            </w:r>
          </w:p>
        </w:tc>
      </w:tr>
      <w:tr w14:paraId="3DD6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5F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儿童学生用品及纺织品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0B3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学生校服</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47F25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DE68E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2912.1-2009</w:t>
            </w:r>
          </w:p>
        </w:tc>
      </w:tr>
      <w:tr w14:paraId="120E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CBE0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E6762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3F80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pH值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FBDE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7573-2009</w:t>
            </w:r>
          </w:p>
        </w:tc>
      </w:tr>
      <w:tr w14:paraId="60B1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95DE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4FEBE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227AC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可分解致癌芳香胺染料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4B1B4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17592-2011</w:t>
            </w:r>
          </w:p>
        </w:tc>
      </w:tr>
      <w:tr w14:paraId="6B27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4F20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C1160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79E4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9BE91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23344-2009</w:t>
            </w:r>
          </w:p>
        </w:tc>
      </w:tr>
      <w:tr w14:paraId="5B36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12B3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CEAC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D43E0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耐水色牢度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2DBC1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5713-2013</w:t>
            </w:r>
          </w:p>
        </w:tc>
      </w:tr>
      <w:tr w14:paraId="3A16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ADBD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2649C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F47D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耐酸、碱汗渍色牢度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4B991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3922-2013</w:t>
            </w:r>
          </w:p>
        </w:tc>
      </w:tr>
      <w:tr w14:paraId="0DB4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D780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71988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39BD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耐干摩擦色牢度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830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3920-2008</w:t>
            </w:r>
          </w:p>
        </w:tc>
      </w:tr>
      <w:tr w14:paraId="1505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284A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2F0E9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E6B18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耐湿摩擦色牢度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41E3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3920-2008</w:t>
            </w:r>
          </w:p>
        </w:tc>
      </w:tr>
      <w:tr w14:paraId="1AEE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E80E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6CADA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776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重金属（铅、镉）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4062F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30157-2013</w:t>
            </w:r>
          </w:p>
        </w:tc>
      </w:tr>
      <w:tr w14:paraId="7688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0579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480A9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7A1A6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附件锐利性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4623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31702-2015</w:t>
            </w:r>
          </w:p>
        </w:tc>
      </w:tr>
      <w:tr w14:paraId="71D9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05B9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366C3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D922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绳带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16B8A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31701-2015</w:t>
            </w:r>
          </w:p>
        </w:tc>
      </w:tr>
      <w:tr w14:paraId="4A8A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E9D7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CECC0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55DF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残留金属针</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B26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31701-2015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24121-2009</w:t>
            </w:r>
          </w:p>
        </w:tc>
      </w:tr>
      <w:tr w14:paraId="764F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E4FC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D2027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9A04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耐皂洗色牢度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06B6F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3921-2008</w:t>
            </w:r>
          </w:p>
        </w:tc>
      </w:tr>
      <w:tr w14:paraId="6B6E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88CC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C78C9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0E51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接缝强力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171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13773.1-2008</w:t>
            </w:r>
          </w:p>
        </w:tc>
      </w:tr>
      <w:tr w14:paraId="37FD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FB75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E1C09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55F36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纤维含量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9539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01057.1-2007</w:t>
            </w:r>
          </w:p>
        </w:tc>
      </w:tr>
      <w:tr w14:paraId="3730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CCAA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64B8D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0E47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0641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01057.2-2007</w:t>
            </w:r>
          </w:p>
        </w:tc>
      </w:tr>
      <w:tr w14:paraId="6F24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AD4B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8EE78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3F00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950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01057.3-2007</w:t>
            </w:r>
          </w:p>
        </w:tc>
      </w:tr>
      <w:tr w14:paraId="1EC8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7E2D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9941F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323F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B1D38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01057.4-2007</w:t>
            </w:r>
          </w:p>
        </w:tc>
      </w:tr>
      <w:tr w14:paraId="3F66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8521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8252A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86942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B478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2910.1-2009</w:t>
            </w:r>
          </w:p>
        </w:tc>
      </w:tr>
      <w:tr w14:paraId="6C63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4F97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EE111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55E9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4D4C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2910.2-2009</w:t>
            </w:r>
          </w:p>
        </w:tc>
      </w:tr>
      <w:tr w14:paraId="2F04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247A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162A8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FFC2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F92D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2910.3-2009</w:t>
            </w:r>
          </w:p>
        </w:tc>
      </w:tr>
      <w:tr w14:paraId="1D5A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87AB8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52DAF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BA4E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8C831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2910.4-2009</w:t>
            </w:r>
          </w:p>
        </w:tc>
      </w:tr>
      <w:tr w14:paraId="4715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4CB4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92396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B72F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DC7C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2910.6-2009</w:t>
            </w:r>
          </w:p>
        </w:tc>
      </w:tr>
      <w:tr w14:paraId="1141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92E7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7BB5C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BDCF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456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2910.7-2009</w:t>
            </w:r>
          </w:p>
        </w:tc>
      </w:tr>
      <w:tr w14:paraId="100E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D61A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CE4ED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86F4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47FE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2910.8-2009</w:t>
            </w:r>
          </w:p>
        </w:tc>
      </w:tr>
      <w:tr w14:paraId="4467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47C0F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FCF43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CBCC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76165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2910.11-2009</w:t>
            </w:r>
          </w:p>
        </w:tc>
      </w:tr>
      <w:tr w14:paraId="0A2E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49F1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E81BA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D2E0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2BA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2910.12-2009</w:t>
            </w:r>
          </w:p>
        </w:tc>
      </w:tr>
      <w:tr w14:paraId="30CB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9EB7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801D6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55283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121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2910.18-2009</w:t>
            </w:r>
          </w:p>
        </w:tc>
      </w:tr>
      <w:tr w14:paraId="1E7A9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2047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AA8C6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AAE0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98C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2910.20-2009</w:t>
            </w:r>
          </w:p>
        </w:tc>
      </w:tr>
      <w:tr w14:paraId="613A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3DB8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128DB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6364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015E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2910.22-2009</w:t>
            </w:r>
          </w:p>
        </w:tc>
      </w:tr>
      <w:tr w14:paraId="263C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6B63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D9B65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2A9F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07524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2910.101-2009</w:t>
            </w:r>
          </w:p>
        </w:tc>
      </w:tr>
      <w:tr w14:paraId="65D8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116C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30E44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2300A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3D9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01101-2008</w:t>
            </w:r>
          </w:p>
        </w:tc>
      </w:tr>
      <w:tr w14:paraId="0D05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313F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79515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F487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C38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01112-2012</w:t>
            </w:r>
          </w:p>
        </w:tc>
      </w:tr>
      <w:tr w14:paraId="2F88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D5CE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A9C56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E72CF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C71EE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01026-2017</w:t>
            </w:r>
          </w:p>
        </w:tc>
      </w:tr>
      <w:tr w14:paraId="724C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BFD9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B75D0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EDA4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507D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01095-2002</w:t>
            </w:r>
          </w:p>
        </w:tc>
      </w:tr>
      <w:tr w14:paraId="34E7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AE63D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423A6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137A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191F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30003-2009</w:t>
            </w:r>
          </w:p>
        </w:tc>
      </w:tr>
      <w:tr w14:paraId="6D94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F466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A4EEE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D440D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F468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16988-2013</w:t>
            </w:r>
          </w:p>
        </w:tc>
      </w:tr>
      <w:tr w14:paraId="389E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9151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C1656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3C5A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使用说明</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66C5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5296.4-2012</w:t>
            </w:r>
          </w:p>
        </w:tc>
      </w:tr>
      <w:tr w14:paraId="3E11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CF2BB">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B17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文具</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645D3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可迁移元素的限量</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64AF7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6675.4—2014</w:t>
            </w:r>
          </w:p>
        </w:tc>
      </w:tr>
      <w:tr w14:paraId="246C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BE7B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509F5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4DB4D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亮度（白度）</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4BB6B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7974-2013</w:t>
            </w:r>
          </w:p>
        </w:tc>
      </w:tr>
      <w:tr w14:paraId="5375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566E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80375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5AFC7D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标识和使用说明</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218FB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6208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880D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382B3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6CBD1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封面的脱色程度</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076518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665A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C1BC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428B7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6A699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危险锐利尖端</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683756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1771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19AC3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BBBB7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43D2B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破页</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59716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3B14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2409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9194F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nil"/>
              <w:right w:val="single" w:color="000000" w:sz="8" w:space="0"/>
            </w:tcBorders>
            <w:shd w:val="clear" w:color="auto" w:fill="auto"/>
            <w:noWrap/>
            <w:vAlign w:val="center"/>
          </w:tcPr>
          <w:p w14:paraId="52DB8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脏迹</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30D1A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1B5C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ADE1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D69A01">
            <w:pPr>
              <w:jc w:val="center"/>
              <w:rPr>
                <w:rFonts w:hint="eastAsia" w:ascii="宋体" w:hAnsi="宋体" w:eastAsia="宋体" w:cs="宋体"/>
                <w:i w:val="0"/>
                <w:iCs w:val="0"/>
                <w:color w:val="000000"/>
                <w:sz w:val="22"/>
                <w:szCs w:val="22"/>
                <w:u w:val="none"/>
              </w:rPr>
            </w:pPr>
          </w:p>
        </w:tc>
        <w:tc>
          <w:tcPr>
            <w:tcW w:w="0" w:type="auto"/>
            <w:gridSpan w:val="2"/>
            <w:tcBorders>
              <w:top w:val="nil"/>
              <w:left w:val="single" w:color="auto" w:sz="4" w:space="0"/>
              <w:bottom w:val="single" w:color="000000" w:sz="8" w:space="0"/>
              <w:right w:val="single" w:color="000000" w:sz="8" w:space="0"/>
            </w:tcBorders>
            <w:shd w:val="clear" w:color="auto" w:fill="auto"/>
            <w:noWrap/>
            <w:vAlign w:val="center"/>
          </w:tcPr>
          <w:p w14:paraId="4FCD4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白页</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2ED41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4D5C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ECC4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E2D0F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3C08A4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印划线</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132D6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0CF6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E312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AB3D0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22AAD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张数</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02610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25AB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2191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E0410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71ED3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断线</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140CA7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1768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412A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14A28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04D53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偏斜</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0952F6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5495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218F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CD897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1D2BB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封面/封底</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6E37B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40F2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58B3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2C4D0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3AC1A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套印偏差</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39681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080E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E536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CF779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74A7EB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内芯纸张施胶度</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40232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3AA2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E6F0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A338E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0B5E0B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装针质量</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17B8A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119F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BE7B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54C1E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408E5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纸张定量</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66D22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70F8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C798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CB3D4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1A35B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标志</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190FD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5883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BC8C0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054F7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0F0979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成品尺寸偏差</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4E345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48E3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E66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119C0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44281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装订偏差</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3D57F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1437-2014 相应产品标准</w:t>
            </w:r>
          </w:p>
        </w:tc>
      </w:tr>
      <w:tr w14:paraId="1578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76CB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0AC89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0120FB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可迁移元素的限量</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730E5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6675.4—2014</w:t>
            </w:r>
          </w:p>
        </w:tc>
      </w:tr>
      <w:tr w14:paraId="24B4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D8CA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41B25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3F870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笔套安全</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067F9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6A80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EDCF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19939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67A6C0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苯含量</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4ACA0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2A28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D701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4BAF1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5007B5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氯代烃</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781FE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32613-2016</w:t>
            </w:r>
          </w:p>
        </w:tc>
      </w:tr>
      <w:tr w14:paraId="2FB9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C6251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9DB7E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4EF4B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标识和使用说明</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46C9F0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4822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D1E0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C990E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25271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可迁移元素的限量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96B45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6675.4—2014</w:t>
            </w:r>
          </w:p>
        </w:tc>
      </w:tr>
      <w:tr w14:paraId="1191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10EE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2EE6A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4791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标识和使用说明</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31D2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0E58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1E49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EBE6F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085EF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可迁移元素的限量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77B8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6675.4—2014</w:t>
            </w:r>
          </w:p>
        </w:tc>
      </w:tr>
      <w:tr w14:paraId="1E47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4A80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0FC0E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63AE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游离甲醛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2EE15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32606-2016</w:t>
            </w:r>
          </w:p>
        </w:tc>
      </w:tr>
      <w:tr w14:paraId="5FD7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1885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41E0F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3D7C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37CA4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76D0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7C22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72B28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21E6A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甲苯+二甲苯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D03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519B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29F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B3D5C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DA20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总挥发性有机物</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B6CA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65A71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A286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51105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5D2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标识和使用说明</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5FC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3A4F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3037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ABBB1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3DA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可迁移元素的限量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9A2F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6675.4—2014</w:t>
            </w:r>
          </w:p>
        </w:tc>
      </w:tr>
      <w:tr w14:paraId="0CC4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49BA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B9FEF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E0CD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游离甲醛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F14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32606-2016</w:t>
            </w:r>
          </w:p>
        </w:tc>
      </w:tr>
      <w:tr w14:paraId="3F5A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1278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6B80D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00CDA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标识和使用说明</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882D8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1E49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1543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E92A1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91A9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可迁移元素的限量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08D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6675.4—2014</w:t>
            </w:r>
          </w:p>
        </w:tc>
      </w:tr>
      <w:tr w14:paraId="56C8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DC97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2D801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82D2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标识和使用说明</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ABE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112A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6D83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C0D0B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0DBBE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可迁移元素的限量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61B7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6675.4—2014</w:t>
            </w:r>
          </w:p>
        </w:tc>
      </w:tr>
      <w:tr w14:paraId="7E68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1AEDB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844AB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91C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游离甲醛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CB6C5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32606-2016</w:t>
            </w:r>
          </w:p>
        </w:tc>
      </w:tr>
      <w:tr w14:paraId="204F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7603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B00167">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AEAC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有害芳香胺染料</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7E612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17592-2011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GB/T 23344-2009</w:t>
            </w:r>
          </w:p>
        </w:tc>
      </w:tr>
      <w:tr w14:paraId="35DA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3DA2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47E4C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BBE1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9EDB9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3C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3D84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74296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5762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可迁移元素的限量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C79E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6675.4—2014</w:t>
            </w:r>
          </w:p>
        </w:tc>
      </w:tr>
      <w:tr w14:paraId="5EF7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3422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5A26A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D4F3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标识和使用说明</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0C8E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21027-2020</w:t>
            </w:r>
          </w:p>
        </w:tc>
      </w:tr>
      <w:tr w14:paraId="63C2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7824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50221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A4548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本册亮度（白度）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5F156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21027-2020</w:t>
            </w:r>
          </w:p>
        </w:tc>
      </w:tr>
      <w:tr w14:paraId="368F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4C619">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5E4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玩具</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1D6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08527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55E6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74AD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DDBD9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D3B5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小零件</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808A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2206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E456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5FB2A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7E2A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挤压玩具、摇铃及类似玩具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FF192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18AF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EE615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14A13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62BC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小球</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D479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1DF3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0906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A34FA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F2D2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毛球</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B682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7740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EA8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7772A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01AE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学前玩偶</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BE087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30EC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D90E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BA035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703C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玩具奶嘴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0659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5CE2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2186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A44F7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03A87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气球</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27945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3FD3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7FE8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F0D1A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0DC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弹珠</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C5B31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194C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D410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DC28D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C3D7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半球形玩具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AFBA1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236D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DC714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FFC07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1D0F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可触及的金属或玻璃边缘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995E1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66F5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9BF1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9C7DE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6987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功能性锐利边缘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DA2A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7EC1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A554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047A3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CF71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金属玩具边缘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7A488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3218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06F3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0B18D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FD528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模塑玩具边缘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281D7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6B82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FE94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B5E5D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0837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外露螺栓或螺纹杆的边缘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DF77A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72DD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987A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14B46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FCE54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可触及的锐利尖端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97BE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014A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485B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25179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C4BE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功能性锐利尖端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A5DD0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3FDB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EF19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DCD87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D3EA6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木制玩具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B4F0D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6A91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8307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9F6DF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5746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突出物</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8DFAD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738C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74AA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39D34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10EFE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用于包装或玩具中的塑料袋或塑料 薄膜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17A2F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352B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CC85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F6366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6AC99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18 </w:t>
            </w:r>
            <w:r>
              <w:rPr>
                <w:rFonts w:hint="eastAsia" w:ascii="宋体" w:hAnsi="宋体" w:eastAsia="宋体" w:cs="宋体"/>
                <w:i w:val="0"/>
                <w:iCs w:val="0"/>
                <w:color w:val="000000"/>
                <w:kern w:val="0"/>
                <w:sz w:val="22"/>
                <w:szCs w:val="22"/>
                <w:u w:val="none"/>
                <w:lang w:val="en-US" w:eastAsia="zh-CN" w:bidi="ar"/>
              </w:rPr>
              <w:t>个月以下儿童使用的玩具上的绳 索和弹性绳</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968EF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1E74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E66B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00E6A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326E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18 </w:t>
            </w:r>
            <w:r>
              <w:rPr>
                <w:rFonts w:hint="eastAsia" w:ascii="宋体" w:hAnsi="宋体" w:eastAsia="宋体" w:cs="宋体"/>
                <w:i w:val="0"/>
                <w:iCs w:val="0"/>
                <w:color w:val="000000"/>
                <w:kern w:val="0"/>
                <w:sz w:val="22"/>
                <w:szCs w:val="22"/>
                <w:u w:val="none"/>
                <w:lang w:val="en-US" w:eastAsia="zh-CN" w:bidi="ar"/>
              </w:rPr>
              <w:t>个月以下儿童使用的玩具上的自 回缩绳</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76E31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496C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EA6D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265BD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F331F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36 </w:t>
            </w:r>
            <w:r>
              <w:rPr>
                <w:rFonts w:hint="eastAsia" w:ascii="宋体" w:hAnsi="宋体" w:eastAsia="宋体" w:cs="宋体"/>
                <w:i w:val="0"/>
                <w:iCs w:val="0"/>
                <w:color w:val="000000"/>
                <w:kern w:val="0"/>
                <w:sz w:val="22"/>
                <w:szCs w:val="22"/>
                <w:u w:val="none"/>
                <w:lang w:val="en-US" w:eastAsia="zh-CN" w:bidi="ar"/>
              </w:rPr>
              <w:t>个月以下儿童使用的拖拉玩具上 的绳索或弹性绳</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2DEB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1E6F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FC61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6E6F0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6CC7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玩具袋上的绳索</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F2E9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6610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CFCD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8D4E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3696A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铰链间隙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C1C5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3CBD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92EC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0AAC1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13EF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刚性材料上的圆孔</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26BF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1642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9AAC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C0AFD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AB83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活动部件间的间隙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9342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2009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5A37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B14AE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A4C5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其他驱动机构</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73EB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2846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DCDC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78864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E20AB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发条钥匙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2E057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1AFA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99BA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765A1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8912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88DC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087F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3C2F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7D540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605B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封闭头部的玩具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D86BE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432C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9C92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6A3B6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4B38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仿制防护玩具（头盔、帽子、护目 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15DF2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2F8D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D092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C98E4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B8B3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弹射玩具一般要求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779D5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439F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1530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8EBD8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FD2F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蓄能弹射玩具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58C0C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55F6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B447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7787C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7BD68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非蓄能弹射玩具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1D77F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613D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11D93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7C3D7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F8DFD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水上玩具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6CDFD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3ACC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8ACD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6EB69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783A7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液体填充玩具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DF3EC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5D4C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AC66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20834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4B05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口动玩具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5DC3B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43E2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9906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91DB6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0E5D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声响要求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A694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6FB8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953A4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80DBF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AF3B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磁体和磁性部件</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61A0B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7033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C087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456A3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0AA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小零件</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F3D6A4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441E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8646B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B850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712F3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小球</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BA88C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1E9F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DAD9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BDEB1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0F496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毛球</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D5A45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6C57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76DD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53241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3CBF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弹珠</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4D258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7ED8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9A0F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037A6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6698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可触及的金属或玻璃边缘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846E3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53DF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9B83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44C1B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0BBA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金属玩具边缘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3C9CA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53B5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88A4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39390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E5B18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模塑玩具边缘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5C7AC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23D4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3F84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74219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F646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外露螺栓或螺纹杆的边缘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BFB6E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1DF3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28DF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BC10E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421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可触及的锐利尖端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BD3AA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0041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B966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8A869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2621B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突出物</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78D51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21DB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237D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1DA81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6C19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金属丝和杆件</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28D0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119A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039DB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31B16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8F07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刚性材料上的圆孔</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0BD7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1FA4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8D40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7FF1B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D285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活动部件间的间隙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2D29F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785D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DF00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D205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1969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其他驱动机构</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B7093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0FAC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F76F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ACD90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F4078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发条钥匙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8F577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541F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2C96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7D8F9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B62F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蓄能弹射玩具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41D8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及第 1 号修改单</w:t>
            </w:r>
          </w:p>
        </w:tc>
      </w:tr>
      <w:tr w14:paraId="1019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C3DA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979BB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88D6A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非蓄能弹射玩具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71683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77C6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E494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DCA63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9500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口动玩具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8D787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w:t>
            </w:r>
          </w:p>
        </w:tc>
      </w:tr>
      <w:tr w14:paraId="1B95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9EC59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4BA10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999E2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E5D4B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6675.3—2014</w:t>
            </w:r>
          </w:p>
        </w:tc>
      </w:tr>
      <w:tr w14:paraId="49EC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CEA6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16F94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D59D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头戴玩具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9F8C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6675.3—2014</w:t>
            </w:r>
          </w:p>
        </w:tc>
      </w:tr>
      <w:tr w14:paraId="1339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3818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1902F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4CD2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化妆服饰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4712B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6675.3—2014</w:t>
            </w:r>
          </w:p>
        </w:tc>
      </w:tr>
      <w:tr w14:paraId="4063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C783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7150D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06CB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具有毛绒或纺织表面的软体填充玩 具（动物和娃娃等）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C2854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6675.3—2014</w:t>
            </w:r>
          </w:p>
        </w:tc>
      </w:tr>
      <w:tr w14:paraId="4A9B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16A9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B0134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712D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最大限量要求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E298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6675.4—2014</w:t>
            </w:r>
          </w:p>
        </w:tc>
      </w:tr>
      <w:tr w14:paraId="5473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AF6E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14343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9FAB6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限定增塑剂限量要求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191D3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22048—2015   或 GB/T 22048—2022</w:t>
            </w:r>
          </w:p>
        </w:tc>
      </w:tr>
      <w:tr w14:paraId="63CA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1EB4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76213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AC0C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标识和说明</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A12DE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7CC7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B6E5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DDE3D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A89D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输入功率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C7A68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2CA2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18E7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F545B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A57E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发热和非正常工作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0A142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 及第 1 号修改单</w:t>
            </w:r>
          </w:p>
        </w:tc>
      </w:tr>
      <w:tr w14:paraId="4BE2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017C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92E1D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422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0058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0166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C6A1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1919D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4A39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9D270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4AC7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27AA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35348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A1A71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软线和电线的保护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74E55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5709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C001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DD60D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A413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元件</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1B7AA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11670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5DB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D997E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C04E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螺钉和连接</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49DA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1913D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58F2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69DAD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33EF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电气间隙和爬电距离</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3D0E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6112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110B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89A5F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F4F9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耐热和耐燃</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E569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6AC9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63E8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88DDB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E0BD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工作温度下的电气强度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038A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4B2B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6B83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48747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D16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耐潮湿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70BA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2020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740CD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8E49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DDE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室温下的电气强度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9F48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19865—2005</w:t>
            </w:r>
          </w:p>
        </w:tc>
      </w:tr>
      <w:tr w14:paraId="4310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C6BD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EB65B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6D37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玩具标识</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F755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6675.1-2014</w:t>
            </w:r>
          </w:p>
        </w:tc>
      </w:tr>
      <w:tr w14:paraId="3F54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41327">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2F8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童鞋</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B1D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帮底剥离强度</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71BDF1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3903.3—2011</w:t>
            </w:r>
          </w:p>
        </w:tc>
      </w:tr>
      <w:tr w14:paraId="23C0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64AB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AE346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08A0C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或底墙与帮面剥离强度</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1FDD7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7A9C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E144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397EA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97C3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外底耐磨性能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C29B1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3903.2—2017</w:t>
            </w:r>
          </w:p>
        </w:tc>
      </w:tr>
      <w:tr w14:paraId="76AB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2055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ACC2A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061D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衬里和内垫耐摩擦色牢度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2120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2882—2007方法A</w:t>
            </w:r>
          </w:p>
        </w:tc>
      </w:tr>
      <w:tr w14:paraId="0E0E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1506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9CF70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0036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外底硬度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66C3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3903.4—2017</w:t>
            </w:r>
          </w:p>
        </w:tc>
      </w:tr>
      <w:tr w14:paraId="4BA3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2EE8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7EDA1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auto" w:sz="4" w:space="0"/>
              <w:right w:val="single" w:color="000000" w:sz="8" w:space="0"/>
            </w:tcBorders>
            <w:shd w:val="clear" w:color="auto" w:fill="auto"/>
            <w:vAlign w:val="center"/>
          </w:tcPr>
          <w:p w14:paraId="19F235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物理机械安全性能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E7911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30585—2014</w:t>
            </w:r>
          </w:p>
        </w:tc>
      </w:tr>
      <w:tr w14:paraId="65B2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B6788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ADDC8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3110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皮革和毛皮中的六价铬</w:t>
            </w:r>
          </w:p>
        </w:tc>
        <w:tc>
          <w:tcPr>
            <w:tcW w:w="0" w:type="auto"/>
            <w:tcBorders>
              <w:top w:val="single" w:color="000000" w:sz="8" w:space="0"/>
              <w:left w:val="single" w:color="auto" w:sz="4" w:space="0"/>
              <w:bottom w:val="single" w:color="000000" w:sz="8" w:space="0"/>
              <w:right w:val="single" w:color="auto" w:sz="4" w:space="0"/>
            </w:tcBorders>
            <w:shd w:val="clear" w:color="auto" w:fill="auto"/>
            <w:vAlign w:val="center"/>
          </w:tcPr>
          <w:p w14:paraId="458824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第5.8、5.9条（含第1号修改单）</w:t>
            </w:r>
          </w:p>
        </w:tc>
      </w:tr>
      <w:tr w14:paraId="2F97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0BEC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63AA7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31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auto" w:sz="4" w:space="0"/>
              <w:bottom w:val="single" w:color="000000" w:sz="8" w:space="0"/>
              <w:right w:val="single" w:color="auto" w:sz="4" w:space="0"/>
            </w:tcBorders>
            <w:shd w:val="clear" w:color="auto" w:fill="auto"/>
            <w:vAlign w:val="center"/>
          </w:tcPr>
          <w:p w14:paraId="33C335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22807—2019</w:t>
            </w:r>
          </w:p>
        </w:tc>
      </w:tr>
      <w:tr w14:paraId="6EAB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C62F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6FB0C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14:paraId="14578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可分解有害芳香胺染料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8E94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17592—2011</w:t>
            </w:r>
          </w:p>
        </w:tc>
      </w:tr>
      <w:tr w14:paraId="64AB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22CF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67977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2D9B8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769EF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19942—2019</w:t>
            </w:r>
          </w:p>
        </w:tc>
      </w:tr>
      <w:tr w14:paraId="3EF1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285D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FF250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6E8E82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9CEB8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23344—2009</w:t>
            </w:r>
          </w:p>
        </w:tc>
      </w:tr>
      <w:tr w14:paraId="6062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A4E9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FC057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64724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287A7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33392—2016</w:t>
            </w:r>
          </w:p>
        </w:tc>
      </w:tr>
      <w:tr w14:paraId="3C81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25A8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99D05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auto" w:sz="4" w:space="0"/>
              <w:left w:val="single" w:color="auto" w:sz="4" w:space="0"/>
              <w:bottom w:val="single" w:color="auto" w:sz="4" w:space="0"/>
              <w:right w:val="single" w:color="000000" w:sz="8" w:space="0"/>
            </w:tcBorders>
            <w:shd w:val="clear" w:color="auto" w:fill="auto"/>
            <w:vAlign w:val="center"/>
          </w:tcPr>
          <w:p w14:paraId="3854D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20BC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2912.1—2009</w:t>
            </w:r>
          </w:p>
        </w:tc>
      </w:tr>
      <w:tr w14:paraId="1243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1D34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E5B12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1E139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17885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19941.1—2019</w:t>
            </w:r>
          </w:p>
        </w:tc>
      </w:tr>
      <w:tr w14:paraId="6C17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4983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C5E164">
            <w:pPr>
              <w:jc w:val="center"/>
              <w:rPr>
                <w:rFonts w:hint="eastAsia" w:ascii="宋体" w:hAnsi="宋体" w:eastAsia="宋体" w:cs="宋体"/>
                <w:i w:val="0"/>
                <w:iCs w:val="0"/>
                <w:color w:val="000000"/>
                <w:sz w:val="22"/>
                <w:szCs w:val="22"/>
                <w:u w:val="none"/>
              </w:rPr>
            </w:pPr>
          </w:p>
        </w:tc>
        <w:tc>
          <w:tcPr>
            <w:tcW w:w="0" w:type="auto"/>
            <w:gridSpan w:val="2"/>
            <w:tcBorders>
              <w:top w:val="single" w:color="auto" w:sz="4" w:space="0"/>
              <w:left w:val="single" w:color="auto" w:sz="4" w:space="0"/>
              <w:bottom w:val="single" w:color="000000" w:sz="8" w:space="0"/>
              <w:right w:val="single" w:color="000000" w:sz="8" w:space="0"/>
            </w:tcBorders>
            <w:shd w:val="clear" w:color="auto" w:fill="auto"/>
            <w:vAlign w:val="center"/>
          </w:tcPr>
          <w:p w14:paraId="30528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重金属总量（砷、铅、镉）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610DE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4340—2012</w:t>
            </w:r>
          </w:p>
        </w:tc>
      </w:tr>
      <w:tr w14:paraId="351B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2C24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AEEB4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BD99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富马酸二甲酯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D3B3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26713—2011</w:t>
            </w:r>
          </w:p>
        </w:tc>
      </w:tr>
      <w:tr w14:paraId="6EF6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5FB7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198F4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9B3C2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橡胶部件中的N—亚硝基胺（婴幼儿鞋）</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A2197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24153—2009</w:t>
            </w:r>
          </w:p>
        </w:tc>
      </w:tr>
      <w:tr w14:paraId="1FCF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157B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41A45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ED078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邻苯二甲酸酯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E51B1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ISO 16181-1:2021（E）</w:t>
            </w:r>
          </w:p>
        </w:tc>
      </w:tr>
      <w:tr w14:paraId="3FB8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042DB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D8301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38387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44792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3903.2—2008</w:t>
            </w:r>
          </w:p>
        </w:tc>
      </w:tr>
      <w:tr w14:paraId="77B6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AB30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C5B41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BEB9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剥离强度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8456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3903.3—2011</w:t>
            </w:r>
          </w:p>
        </w:tc>
      </w:tr>
      <w:tr w14:paraId="37D5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5747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8E108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6CCEE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外底硬度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B40E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3903.4—2008</w:t>
            </w:r>
          </w:p>
        </w:tc>
      </w:tr>
      <w:tr w14:paraId="7E8B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5E53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FD395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983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鞋帮拉出强度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BF112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2880—2016</w:t>
            </w:r>
          </w:p>
        </w:tc>
      </w:tr>
      <w:tr w14:paraId="4D21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F489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30625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00B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衬里和内垫摩擦色牢度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35F02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2882—2007方法A</w:t>
            </w:r>
          </w:p>
        </w:tc>
      </w:tr>
      <w:tr w14:paraId="5F4F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E0A5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31FDE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775B1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勾心纵向刚度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CE31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3903.34—2019</w:t>
            </w:r>
          </w:p>
        </w:tc>
      </w:tr>
      <w:tr w14:paraId="62AD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E7DD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F0F39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293B2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勾心硬度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1DCD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230.1—2018</w:t>
            </w:r>
          </w:p>
        </w:tc>
      </w:tr>
      <w:tr w14:paraId="5D7E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0ADDC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E6DF9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DB5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勾心长度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8A95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28011—2021</w:t>
            </w:r>
          </w:p>
        </w:tc>
      </w:tr>
      <w:tr w14:paraId="0CB5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A0A3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29D88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E777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勾心弯曲性能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0E77A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28011—2021</w:t>
            </w:r>
          </w:p>
        </w:tc>
      </w:tr>
      <w:tr w14:paraId="1C50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2B8F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DD0A92">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EE58F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物理机械安全性能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0E45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30585—2014</w:t>
            </w:r>
          </w:p>
        </w:tc>
      </w:tr>
      <w:tr w14:paraId="4D65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0CCA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4A73E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4938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442C6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第5.8、5.9条（含第1号修改单）</w:t>
            </w:r>
          </w:p>
        </w:tc>
      </w:tr>
      <w:tr w14:paraId="61D1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A098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CEEB4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11D9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皮革和毛皮中的六价铬</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EE0A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22807—2019</w:t>
            </w:r>
          </w:p>
        </w:tc>
      </w:tr>
      <w:tr w14:paraId="3E4B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36BE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F4D36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9078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可分解有害芳香胺染料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F1E2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17592—2011</w:t>
            </w:r>
          </w:p>
        </w:tc>
      </w:tr>
      <w:tr w14:paraId="4C72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C008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7E7E8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6906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E4D7C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19942—2019</w:t>
            </w:r>
          </w:p>
        </w:tc>
      </w:tr>
      <w:tr w14:paraId="54C2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2A74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FAFF8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8212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1B71B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23344—2009</w:t>
            </w:r>
          </w:p>
        </w:tc>
      </w:tr>
      <w:tr w14:paraId="38B6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FC3D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139E8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E9B26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E278C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33392—2016</w:t>
            </w:r>
          </w:p>
        </w:tc>
      </w:tr>
      <w:tr w14:paraId="118E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3FAD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6AC64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64D99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F6680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2912.1—2009</w:t>
            </w:r>
          </w:p>
        </w:tc>
      </w:tr>
      <w:tr w14:paraId="59CD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2608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633A9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67308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06A93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19941.1—2019</w:t>
            </w:r>
          </w:p>
        </w:tc>
      </w:tr>
      <w:tr w14:paraId="7097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6A87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03B6D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A7BE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重金属总量（砷、铅、镉）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EE08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4340—2012</w:t>
            </w:r>
          </w:p>
        </w:tc>
      </w:tr>
      <w:tr w14:paraId="2F16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5A23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47B27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A5D9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富马酸二甲酯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E501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26713—2011</w:t>
            </w:r>
          </w:p>
        </w:tc>
      </w:tr>
      <w:tr w14:paraId="778D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4AA0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7DCB5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DE1B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橡胶部件中的N—亚硝基胺（婴幼儿鞋）</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4D5F6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24153—2009</w:t>
            </w:r>
          </w:p>
        </w:tc>
      </w:tr>
      <w:tr w14:paraId="3239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B634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0369A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D037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邻苯二甲酸酯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29BD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ISO 16181-1:2021（E）</w:t>
            </w:r>
          </w:p>
        </w:tc>
      </w:tr>
      <w:tr w14:paraId="0F4D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9412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B4C68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F6F0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AC2F6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3903.2—2017</w:t>
            </w:r>
          </w:p>
        </w:tc>
      </w:tr>
      <w:tr w14:paraId="6EB0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48CE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2A7A0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0999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帮底剥离强度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8BEB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3903.3—2011</w:t>
            </w:r>
          </w:p>
        </w:tc>
      </w:tr>
      <w:tr w14:paraId="5B82E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5B4B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21B22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ABADE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外底硬度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A00F4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3903.4—2017</w:t>
            </w:r>
          </w:p>
        </w:tc>
      </w:tr>
      <w:tr w14:paraId="0FFF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1F9F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7C0E78">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F7EA8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帮带拉出强度（或帮带拔出力）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D252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4546—2021</w:t>
            </w:r>
          </w:p>
        </w:tc>
      </w:tr>
      <w:tr w14:paraId="54AE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B435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BBA59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9DE8B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E2D0D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38011—2019</w:t>
            </w:r>
          </w:p>
        </w:tc>
      </w:tr>
      <w:tr w14:paraId="5C1A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06F7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BAFFD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EEF63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衬里和内垫摩擦色牢度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2D5C8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2882—2007方法A</w:t>
            </w:r>
          </w:p>
        </w:tc>
      </w:tr>
      <w:tr w14:paraId="199D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4E80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7FB99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77C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勾心纵向刚度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DE5F7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3903.34—2019</w:t>
            </w:r>
          </w:p>
        </w:tc>
      </w:tr>
      <w:tr w14:paraId="5C2F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AB555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F64FC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A1A0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勾心硬度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27B4D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230.1—2018</w:t>
            </w:r>
          </w:p>
        </w:tc>
      </w:tr>
      <w:tr w14:paraId="4AE3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9B37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2A110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6705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027E8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3903.4—2017</w:t>
            </w:r>
          </w:p>
        </w:tc>
      </w:tr>
      <w:tr w14:paraId="4ECF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2677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EE6DB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B870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勾心长度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6713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28011—2021</w:t>
            </w:r>
          </w:p>
        </w:tc>
      </w:tr>
      <w:tr w14:paraId="4BBC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A164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D614E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B59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勾心弯曲性能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DE2A3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28011—2021</w:t>
            </w:r>
          </w:p>
        </w:tc>
      </w:tr>
      <w:tr w14:paraId="0F88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DE67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61826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1C04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物理机械安全性能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184E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30585—2014</w:t>
            </w:r>
          </w:p>
        </w:tc>
      </w:tr>
      <w:tr w14:paraId="0115BDBC">
        <w:tblPrEx>
          <w:shd w:val="clear" w:color="auto" w:fill="auto"/>
          <w:tblCellMar>
            <w:top w:w="0" w:type="dxa"/>
            <w:left w:w="108" w:type="dxa"/>
            <w:bottom w:w="0" w:type="dxa"/>
            <w:right w:w="108"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06DE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4B660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FDBD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ED33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第5.8、5.9条（含第1号修改单）</w:t>
            </w:r>
          </w:p>
        </w:tc>
      </w:tr>
      <w:tr w14:paraId="06D1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C01E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D9C17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8CB5B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皮革和毛皮中的六价铬</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4528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22807—2019</w:t>
            </w:r>
          </w:p>
        </w:tc>
      </w:tr>
      <w:tr w14:paraId="14FF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74B3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8D4B5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7E40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可分解有害芳香胺染料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A03AD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17592—2011</w:t>
            </w:r>
          </w:p>
        </w:tc>
      </w:tr>
      <w:tr w14:paraId="06FB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CFB3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9EE4A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A7139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F46B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19942—2019</w:t>
            </w:r>
          </w:p>
        </w:tc>
      </w:tr>
      <w:tr w14:paraId="4742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DC3D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D9F68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2346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4BCD5F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23344—2009</w:t>
            </w:r>
          </w:p>
        </w:tc>
      </w:tr>
      <w:tr w14:paraId="5FDC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26D4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A9153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32E9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7B62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33392—2016</w:t>
            </w:r>
          </w:p>
        </w:tc>
      </w:tr>
      <w:tr w14:paraId="1393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0D27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BD777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BCF1E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5AD6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2912.1—2009</w:t>
            </w:r>
          </w:p>
        </w:tc>
      </w:tr>
      <w:tr w14:paraId="7742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8912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3B6A2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5F629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80564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19941.1—2019</w:t>
            </w:r>
          </w:p>
        </w:tc>
      </w:tr>
      <w:tr w14:paraId="3D7A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3C5B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EE35B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5460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重金属总量（砷、铅、镉）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9A8CB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4340—2012</w:t>
            </w:r>
          </w:p>
        </w:tc>
      </w:tr>
      <w:tr w14:paraId="502A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F27B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B9B52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E191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富马酸二甲酯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004F2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26713—2011</w:t>
            </w:r>
          </w:p>
        </w:tc>
      </w:tr>
      <w:tr w14:paraId="13BF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837F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F4D51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FDAB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橡胶部件中的N—亚硝基胺（婴幼儿鞋）</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B722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24153—2009</w:t>
            </w:r>
          </w:p>
        </w:tc>
      </w:tr>
      <w:tr w14:paraId="56A0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FD87B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32513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535F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邻苯二甲酸酯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18AF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ISO 16181-1:2021（E）</w:t>
            </w:r>
          </w:p>
        </w:tc>
      </w:tr>
      <w:tr w14:paraId="44E2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9D87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F16F6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CB73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外底耐磨性能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0135F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9867—2008方法A</w:t>
            </w:r>
          </w:p>
        </w:tc>
      </w:tr>
      <w:tr w14:paraId="67F8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1E7C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B35B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6552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外底硬度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D5E24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531.1—2008</w:t>
            </w:r>
          </w:p>
        </w:tc>
      </w:tr>
      <w:tr w14:paraId="7D2E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2A27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E87C4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6CA7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8E78A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HG/T 2489—2007</w:t>
            </w:r>
          </w:p>
        </w:tc>
      </w:tr>
      <w:tr w14:paraId="62E6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0FAE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70984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B5D4E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外底防滑性能（干法）</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1E4D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HG/T 3780—2005中8.2.1</w:t>
            </w:r>
          </w:p>
        </w:tc>
      </w:tr>
      <w:tr w14:paraId="28AC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9D7C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24923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5462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围条与鞋帮粘合强度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93DEC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HG/T 4805—2015</w:t>
            </w:r>
          </w:p>
        </w:tc>
      </w:tr>
      <w:tr w14:paraId="6024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A2886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314F4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193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衬里和内底（内垫）耐摩擦色牢度（沾色）</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8F30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2882—2007方法A</w:t>
            </w:r>
          </w:p>
        </w:tc>
      </w:tr>
      <w:tr w14:paraId="7017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4350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A2A08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4162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物理安全性能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F198F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30585—2014</w:t>
            </w:r>
          </w:p>
        </w:tc>
      </w:tr>
      <w:tr w14:paraId="3773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98806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80D72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2569E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游离甲醛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FD06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2912.1—1998</w:t>
            </w:r>
          </w:p>
        </w:tc>
      </w:tr>
      <w:tr w14:paraId="6914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6B3B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FA4BF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33D7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可萃取的重金属</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4F87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17593.1—2006</w:t>
            </w:r>
          </w:p>
        </w:tc>
      </w:tr>
      <w:tr w14:paraId="30A3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595D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BFB8C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85297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（铅（Pb）、镉（Cd）、砷（As））</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5270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17593.4—2006</w:t>
            </w:r>
          </w:p>
        </w:tc>
      </w:tr>
      <w:tr w14:paraId="0546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0022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57057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71110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5878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GB/T 17593.2—2007</w:t>
            </w:r>
          </w:p>
        </w:tc>
      </w:tr>
      <w:tr w14:paraId="0B80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64F5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9ED93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878A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可分解有害芳香胺染料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E56F2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17592—2006</w:t>
            </w:r>
          </w:p>
        </w:tc>
      </w:tr>
      <w:tr w14:paraId="0EEB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596DD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2C97C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BF0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含氯酚</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317D5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18414.1—2006</w:t>
            </w:r>
          </w:p>
        </w:tc>
      </w:tr>
      <w:tr w14:paraId="6BBE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8E45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0CCDF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2DFD8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（五氯苯酚（PCP）、2,3,5,6—四氯苯酚（TeCP））</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AC1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GB/T 18414.2—2006</w:t>
            </w:r>
          </w:p>
        </w:tc>
      </w:tr>
      <w:tr w14:paraId="4D3B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EC4A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27245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10026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N—</w:t>
            </w:r>
            <w:r>
              <w:rPr>
                <w:rFonts w:hint="eastAsia" w:ascii="宋体" w:hAnsi="宋体" w:eastAsia="宋体" w:cs="宋体"/>
                <w:i w:val="0"/>
                <w:iCs w:val="0"/>
                <w:color w:val="000000"/>
                <w:kern w:val="0"/>
                <w:sz w:val="22"/>
                <w:szCs w:val="22"/>
                <w:u w:val="none"/>
                <w:lang w:val="en-US" w:eastAsia="zh-CN" w:bidi="ar"/>
              </w:rPr>
              <w:t>亚硝基胺</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8349F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24153—2009</w:t>
            </w:r>
          </w:p>
        </w:tc>
      </w:tr>
      <w:tr w14:paraId="2C50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1E83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52AD4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FF41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物理机械安全性能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204C7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30585—2014</w:t>
            </w:r>
          </w:p>
        </w:tc>
      </w:tr>
      <w:tr w14:paraId="512A9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DA95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D1D90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710B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116664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6675.2—2014 第5.8、5.9条（含第1号修改单）</w:t>
            </w:r>
          </w:p>
        </w:tc>
      </w:tr>
      <w:tr w14:paraId="572C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C0DD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0E38E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EDCA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皮革和毛皮中的六价铬</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AC5B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22807—2019</w:t>
            </w:r>
          </w:p>
        </w:tc>
      </w:tr>
      <w:tr w14:paraId="39B4E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2E83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00E01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C63A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可分解有害芳香胺染料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E0B9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17592—2011</w:t>
            </w:r>
          </w:p>
        </w:tc>
      </w:tr>
      <w:tr w14:paraId="2EAD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D971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A75B5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6828F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6FB90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19942—2019</w:t>
            </w:r>
          </w:p>
        </w:tc>
      </w:tr>
      <w:tr w14:paraId="14CD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88F8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3DA33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DA14B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7ED5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23344—2009</w:t>
            </w:r>
          </w:p>
        </w:tc>
      </w:tr>
      <w:tr w14:paraId="7812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D7D7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83410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0077E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F37BD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33392—2016</w:t>
            </w:r>
          </w:p>
        </w:tc>
      </w:tr>
      <w:tr w14:paraId="6181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90707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84280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5282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038DBD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2912.1—2009</w:t>
            </w:r>
          </w:p>
        </w:tc>
      </w:tr>
      <w:tr w14:paraId="1631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BAE7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92B4E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38B5E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F25CB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19941.1—2019</w:t>
            </w:r>
          </w:p>
        </w:tc>
      </w:tr>
      <w:tr w14:paraId="5B27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3B8B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EAF34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2818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重金属总量（砷、铅、镉）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80C75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4340—2012</w:t>
            </w:r>
          </w:p>
        </w:tc>
      </w:tr>
      <w:tr w14:paraId="23DD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49F7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CF6C5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98F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富马酸二甲酯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C068E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26713—2011</w:t>
            </w:r>
          </w:p>
        </w:tc>
      </w:tr>
      <w:tr w14:paraId="2FC9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002E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6DDA1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91DB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橡胶部件中的N—亚硝基胺（婴幼儿鞋）</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ADE3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24153—2009</w:t>
            </w:r>
          </w:p>
        </w:tc>
      </w:tr>
      <w:tr w14:paraId="73C9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6FC4F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8138F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C19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邻苯二甲酸酯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58163B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ISO 16181-1:2021（E）</w:t>
            </w:r>
          </w:p>
        </w:tc>
      </w:tr>
      <w:tr w14:paraId="4D0C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96858">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949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婴幼儿服装</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3626D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2B8BC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2912.1—2009</w:t>
            </w:r>
          </w:p>
        </w:tc>
      </w:tr>
      <w:tr w14:paraId="5989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5AEA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3B657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EF3C4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pH</w:t>
            </w:r>
            <w:r>
              <w:rPr>
                <w:rFonts w:hint="eastAsia" w:ascii="宋体" w:hAnsi="宋体" w:eastAsia="宋体" w:cs="宋体"/>
                <w:i w:val="0"/>
                <w:iCs w:val="0"/>
                <w:color w:val="000000"/>
                <w:kern w:val="0"/>
                <w:sz w:val="22"/>
                <w:szCs w:val="22"/>
                <w:u w:val="none"/>
                <w:lang w:val="en-US" w:eastAsia="zh-CN" w:bidi="ar"/>
              </w:rPr>
              <w:t>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951C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7573—2009</w:t>
            </w:r>
          </w:p>
        </w:tc>
      </w:tr>
      <w:tr w14:paraId="4388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DC6F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3A6F3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3AC2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可分解致癌芳香胺染料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F537B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17592—2011</w:t>
            </w:r>
          </w:p>
        </w:tc>
      </w:tr>
      <w:tr w14:paraId="35AA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F094B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656A6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E87E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3E11D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23344—2009</w:t>
            </w:r>
          </w:p>
        </w:tc>
      </w:tr>
      <w:tr w14:paraId="2D06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AE6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A5AD4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2020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耐水色牢度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2E7D8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5713—2013</w:t>
            </w:r>
          </w:p>
        </w:tc>
      </w:tr>
      <w:tr w14:paraId="1DA2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5628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30E18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B610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耐酸汗渍色牢度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F70E7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3922—2013</w:t>
            </w:r>
          </w:p>
        </w:tc>
      </w:tr>
      <w:tr w14:paraId="4EA4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A493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7CE12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D795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耐碱汗渍色牢度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4523F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3922—2013</w:t>
            </w:r>
          </w:p>
        </w:tc>
      </w:tr>
      <w:tr w14:paraId="2EF76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62C8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25535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E167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耐干摩擦色牢度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CFD6E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3920—2008</w:t>
            </w:r>
          </w:p>
        </w:tc>
      </w:tr>
      <w:tr w14:paraId="6A08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DE49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2A907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DE19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耐湿摩擦色牢度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99126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3920—2008</w:t>
            </w:r>
          </w:p>
        </w:tc>
      </w:tr>
      <w:tr w14:paraId="4961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4FD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7D8A9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6F034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耐唾液色牢度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584EA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18886—2019</w:t>
            </w:r>
          </w:p>
        </w:tc>
      </w:tr>
      <w:tr w14:paraId="1FE7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9D1F4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42812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8D4E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纤维含量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CAD7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01057.1—2007</w:t>
            </w:r>
          </w:p>
        </w:tc>
      </w:tr>
      <w:tr w14:paraId="4737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72BE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47B3B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4A03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1391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01057.2—2007</w:t>
            </w:r>
          </w:p>
        </w:tc>
      </w:tr>
      <w:tr w14:paraId="4B3E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913E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B2076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B9B0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EA3EC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01057.3—2007</w:t>
            </w:r>
          </w:p>
        </w:tc>
      </w:tr>
      <w:tr w14:paraId="2B34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8BE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B0A71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A776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3E96E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01057.4—2007</w:t>
            </w:r>
          </w:p>
        </w:tc>
      </w:tr>
      <w:tr w14:paraId="2D3D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C40D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29416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85BF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1DAE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01057.6—2007</w:t>
            </w:r>
          </w:p>
        </w:tc>
      </w:tr>
      <w:tr w14:paraId="2E36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30A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B21DB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5FE55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73C4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2910.1—2009</w:t>
            </w:r>
          </w:p>
        </w:tc>
      </w:tr>
      <w:tr w14:paraId="7827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CE55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CA0B8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B0357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F9BC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2910.2—2009</w:t>
            </w:r>
          </w:p>
        </w:tc>
      </w:tr>
      <w:tr w14:paraId="5B40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5302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A7DCE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D6B0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4DB67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2910.3—2009</w:t>
            </w:r>
          </w:p>
        </w:tc>
      </w:tr>
      <w:tr w14:paraId="6DF1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2CED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85108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7CE2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0A9B3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2910.4—2022</w:t>
            </w:r>
          </w:p>
        </w:tc>
      </w:tr>
      <w:tr w14:paraId="0C7A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E5EC5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6EED3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C455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298D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2910.6—2009</w:t>
            </w:r>
          </w:p>
        </w:tc>
      </w:tr>
      <w:tr w14:paraId="70D5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5A56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E5B0D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9C639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689D7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2910.7—2009</w:t>
            </w:r>
          </w:p>
        </w:tc>
      </w:tr>
      <w:tr w14:paraId="4D50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3203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AB3A6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97F45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4461D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2910.8—2009</w:t>
            </w:r>
          </w:p>
        </w:tc>
      </w:tr>
      <w:tr w14:paraId="171A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C562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7CBD1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CC5E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82E56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2910.11—2009</w:t>
            </w:r>
          </w:p>
        </w:tc>
      </w:tr>
      <w:tr w14:paraId="6AAD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976C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85AA9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F8B2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8D1D9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2910.12—2023</w:t>
            </w:r>
          </w:p>
        </w:tc>
      </w:tr>
      <w:tr w14:paraId="4570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BBFA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714CE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FCB3D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E629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2910.18—2009</w:t>
            </w:r>
          </w:p>
        </w:tc>
      </w:tr>
      <w:tr w14:paraId="3902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BE50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65547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0280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CE95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2910.20—2009</w:t>
            </w:r>
          </w:p>
        </w:tc>
      </w:tr>
      <w:tr w14:paraId="3501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9E9D5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01ABF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89E43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2A11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2910.22—2009</w:t>
            </w:r>
          </w:p>
        </w:tc>
      </w:tr>
      <w:tr w14:paraId="36D3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53CD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69685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504F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47D5A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2910.101—2009</w:t>
            </w:r>
          </w:p>
        </w:tc>
      </w:tr>
      <w:tr w14:paraId="7A14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F3ED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07458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BC59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C5D9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01101—2008</w:t>
            </w:r>
          </w:p>
        </w:tc>
      </w:tr>
      <w:tr w14:paraId="67D4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7A2A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C7756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3270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E5D3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01112—2012</w:t>
            </w:r>
          </w:p>
        </w:tc>
      </w:tr>
      <w:tr w14:paraId="58F0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7BF9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21231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7EF21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CDC3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01026—2017</w:t>
            </w:r>
          </w:p>
        </w:tc>
      </w:tr>
      <w:tr w14:paraId="6625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D755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987D5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E48A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8BFEE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01095—2002</w:t>
            </w:r>
          </w:p>
        </w:tc>
      </w:tr>
      <w:tr w14:paraId="4AFA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8C59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30736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0CA7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5C06E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30003—2009</w:t>
            </w:r>
          </w:p>
        </w:tc>
      </w:tr>
      <w:tr w14:paraId="07A1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E51BB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2D941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4C0F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9ABCD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16988—2013</w:t>
            </w:r>
          </w:p>
        </w:tc>
      </w:tr>
      <w:tr w14:paraId="75FB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13C6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EE0DE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E9044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6BC5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38015—2019</w:t>
            </w:r>
          </w:p>
        </w:tc>
      </w:tr>
      <w:tr w14:paraId="1EF4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B819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68132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2687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77405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30157—2013</w:t>
            </w:r>
          </w:p>
        </w:tc>
      </w:tr>
      <w:tr w14:paraId="7D90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5F2D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9E42D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9D63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邻苯二甲酸酯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06FF2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20388—2016</w:t>
            </w:r>
          </w:p>
        </w:tc>
      </w:tr>
      <w:tr w14:paraId="3863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0CCD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BC5D2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8AB14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附件抗拉强力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28D03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31701—2015</w:t>
            </w:r>
          </w:p>
        </w:tc>
      </w:tr>
      <w:tr w14:paraId="1019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CC411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EF0D8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550D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绳带要求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CB88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31701—2015</w:t>
            </w:r>
          </w:p>
        </w:tc>
      </w:tr>
      <w:tr w14:paraId="34C6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BBAB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FF310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228D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附件锐利性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830C4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31702—2015</w:t>
            </w:r>
          </w:p>
        </w:tc>
      </w:tr>
      <w:tr w14:paraId="1A13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A0D8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47D9D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687E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羽绒含绒量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388FA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14272—2011</w:t>
            </w:r>
          </w:p>
        </w:tc>
      </w:tr>
      <w:tr w14:paraId="0E7B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7EFB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5F17C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E805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绒子含量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F15A4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14272—2011</w:t>
            </w:r>
          </w:p>
        </w:tc>
      </w:tr>
      <w:tr w14:paraId="77B2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27DE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0D21C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761CE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DBFA0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14272—2021</w:t>
            </w:r>
          </w:p>
        </w:tc>
      </w:tr>
      <w:tr w14:paraId="34C0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2F44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E6973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9B04B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D5AB3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10288—2016</w:t>
            </w:r>
          </w:p>
        </w:tc>
      </w:tr>
      <w:tr w14:paraId="5623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B315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985A5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F0B5D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鸭毛（绒）含量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BE3A1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14272—2011</w:t>
            </w:r>
          </w:p>
        </w:tc>
      </w:tr>
      <w:tr w14:paraId="5E10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7DB8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FB072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4C7D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鹅毛绒含量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91116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10288—2016</w:t>
            </w:r>
          </w:p>
        </w:tc>
      </w:tr>
      <w:tr w14:paraId="74D6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EBE7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44475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03CD2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异味</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1FA3A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18401—2010</w:t>
            </w:r>
          </w:p>
        </w:tc>
      </w:tr>
      <w:tr w14:paraId="716F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4739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2F1CA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68D8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金属针</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8C4A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31701—2015</w:t>
            </w:r>
          </w:p>
        </w:tc>
      </w:tr>
      <w:tr w14:paraId="1ECC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6F52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E16FE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B74E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耐久性标签缝制位置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7B9E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31701—2015</w:t>
            </w:r>
          </w:p>
        </w:tc>
      </w:tr>
      <w:tr w14:paraId="60A0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8FC32">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F88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羽绒服</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9711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E0D0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2912.1—2009</w:t>
            </w:r>
          </w:p>
        </w:tc>
      </w:tr>
      <w:tr w14:paraId="5F4F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B7DF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57FB2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A23F3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pH</w:t>
            </w:r>
            <w:r>
              <w:rPr>
                <w:rFonts w:hint="eastAsia" w:ascii="宋体" w:hAnsi="宋体" w:eastAsia="宋体" w:cs="宋体"/>
                <w:i w:val="0"/>
                <w:iCs w:val="0"/>
                <w:color w:val="000000"/>
                <w:kern w:val="0"/>
                <w:sz w:val="22"/>
                <w:szCs w:val="22"/>
                <w:u w:val="none"/>
                <w:lang w:val="en-US" w:eastAsia="zh-CN" w:bidi="ar"/>
              </w:rPr>
              <w:t>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2409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7573—2009</w:t>
            </w:r>
          </w:p>
        </w:tc>
      </w:tr>
      <w:tr w14:paraId="1881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A303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F28507">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E9894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可分解致癌芳香胺染料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8926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17592—2011</w:t>
            </w:r>
          </w:p>
        </w:tc>
      </w:tr>
      <w:tr w14:paraId="1CF7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A4D1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2159B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8C982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402F9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23344—2009</w:t>
            </w:r>
          </w:p>
        </w:tc>
      </w:tr>
      <w:tr w14:paraId="0ECB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78E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A55C7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44C8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耐水色牢度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1B7B3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5713—2013</w:t>
            </w:r>
          </w:p>
        </w:tc>
      </w:tr>
      <w:tr w14:paraId="6CD8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C6F5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7A682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98A6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耐酸汗渍色牢度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DF2F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3922—2013</w:t>
            </w:r>
          </w:p>
        </w:tc>
      </w:tr>
      <w:tr w14:paraId="6E0E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2A87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85244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95B2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耐碱汗渍色牢度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358D3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3922—2013</w:t>
            </w:r>
          </w:p>
        </w:tc>
      </w:tr>
      <w:tr w14:paraId="5CB3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08C0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F7E94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CFC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耐干摩擦色牢度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2B3BB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3920—2008</w:t>
            </w:r>
          </w:p>
        </w:tc>
      </w:tr>
      <w:tr w14:paraId="4700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6DBE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87A95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D8CE3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异味</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8C49F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18401—2010</w:t>
            </w:r>
          </w:p>
        </w:tc>
      </w:tr>
      <w:tr w14:paraId="3DA2A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8780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B53F3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5175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纤维含量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BB0E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01057.1—2007</w:t>
            </w:r>
          </w:p>
        </w:tc>
      </w:tr>
      <w:tr w14:paraId="7C2A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1E8B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EB4BD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3990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A8B3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01057.2—2007</w:t>
            </w:r>
          </w:p>
        </w:tc>
      </w:tr>
      <w:tr w14:paraId="269C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704F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BF625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B700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029A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01057.3—2007</w:t>
            </w:r>
          </w:p>
        </w:tc>
      </w:tr>
      <w:tr w14:paraId="14D6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CD3E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01C60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7616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01BAF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01057.4—2007</w:t>
            </w:r>
          </w:p>
        </w:tc>
      </w:tr>
      <w:tr w14:paraId="4F36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4E17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F2DE7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3AA6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1089B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2910.1—2009</w:t>
            </w:r>
          </w:p>
        </w:tc>
      </w:tr>
      <w:tr w14:paraId="7077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8EDB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C57EC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EA0D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3FAD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2910.2—2009</w:t>
            </w:r>
          </w:p>
        </w:tc>
      </w:tr>
      <w:tr w14:paraId="6619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A686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2E74D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AD708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8C50A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2910.3—2009</w:t>
            </w:r>
          </w:p>
        </w:tc>
      </w:tr>
      <w:tr w14:paraId="1D9D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86F2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AA9E7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40229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D92FA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2910.4—2022</w:t>
            </w:r>
          </w:p>
        </w:tc>
      </w:tr>
      <w:tr w14:paraId="5842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6441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33877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7A2E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7EF7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2910.5—2009</w:t>
            </w:r>
          </w:p>
        </w:tc>
      </w:tr>
      <w:tr w14:paraId="31B6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BEF2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B6F04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77FD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D816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2910.6—2009</w:t>
            </w:r>
          </w:p>
        </w:tc>
      </w:tr>
      <w:tr w14:paraId="1E9F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6F2E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BA308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8C19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2ED70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2910.7—2009</w:t>
            </w:r>
          </w:p>
        </w:tc>
      </w:tr>
      <w:tr w14:paraId="4600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5DDA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71AFC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7101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7CA84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2910.11—2009</w:t>
            </w:r>
          </w:p>
        </w:tc>
      </w:tr>
      <w:tr w14:paraId="56CD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2609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38ACC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B6D4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CDD8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2910.12—2023</w:t>
            </w:r>
          </w:p>
        </w:tc>
      </w:tr>
      <w:tr w14:paraId="39F6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73DB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437FA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B9E5E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487D8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2910.20—2009</w:t>
            </w:r>
          </w:p>
        </w:tc>
      </w:tr>
      <w:tr w14:paraId="2EEB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A9B47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6DCF7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B4BF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7D19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38015—2019</w:t>
            </w:r>
          </w:p>
        </w:tc>
      </w:tr>
      <w:tr w14:paraId="6DC4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AE8D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39EB1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875B2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6BAA1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01101—2008</w:t>
            </w:r>
          </w:p>
        </w:tc>
      </w:tr>
      <w:tr w14:paraId="5D36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4CC4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25DD3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7F27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AF90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01112—2012</w:t>
            </w:r>
          </w:p>
        </w:tc>
      </w:tr>
      <w:tr w14:paraId="3358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8551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40D5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6C71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3851D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01026—2017</w:t>
            </w:r>
          </w:p>
        </w:tc>
      </w:tr>
      <w:tr w14:paraId="7673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C17B5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20818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1532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D7037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01095—2002</w:t>
            </w:r>
          </w:p>
        </w:tc>
      </w:tr>
      <w:tr w14:paraId="273E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E001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25731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E07C5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018A21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FZ/T 30003—2009</w:t>
            </w:r>
          </w:p>
        </w:tc>
      </w:tr>
      <w:tr w14:paraId="3DB3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04ECA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2EEFB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6182E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羽绒含绒量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EEDC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14272—2011</w:t>
            </w:r>
          </w:p>
        </w:tc>
      </w:tr>
      <w:tr w14:paraId="49DC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023C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EFC2E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793E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绒子含量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A5B6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14272—2011</w:t>
            </w:r>
          </w:p>
        </w:tc>
      </w:tr>
      <w:tr w14:paraId="51B9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4273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A2E56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C8F1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F7A66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14272—2021</w:t>
            </w:r>
          </w:p>
        </w:tc>
      </w:tr>
      <w:tr w14:paraId="74F4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8F2A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B1782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DB25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4EF6D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10288—2016</w:t>
            </w:r>
          </w:p>
        </w:tc>
      </w:tr>
      <w:tr w14:paraId="3F2D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C0F6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94FAB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2BE0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鸭毛（绒）含量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3840E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14272—2011</w:t>
            </w:r>
          </w:p>
        </w:tc>
      </w:tr>
      <w:tr w14:paraId="4D6E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994F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4A2C1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43894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鹅毛绒含量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92A2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10288—2016</w:t>
            </w:r>
          </w:p>
        </w:tc>
      </w:tr>
      <w:tr w14:paraId="7171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D6357">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5C2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运动服装</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94BE1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AFB3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2912.1—2009</w:t>
            </w:r>
          </w:p>
        </w:tc>
      </w:tr>
      <w:tr w14:paraId="2F00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4D10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3D17B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42CE7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pH 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170F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7573—2009</w:t>
            </w:r>
          </w:p>
        </w:tc>
      </w:tr>
      <w:tr w14:paraId="2EF8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D0EE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94065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D2F3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可分解致癌芳香胺染料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BF7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GB/T 17592—2011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23344—2009</w:t>
            </w:r>
          </w:p>
        </w:tc>
      </w:tr>
      <w:tr w14:paraId="6B44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A5D8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B6B6B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F52B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耐水色牢度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D249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5713—2013</w:t>
            </w:r>
          </w:p>
        </w:tc>
      </w:tr>
      <w:tr w14:paraId="4D04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391B1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7B36D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20FA2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耐酸、碱汗渍色牢度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84E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3922—2013</w:t>
            </w:r>
          </w:p>
        </w:tc>
      </w:tr>
      <w:tr w14:paraId="25BD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171C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BC3CA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72390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耐干、湿摩擦色牢度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870A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3920—2008</w:t>
            </w:r>
          </w:p>
        </w:tc>
      </w:tr>
      <w:tr w14:paraId="10D8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24CC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8F1B4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A38D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耐皂洗色牢度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E9EA0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3921-2008</w:t>
            </w:r>
          </w:p>
        </w:tc>
      </w:tr>
      <w:tr w14:paraId="0AF2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C06D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5A849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2A04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耐光色牢度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F964A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8427-2008</w:t>
            </w:r>
          </w:p>
        </w:tc>
      </w:tr>
      <w:tr w14:paraId="422F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91DD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F22CD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52A4B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耐光、汗复合色牢度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A802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14576-2009</w:t>
            </w:r>
          </w:p>
        </w:tc>
      </w:tr>
      <w:tr w14:paraId="751E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3A77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FC3567">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F47BD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纤维含量</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1D3C1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FZ/T 01057.1—2007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FZ/T 01057.2—2007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FZ/T 01057.3—2007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FZ/T 01057.4—2007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2910.1—2009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2910.2—2009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2910.3—2009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2910.4—2022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2910.6—2009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2910.7—2009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2910.8—2009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2910.11—2009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2910.12—2023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2910.18—2009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2910.20—2009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16988—2013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38015—2019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FZ/T 01101—2008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FZ/T 01112—2012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FZ/T 01026—2017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FZ/T 01095—2002</w:t>
            </w:r>
          </w:p>
        </w:tc>
      </w:tr>
      <w:tr w14:paraId="26AE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24A3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D7455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930B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D1F5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30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1B2F5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91BAB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E60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使用说明</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2351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5296.4—2012</w:t>
            </w:r>
          </w:p>
        </w:tc>
      </w:tr>
      <w:tr w14:paraId="3F55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C1CC3">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961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老人鞋</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8B817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剥离强度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420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3903.3-2011</w:t>
            </w:r>
          </w:p>
        </w:tc>
      </w:tr>
      <w:tr w14:paraId="2319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FA80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6B3DD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01D4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感官质量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818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3903.5-2011</w:t>
            </w:r>
          </w:p>
        </w:tc>
      </w:tr>
      <w:tr w14:paraId="46C9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C577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A1E33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B30E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成鞋耐折性能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ABBA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3903.1-2008</w:t>
            </w:r>
          </w:p>
        </w:tc>
      </w:tr>
      <w:tr w14:paraId="2AC2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CEB5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9F2CB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6A8B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外底耐磨性能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2B1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3903.2-2008</w:t>
            </w:r>
          </w:p>
        </w:tc>
      </w:tr>
      <w:tr w14:paraId="352B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C1A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A71C5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3E1D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外底与外中底粘合强度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B325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2886-2007</w:t>
            </w:r>
          </w:p>
        </w:tc>
      </w:tr>
      <w:tr w14:paraId="648C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1674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5A688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9F6C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低温屈挠性能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CF97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2224-2012</w:t>
            </w:r>
          </w:p>
        </w:tc>
      </w:tr>
      <w:tr w14:paraId="7C82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32F3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9C715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DDB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帮底剥离强度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8409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3903.3-2011</w:t>
            </w:r>
          </w:p>
        </w:tc>
      </w:tr>
      <w:tr w14:paraId="61CC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401C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3C5D1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212B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感官质量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313E6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3903.5-2011</w:t>
            </w:r>
          </w:p>
        </w:tc>
      </w:tr>
      <w:tr w14:paraId="5249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2AE0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3966D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5056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成鞋耐折性能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457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3903.1-2008</w:t>
            </w:r>
          </w:p>
        </w:tc>
      </w:tr>
      <w:tr w14:paraId="6D15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E020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F74EE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3F1E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外底耐磨性能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044D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3903.2-2008</w:t>
            </w:r>
          </w:p>
        </w:tc>
      </w:tr>
      <w:tr w14:paraId="1A96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7C6D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63596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9F66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衬里和内垫耐摩擦色牢度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06B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2882-2007</w:t>
            </w:r>
          </w:p>
        </w:tc>
      </w:tr>
      <w:tr w14:paraId="7DB7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AE71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599F8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82EC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成型底鞋跟硬度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DA4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3903.4-2008</w:t>
            </w:r>
          </w:p>
        </w:tc>
      </w:tr>
      <w:tr w14:paraId="75815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028DA">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0A2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一次性防护用品（儿童、成人非医用口罩）</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9991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过滤效率</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60BEC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2626—2019</w:t>
            </w:r>
          </w:p>
        </w:tc>
      </w:tr>
      <w:tr w14:paraId="7F27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263B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7C73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16F4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呼吸阻力</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16D68B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D2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9DFA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B9D6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1294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呼气阀气密性</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605C3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9D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6EF8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9E01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6F27E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头带</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ED41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21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4778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A46CF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C6A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吸气阻力</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48772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32610—2016</w:t>
            </w:r>
          </w:p>
        </w:tc>
      </w:tr>
      <w:tr w14:paraId="4159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BE38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8897D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6EC45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呼气阻力</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7164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2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8DED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1F88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EDC21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过滤效率</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42BF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D0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96BC9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3C6F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5EA7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防护效果</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CE2A6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85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F68E6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6AC9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D63F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口罩带及口罩带与口罩体的连接处断裂强力</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50BB1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3C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202C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1A2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ECCC1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颗粒物过滤效率</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43F5D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38880—2020</w:t>
            </w:r>
          </w:p>
        </w:tc>
      </w:tr>
      <w:tr w14:paraId="458C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71BF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3DCD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0E8D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吸气阻力</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57F11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74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5CE1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1CE6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76C2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呼气阻力</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3091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D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8235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1E15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366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通气阻力</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518C4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7B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39DA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16FA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53C6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防护效果</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A0799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D0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3459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A6EF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CF0C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过滤效率/颗粒物过滤效率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31322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2626—2019</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GB/T 32610—2016</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YY 0469—2011</w:t>
            </w:r>
          </w:p>
        </w:tc>
      </w:tr>
      <w:tr w14:paraId="492A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865B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8EA8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6C6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呼吸阻力/吸气阻力/呼气阻力/通气阻力/通气阻力/压力差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6E7E3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2626—2019</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GB/T 32610—2016</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GB/T 38880—2020</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YY 0469—2011</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YY/T 0969—2013</w:t>
            </w:r>
          </w:p>
        </w:tc>
      </w:tr>
      <w:tr w14:paraId="59CE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5490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5239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53E6C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头带/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2DCE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2626—2019</w:t>
            </w:r>
          </w:p>
        </w:tc>
      </w:tr>
      <w:tr w14:paraId="1B24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C053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B957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48A8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口罩带及口罩带与口罩体的连接处断裂强力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099F9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32610—2016</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 xml:space="preserve">YY 0469—2011   </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YY/T 0969—2013</w:t>
            </w:r>
          </w:p>
        </w:tc>
      </w:tr>
      <w:tr w14:paraId="566B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1BF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消防器材</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82F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手提式干粉灭火器</w:t>
            </w: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FD6C9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℃时喷射性能</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542DE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有效喷射时间</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3F7DB8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4351—2023</w:t>
            </w:r>
          </w:p>
        </w:tc>
      </w:tr>
      <w:tr w14:paraId="4823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1749C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99AE5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D7925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8964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喷射滞后时间</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06F584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3ECA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21C3E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1A7BA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5710E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9A06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喷射剩余率</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0BE978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BB5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00397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EF44A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A67F1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5BDE3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喷射距离</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18AE9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EFD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11575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6EBFED">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D5C8B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充装要求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13DB4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充装量</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5A7FF5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35C6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1A8F5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BF237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ACD7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9B40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充装误差</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A6665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50E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2D5CB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02EAF5">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44DA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瓶体</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76AC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水压试验</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682181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EA5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8CE24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9575F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2C84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BC41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爆破性能试验</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61320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512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C6CBC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33C794">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14:paraId="20BF7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灭火剂（干粉灭火剂）</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A59A8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第一主要组分含量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98A32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4066—2017</w:t>
            </w:r>
          </w:p>
        </w:tc>
      </w:tr>
      <w:tr w14:paraId="6A7F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3C1CE8">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3EA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消防应急照明灯具</w:t>
            </w: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F6DA1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基本功能试验</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0F64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表面亮度（适用时）</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1B91A1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17945—2010</w:t>
            </w:r>
          </w:p>
        </w:tc>
      </w:tr>
      <w:tr w14:paraId="0D5A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DDB07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3E549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BF079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E73BD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应急状态光通量（适用时）</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129619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21D7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A296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1AE88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E0C85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49C0C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应急工作时间</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6DD75B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C5C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F95A0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21D51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04F60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充、放电试验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97878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17945—2010</w:t>
            </w:r>
          </w:p>
        </w:tc>
      </w:tr>
      <w:tr w14:paraId="07CA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6A6DB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182ED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C039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转换电压试验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758BB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17945—2010</w:t>
            </w:r>
          </w:p>
        </w:tc>
      </w:tr>
      <w:tr w14:paraId="4D1E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5FF64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4D96A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17AD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充、放电耐久试验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65175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17945—2010</w:t>
            </w:r>
          </w:p>
        </w:tc>
      </w:tr>
      <w:tr w14:paraId="1E3B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44811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028A4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8D4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接地电阻试验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0D182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17945—2010</w:t>
            </w:r>
          </w:p>
        </w:tc>
      </w:tr>
      <w:tr w14:paraId="3373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B2EBA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97455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80153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耐压试验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ABC28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17945—2010</w:t>
            </w:r>
          </w:p>
        </w:tc>
      </w:tr>
      <w:tr w14:paraId="187E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5B3E2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664F5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B1D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外壳防护等级试验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7562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17945—2010</w:t>
            </w:r>
          </w:p>
        </w:tc>
      </w:tr>
      <w:tr w14:paraId="6711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745153">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A3A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60AE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阀杆升降性能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5A2E4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3445—2018</w:t>
            </w:r>
          </w:p>
        </w:tc>
      </w:tr>
      <w:tr w14:paraId="2173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6D91F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6415A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A452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旋转性能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ED5E9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3445—2018</w:t>
            </w:r>
          </w:p>
        </w:tc>
      </w:tr>
      <w:tr w14:paraId="67B5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6A279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2FEC5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131F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开启高度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191C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3445—2018</w:t>
            </w:r>
          </w:p>
        </w:tc>
      </w:tr>
      <w:tr w14:paraId="0FC8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B0DF7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1A8CD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25A0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D454F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3445—2018</w:t>
            </w:r>
          </w:p>
        </w:tc>
      </w:tr>
      <w:tr w14:paraId="115B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637AB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DFA81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58C5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水压强度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2822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3445—2018</w:t>
            </w:r>
          </w:p>
        </w:tc>
      </w:tr>
      <w:tr w14:paraId="26ED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4BC6E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0BED2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A4671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耐腐蚀性能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C7C4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3445—2018</w:t>
            </w:r>
          </w:p>
        </w:tc>
      </w:tr>
      <w:tr w14:paraId="0683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A51A3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3AFDA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2B34F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进水口连接尺寸</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6679C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4452—2011</w:t>
            </w:r>
          </w:p>
        </w:tc>
      </w:tr>
      <w:tr w14:paraId="7C02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159D0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964F7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FDB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开启高度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339E9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4452—2011</w:t>
            </w:r>
          </w:p>
        </w:tc>
      </w:tr>
      <w:tr w14:paraId="63DE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38D88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60E9D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639D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5B451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4452—2011</w:t>
            </w:r>
          </w:p>
        </w:tc>
      </w:tr>
      <w:tr w14:paraId="48F6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417C3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7D667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FF6A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水压强度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F1C4F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4452—2011</w:t>
            </w:r>
          </w:p>
        </w:tc>
      </w:tr>
      <w:tr w14:paraId="4F0A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01575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51ECE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BE42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排放余水装置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35CE8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4452—2011</w:t>
            </w:r>
          </w:p>
        </w:tc>
      </w:tr>
      <w:tr w14:paraId="366C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CBED3F">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5B8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消防水带</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3D47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内径</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A8EB0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6246—2011</w:t>
            </w:r>
          </w:p>
        </w:tc>
      </w:tr>
      <w:tr w14:paraId="1816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A22D0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662D3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EF1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试验压力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EFD69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6246—2011</w:t>
            </w:r>
          </w:p>
        </w:tc>
      </w:tr>
      <w:tr w14:paraId="6AFA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EE3E1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4C230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10008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最小爆破压力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70F23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6246—2011</w:t>
            </w:r>
          </w:p>
        </w:tc>
      </w:tr>
      <w:tr w14:paraId="642A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DAE1F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26442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2A71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黏附性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7F5F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6246—2011</w:t>
            </w:r>
          </w:p>
        </w:tc>
      </w:tr>
      <w:tr w14:paraId="0F6B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38E73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4B572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DFD4E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附着强度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55F53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6246—2011</w:t>
            </w:r>
          </w:p>
        </w:tc>
      </w:tr>
      <w:tr w14:paraId="2195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52A185">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588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消防水枪</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3689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3655A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8181—2005</w:t>
            </w:r>
          </w:p>
        </w:tc>
      </w:tr>
      <w:tr w14:paraId="3D78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7CB2A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456D5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7950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耐水压强度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CF2A8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8181—2005</w:t>
            </w:r>
          </w:p>
        </w:tc>
      </w:tr>
      <w:tr w14:paraId="4661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3EA47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AFB42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5483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抗跌落性能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CD325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8181—2005</w:t>
            </w:r>
          </w:p>
        </w:tc>
      </w:tr>
      <w:tr w14:paraId="227C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7D0B2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B4F71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7C41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耐腐蚀性能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7195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8181—2005</w:t>
            </w:r>
          </w:p>
        </w:tc>
      </w:tr>
      <w:tr w14:paraId="7649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1C667C">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320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125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启闭灵活性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722AB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12955—2008</w:t>
            </w:r>
          </w:p>
        </w:tc>
      </w:tr>
      <w:tr w14:paraId="5810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E2FAD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5D470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BF0A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可靠性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9EA7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12955—2008</w:t>
            </w:r>
          </w:p>
        </w:tc>
      </w:tr>
      <w:tr w14:paraId="2B1F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3254A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3B26B8">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83A2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耐火性能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E3E3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12955—2008</w:t>
            </w:r>
          </w:p>
        </w:tc>
      </w:tr>
      <w:tr w14:paraId="1892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7047D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5EDD4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36468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ADFC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7633—2008</w:t>
            </w:r>
          </w:p>
        </w:tc>
      </w:tr>
      <w:tr w14:paraId="05D1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73191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754DA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BA1E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防火锁的耐火性能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50FFF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12955—2008</w:t>
            </w:r>
          </w:p>
        </w:tc>
      </w:tr>
      <w:tr w14:paraId="19BF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3FA26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12428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9112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2DA0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7633—2008</w:t>
            </w:r>
          </w:p>
        </w:tc>
      </w:tr>
      <w:tr w14:paraId="6CAE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F4DBF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727C12">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75CB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防火合页（铰链）的耐火性能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2883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12955—2008</w:t>
            </w:r>
          </w:p>
        </w:tc>
      </w:tr>
      <w:tr w14:paraId="5903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11723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2780A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E41A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32D95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7633—2008</w:t>
            </w:r>
          </w:p>
        </w:tc>
      </w:tr>
      <w:tr w14:paraId="2BC1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101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燃气灶、配件及相关产品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2E9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家用可燃气体探测器</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BEA6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报警动作值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0AE84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15322.2—2019</w:t>
            </w:r>
          </w:p>
        </w:tc>
      </w:tr>
      <w:tr w14:paraId="3AB2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883DA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414F7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930BE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方位</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EFD98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15322.2—2019</w:t>
            </w:r>
          </w:p>
        </w:tc>
      </w:tr>
      <w:tr w14:paraId="6D2A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00CD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75F2C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78B8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526E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15322.2—2019</w:t>
            </w:r>
          </w:p>
        </w:tc>
      </w:tr>
      <w:tr w14:paraId="10D7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51C2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CDD40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90E7A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678E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15322.2—2019</w:t>
            </w:r>
          </w:p>
        </w:tc>
      </w:tr>
      <w:tr w14:paraId="1F7E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816C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32F2F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C218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高温（运行）试验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1960F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15322.2—2019</w:t>
            </w:r>
          </w:p>
        </w:tc>
      </w:tr>
      <w:tr w14:paraId="2FCA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F7F6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AD7D7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CD3B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跌落试验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9B449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15322.2—2019</w:t>
            </w:r>
          </w:p>
        </w:tc>
      </w:tr>
      <w:tr w14:paraId="47A7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467AC">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044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家用燃气灶</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3DE83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气密性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D5691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620E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FA68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B1596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C06C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热负荷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DE66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4B61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7A0D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EA8C4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5E7C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离焰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3174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1456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56C2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E7C5E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5D5E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熄火</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35A3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4275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3678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85FE0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0571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回火</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A2114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0FE8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03D0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ADCE3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5F488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干烟气中一氧化碳浓度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9593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72F9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5360F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8CC36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C928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52A8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1DD9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A88B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07768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5C9C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耐热冲击</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57BB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165D1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C764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E9E8D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2EA7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耐重力冲击</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0EED0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0E1D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6CED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883DD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660C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熄火保护装置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83BE8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4099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AF2B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FF8AB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6261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热效率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788EB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5EE5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51AA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26F9F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A9E4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燃气导管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C1B1C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16410-2020</w:t>
            </w:r>
          </w:p>
        </w:tc>
      </w:tr>
      <w:tr w14:paraId="35FD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5707F">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E10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商用燃气灶</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14:paraId="2F306B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通用结构</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2D58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AB82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530E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508B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0E5B2C">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14:paraId="054837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5640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电气系统</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5683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2D6E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D0D6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573A44">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14:paraId="0D500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燃气系统零部件</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0FD0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004E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2B6C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F524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62A52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9E90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燃气系统密封性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1C7CE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1F04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38E7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D7E3E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7A05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热负荷准确度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9970E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2C06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0C7C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65E1DF">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3FE51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燃烧工况</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A3F5D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运行噪声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4546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48A7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AE1C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5438C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C29E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FD86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熄火噪声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4699C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722F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CF5B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D6868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077E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02FD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干烟气中CO（α=1）含量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62DE7E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2F15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909B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1BEF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97A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熄火保护装置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6A4F9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1B82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C8A9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BAA80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3406F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能源合理利用</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B2076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0391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9974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68919A">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6E32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电气性能</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BE8A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标志</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E24E1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0F1A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9E746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185D1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4AC9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0C5D6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接地措施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20E9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54E8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65FB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21773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497D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5CDF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工作温度下的泄漏电流和电气强度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524BB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35848—2024</w:t>
            </w:r>
          </w:p>
        </w:tc>
      </w:tr>
      <w:tr w14:paraId="0F7A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346B78">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0A0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瓶装液化石油气调压器</w:t>
            </w: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3138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984F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CC78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35844—2018</w:t>
            </w:r>
          </w:p>
        </w:tc>
      </w:tr>
      <w:tr w14:paraId="6B55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901DA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8AE4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3711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B329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调压器的接头组件</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2EB8A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35844—2018</w:t>
            </w:r>
          </w:p>
        </w:tc>
      </w:tr>
      <w:tr w14:paraId="7810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8277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1541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DE70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3BD7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压力或流量安全装置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8F83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35844—2018</w:t>
            </w:r>
          </w:p>
        </w:tc>
      </w:tr>
      <w:tr w14:paraId="3D10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108A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E1A4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A3E5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气密性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8402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35844—2018</w:t>
            </w:r>
          </w:p>
        </w:tc>
      </w:tr>
      <w:tr w14:paraId="2E41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441D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9EAC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7E41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调压静特性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1EFA2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35844—2018</w:t>
            </w:r>
          </w:p>
        </w:tc>
      </w:tr>
      <w:tr w14:paraId="436D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53B5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BCDA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4DE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耐冲击性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5755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35844—2018</w:t>
            </w:r>
          </w:p>
        </w:tc>
      </w:tr>
      <w:tr w14:paraId="6A9D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94CE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D250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FC95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连接接头机械强度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CC560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35844—2018</w:t>
            </w:r>
          </w:p>
        </w:tc>
      </w:tr>
      <w:tr w14:paraId="3BB3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BF363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C04C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14A7B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5B29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35844—2018</w:t>
            </w:r>
          </w:p>
        </w:tc>
      </w:tr>
      <w:tr w14:paraId="4011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11FCE">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DC6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燃气用具连接用软管</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51166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气密性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8924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HG 2486-1993</w:t>
            </w:r>
          </w:p>
        </w:tc>
      </w:tr>
      <w:tr w14:paraId="2401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2BAB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A6100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6B1F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耐压性能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16BC4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HG 2486-1993</w:t>
            </w:r>
          </w:p>
        </w:tc>
      </w:tr>
      <w:tr w14:paraId="0E22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F0C75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F25BC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B10C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弯曲性能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9263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5565.1-2017</w:t>
            </w:r>
          </w:p>
        </w:tc>
      </w:tr>
      <w:tr w14:paraId="1B06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634B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07620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46D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难燃试验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E757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HG 2486-1993</w:t>
            </w:r>
          </w:p>
        </w:tc>
      </w:tr>
      <w:tr w14:paraId="4E60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C197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B2611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B0523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软管气密性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D4D1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243C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8164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1C5FF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DEDC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软管长度极限偏差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E8B0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6AB0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F294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905F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BB51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软管最小内径</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F251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3F88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0268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B5F8D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0977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软管耐压性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8F4C0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3C41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F899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B75F3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17C42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软管柔软性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F9F2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5B0C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B8B8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A2718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8EB28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软管弯曲性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B9B4B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1D58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AFC8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BF984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AB69B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软管耐冲击性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53CB5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0DDD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3947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B2520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3F9A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接头耐冲击性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7ACA5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7B9C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0F91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269C0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FEC2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接头耐安装性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D4C7B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674D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CD35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82D3F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81E3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被覆层阻燃性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0425E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41317-2022 CJ/T 197-2010</w:t>
            </w:r>
          </w:p>
        </w:tc>
      </w:tr>
      <w:tr w14:paraId="4F48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B163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A933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C26E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软管结构</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400C2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29993-2013</w:t>
            </w:r>
          </w:p>
        </w:tc>
      </w:tr>
      <w:tr w14:paraId="4324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5DCD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01175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B91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尺寸和公差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BB95D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9573-2013</w:t>
            </w:r>
          </w:p>
        </w:tc>
      </w:tr>
      <w:tr w14:paraId="063D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3D53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E4E79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A148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耐燃试验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B81B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29993-2013</w:t>
            </w:r>
          </w:p>
        </w:tc>
      </w:tr>
      <w:tr w14:paraId="5533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F513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B09FC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1843F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气密试验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9E071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29993-2013</w:t>
            </w:r>
          </w:p>
        </w:tc>
      </w:tr>
      <w:tr w14:paraId="6FDB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D406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6E0E1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5C0A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弯曲试验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544BE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5565.1-2017</w:t>
            </w:r>
          </w:p>
        </w:tc>
      </w:tr>
      <w:tr w14:paraId="0BBB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78C4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72A92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60AF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耐热试验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BD789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29993-2013</w:t>
            </w:r>
          </w:p>
        </w:tc>
      </w:tr>
      <w:tr w14:paraId="6E95D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A399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BEB23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8DAB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柔软试验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0242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29993-2013</w:t>
            </w:r>
          </w:p>
        </w:tc>
      </w:tr>
      <w:tr w14:paraId="3EEE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AC1B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41135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8A8A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验证压力试验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2851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5563-2013</w:t>
            </w:r>
          </w:p>
        </w:tc>
      </w:tr>
      <w:tr w14:paraId="0769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BD1B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05F57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52EF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结构与尺寸</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2BA5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CJ/T 490-2016</w:t>
            </w:r>
          </w:p>
        </w:tc>
      </w:tr>
      <w:tr w14:paraId="5CFD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9754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CD6AA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0F72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软管耐压性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D6BB5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CJ/T 490-2016</w:t>
            </w:r>
          </w:p>
        </w:tc>
      </w:tr>
      <w:tr w14:paraId="60CC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018C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A563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CEA1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软管气密性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B038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CJ/T 490-2016</w:t>
            </w:r>
          </w:p>
        </w:tc>
      </w:tr>
      <w:tr w14:paraId="3C15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9555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F04DA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F825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软管柔软性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812A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CJ/T 490-2016</w:t>
            </w:r>
          </w:p>
        </w:tc>
      </w:tr>
      <w:tr w14:paraId="1FFF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1606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8A139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92E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包覆层阻燃性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044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CJ/T 490-2016</w:t>
            </w:r>
          </w:p>
        </w:tc>
      </w:tr>
      <w:tr w14:paraId="1AE1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5735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8D94C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B5484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接头耐安装性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61BA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CJ/T 490-2016</w:t>
            </w:r>
          </w:p>
        </w:tc>
      </w:tr>
      <w:tr w14:paraId="5B0C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6957D">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EFE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户外燃气燃烧器具</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1DA283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外观</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6F80C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1B499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7A1D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ECEBA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676EF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燃气系统气密性</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3D473A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61B7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FA90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3CC2C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7BB9F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热负荷准确度</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7F3B3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5B96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C4C3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AECD9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51FB4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火焰传递</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648461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4E7B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5D90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D7851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3CD91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火焰状态</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62088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0F4B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8DE2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C9ECD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29C46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主燃烧器火焰稳定性</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7D1F8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6879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0CC1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E9E86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1F09E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干烟气中CO（a=1）</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18698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620A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606D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2AFF6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7AB1A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熄火保护装置性能</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131E8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3864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BE96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DA738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730AF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点火器性能</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349EB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6F8E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5281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30CBF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00EBFC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表面温升</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31FDF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4B6F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F5AAE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C028F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70F54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小气瓶燃具的特殊要求（气密性）</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12CFE3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3797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848F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1DF7B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44E97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倾倒保护装置</w:t>
            </w:r>
          </w:p>
        </w:tc>
        <w:tc>
          <w:tcPr>
            <w:tcW w:w="0" w:type="auto"/>
            <w:tcBorders>
              <w:top w:val="single" w:color="000000" w:sz="8" w:space="0"/>
              <w:left w:val="single" w:color="000000" w:sz="8" w:space="0"/>
              <w:bottom w:val="single" w:color="000000" w:sz="8" w:space="0"/>
              <w:right w:val="single" w:color="auto" w:sz="4" w:space="0"/>
            </w:tcBorders>
            <w:shd w:val="clear" w:color="auto" w:fill="FFFFFF"/>
            <w:vAlign w:val="center"/>
          </w:tcPr>
          <w:p w14:paraId="30D88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38522-2020</w:t>
            </w:r>
          </w:p>
        </w:tc>
      </w:tr>
      <w:tr w14:paraId="6B7C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18745">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329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吸油烟机</w:t>
            </w: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0ACD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对触及带电部件的防护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D279C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7DE5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BE96C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0E0CE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06AE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C9AE9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61AC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66B0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04935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AAF8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输入功率和电流</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061A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56F7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7734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7F367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DD738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10198F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2F2D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9270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6131E8">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928FC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发热</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E1B26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2DE7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DAFA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FE918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5A1B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80DD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1169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FD44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F3D55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84D8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工作温度下的泄漏电流和电气强度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D280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51E4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1799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F599C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3FF3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08A4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5CDE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BBD3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53448F">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7D4A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耐潮湿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E0779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09B2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A1E4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B1E71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35FB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C0052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5E65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032B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6B41A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05DD5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泄漏电流和电气强度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F9E6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3B31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EE40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93EA1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7D5E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CAE8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6996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53C2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20B228">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B8625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非正常工作（不包括第19.11.4条的试验）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B6F2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20CD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E316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BB5A0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FA7A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AD8C4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5704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1907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8B2042">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1F433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稳定性和机械危险</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86B0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3207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B9826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48910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A112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EF95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0D3D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5E85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A6E7C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87705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7E0AB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5EDC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275C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7A1E8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DB7F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0EFE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6835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EAB4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1C45B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7131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结构（不包括第22.46条的试验）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8AE8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0848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594C7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F2A38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2433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FDC77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2DAA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3880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1E213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E0763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内部布线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ADB9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3B18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304B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6937B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DA52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A271E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1604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91EE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11ECC2">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F314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电源连接和外部软线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D8DE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0A9F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DFA1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E7DBE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7C36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96CC9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67D9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6A75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B74E6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C5CF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外部导线用接线端子</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0A20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2C30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F0D3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265A9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0015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5D99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32C9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6735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FCBFF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824BB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接地措施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0A50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1A2C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C056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9C0E4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1438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5EF2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2912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3422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2DF6C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EA70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螺钉和连接</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4118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3DA0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CB907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27B31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01A0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1EC9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492B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1EC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C1968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0BA4D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电气间隙、爬电距离和固体绝缘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17E73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5DB0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B9CA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7134F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D01D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8E97B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77BC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5C13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8D605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146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噪声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BD29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19606—2004</w:t>
            </w:r>
          </w:p>
        </w:tc>
      </w:tr>
      <w:tr w14:paraId="3F78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FA0A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BD18F3">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E4736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空气性能</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2CAE1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A8AD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17713—2011</w:t>
            </w:r>
          </w:p>
        </w:tc>
      </w:tr>
      <w:tr w14:paraId="60F4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4145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9FCFC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485D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3E96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风压</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2A0F1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17713—2011</w:t>
            </w:r>
          </w:p>
        </w:tc>
      </w:tr>
      <w:tr w14:paraId="0C88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46D5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9FE74E">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85AB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能效等级</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598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全压效率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3BF1A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29539—2013</w:t>
            </w:r>
          </w:p>
        </w:tc>
      </w:tr>
      <w:tr w14:paraId="6990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2501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8FA27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FF3B7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0C41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待机功率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61A2F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29539—2013</w:t>
            </w:r>
          </w:p>
        </w:tc>
      </w:tr>
      <w:tr w14:paraId="2A5F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C1F6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198D4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08390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3BEB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关机功率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F5648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29539—2013</w:t>
            </w:r>
          </w:p>
        </w:tc>
      </w:tr>
      <w:tr w14:paraId="5DB9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5FD9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19562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A7C3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9D669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常态气味降低度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F7E4F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29539—2013</w:t>
            </w:r>
          </w:p>
        </w:tc>
      </w:tr>
      <w:tr w14:paraId="4DFD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8F3B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913EB7">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BA6E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对触及带电部件的防护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3261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5736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6F04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37DE0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D8B6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0F75F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3544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89F7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A8B38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35CE7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输入功率和电流</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8ED95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33B3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E1D3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5CC83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ABC98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C4E49B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2E1B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B098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A16ED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F30A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发热</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3D8D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4583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308EF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AD9D4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3CC2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5CBF8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61C3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07EA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5DAA52">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74F7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工作温度下的泄漏电流和电气强度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18F04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4EE1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F0BA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0FB44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C55E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81BB3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6D16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8F39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7AC30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9E48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耐潮湿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8313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28F5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2032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8704A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B20F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5EC6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2FB5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0240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F3DF3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3C2EA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泄漏电流和电气强度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222FF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008F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0BE7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06376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F874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01523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69BC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7C94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B49C7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99EAD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非正常工作（不包括第19.11.4条的试验）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2950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5E1B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3344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23216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16A9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CD517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7526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1CE3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5A0A5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4ABD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稳定性和机械危险</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4920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039A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7CDD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5FBDE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8A1A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52FF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0DD7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9A09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88E10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5DEF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9D72E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1C86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1771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43F6D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EF66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93392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38FF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F833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8F7CA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91CE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结构（不包括第22.46条的试验）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055C1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2096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6F36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3D6BE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07702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5CB8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1247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4557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607E1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F6775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内部布线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EFD8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12D7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3BA9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F9ADD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BF07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01D42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0B2E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EF7C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6A3E9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01BD0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电源连接和外部软线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2074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17CE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20C7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9FE8E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C14D0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CE2C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1509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D35C4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02291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3B02A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外部导线用接线端子</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FE8A2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1152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D795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BD087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08320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16BE4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6102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209D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1FA1C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6307D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接地措施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F72FD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2DD1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A530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E1AE9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9347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AAC21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387F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08E5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CC8CC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8934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螺钉和连接</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37131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6020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D365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38490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AD94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1E637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2CB5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7A1B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EDF8E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583A8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电气间隙、爬电距离和固体绝缘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EEAB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1629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6173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5D7E2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D0FB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52F72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4706.28—2008</w:t>
            </w:r>
          </w:p>
        </w:tc>
      </w:tr>
      <w:tr w14:paraId="5CB3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5C68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2D808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6028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噪声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3B53F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19606—2004</w:t>
            </w:r>
          </w:p>
        </w:tc>
      </w:tr>
      <w:tr w14:paraId="600C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E317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A70B5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E723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工作噪声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557D5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17713—2022</w:t>
            </w:r>
          </w:p>
        </w:tc>
      </w:tr>
      <w:tr w14:paraId="38AC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E201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679428">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93E5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空气性能</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585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工作风量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CE506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17713—2022</w:t>
            </w:r>
          </w:p>
        </w:tc>
      </w:tr>
      <w:tr w14:paraId="682B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D43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7FD38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A686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7362E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最大风量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9C06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17713—2022</w:t>
            </w:r>
          </w:p>
        </w:tc>
      </w:tr>
      <w:tr w14:paraId="27A2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51F9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8D3C9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A8BA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1653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最大静压</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0CEDB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17713—2022</w:t>
            </w:r>
          </w:p>
        </w:tc>
      </w:tr>
      <w:tr w14:paraId="3DD2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27FE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D3066E">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ABC3E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能效等级</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90578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全压效率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43953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29539—2013</w:t>
            </w:r>
          </w:p>
        </w:tc>
      </w:tr>
      <w:tr w14:paraId="7352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BC3E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97C5E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57FA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BF96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待机功率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AD88D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29539—2013</w:t>
            </w:r>
          </w:p>
        </w:tc>
      </w:tr>
      <w:tr w14:paraId="2CF9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7E2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FB449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31958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F364C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关机功率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8ABA6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29539—2013</w:t>
            </w:r>
          </w:p>
        </w:tc>
      </w:tr>
      <w:tr w14:paraId="2576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0C08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5A493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6A40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C865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常态气味降低度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3752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29539—2013</w:t>
            </w:r>
          </w:p>
        </w:tc>
      </w:tr>
      <w:tr w14:paraId="2EE6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9AF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危险化学品及包装物</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197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变性燃料乙醇</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27E3F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3715DA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18350-2013</w:t>
            </w:r>
          </w:p>
        </w:tc>
      </w:tr>
      <w:tr w14:paraId="5314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D9A7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3F576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2EB78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乙醇</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4F4953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18350-2013</w:t>
            </w:r>
          </w:p>
        </w:tc>
      </w:tr>
      <w:tr w14:paraId="7BC1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2014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F5F19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1EAB8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水分</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01C277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18350-2013</w:t>
            </w:r>
          </w:p>
        </w:tc>
      </w:tr>
      <w:tr w14:paraId="2FAB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66A5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01173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03D39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硫</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164083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SH/T 0689-2000</w:t>
            </w:r>
          </w:p>
        </w:tc>
      </w:tr>
      <w:tr w14:paraId="2EF7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B983B">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CA4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工业糠醛</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37B83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密度(ρ20)</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5570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6E87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C069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08F7C2">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88A83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228600" cy="228600"/>
                  <wp:effectExtent l="0" t="0" r="0" b="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10"/>
                          <a:stretch>
                            <a:fillRect/>
                          </a:stretch>
                        </pic:blipFill>
                        <pic:spPr>
                          <a:xfrm>
                            <a:off x="0" y="0"/>
                            <a:ext cx="228600" cy="228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折光率</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62A33F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1CA8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762D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43014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3C9D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36560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3495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CC698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713F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3E5C8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水分</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CE6A7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7F5C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525D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260A2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3B6F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酸度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8EEB1E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60D8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AD5E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C9CBB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DD56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糠醛含量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59553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0E23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A3EB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F0AC4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ED967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初馏点</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9434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1D13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938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552F5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8E021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158</w:t>
            </w:r>
            <w:r>
              <w:rPr>
                <w:rFonts w:hint="eastAsia" w:ascii="宋体" w:hAnsi="宋体" w:eastAsia="宋体" w:cs="宋体"/>
                <w:i w:val="0"/>
                <w:iCs w:val="0"/>
                <w:color w:val="000000"/>
                <w:kern w:val="0"/>
                <w:sz w:val="22"/>
                <w:szCs w:val="22"/>
                <w:u w:val="none"/>
                <w:lang w:val="en-US" w:eastAsia="zh-CN" w:bidi="ar"/>
              </w:rPr>
              <w:t>℃前馏分</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E6B2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1E47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B3E5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4F86C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047E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总馏出物</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46B23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0D25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D76A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3938D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C8B76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终馏点</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768B2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7C52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A1A8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B5E58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550A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残留物</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92DB7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1926.2—1988</w:t>
            </w:r>
          </w:p>
        </w:tc>
      </w:tr>
      <w:tr w14:paraId="257C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6A0FA">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E40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工业用合成盐酸</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50635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总酸度</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6FDB89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320-2006/5.2</w:t>
            </w:r>
          </w:p>
        </w:tc>
      </w:tr>
      <w:tr w14:paraId="1B9B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6B14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B2B9C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3E587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游离氯(以 Cl 计)的质量分数</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6B3836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320-2006/5.5</w:t>
            </w:r>
          </w:p>
        </w:tc>
      </w:tr>
      <w:tr w14:paraId="49D5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41DC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EEAA9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0B9ECF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铁</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5EF619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320-2006/5.3</w:t>
            </w:r>
          </w:p>
        </w:tc>
      </w:tr>
      <w:tr w14:paraId="4669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5FC5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397C3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37226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灼烧残渣</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3C3964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320-2006/5.4</w:t>
            </w:r>
          </w:p>
        </w:tc>
      </w:tr>
      <w:tr w14:paraId="7DB2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24CE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665A6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08882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6BCC99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320-2006/5.6</w:t>
            </w:r>
          </w:p>
        </w:tc>
      </w:tr>
      <w:tr w14:paraId="6ED0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3EA0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7FA0E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532F11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749D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320-2006/5.7</w:t>
            </w:r>
          </w:p>
        </w:tc>
      </w:tr>
      <w:tr w14:paraId="6B72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2EEB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05D8C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0A97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硫酸盐</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B9E75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320-2006/5.8</w:t>
            </w:r>
          </w:p>
        </w:tc>
      </w:tr>
      <w:tr w14:paraId="0257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31A053">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DB9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液化石油气</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77AC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443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SH/T 0221-1992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GB/T 12576-1997</w:t>
            </w:r>
          </w:p>
        </w:tc>
      </w:tr>
      <w:tr w14:paraId="5B86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8DA2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EB691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1E99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蒸气压</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D298C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12576-1997</w:t>
            </w:r>
          </w:p>
        </w:tc>
      </w:tr>
      <w:tr w14:paraId="0847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E97A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CD84E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FC1C1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组分</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DD4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NB/SH/T 0230-2019</w:t>
            </w:r>
          </w:p>
        </w:tc>
      </w:tr>
      <w:tr w14:paraId="496A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3CE9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B98CF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7B6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残留物</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7388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SY/T 7509-2014</w:t>
            </w:r>
          </w:p>
        </w:tc>
      </w:tr>
      <w:tr w14:paraId="4E0E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C546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2D97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A50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铜片腐蚀</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334E6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SH/T 0232-1992</w:t>
            </w:r>
          </w:p>
        </w:tc>
      </w:tr>
      <w:tr w14:paraId="2104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EB81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835DD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8FD51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总硫含量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F917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SH/T 0222-1992</w:t>
            </w:r>
          </w:p>
        </w:tc>
      </w:tr>
      <w:tr w14:paraId="0E5A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9DAF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E69FA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03DC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硫化氢 乙酸铅法</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D13A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SH/T 0125-1992</w:t>
            </w:r>
          </w:p>
        </w:tc>
      </w:tr>
      <w:tr w14:paraId="5A50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44F1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C5F6C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6BF81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游离水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072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SH/T 0221-1992</w:t>
            </w:r>
          </w:p>
        </w:tc>
      </w:tr>
      <w:tr w14:paraId="066A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E5165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11BC3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4A669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除加臭剂以外的非烃类化合物（二甲醚含量）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F14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NB/SH/T 0230-2019</w:t>
            </w:r>
          </w:p>
        </w:tc>
      </w:tr>
      <w:tr w14:paraId="1F9F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7F240">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112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醇基燃料</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7D1B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醇含量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6862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16663-1996/4.2</w:t>
            </w:r>
          </w:p>
        </w:tc>
      </w:tr>
      <w:tr w14:paraId="167B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2B8F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A6E5C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78BD3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4F5B2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611-2021</w:t>
            </w:r>
          </w:p>
        </w:tc>
      </w:tr>
      <w:tr w14:paraId="64D9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CC6C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AB0BA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7FD50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机械杂质</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A707C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511-2010</w:t>
            </w:r>
          </w:p>
        </w:tc>
      </w:tr>
      <w:tr w14:paraId="34A7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21B2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E159B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5CE37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凝点</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C4F6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510-2018</w:t>
            </w:r>
          </w:p>
        </w:tc>
      </w:tr>
      <w:tr w14:paraId="0445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9972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89551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62A7F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pH 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2AF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16663-1996/4.7</w:t>
            </w:r>
          </w:p>
        </w:tc>
      </w:tr>
      <w:tr w14:paraId="34AC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EB267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445AD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431D4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50%馏出温度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95D2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16663-1996/4.8</w:t>
            </w:r>
          </w:p>
        </w:tc>
      </w:tr>
      <w:tr w14:paraId="7D77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CFDA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39AF6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916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6DB9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16663-1996/4.12</w:t>
            </w:r>
          </w:p>
        </w:tc>
      </w:tr>
      <w:tr w14:paraId="31A8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E2A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电动自行车</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1D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电动自行车</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4D68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车速限值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F633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0B2B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650C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B870F7">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00AA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制动性能(干态)</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B45BA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1C2F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8B57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BC22A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B1C3C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B5A9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3565—2005</w:t>
            </w:r>
          </w:p>
        </w:tc>
      </w:tr>
      <w:tr w14:paraId="26B6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5430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1523D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56B72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整车质量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7B577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2A67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4BB6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9693B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35EE82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6BF5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6009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987E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6E233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55D91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C8673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3565—2005</w:t>
            </w:r>
          </w:p>
        </w:tc>
      </w:tr>
      <w:tr w14:paraId="0188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FDC1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EDEA2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205A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车速提示音</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F5FD6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52E9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49C0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72D9A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DF15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电气装置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01832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222D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D00D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D9BD5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4D5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充电器与蓄电池</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65D9A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7737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1E32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437AA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E6C5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淋水涉水性能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22D4C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3F84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531C4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DB945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2225E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反射器、照明和鸣号装置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02CC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7FD5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F6C8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D392B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7BA40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D3129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31887.1—2019</w:t>
            </w:r>
          </w:p>
        </w:tc>
      </w:tr>
      <w:tr w14:paraId="0039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FCA99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728AF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1096C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8B3A7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31887.2—2019</w:t>
            </w:r>
          </w:p>
        </w:tc>
      </w:tr>
      <w:tr w14:paraId="27ED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2D3A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F439C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209E8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C7525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4CDC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31E3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8038D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31CDE3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87B76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5169.11—2017</w:t>
            </w:r>
          </w:p>
        </w:tc>
      </w:tr>
      <w:tr w14:paraId="2D29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7025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370D3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9CFA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标识与警示语</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8868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42295—2022</w:t>
            </w:r>
          </w:p>
        </w:tc>
      </w:tr>
      <w:tr w14:paraId="5C47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F0C3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E792D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D79B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车速限值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BBC6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52D7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A5EC8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93390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A304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制动性能(干态)</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5CD64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2163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F48E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C1016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E331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0E747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3565—2005</w:t>
            </w:r>
          </w:p>
        </w:tc>
      </w:tr>
      <w:tr w14:paraId="2B9E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0F68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9FB08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3443D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整车质量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2E8A3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3924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777C2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E4F7D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57A03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EF4AB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2BDC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2FA0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2AC47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6939B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09720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3565—2005</w:t>
            </w:r>
          </w:p>
        </w:tc>
      </w:tr>
      <w:tr w14:paraId="624B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4D23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FF391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2BD23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车速提示音</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E99F0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319E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B2992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41C0E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F8A36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充电状态主回路保护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183B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42295—2022</w:t>
            </w:r>
          </w:p>
        </w:tc>
      </w:tr>
      <w:tr w14:paraId="4A35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8731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A6689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65DD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互认协同充电</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554B5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42295—2022</w:t>
            </w:r>
          </w:p>
        </w:tc>
      </w:tr>
      <w:tr w14:paraId="5479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E4FA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85816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ADE9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布线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FDD84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42295—2022</w:t>
            </w:r>
          </w:p>
        </w:tc>
      </w:tr>
      <w:tr w14:paraId="2A0A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F628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89B73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6046C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电气装置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7934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7339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6FD9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1F827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48B03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充电器与蓄电池</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234D8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239F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5BA34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531E7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199C35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淋水涉水性能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F6556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40D7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D25D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2A4BCE">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26675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对触及带电部分的防护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66CC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42295—2022</w:t>
            </w:r>
          </w:p>
        </w:tc>
      </w:tr>
      <w:tr w14:paraId="61CC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6B17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7B83D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4B587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B50FE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4208—2017</w:t>
            </w:r>
          </w:p>
        </w:tc>
      </w:tr>
      <w:tr w14:paraId="4C03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B24E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46F47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24930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4715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01C7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727F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96552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2EEB8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连接</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CA27B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42295—2022</w:t>
            </w:r>
          </w:p>
        </w:tc>
      </w:tr>
      <w:tr w14:paraId="7D68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BA5CD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1E58B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EA79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反射器、照明和鸣号装置</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4CE8A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381D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D29A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767E7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6190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F12DC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31887.1—2019</w:t>
            </w:r>
          </w:p>
        </w:tc>
      </w:tr>
      <w:tr w14:paraId="61BF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515C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9992C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BF1D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1AE1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31887.2—2019</w:t>
            </w:r>
          </w:p>
        </w:tc>
      </w:tr>
      <w:tr w14:paraId="7F40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023A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BF3A6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2B4486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1611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17761—2018</w:t>
            </w:r>
          </w:p>
        </w:tc>
      </w:tr>
      <w:tr w14:paraId="3BC8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F24C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354D4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097D6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F9133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5169.11—2017</w:t>
            </w:r>
          </w:p>
        </w:tc>
      </w:tr>
      <w:tr w14:paraId="3A0E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C5573">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36E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282DF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I2(A)放电</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43FC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GB/T36972-2018/6.2.1</w:t>
            </w:r>
          </w:p>
        </w:tc>
      </w:tr>
      <w:tr w14:paraId="13F6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B204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0A4C8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495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低温放电</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68F21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GB/T36972-2018/6.2.3</w:t>
            </w:r>
          </w:p>
        </w:tc>
      </w:tr>
      <w:tr w14:paraId="1A29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D6B4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71CD5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28F74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过充电</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7D0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GB/T36972-2018/6.3.2</w:t>
            </w:r>
          </w:p>
        </w:tc>
      </w:tr>
      <w:tr w14:paraId="670C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A070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3A008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83A0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0E4F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"2025监督抽查 工作\\邵\\招标\\招标细则\\电动自行车\\6.1.6.2" \o "file:///C:\\Users\\lenovo\\Desktop\\2025监督抽查 工作\\邵\\招标\\招标细则\\电动自行车\\6.1.6.2"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QB/T2947.3-2008/6.1.6.2</w:t>
            </w:r>
            <w:r>
              <w:rPr>
                <w:rFonts w:hint="eastAsia" w:ascii="宋体" w:hAnsi="宋体" w:eastAsia="宋体" w:cs="宋体"/>
                <w:i w:val="0"/>
                <w:iCs w:val="0"/>
                <w:color w:val="000000"/>
                <w:kern w:val="0"/>
                <w:sz w:val="22"/>
                <w:szCs w:val="22"/>
                <w:u w:val="none"/>
                <w:lang w:val="en-US" w:eastAsia="zh-CN" w:bidi="ar"/>
              </w:rPr>
              <w:fldChar w:fldCharType="end"/>
            </w:r>
          </w:p>
        </w:tc>
      </w:tr>
      <w:tr w14:paraId="0B90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AB49E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21748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24FB9D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过充电保护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9948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GB/T36972-2018/6.4.2</w:t>
            </w:r>
          </w:p>
        </w:tc>
      </w:tr>
      <w:tr w14:paraId="3066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E72B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487D3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2310D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过放电保护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0557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GB/T36972-2018/6.4.3</w:t>
            </w:r>
          </w:p>
        </w:tc>
      </w:tr>
      <w:tr w14:paraId="0BDD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D8949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90EF2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6F8BCE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短路保护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B65D4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GB/T36972-2018/6.4.4</w:t>
            </w:r>
          </w:p>
        </w:tc>
      </w:tr>
      <w:tr w14:paraId="58E0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371A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96821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2BAF1E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放电过流保护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AC952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GB/T36972-2018/6.4.5</w:t>
            </w:r>
          </w:p>
        </w:tc>
      </w:tr>
      <w:tr w14:paraId="04BD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1FFB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ED499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2BA9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壳体阻燃性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A64D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GB/T36972-2018/6.5.3</w:t>
            </w:r>
          </w:p>
        </w:tc>
      </w:tr>
      <w:tr w14:paraId="5552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8B86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255CE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334D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常温容量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6FC5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QB/T2947.3-2008/6.1.2.3.1</w:t>
            </w:r>
          </w:p>
        </w:tc>
      </w:tr>
      <w:tr w14:paraId="50FE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554E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FF334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FB53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低温（-10℃) 容量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E0C41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QB/T2947.3-2008/6.1.2.3.2</w:t>
            </w:r>
          </w:p>
        </w:tc>
      </w:tr>
      <w:tr w14:paraId="1228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5729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A1B35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CC7A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I2(A)放电容量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585C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QB/T2947.3-2008/6.1.2.3.4</w:t>
            </w:r>
          </w:p>
        </w:tc>
      </w:tr>
      <w:tr w14:paraId="5070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35C0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AAFF8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071A8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短路</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570E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"2025监督抽查 工作\\邵\\招标\\招标细则\\电动自行车\\6.1.6.1" \o "file:///C:\\Users\\lenovo\\Desktop\\2025监督抽查 工作\\邵\\招标\\招标细则\\电动自行车\\6.1.6.1"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QB/T2947.3-2008/6.1.6.1</w:t>
            </w:r>
            <w:r>
              <w:rPr>
                <w:rFonts w:hint="eastAsia" w:ascii="宋体" w:hAnsi="宋体" w:eastAsia="宋体" w:cs="宋体"/>
                <w:i w:val="0"/>
                <w:iCs w:val="0"/>
                <w:color w:val="000000"/>
                <w:kern w:val="0"/>
                <w:sz w:val="22"/>
                <w:szCs w:val="22"/>
                <w:u w:val="none"/>
                <w:lang w:val="en-US" w:eastAsia="zh-CN" w:bidi="ar"/>
              </w:rPr>
              <w:fldChar w:fldCharType="end"/>
            </w:r>
          </w:p>
        </w:tc>
      </w:tr>
      <w:tr w14:paraId="410F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59BD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60F7B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6A553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过放电</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64D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"2025监督抽查 工作\\邵\\招标\\招标细则\\电动自行车\\6.1.6.3" \o "file:///C:\\Users\\lenovo\\Desktop\\2025监督抽查 工作\\邵\\招标\\招标细则\\电动自行车\\6.1.6.3"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QB/T2947.3-2008/6.1.6.3</w:t>
            </w:r>
            <w:r>
              <w:rPr>
                <w:rFonts w:hint="eastAsia" w:ascii="宋体" w:hAnsi="宋体" w:eastAsia="宋体" w:cs="宋体"/>
                <w:i w:val="0"/>
                <w:iCs w:val="0"/>
                <w:color w:val="000000"/>
                <w:kern w:val="0"/>
                <w:sz w:val="22"/>
                <w:szCs w:val="22"/>
                <w:u w:val="none"/>
                <w:lang w:val="en-US" w:eastAsia="zh-CN" w:bidi="ar"/>
              </w:rPr>
              <w:fldChar w:fldCharType="end"/>
            </w:r>
          </w:p>
        </w:tc>
      </w:tr>
      <w:tr w14:paraId="03AB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2EBD7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C4E58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3ED80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快速充电能力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A3DA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GB/T22199.1-2017/5.10</w:t>
            </w:r>
          </w:p>
        </w:tc>
      </w:tr>
      <w:tr w14:paraId="6850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7CDD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DDDF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1943F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防爆能力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088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GB/T22199.1-2017/5.16</w:t>
            </w:r>
          </w:p>
        </w:tc>
      </w:tr>
      <w:tr w14:paraId="3E53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C24A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61EDD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19AD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2hr容量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32D2A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GB/T22199.1-2017/5.5</w:t>
            </w:r>
          </w:p>
        </w:tc>
      </w:tr>
      <w:tr w14:paraId="71B0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3296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E2E42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6F707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大电流放电</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8FDE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GB/T22199.1-2017/5.6</w:t>
            </w:r>
          </w:p>
        </w:tc>
      </w:tr>
      <w:tr w14:paraId="5B39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28169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3E4A5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61A4D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能量密度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F7947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GB/T22199.1-2017/5.8</w:t>
            </w:r>
          </w:p>
        </w:tc>
      </w:tr>
      <w:tr w14:paraId="2CD3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7480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1FD34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1420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低温容量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B135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GB/T22199.1-2017/5.9</w:t>
            </w:r>
          </w:p>
        </w:tc>
      </w:tr>
      <w:tr w14:paraId="1EBE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50F6B">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B27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充电器</w:t>
            </w: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70A775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对触及带电部件的防护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119A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70BA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F4B8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DD6BB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771B96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023B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4706.18—2014</w:t>
            </w:r>
          </w:p>
        </w:tc>
      </w:tr>
      <w:tr w14:paraId="0751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875E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829E22">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1112B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工作温度下的泄漏电流和电气强度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56AC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4724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2120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DCB24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0817F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209CCF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4706.18—2014</w:t>
            </w:r>
          </w:p>
        </w:tc>
      </w:tr>
      <w:tr w14:paraId="6F67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4C82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FACA5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F59E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非正常工作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AF05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6BA8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5E0D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7E217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8E38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126BC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4706.18—2014</w:t>
            </w:r>
          </w:p>
        </w:tc>
      </w:tr>
      <w:tr w14:paraId="5C0C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57BF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E7F8DE">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248B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E861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1F6D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8256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A3DD3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41D4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42BA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4706.18—2014</w:t>
            </w:r>
          </w:p>
        </w:tc>
      </w:tr>
      <w:tr w14:paraId="743D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E0E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B17FE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000011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内部布线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B8A8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7C5D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A9804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5F0C2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73EAB9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77DCC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4706.18—2014</w:t>
            </w:r>
          </w:p>
        </w:tc>
      </w:tr>
      <w:tr w14:paraId="7A76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CCD2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10924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0EDCDF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电源连接和外部软线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6477E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4706.1—2005</w:t>
            </w:r>
          </w:p>
        </w:tc>
      </w:tr>
      <w:tr w14:paraId="79F1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1B47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7899C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23D3D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C452C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4706.18—2014</w:t>
            </w:r>
          </w:p>
        </w:tc>
      </w:tr>
      <w:tr w14:paraId="2638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0729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88E7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DEA4D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外壳冲击</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0287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288E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DA56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41E2A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676A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跌落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4041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72DB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ED82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4BF43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82F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工作温度下的泄漏电流</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8C1EB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7A98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1C20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8149F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14B62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326B3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13B1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DC4E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8FB38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5C1C5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防触电保护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FB629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0D80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29C9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022BF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3B18C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（仅测5.2.5.1、5.2.5.2）</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54B607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3953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F09D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324BB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71641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E519E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DA8A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BB095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8E642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06CF7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超温保护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B4BD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0613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3C140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DB415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E8B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过充切断</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31E90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2711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01AD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3B8E4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85A27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延时切断</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FF07B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6360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A17F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D8D48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DAA1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耐热</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0C49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70D2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53F1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D65F6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33C30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灼热丝</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B37E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42296—2022</w:t>
            </w:r>
          </w:p>
        </w:tc>
      </w:tr>
      <w:tr w14:paraId="10FB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8ABC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AC9F8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3584C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4F1C0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36944—2018</w:t>
            </w:r>
          </w:p>
        </w:tc>
      </w:tr>
      <w:tr w14:paraId="7291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B4B9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DC1EC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2EE96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泄漏电流</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CA54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36944—2018</w:t>
            </w:r>
          </w:p>
        </w:tc>
      </w:tr>
      <w:tr w14:paraId="7C1C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7266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BC9B4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60CF5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D650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36944—2018</w:t>
            </w:r>
          </w:p>
        </w:tc>
      </w:tr>
      <w:tr w14:paraId="7953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AEC9E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55FC6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29668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防触电保护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01696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36944—2018</w:t>
            </w:r>
          </w:p>
        </w:tc>
      </w:tr>
      <w:tr w14:paraId="28A2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FC05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0716D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6A00B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非正常工作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C35E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36944—2018</w:t>
            </w:r>
          </w:p>
        </w:tc>
      </w:tr>
      <w:tr w14:paraId="5481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D1F8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3D092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0E4A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内部布线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5308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36944—2018</w:t>
            </w:r>
          </w:p>
        </w:tc>
      </w:tr>
      <w:tr w14:paraId="36D2A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B30B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2ED05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C87B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电源软线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D57B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36944—2018</w:t>
            </w:r>
          </w:p>
        </w:tc>
      </w:tr>
      <w:tr w14:paraId="051F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4273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29060F">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C741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对触及带电部件的防护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D6656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2947.1—2008</w:t>
            </w:r>
          </w:p>
        </w:tc>
      </w:tr>
      <w:tr w14:paraId="436D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0022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421BD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CF5E7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C09B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2947.3—2008</w:t>
            </w:r>
          </w:p>
        </w:tc>
      </w:tr>
      <w:tr w14:paraId="6068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9F21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42B2D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31FD40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工作温度下的泄漏电流和电气强度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1E769B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2947.1—2008</w:t>
            </w:r>
          </w:p>
        </w:tc>
      </w:tr>
      <w:tr w14:paraId="4CDC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88DA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03880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235037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87135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2947.3—2008</w:t>
            </w:r>
          </w:p>
        </w:tc>
      </w:tr>
      <w:tr w14:paraId="6B7B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6E29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8F475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60419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过载保护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2719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2947.1—2008</w:t>
            </w:r>
          </w:p>
        </w:tc>
      </w:tr>
      <w:tr w14:paraId="004D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D9CA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40FC9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20A53D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ACCF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2947.3—2008</w:t>
            </w:r>
          </w:p>
        </w:tc>
      </w:tr>
      <w:tr w14:paraId="111D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2D16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6E1CF2">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EEF1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8AAB6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2947.1—2008</w:t>
            </w:r>
          </w:p>
        </w:tc>
      </w:tr>
      <w:tr w14:paraId="2A41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6A51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04030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73A0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E42A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2947.3—2008</w:t>
            </w:r>
          </w:p>
        </w:tc>
      </w:tr>
      <w:tr w14:paraId="3AF0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4E71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BE20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02A8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布线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017C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2947.1—2008</w:t>
            </w:r>
          </w:p>
        </w:tc>
      </w:tr>
      <w:tr w14:paraId="12A4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5EAF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CEB1D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45E8F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5680D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2947.3—2008</w:t>
            </w:r>
          </w:p>
        </w:tc>
      </w:tr>
      <w:tr w14:paraId="55B5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C3B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7D7A5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5D4DB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输入、输出线及插头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041A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2947.1—2008</w:t>
            </w:r>
          </w:p>
        </w:tc>
      </w:tr>
      <w:tr w14:paraId="0129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6F67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65207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7046F0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2F1D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2947.3—2008</w:t>
            </w:r>
          </w:p>
        </w:tc>
      </w:tr>
      <w:tr w14:paraId="1881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580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食品相关产品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6FA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餐具洗涤剂</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DCACA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总砷（以As计）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E3584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30797—2014</w:t>
            </w:r>
          </w:p>
        </w:tc>
      </w:tr>
      <w:tr w14:paraId="609B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BEC4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7429A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894D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2749A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30799—2014</w:t>
            </w:r>
          </w:p>
        </w:tc>
      </w:tr>
      <w:tr w14:paraId="3E04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8972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ADCB4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81148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5A0C6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30795—2014</w:t>
            </w:r>
          </w:p>
        </w:tc>
      </w:tr>
      <w:tr w14:paraId="65B8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6B60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BF6E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A7E7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0DF04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30796—2014</w:t>
            </w:r>
          </w:p>
        </w:tc>
      </w:tr>
      <w:tr w14:paraId="0540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08F0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B50EB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E7937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二噁烷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1232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26388—2011气相色谱—质谱（GC—MSD）法</w:t>
            </w:r>
          </w:p>
        </w:tc>
      </w:tr>
      <w:tr w14:paraId="0F6D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BC72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E0E3A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6781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菌落总数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B9BD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096D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52AF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B684F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1FD5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BEB5D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4789.2—2022</w:t>
            </w:r>
          </w:p>
        </w:tc>
      </w:tr>
      <w:tr w14:paraId="2BBF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E495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B4E71F">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2315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F0214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3360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480E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AAFFE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1F34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0D35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4789.3—2016大肠菌群平板计数法</w:t>
            </w:r>
          </w:p>
        </w:tc>
      </w:tr>
      <w:tr w14:paraId="52E9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5D8C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720EC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07B7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总有效物含量a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60B7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9985—2000</w:t>
            </w:r>
          </w:p>
        </w:tc>
      </w:tr>
      <w:tr w14:paraId="0D1F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8621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F3E04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A57B6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7CD2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13173—2021</w:t>
            </w:r>
          </w:p>
        </w:tc>
      </w:tr>
      <w:tr w14:paraId="5B65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5789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8FFC4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08721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pH</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A351C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6368—2008</w:t>
            </w:r>
          </w:p>
        </w:tc>
      </w:tr>
      <w:tr w14:paraId="009B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4DDF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D5E52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B2EE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总砷（以As计）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3329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30797—2014</w:t>
            </w:r>
          </w:p>
        </w:tc>
      </w:tr>
      <w:tr w14:paraId="2818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1E54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9EE11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2B3AA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8002C8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30799—2014</w:t>
            </w:r>
          </w:p>
        </w:tc>
      </w:tr>
      <w:tr w14:paraId="5C50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9DCE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2EF70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AEA3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C1BF1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30795—2014</w:t>
            </w:r>
          </w:p>
        </w:tc>
      </w:tr>
      <w:tr w14:paraId="4E22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7EB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56E74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4F9F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041C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30796—2014</w:t>
            </w:r>
          </w:p>
        </w:tc>
      </w:tr>
      <w:tr w14:paraId="2922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C15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3A7B5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04C79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二噁烷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AAB1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26388—2011气相色谱—质谱（GC—MSD）法</w:t>
            </w:r>
          </w:p>
        </w:tc>
      </w:tr>
      <w:tr w14:paraId="759D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B648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99E74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84B2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菌落总数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7EDBA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GB 14930.1—2022 </w:t>
            </w:r>
          </w:p>
        </w:tc>
      </w:tr>
      <w:tr w14:paraId="704A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ED9C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13716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6ACC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62065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4789.2—2022</w:t>
            </w:r>
          </w:p>
        </w:tc>
      </w:tr>
      <w:tr w14:paraId="3EF6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EE03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E0A34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2D65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088F3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2BB3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22AE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3702E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FE39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026E3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4789.3—2016大肠菌群平板计数法</w:t>
            </w:r>
          </w:p>
        </w:tc>
      </w:tr>
      <w:tr w14:paraId="1F98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1A020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A196E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B6EE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总有效物含量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A378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13173—2021</w:t>
            </w:r>
          </w:p>
        </w:tc>
      </w:tr>
      <w:tr w14:paraId="106B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5D9C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E360F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31D2B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总五氧化二磷含量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99CB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13173—2021</w:t>
            </w:r>
          </w:p>
        </w:tc>
      </w:tr>
      <w:tr w14:paraId="3D01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4660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3B8D1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5A4B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农药去除效果（P值）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0F5B8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24691—2022</w:t>
            </w:r>
          </w:p>
        </w:tc>
      </w:tr>
      <w:tr w14:paraId="4ED8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E14E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2F1B3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5778A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pH</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4DF6E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6368—2008</w:t>
            </w:r>
          </w:p>
        </w:tc>
      </w:tr>
      <w:tr w14:paraId="524D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F705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7A14B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2F82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总砷（以As计）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4D19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30797—2014</w:t>
            </w:r>
          </w:p>
        </w:tc>
      </w:tr>
      <w:tr w14:paraId="661A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19DC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671DF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561F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A1376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30799—2014</w:t>
            </w:r>
          </w:p>
        </w:tc>
      </w:tr>
      <w:tr w14:paraId="785C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E415A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7426B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05C3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23A66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30795—2014</w:t>
            </w:r>
          </w:p>
        </w:tc>
      </w:tr>
      <w:tr w14:paraId="3174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DF28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86352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DA52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5D0DF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30796—2014</w:t>
            </w:r>
          </w:p>
        </w:tc>
      </w:tr>
      <w:tr w14:paraId="7EF7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FA6A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DC844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657E5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二噁烷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5A79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26388—2011气相色谱—质谱（GC—MSD）法</w:t>
            </w:r>
          </w:p>
        </w:tc>
      </w:tr>
      <w:tr w14:paraId="23DE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939A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5A028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9DD4B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菌落总数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2FCEC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GB 14930.1—2022 </w:t>
            </w:r>
          </w:p>
        </w:tc>
      </w:tr>
      <w:tr w14:paraId="5396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6B3A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7B71B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B422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78198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4789.2—2022</w:t>
            </w:r>
          </w:p>
        </w:tc>
      </w:tr>
      <w:tr w14:paraId="6F61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AFED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E25B7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EB4E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D077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5E75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733C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AC3A4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6179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6AA8E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4789.3—2016大肠菌群平板计数法</w:t>
            </w:r>
          </w:p>
        </w:tc>
      </w:tr>
      <w:tr w14:paraId="53FE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9E8A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F6356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F4619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总有效物含量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1B5C5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13173—2021</w:t>
            </w:r>
          </w:p>
        </w:tc>
      </w:tr>
      <w:tr w14:paraId="6446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5408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6D63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96FB2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总五氧化二磷含量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6832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13173—2021</w:t>
            </w:r>
          </w:p>
        </w:tc>
      </w:tr>
      <w:tr w14:paraId="520F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EAA0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FB25B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295F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农药去除效果（P值）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1683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24691—2022</w:t>
            </w:r>
          </w:p>
        </w:tc>
      </w:tr>
      <w:tr w14:paraId="6F75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3D2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CC47E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9DEA5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pH</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8615D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6368—2008</w:t>
            </w:r>
          </w:p>
        </w:tc>
      </w:tr>
      <w:tr w14:paraId="5FD1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CE18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C0E5B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2D241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总砷（以As计）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6B3A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30797—2014</w:t>
            </w:r>
          </w:p>
        </w:tc>
      </w:tr>
      <w:tr w14:paraId="61E6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C4EBD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2D9FC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EDF2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D7B39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30799—2014</w:t>
            </w:r>
          </w:p>
        </w:tc>
      </w:tr>
      <w:tr w14:paraId="3A77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0D10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24E3A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DD50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1D250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30795—2014</w:t>
            </w:r>
          </w:p>
        </w:tc>
      </w:tr>
      <w:tr w14:paraId="411A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1BBA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D0DEF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A9BC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6B3A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30796—2014</w:t>
            </w:r>
          </w:p>
        </w:tc>
      </w:tr>
      <w:tr w14:paraId="500B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B2814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B324F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9183B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二噁烷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87A22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26388—2011气相色谱—质谱（GC—MSD）法</w:t>
            </w:r>
          </w:p>
        </w:tc>
      </w:tr>
      <w:tr w14:paraId="3990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BC7C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75857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1FC46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菌落总数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287D6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5FE9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9B50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60126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3A34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D5B5E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4789.2—2022</w:t>
            </w:r>
          </w:p>
        </w:tc>
      </w:tr>
      <w:tr w14:paraId="168E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78FA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DE824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A2D1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06B9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617A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F5EB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8D45C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51A3E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BFAD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4789.3—2016大肠菌群平板计数法</w:t>
            </w:r>
          </w:p>
        </w:tc>
      </w:tr>
      <w:tr w14:paraId="1175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F1F2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69854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0EED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总五氧化二磷（P2O5）含量a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3D92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13173—2021</w:t>
            </w:r>
          </w:p>
        </w:tc>
      </w:tr>
      <w:tr w14:paraId="0592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181A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36D95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5D44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表面活性剂含量b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79EF4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13173—2021</w:t>
            </w:r>
          </w:p>
        </w:tc>
      </w:tr>
      <w:tr w14:paraId="2092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1E37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D2EE3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72F28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有效酸的质量分数（以HNO3计）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9B768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4313—2023</w:t>
            </w:r>
          </w:p>
        </w:tc>
      </w:tr>
      <w:tr w14:paraId="727F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083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E8D8A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DEE8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腐蚀率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A92EBB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4313—2023</w:t>
            </w:r>
          </w:p>
        </w:tc>
      </w:tr>
      <w:tr w14:paraId="09FE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5E98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EAEC6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781D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总砷（以As计）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C076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30797—2014</w:t>
            </w:r>
          </w:p>
        </w:tc>
      </w:tr>
      <w:tr w14:paraId="2F47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75C64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6BFAF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73E4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05C1A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30799—2014</w:t>
            </w:r>
          </w:p>
        </w:tc>
      </w:tr>
      <w:tr w14:paraId="2AFE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D250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3A2A8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BC8E8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50FA5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30795—2014</w:t>
            </w:r>
          </w:p>
        </w:tc>
      </w:tr>
      <w:tr w14:paraId="03C7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0F09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FCC7F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F70F3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EECA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30796—2014</w:t>
            </w:r>
          </w:p>
        </w:tc>
      </w:tr>
      <w:tr w14:paraId="7B79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EE47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1499A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88B84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二噁烷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D860E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26388—2011气相色谱—质谱（GC—MSD）法</w:t>
            </w:r>
          </w:p>
        </w:tc>
      </w:tr>
      <w:tr w14:paraId="332C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F5FA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8C62B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1BD0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菌落总数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144BC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5C71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8539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F499E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D0DB1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FACBA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4789.2—2022</w:t>
            </w:r>
          </w:p>
        </w:tc>
      </w:tr>
      <w:tr w14:paraId="16B7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741A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C0ECFE">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0C80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3C6A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7650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05AC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94D28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B865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1F31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4789.3—2016大肠菌群平板计数法</w:t>
            </w:r>
          </w:p>
        </w:tc>
      </w:tr>
      <w:tr w14:paraId="540A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7807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0D67E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59C8E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总五氧化二磷（P2O5）含量a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F8CF1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13173—2021</w:t>
            </w:r>
          </w:p>
        </w:tc>
      </w:tr>
      <w:tr w14:paraId="7217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B0E6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D776F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C3518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表面活性剂含量b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DB1D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GB/T 13173—2021 </w:t>
            </w:r>
          </w:p>
        </w:tc>
      </w:tr>
      <w:tr w14:paraId="1C6F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BD07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DE436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9B3E1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总碱的质量分数（以NaOH计）c</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77CE8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4314—2023</w:t>
            </w:r>
          </w:p>
        </w:tc>
      </w:tr>
      <w:tr w14:paraId="1685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5D37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D044D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F2F2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总砷（以As计）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008C2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30797—2014</w:t>
            </w:r>
          </w:p>
        </w:tc>
      </w:tr>
      <w:tr w14:paraId="475B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A9146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03C38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C9931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F59B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30799—2014</w:t>
            </w:r>
          </w:p>
        </w:tc>
      </w:tr>
      <w:tr w14:paraId="7810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45B2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6A7F2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7DE9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AA83A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30795—2014</w:t>
            </w:r>
          </w:p>
        </w:tc>
      </w:tr>
      <w:tr w14:paraId="21A8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C323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F4436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960C5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6FF07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30796—2014</w:t>
            </w:r>
          </w:p>
        </w:tc>
      </w:tr>
      <w:tr w14:paraId="1B55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18E5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50AE3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70993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二噁烷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4727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26388—2011气相色谱—质谱（GC—MSD）法</w:t>
            </w:r>
          </w:p>
        </w:tc>
      </w:tr>
      <w:tr w14:paraId="265B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9853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74915E">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D497A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菌落总数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0C8D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29E2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EABB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A55BC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C3494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B20D2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4789.2—2022</w:t>
            </w:r>
          </w:p>
        </w:tc>
      </w:tr>
      <w:tr w14:paraId="070A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3319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231A5E">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3B8F3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5C04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14930.1—2022</w:t>
            </w:r>
          </w:p>
        </w:tc>
      </w:tr>
      <w:tr w14:paraId="5DC3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0C2F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C154A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E0CA9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A70D8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4789.3—2016大肠菌群平板计数法</w:t>
            </w:r>
          </w:p>
        </w:tc>
      </w:tr>
      <w:tr w14:paraId="59DA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E5C6C">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8C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塑料包装容器</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5945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896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4806.7-2016 GB 4806.7-2023</w:t>
            </w:r>
          </w:p>
        </w:tc>
      </w:tr>
      <w:tr w14:paraId="38FC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6BD5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9ED3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A588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总迁移量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2BE1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31604.8-2021</w:t>
            </w:r>
          </w:p>
        </w:tc>
      </w:tr>
      <w:tr w14:paraId="212B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6369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1028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04DD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高锰酸钾消耗量 1</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800CC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31604.2-2016</w:t>
            </w:r>
          </w:p>
        </w:tc>
      </w:tr>
      <w:tr w14:paraId="083B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DA38F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8223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A59A1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 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874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31604.9-2016</w:t>
            </w:r>
          </w:p>
        </w:tc>
      </w:tr>
      <w:tr w14:paraId="6A4E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7472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4CE5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B91EE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芳香族伯胺迁移总量 2</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B1DC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31604.52-2021</w:t>
            </w:r>
          </w:p>
        </w:tc>
      </w:tr>
      <w:tr w14:paraId="4E76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417A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0080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933F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脱色试验 3</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B1CBA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31604.7-2023</w:t>
            </w:r>
          </w:p>
        </w:tc>
      </w:tr>
      <w:tr w14:paraId="3114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A714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D304F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A695E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特定迁移量（以锑计）（限 PET 材质）</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7F3E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31604.41-2016</w:t>
            </w:r>
          </w:p>
        </w:tc>
      </w:tr>
      <w:tr w14:paraId="4363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4FA4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C037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AA26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特定迁移总量（以乙二醇计）（限 PET 材 质）</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F897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31604.44-2016</w:t>
            </w:r>
          </w:p>
        </w:tc>
      </w:tr>
      <w:tr w14:paraId="4338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E98C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4123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9D1A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特定迁移总量（以对苯二甲酸计）（限 PET 材质）</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5921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31604.21-2016</w:t>
            </w:r>
          </w:p>
        </w:tc>
      </w:tr>
      <w:tr w14:paraId="6F94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2B24B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8969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B965C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单体及特定迁移限量、特定迁移总量限 量、最大残留量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D705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视产品标识或符合性声明而定</w:t>
            </w:r>
          </w:p>
        </w:tc>
      </w:tr>
      <w:tr w14:paraId="62E4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F873A">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C95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食品接触用玻璃器皿</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7B9D0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FA53F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4806.5-2016</w:t>
            </w:r>
          </w:p>
        </w:tc>
      </w:tr>
      <w:tr w14:paraId="5A17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1782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C57B2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9FB9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铅（Pb）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F2E9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31604.34-2016 GB/T 21170-2007</w:t>
            </w:r>
          </w:p>
        </w:tc>
      </w:tr>
      <w:tr w14:paraId="46EE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1CA6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9A50F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5723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镉（Cd）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EAA4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31604.24-2016 GB/T 21170-2007</w:t>
            </w:r>
          </w:p>
        </w:tc>
      </w:tr>
      <w:tr w14:paraId="1790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51E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BDC4E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B274C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口缘 铅（Pb）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5B4E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31604.34-2016 GB/T 21170-2007</w:t>
            </w:r>
          </w:p>
        </w:tc>
      </w:tr>
      <w:tr w14:paraId="1D46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C7BF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3EECF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6B02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口缘 镉（Cd）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AC94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31604.24-2016 GB/T 21170-2007</w:t>
            </w:r>
          </w:p>
        </w:tc>
      </w:tr>
      <w:tr w14:paraId="0FDC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6EEF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C2538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65C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耐热冲击/抗热震性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B83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6579-2007 GB/T 4547-2007</w:t>
            </w:r>
          </w:p>
        </w:tc>
      </w:tr>
      <w:tr w14:paraId="0ED4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E138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13314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B655D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内表面耐水性/玻璃颗粒耐水性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5958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4548-1995 GB/T 6582-2021</w:t>
            </w:r>
          </w:p>
        </w:tc>
      </w:tr>
      <w:tr w14:paraId="79B0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0E2EF">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33A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食品接触用纸包装及容器等制品</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052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F46E3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2DA2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1A91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1099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BB5C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总迁移量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FF04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31604.8—2021</w:t>
            </w:r>
          </w:p>
        </w:tc>
      </w:tr>
      <w:tr w14:paraId="58CD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9B83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93EF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A55E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高锰酸钾消耗量a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7C18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31604.2—2016</w:t>
            </w:r>
          </w:p>
        </w:tc>
      </w:tr>
      <w:tr w14:paraId="4FB8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4EF7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0FC0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2322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54127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31604.9—2016</w:t>
            </w:r>
          </w:p>
        </w:tc>
      </w:tr>
      <w:tr w14:paraId="47B0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E24D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F641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9858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铅（Pb）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FCDA1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31604.34—2016</w:t>
            </w:r>
          </w:p>
        </w:tc>
      </w:tr>
      <w:tr w14:paraId="55B6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EFA2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79B0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25B4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B0E0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 31604.49—2023</w:t>
            </w:r>
          </w:p>
        </w:tc>
      </w:tr>
      <w:tr w14:paraId="1051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D7F4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43F8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F968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砷（As）</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09C3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31604.38—2016</w:t>
            </w:r>
          </w:p>
        </w:tc>
      </w:tr>
      <w:tr w14:paraId="32BE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736F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07462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79C02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02F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 31604.49—2023</w:t>
            </w:r>
          </w:p>
        </w:tc>
      </w:tr>
      <w:tr w14:paraId="0C04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8D33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8D18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676C3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荧光性物质</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2EC10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31604.47—2023</w:t>
            </w:r>
          </w:p>
        </w:tc>
      </w:tr>
      <w:tr w14:paraId="3390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18A6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54E2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A16B7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1321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28AE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383D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E1C0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1783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F7EF4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31604.48—2016</w:t>
            </w:r>
          </w:p>
        </w:tc>
      </w:tr>
      <w:tr w14:paraId="5969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1EBE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756B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4833DE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二氯-2-丙醇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6F140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5758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9201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9808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6A54B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氯-1,2-丙二醇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D0E93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7D8A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B82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09BC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8F4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2BBE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05D2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B0CA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A69D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1F44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沙门氏菌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EF9E7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181B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749A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6136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27981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霉菌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F4F4E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4756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A972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CE7D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5326C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FBC4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4789.15—2016</w:t>
            </w:r>
          </w:p>
        </w:tc>
      </w:tr>
      <w:tr w14:paraId="1519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B82B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3D36DE">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538E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渗漏性能b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（95℃±5℃水、油）</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0E43282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27591—2011</w:t>
            </w:r>
          </w:p>
        </w:tc>
      </w:tr>
      <w:tr w14:paraId="0D33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5647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5346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6BF4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9AE5A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25B2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76BE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8573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190E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抗压强度b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F2E8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27591—2011</w:t>
            </w:r>
          </w:p>
        </w:tc>
      </w:tr>
      <w:tr w14:paraId="2D5D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A3C2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21D6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3528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耐温试验c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（95℃±5℃的油、水，30min）</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2A0C24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27589—2011</w:t>
            </w:r>
          </w:p>
        </w:tc>
      </w:tr>
      <w:tr w14:paraId="1A61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9712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AD99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FF9C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5FA291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CA2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02D24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935A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7B75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渗漏性能d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（90℃±5℃水、95℃±5℃油）</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77314F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QB/T 2898—2007</w:t>
            </w:r>
          </w:p>
        </w:tc>
      </w:tr>
      <w:tr w14:paraId="0A26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8806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F9BA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F033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5EE6C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36C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A986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5250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8719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耐温性能e</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FC70A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36787—2018</w:t>
            </w:r>
          </w:p>
        </w:tc>
      </w:tr>
      <w:tr w14:paraId="0CBD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07E6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11A0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12F3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杯身挺度e</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FAC57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27590—2011</w:t>
            </w:r>
          </w:p>
        </w:tc>
      </w:tr>
      <w:tr w14:paraId="40C6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4B32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DA8C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91C4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抗压性能e</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176F8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36787—2018</w:t>
            </w:r>
          </w:p>
        </w:tc>
      </w:tr>
      <w:tr w14:paraId="1FDC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5DA2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5594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9D78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64B6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4102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F83D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97E0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BA2B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总迁移量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5C6A7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31604.8—2021</w:t>
            </w:r>
          </w:p>
        </w:tc>
      </w:tr>
      <w:tr w14:paraId="54EC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48282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2128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3DB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高锰酸钾消耗量a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57D06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31604.2—2016</w:t>
            </w:r>
          </w:p>
        </w:tc>
      </w:tr>
      <w:tr w14:paraId="33E1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D062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D2D3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032C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9DA0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31604.9—2016</w:t>
            </w:r>
          </w:p>
        </w:tc>
      </w:tr>
      <w:tr w14:paraId="2532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38B0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C53C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8328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铅（Pb）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EB593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31604.34—2016</w:t>
            </w:r>
          </w:p>
        </w:tc>
      </w:tr>
      <w:tr w14:paraId="5D36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DB9B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3EF59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B47D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39F0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 31604.49—2023</w:t>
            </w:r>
          </w:p>
        </w:tc>
      </w:tr>
      <w:tr w14:paraId="7F2D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FFC0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1CE18">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6E642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砷（As）</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8F3F6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31604.38—2016</w:t>
            </w:r>
          </w:p>
        </w:tc>
      </w:tr>
      <w:tr w14:paraId="45CB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B4B1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2C69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8D9A9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A796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 31604.49—2023</w:t>
            </w:r>
          </w:p>
        </w:tc>
      </w:tr>
      <w:tr w14:paraId="4766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C8CD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753A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319F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荧光性物质</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9549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31604.47—2023</w:t>
            </w:r>
          </w:p>
        </w:tc>
      </w:tr>
      <w:tr w14:paraId="2BF3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C0E5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DA4132">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6A19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17285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1AC8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343B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395E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55E7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9C21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31604.48—2016</w:t>
            </w:r>
          </w:p>
        </w:tc>
      </w:tr>
      <w:tr w14:paraId="69F3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A0A0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29B3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9D8C4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二氯-2-丙醇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FFEB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3E37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EB4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5523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3099E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氯-1,2-丙二醇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B0CF9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064A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682F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B599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5BB2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0CB14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5446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7D67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55FE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30F4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沙门氏菌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461F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7F5C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CF3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B563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03D9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霉菌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346C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5876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1FA3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AC49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703C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48E97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4789.15—2016</w:t>
            </w:r>
          </w:p>
        </w:tc>
      </w:tr>
      <w:tr w14:paraId="5A94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FFA2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9E0E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E605A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5F9A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4E0E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8E59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B84F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02C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总迁移量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7408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31604.8—2021</w:t>
            </w:r>
          </w:p>
        </w:tc>
      </w:tr>
      <w:tr w14:paraId="3D61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D6BF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FDF6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EC47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高锰酸钾消耗量a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6EBA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31604.2—2016</w:t>
            </w:r>
          </w:p>
        </w:tc>
      </w:tr>
      <w:tr w14:paraId="4AFF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5C97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BA6B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8FA98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81676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31604.9—2016</w:t>
            </w:r>
          </w:p>
        </w:tc>
      </w:tr>
      <w:tr w14:paraId="3076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CD08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1FD58">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16C0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铅（Pb）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5C84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31604.34—2016</w:t>
            </w:r>
          </w:p>
        </w:tc>
      </w:tr>
      <w:tr w14:paraId="67E3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84C8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53C4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FFB8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3E1D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 31604.49—2023</w:t>
            </w:r>
          </w:p>
        </w:tc>
      </w:tr>
      <w:tr w14:paraId="7479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D60A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A3C6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D902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砷（As）</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85CAD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31604.38—2016</w:t>
            </w:r>
          </w:p>
        </w:tc>
      </w:tr>
      <w:tr w14:paraId="2CB0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9768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F183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9D16D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CB8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 31604.49—2023</w:t>
            </w:r>
          </w:p>
        </w:tc>
      </w:tr>
      <w:tr w14:paraId="6DF4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7FB6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EE76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2F97E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荧光性物质</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F714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31604.47—2023</w:t>
            </w:r>
          </w:p>
        </w:tc>
      </w:tr>
      <w:tr w14:paraId="394C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2F1E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EB175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EC4B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56E8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38C9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293F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29B7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B5A0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05B34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31604.48—2016</w:t>
            </w:r>
          </w:p>
        </w:tc>
      </w:tr>
      <w:tr w14:paraId="33FD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BE20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A5BA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2ABFE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二氯-2-丙醇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BD4D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7D5C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016D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C63A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D6BBAC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氯-1,2-丙二醇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066AA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4C8A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E4E3D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3A52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21C5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F1A7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332E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B361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E9F8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AB98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沙门氏菌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8535F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5705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BCE0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3273F">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CBAE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霉菌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DF540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0B81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356E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F6C3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396E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34AF4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4789.15—2016</w:t>
            </w:r>
          </w:p>
        </w:tc>
      </w:tr>
      <w:tr w14:paraId="1E12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BE17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9CCE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7D63E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A51D5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44B8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F897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6C1A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CE0AF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铅（Pb）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77BA3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31604.34—2016</w:t>
            </w:r>
          </w:p>
        </w:tc>
      </w:tr>
      <w:tr w14:paraId="063A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B824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D16D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7644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E03F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 31604.49—2023</w:t>
            </w:r>
          </w:p>
        </w:tc>
      </w:tr>
      <w:tr w14:paraId="3A10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F020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A67F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ED6A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砷（As）</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723A0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31604.38—2016</w:t>
            </w:r>
          </w:p>
        </w:tc>
      </w:tr>
      <w:tr w14:paraId="5BB2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9BB5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9D6D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0F46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5B18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w:t>
            </w:r>
            <w:r>
              <w:rPr>
                <w:rFonts w:hint="default" w:ascii="宋体" w:hAnsi="宋体" w:eastAsia="宋体" w:cs="宋体"/>
                <w:i w:val="0"/>
                <w:iCs w:val="0"/>
                <w:color w:val="000000"/>
                <w:kern w:val="0"/>
                <w:sz w:val="22"/>
                <w:szCs w:val="22"/>
                <w:u w:val="none"/>
                <w:lang w:val="en-US" w:eastAsia="zh-CN" w:bidi="ar"/>
              </w:rPr>
              <w:t>GB 31604.49—2023</w:t>
            </w:r>
          </w:p>
        </w:tc>
      </w:tr>
      <w:tr w14:paraId="2261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01D0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7ABE6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FE52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荧光性物质</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1D27B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31604.47—2023</w:t>
            </w:r>
          </w:p>
        </w:tc>
      </w:tr>
      <w:tr w14:paraId="2BF5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20AE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91EC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18E09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7955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0F6F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84C1C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5CD7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027B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9BDD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31604.48—2016</w:t>
            </w:r>
          </w:p>
        </w:tc>
      </w:tr>
      <w:tr w14:paraId="464D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E8AA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2ECD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EA486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二氯-2-丙醇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4CD09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5679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FBB1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FBE0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3C2B1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氯-1,2-丙二醇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84F93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1790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F962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191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2703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13BDF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0E62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0D79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AFC91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AEBC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沙门氏菌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8C295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158D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D949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3B14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C7166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霉菌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D16EB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437E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671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2DD1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C3919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D302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4789.15—2016</w:t>
            </w:r>
          </w:p>
        </w:tc>
      </w:tr>
      <w:tr w14:paraId="52D8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88C5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E4F94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E109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感官要求/感官</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05CD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1EA2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5E07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6C2E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C281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总迁移量a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EFB27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31604.8—2021</w:t>
            </w:r>
          </w:p>
        </w:tc>
      </w:tr>
      <w:tr w14:paraId="27A1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A65E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1EA98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985D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高锰酸钾消耗量a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B4A5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31604.2—2016</w:t>
            </w:r>
          </w:p>
        </w:tc>
      </w:tr>
      <w:tr w14:paraId="07BD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207E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1E6D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EE5D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重金属（以Pb计）a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6B28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31604.9—2016</w:t>
            </w:r>
          </w:p>
        </w:tc>
      </w:tr>
      <w:tr w14:paraId="45BD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5DC4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351E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FA04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大肠菌群</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ECA3E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428A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290C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1341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D9D8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沙门氏菌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06DB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14934—2016</w:t>
            </w:r>
          </w:p>
        </w:tc>
      </w:tr>
      <w:tr w14:paraId="1588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FBEC8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5835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159B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霉菌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2C6BC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4806.8—2022</w:t>
            </w:r>
          </w:p>
        </w:tc>
      </w:tr>
      <w:tr w14:paraId="564B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F8AA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3680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C0CEA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C15A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4789.15—2016</w:t>
            </w:r>
          </w:p>
        </w:tc>
      </w:tr>
      <w:tr w14:paraId="55C8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FEDBB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3C84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A5E2F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端盖脱离力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139E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10440—2008</w:t>
            </w:r>
          </w:p>
        </w:tc>
      </w:tr>
      <w:tr w14:paraId="2263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DF8D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F5F5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5297A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轴向压溃力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540B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10440—2008</w:t>
            </w:r>
          </w:p>
        </w:tc>
      </w:tr>
      <w:tr w14:paraId="2EB9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EF3E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EA20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FFDD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快速泄漏试验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B7C7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10440—2008</w:t>
            </w:r>
          </w:p>
        </w:tc>
      </w:tr>
      <w:tr w14:paraId="5839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86EC7">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6F3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塑料菜板</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2456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FAD9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4806.7—2016 GB 4806.7—2023</w:t>
            </w:r>
          </w:p>
        </w:tc>
      </w:tr>
      <w:tr w14:paraId="3C50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BDA7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A1B5A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FAABE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总迁移量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1BDA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31604.8-2021</w:t>
            </w:r>
          </w:p>
        </w:tc>
      </w:tr>
      <w:tr w14:paraId="3C3B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6CF1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13EBB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8A9F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高锰酸钾消耗量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E18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31604.2-2016</w:t>
            </w:r>
          </w:p>
        </w:tc>
      </w:tr>
      <w:tr w14:paraId="5AA7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FE5F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E19A9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D6086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重金属（以Pb 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4E9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31604.9-2016</w:t>
            </w:r>
          </w:p>
        </w:tc>
      </w:tr>
      <w:tr w14:paraId="5677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D784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B1A9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14C5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芳香族伯胺迁移总量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677F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31604.52—2021</w:t>
            </w:r>
          </w:p>
        </w:tc>
      </w:tr>
      <w:tr w14:paraId="3621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7CFD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BF1F0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3F6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脱色试验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4D2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31604.7—2023</w:t>
            </w:r>
          </w:p>
        </w:tc>
      </w:tr>
      <w:tr w14:paraId="5D93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8B48D">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4E7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不锈钢真空杯</w:t>
            </w: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E49A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A911E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4806.9—2016</w:t>
            </w:r>
          </w:p>
        </w:tc>
      </w:tr>
      <w:tr w14:paraId="2A1B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FB7C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FFDC8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04BF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70EC8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4806.9—2023</w:t>
            </w:r>
          </w:p>
        </w:tc>
      </w:tr>
      <w:tr w14:paraId="63D6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449A7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EFDE1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314E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9D9A6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31604.38—2016第二部分或</w:t>
            </w:r>
          </w:p>
        </w:tc>
      </w:tr>
      <w:tr w14:paraId="1A86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3AF0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E215B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072D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004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27CB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8AEE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7679A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00041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C2D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31604.49—2023第二篇</w:t>
            </w:r>
          </w:p>
        </w:tc>
      </w:tr>
      <w:tr w14:paraId="5EFA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ABEF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DC119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CAF1F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CADE6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31604.24—2016或</w:t>
            </w:r>
          </w:p>
        </w:tc>
      </w:tr>
      <w:tr w14:paraId="3D42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832C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858A8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91ADE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B519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696A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7F45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908A2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32EC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04D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485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EE80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C3F03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F4E82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镍</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DA89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31604.33—2016或</w:t>
            </w:r>
          </w:p>
        </w:tc>
      </w:tr>
      <w:tr w14:paraId="5E98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6015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A64A1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2DBCA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C378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32DD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B525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1A489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6206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D5B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589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6FAC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14D7D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5587A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铬</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714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31604.25—2016 或</w:t>
            </w:r>
          </w:p>
        </w:tc>
      </w:tr>
      <w:tr w14:paraId="3544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D99A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2F6D5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3421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F9E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7287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87E8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86AE0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CA735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E6A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136A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A141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B508F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B092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DE64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31604.34—2016 第二部分或</w:t>
            </w:r>
          </w:p>
        </w:tc>
      </w:tr>
      <w:tr w14:paraId="0EF2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40A8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5F515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785E7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C62BA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64E9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F3D6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4E36C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FBBB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220C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A7B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6D36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4896A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B0AE5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锑</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E4DA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AC0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1F9D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6530E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D282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568C4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6656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AB6A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7FEA4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E9B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4EC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3741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FED9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47259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E474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B6D0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4C0A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DAD6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7A07D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10F0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317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1327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5BDC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B94A6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73DB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29BF9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1405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7BEF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E0BA2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BE24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6C2F3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06E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D930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C6402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7BAD4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B759B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6341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2171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9ACAB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2364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耐冲击性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D66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29606—2013</w:t>
            </w:r>
          </w:p>
        </w:tc>
      </w:tr>
      <w:tr w14:paraId="6995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D142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AA5E3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A948B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容量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C8C8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29606—2013</w:t>
            </w:r>
          </w:p>
        </w:tc>
      </w:tr>
      <w:tr w14:paraId="3EA1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3EB4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D3073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E11CB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保温效能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8BF5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29606—2013</w:t>
            </w:r>
          </w:p>
        </w:tc>
      </w:tr>
      <w:tr w14:paraId="4B11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5694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86C0B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1A72A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A51D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29606—2013</w:t>
            </w:r>
          </w:p>
        </w:tc>
      </w:tr>
      <w:tr w14:paraId="2B1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E0C3D9">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FFB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食品接触用金属器皿及工具</w:t>
            </w: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D04E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DC2B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4806.9—2016</w:t>
            </w:r>
          </w:p>
        </w:tc>
      </w:tr>
      <w:tr w14:paraId="5533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66E2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3E4B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5C24C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D959E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4806.9—2023</w:t>
            </w:r>
          </w:p>
        </w:tc>
      </w:tr>
      <w:tr w14:paraId="233E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F5A0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2559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928E7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F8DA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31604.38—2016第二部分或</w:t>
            </w:r>
          </w:p>
        </w:tc>
      </w:tr>
      <w:tr w14:paraId="0878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321A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7262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D69B9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71A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33FD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00A2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E209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0DE1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B642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1841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B5E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F72F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3754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E4DA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31604.24—2016或</w:t>
            </w:r>
          </w:p>
        </w:tc>
      </w:tr>
      <w:tr w14:paraId="1D02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EE27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5EA9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3DDCE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CB59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63FC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EE5EE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3EF3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0C81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2626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6928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8CBF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21FC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1065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镍</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08B3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31604.33—2016或</w:t>
            </w:r>
          </w:p>
        </w:tc>
      </w:tr>
      <w:tr w14:paraId="1E67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2D5A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3C50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EDE0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D9B6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34F4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1A5F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39BD2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3F6C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FA5E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4C8E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BF2B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F0D5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8E4DE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铬</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EC80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31604.25—2016 或</w:t>
            </w:r>
          </w:p>
        </w:tc>
      </w:tr>
      <w:tr w14:paraId="695F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8334B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3338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1CD3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80BB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19B3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0A8B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62B3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E276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3CBE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40B7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EF3E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2B2F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556EA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81A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31604.34—2016 第二部分或</w:t>
            </w:r>
          </w:p>
        </w:tc>
      </w:tr>
      <w:tr w14:paraId="0CF0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AE3A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B6F9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8321D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FE9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0F50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190D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E0C57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F361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DF9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58F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9A36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B88FE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A13E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锑</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F5B6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3CF3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B3B7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6632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72435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7066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41FE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79E1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5A98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F038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29354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0D93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DF86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F79C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46F6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4F64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244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C8F9E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6E98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9BC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B64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6D13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C230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1462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6C4D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7654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CBD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79A2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BAED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1D3B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AA7CD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161E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E8AC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E3A8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56220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4EDC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B51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994C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4DC1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A7E5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耐腐蚀性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3F7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15067.2—2016</w:t>
            </w:r>
          </w:p>
        </w:tc>
      </w:tr>
      <w:tr w14:paraId="08B6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3A9F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8CCC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DE68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1BF6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4806.9—2016</w:t>
            </w:r>
          </w:p>
        </w:tc>
      </w:tr>
      <w:tr w14:paraId="2A15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9656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30E9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0412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6A0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4806.9—2023</w:t>
            </w:r>
          </w:p>
        </w:tc>
      </w:tr>
      <w:tr w14:paraId="16FB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390D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AB3C8">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306F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00C1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31604.38—2016第二部分或</w:t>
            </w:r>
          </w:p>
        </w:tc>
      </w:tr>
      <w:tr w14:paraId="17FB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1C38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8689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00E83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0AB7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1B29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4C5C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CDBC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5824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FA88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02C4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9CC7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E12C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5110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6591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31604.24—2016或</w:t>
            </w:r>
          </w:p>
        </w:tc>
      </w:tr>
      <w:tr w14:paraId="0506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60156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9F63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B2E1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8D33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49AD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7391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25C2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D03B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740CA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BD8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44E5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F07E6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7FB1F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镍</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DE0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31604.33—2016或</w:t>
            </w:r>
          </w:p>
        </w:tc>
      </w:tr>
      <w:tr w14:paraId="5D84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EEBA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0C23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1FB70F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E5A34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6B72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6FAB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89C5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091D2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AF90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693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F41E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7199F">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ACF81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铬</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7ACC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31604.25—2016 或</w:t>
            </w:r>
          </w:p>
        </w:tc>
      </w:tr>
      <w:tr w14:paraId="5C0A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83A0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396F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F434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AD1B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5F1F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0AA6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A122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1ADC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911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9FD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02A8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CC4B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6C2C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89BF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31604.34—2016 第二部分或</w:t>
            </w:r>
          </w:p>
        </w:tc>
      </w:tr>
      <w:tr w14:paraId="2BB0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D98B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FDED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9C409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1C36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68ED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AAAA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5A4E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5EAB8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54A1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6E79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2659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3B65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6DF72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锑</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88964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191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3E85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8A2D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0A28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BAD92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4E56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71CB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C7B8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21B0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29D7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831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EDDC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C430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26C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3078F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3A20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AC66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DFAA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F795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9F2CE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31BF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32AB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83EB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A91F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196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6C0F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FD82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8B61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19E93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E8CEB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DB8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6178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A2A5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5C24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47BF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F13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0EEA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9100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894EA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抗跌落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AF9A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2174—2006</w:t>
            </w:r>
          </w:p>
        </w:tc>
      </w:tr>
      <w:tr w14:paraId="094F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1F4A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E434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A1D4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颈部疲劳强度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3AC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2174—2006</w:t>
            </w:r>
          </w:p>
        </w:tc>
      </w:tr>
      <w:tr w14:paraId="0D7E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0D222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6986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48FEB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3C5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4806.9—2016</w:t>
            </w:r>
          </w:p>
        </w:tc>
      </w:tr>
      <w:tr w14:paraId="796F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D553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E515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503F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F7202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4806.9—2023</w:t>
            </w:r>
          </w:p>
        </w:tc>
      </w:tr>
      <w:tr w14:paraId="6949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AB74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54117">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5E6C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02F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31604.38—2016第二部分或</w:t>
            </w:r>
          </w:p>
        </w:tc>
      </w:tr>
      <w:tr w14:paraId="3055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DF097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A957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25D6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09FA9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6AD0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10F8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9295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CDB7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F876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765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1771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5433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493A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4F455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31604.24—2016或</w:t>
            </w:r>
          </w:p>
        </w:tc>
      </w:tr>
      <w:tr w14:paraId="228A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6CFB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6F93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AAF8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3B5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1BDD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F99E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4F4A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214A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4497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3D5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F72B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0AA2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2328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镍</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9A33C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31604.33—2016或</w:t>
            </w:r>
          </w:p>
        </w:tc>
      </w:tr>
      <w:tr w14:paraId="1B0F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D7D7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4EA7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E5B27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DA91E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5F8B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25E8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80575">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14347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E62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4DDD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2115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D32B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B5267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铬</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B3F1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31604.25—2016 或</w:t>
            </w:r>
          </w:p>
        </w:tc>
      </w:tr>
      <w:tr w14:paraId="4B4B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DC14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E431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01C2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9A936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5903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E2C4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B9AF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31E3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3F4C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1BFD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D974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D1897B">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7FA4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81A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31604.34—2016 第二部分或</w:t>
            </w:r>
          </w:p>
        </w:tc>
      </w:tr>
      <w:tr w14:paraId="50FC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5001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0117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60FC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1A665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4046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0CA2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CBB2D">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77BE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A34C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1E8D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2B75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D112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C02D6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锑</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12698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4E8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EA65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9595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0A16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99C7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0AA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97A0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026D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59E9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C369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AAC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2B00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380D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375DD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0B25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108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4930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74A2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975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22A6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A23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B95C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A7A4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E75B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CAF6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3A78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5A2A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B459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24C4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BB98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2C3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D821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C553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075B0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9127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35C2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3C96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F7AD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FE9ED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耐腐蚀性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FE0F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40356—2021</w:t>
            </w:r>
          </w:p>
        </w:tc>
      </w:tr>
      <w:tr w14:paraId="34D8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E30F1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1D30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8EA5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0CA00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40356—2021</w:t>
            </w:r>
          </w:p>
        </w:tc>
      </w:tr>
      <w:tr w14:paraId="6677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5461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EA34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6E15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FCD0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QB/T 1924—1993</w:t>
            </w:r>
          </w:p>
        </w:tc>
      </w:tr>
      <w:tr w14:paraId="3C9A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1F617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CA6A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65939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锋利度与耐用度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D9D01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40356—2021</w:t>
            </w:r>
          </w:p>
        </w:tc>
      </w:tr>
      <w:tr w14:paraId="4DDA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EBE9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E8D4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4D892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空心刀柄渗水性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28A4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40356—2021</w:t>
            </w:r>
          </w:p>
        </w:tc>
      </w:tr>
      <w:tr w14:paraId="44E4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2027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628E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38C7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AB6D5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4806.9—2016</w:t>
            </w:r>
          </w:p>
        </w:tc>
      </w:tr>
      <w:tr w14:paraId="2F9F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C2B2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1D5B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C5C6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1B5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4806.9—2023</w:t>
            </w:r>
          </w:p>
        </w:tc>
      </w:tr>
      <w:tr w14:paraId="59C7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6803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B6B31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7C65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0B6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31604.38—2016第二部分或</w:t>
            </w:r>
          </w:p>
        </w:tc>
      </w:tr>
      <w:tr w14:paraId="00B8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7130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A950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F312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C75A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18F7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99C4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FDD1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A75C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E46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F7D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5921D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442CD">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F4B3A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1F68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31604.24—2016或</w:t>
            </w:r>
          </w:p>
        </w:tc>
      </w:tr>
      <w:tr w14:paraId="25D2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4DA1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9760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F213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1720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5EAF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E352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9B417">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8E87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FF12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0BF3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8BE2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080E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0621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镍</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AAC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31604.33—2016或</w:t>
            </w:r>
          </w:p>
        </w:tc>
      </w:tr>
      <w:tr w14:paraId="33B1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92F4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7D4C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C4A1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E95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706F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6E22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C062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4596E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E5E18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081E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61CB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9933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6E3B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铬</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3EA1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31604.25—2016 或</w:t>
            </w:r>
          </w:p>
        </w:tc>
      </w:tr>
      <w:tr w14:paraId="53D7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332E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27F7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61459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34896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3CE0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ACC6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B25D9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F380E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F6162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582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CE45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D0872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52776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2074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31604.34—2016 第二部分或</w:t>
            </w:r>
          </w:p>
        </w:tc>
      </w:tr>
      <w:tr w14:paraId="74D1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5263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DDEB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578A2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E9C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73E1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D909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6E3C5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5A8B3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1D35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4D7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D997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8BD1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AE511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锑</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4F0C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92C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8FB9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C761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63BE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6BEE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3A1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18A8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313D0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7B736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054D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5B4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ADD5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F095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A5D19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CE57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FE9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9E534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F0E7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797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5FB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AFA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6796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55D0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FE6E4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E2C53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0ACD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3E10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63FAF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D5F4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21C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3064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B59E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7F35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C4D7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B64D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02EA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4AFC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DB5D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92C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手可接触部位</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33E7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29601—2013</w:t>
            </w:r>
          </w:p>
        </w:tc>
      </w:tr>
      <w:tr w14:paraId="5854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5151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5FBB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AB4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手柄疲劳强度（仅适用于锅类产品）</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367A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29601—2013</w:t>
            </w:r>
          </w:p>
        </w:tc>
      </w:tr>
      <w:tr w14:paraId="57C6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F641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6D0F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D3D72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感官要求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97730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4806.9—2016</w:t>
            </w:r>
          </w:p>
        </w:tc>
      </w:tr>
      <w:tr w14:paraId="5B90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F565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FB117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BB6A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B33C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4806.9—2023</w:t>
            </w:r>
          </w:p>
        </w:tc>
      </w:tr>
      <w:tr w14:paraId="1102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B174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FB6AF">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7B1B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1F9F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31604.38—2016第二部分或</w:t>
            </w:r>
          </w:p>
        </w:tc>
      </w:tr>
      <w:tr w14:paraId="4CF8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29AE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BD86A">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FDC00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881F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4D26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0328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34F1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5462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8358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280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D957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943D9">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F3EC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镉</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6D37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31604.24—2016或</w:t>
            </w:r>
          </w:p>
        </w:tc>
      </w:tr>
      <w:tr w14:paraId="38D6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149F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AB8A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2CA4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9A0E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6144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64C2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06F3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16405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6579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0E22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EDFE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B5E5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73967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镍</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6CF7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31604.33—2016或</w:t>
            </w:r>
          </w:p>
        </w:tc>
      </w:tr>
      <w:tr w14:paraId="0EDA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309F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C73B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0EBE8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865F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0F99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67D5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E5AE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D536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095E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49A8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C1DB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8D873">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28D1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铬</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469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31604.25—2016 或</w:t>
            </w:r>
          </w:p>
        </w:tc>
      </w:tr>
      <w:tr w14:paraId="4912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D711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81E5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03CC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89B5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0DD9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153B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257EF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59DF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89AE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222D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6D87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47028">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6E998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6AA5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31604.34—2016 第二部分或</w:t>
            </w:r>
          </w:p>
        </w:tc>
      </w:tr>
      <w:tr w14:paraId="7DD1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F6D5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9C8A4">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57FE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1D51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31604.49—2016第二部分</w:t>
            </w:r>
          </w:p>
        </w:tc>
      </w:tr>
      <w:tr w14:paraId="76FB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F8D2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B9BB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C8709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402B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38E9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A53E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2C9B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5B5A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锑</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F49F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C53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D46A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00B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41710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F321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5417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C6BB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613B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72D0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3DAB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67D2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3329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C2163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EFFFE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CB4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1692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8129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FDB9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975C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CDC31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028D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ECE9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05FE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57F0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钼</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8E0F9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7AB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3DFF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7F1D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926E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锡</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4D17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7D65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918D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F393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E8C8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锌</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50441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31604.49—2023 第二篇</w:t>
            </w:r>
          </w:p>
        </w:tc>
      </w:tr>
      <w:tr w14:paraId="4608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657D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9C5B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07E75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底部平整性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1E77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32432—2015</w:t>
            </w:r>
          </w:p>
        </w:tc>
      </w:tr>
      <w:tr w14:paraId="0AC7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F61A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9A4A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D33E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手柄(含锅钮)表面温度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251F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32432—2015</w:t>
            </w:r>
          </w:p>
        </w:tc>
      </w:tr>
      <w:tr w14:paraId="4A8C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2BE5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4B8C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024B6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手接触部位</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2559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32432—2015</w:t>
            </w:r>
          </w:p>
        </w:tc>
      </w:tr>
      <w:tr w14:paraId="0600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6C90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EB2C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3669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手柄牢固性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584F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32432—2015</w:t>
            </w:r>
          </w:p>
        </w:tc>
      </w:tr>
      <w:tr w14:paraId="1ADC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3C54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25C1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32A95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手柄阻燃性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C28D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32432—2015</w:t>
            </w:r>
          </w:p>
        </w:tc>
      </w:tr>
      <w:tr w14:paraId="73A5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8E815">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184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月饼、茶叶包装</w:t>
            </w: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82D1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包装空隙率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E716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23350-2009</w:t>
            </w:r>
          </w:p>
        </w:tc>
      </w:tr>
      <w:tr w14:paraId="0D5E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C7D8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518A1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A22C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96AC4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23350-2021 及第 1 号修改单</w:t>
            </w:r>
          </w:p>
        </w:tc>
      </w:tr>
      <w:tr w14:paraId="3FAF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6DEB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35DAEA">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60B5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包装层数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7B93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23350-2009</w:t>
            </w:r>
          </w:p>
        </w:tc>
      </w:tr>
      <w:tr w14:paraId="7169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C825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6EBA9">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8B87B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9B99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 23350-2021 及第 1 号修改单</w:t>
            </w:r>
          </w:p>
        </w:tc>
      </w:tr>
      <w:tr w14:paraId="0A6B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BEC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劳动保护用品及建材</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A97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安全帽</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D203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垂直间距</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6B4F54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2811—2019</w:t>
            </w:r>
          </w:p>
        </w:tc>
      </w:tr>
      <w:tr w14:paraId="69B6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BD6E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F333C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99A4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下颏带强度</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59D5C3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583B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BFD7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3219F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4A86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冲击吸收性能</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0A5655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819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DE05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422CE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D9B0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（高温、低温、浸水）</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FA99E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71C1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C056D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2E02E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14FA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耐穿刺性能</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8079D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0DE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4A79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E6891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4846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（高温、低温、浸水）</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AF9A9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5CBD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C9D1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D05FC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EF5E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防静电性能</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47FA1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0F39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D52E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141A1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3564F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电绝缘性能</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6E39E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630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F3F1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66667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2967B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侧向刚性</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6DE1F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DE6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4ADB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30BF2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3672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阻燃性能</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9FDE8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7ABE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343BE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CE1EA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6AB3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耐低温性能</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0986D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3CAA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29279">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ED9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安全带</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C3D7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区域限制用安全带性能要求</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21A780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6096—2020</w:t>
            </w:r>
          </w:p>
        </w:tc>
      </w:tr>
      <w:tr w14:paraId="7570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0B52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BD002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31B42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围杆作业用安全带性能要求</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6907AA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39B8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CABF2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DDD82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1C510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坠落悬挂用安全带性能要求</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171401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20D7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EAD8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64959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19ACB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安全带金属零部件耐腐蚀性能</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16FFCE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0CC4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DE40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81E61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1DB2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系带静态强度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58B4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6095—2021</w:t>
            </w:r>
          </w:p>
        </w:tc>
      </w:tr>
      <w:tr w14:paraId="2230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E57E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A6A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检查井盖</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noWrap/>
            <w:vAlign w:val="center"/>
          </w:tcPr>
          <w:p w14:paraId="03FA8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承载能力</w:t>
            </w:r>
          </w:p>
        </w:tc>
        <w:tc>
          <w:tcPr>
            <w:tcW w:w="0" w:type="auto"/>
            <w:tcBorders>
              <w:top w:val="single" w:color="000000" w:sz="8" w:space="0"/>
              <w:left w:val="single" w:color="000000" w:sz="8" w:space="0"/>
              <w:bottom w:val="single" w:color="000000" w:sz="8" w:space="0"/>
              <w:right w:val="single" w:color="auto" w:sz="4" w:space="0"/>
            </w:tcBorders>
            <w:shd w:val="clear" w:color="auto" w:fill="auto"/>
            <w:noWrap/>
            <w:vAlign w:val="center"/>
          </w:tcPr>
          <w:p w14:paraId="178DD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23858-2009</w:t>
            </w:r>
          </w:p>
        </w:tc>
      </w:tr>
      <w:tr w14:paraId="7BB2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8C71A">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218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安全网</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E086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一般要求</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3EED2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5725-2009</w:t>
            </w:r>
          </w:p>
        </w:tc>
      </w:tr>
      <w:tr w14:paraId="7EF9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A313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70CAF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F601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断裂强力×断裂伸长</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BB383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5725-2009</w:t>
            </w:r>
          </w:p>
        </w:tc>
      </w:tr>
      <w:tr w14:paraId="57B7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15838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5BBA1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CE88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接缝部位抗拉强力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945E8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5725-2009</w:t>
            </w:r>
          </w:p>
        </w:tc>
      </w:tr>
      <w:tr w14:paraId="6BE3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ACC3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21D5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597CC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梯形法撕裂强力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49A35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5725-2009</w:t>
            </w:r>
          </w:p>
        </w:tc>
      </w:tr>
      <w:tr w14:paraId="0A07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BCF5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32A77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BF474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开眼环扣强力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77AC1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5725-2009</w:t>
            </w:r>
          </w:p>
        </w:tc>
      </w:tr>
      <w:tr w14:paraId="12B0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572E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70A2C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C9EB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系绳断裂强力</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C7571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8834-2016</w:t>
            </w:r>
          </w:p>
        </w:tc>
      </w:tr>
      <w:tr w14:paraId="1933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0A6AC">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B50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F691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三氧化硫</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2B58E8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176—2017</w:t>
            </w:r>
            <w:r>
              <w:rPr>
                <w:rFonts w:hint="default" w:ascii="宋体" w:hAnsi="宋体" w:eastAsia="宋体" w:cs="宋体"/>
                <w:i w:val="0"/>
                <w:iCs w:val="0"/>
                <w:color w:val="000000"/>
                <w:kern w:val="0"/>
                <w:sz w:val="22"/>
                <w:szCs w:val="22"/>
                <w:u w:val="none"/>
                <w:lang w:val="en-US" w:eastAsia="zh-CN" w:bidi="ar"/>
              </w:rPr>
              <w:fldChar w:fldCharType="end"/>
            </w:r>
          </w:p>
        </w:tc>
      </w:tr>
      <w:tr w14:paraId="41A0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C9D1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C4E71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FD3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氧化镁</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C18BD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3EB1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A679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5653E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CDCA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烧失量</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997D0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224D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B03AE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0003D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AE74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不溶物</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8551D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208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52A0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C2963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B743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氯离子</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6EE3F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20D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DF833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B0313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AB19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凝结时间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3F782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1346—2011</w:t>
            </w:r>
          </w:p>
        </w:tc>
      </w:tr>
      <w:tr w14:paraId="3D26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8B5C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E2A004">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BB89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安定性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39C87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1346—2011</w:t>
            </w:r>
            <w:r>
              <w:rPr>
                <w:rFonts w:hint="default" w:ascii="宋体" w:hAnsi="宋体" w:eastAsia="宋体" w:cs="宋体"/>
                <w:i w:val="0"/>
                <w:iCs w:val="0"/>
                <w:color w:val="000000"/>
                <w:kern w:val="0"/>
                <w:sz w:val="22"/>
                <w:szCs w:val="22"/>
                <w:u w:val="none"/>
                <w:lang w:val="en-US" w:eastAsia="zh-CN" w:bidi="ar"/>
              </w:rPr>
              <w:fldChar w:fldCharType="end"/>
            </w:r>
          </w:p>
        </w:tc>
      </w:tr>
      <w:tr w14:paraId="056E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AB48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752F6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5DBC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27C5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750—1992</w:t>
            </w:r>
            <w:r>
              <w:rPr>
                <w:rFonts w:hint="default" w:ascii="宋体" w:hAnsi="宋体" w:eastAsia="宋体" w:cs="宋体"/>
                <w:i w:val="0"/>
                <w:iCs w:val="0"/>
                <w:color w:val="000000"/>
                <w:kern w:val="0"/>
                <w:sz w:val="22"/>
                <w:szCs w:val="22"/>
                <w:u w:val="none"/>
                <w:lang w:val="en-US" w:eastAsia="zh-CN" w:bidi="ar"/>
              </w:rPr>
              <w:fldChar w:fldCharType="end"/>
            </w:r>
          </w:p>
        </w:tc>
      </w:tr>
      <w:tr w14:paraId="2207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07DF1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7041D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E41D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A85AD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175—2007</w:t>
            </w:r>
          </w:p>
        </w:tc>
      </w:tr>
      <w:tr w14:paraId="2C9D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8E57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16E18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ECDD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692E5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17671—2021</w:t>
            </w:r>
          </w:p>
        </w:tc>
      </w:tr>
      <w:tr w14:paraId="59D2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CAA1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D2EA9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0D54D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7B10A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2419—2005</w:t>
            </w:r>
          </w:p>
        </w:tc>
      </w:tr>
      <w:tr w14:paraId="4AFD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925A9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56C9A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168F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放射性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F5EE7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 6566—2010</w:t>
            </w:r>
            <w:r>
              <w:rPr>
                <w:rFonts w:hint="default" w:ascii="宋体" w:hAnsi="宋体" w:eastAsia="宋体" w:cs="宋体"/>
                <w:i w:val="0"/>
                <w:iCs w:val="0"/>
                <w:color w:val="000000"/>
                <w:kern w:val="0"/>
                <w:sz w:val="22"/>
                <w:szCs w:val="22"/>
                <w:u w:val="none"/>
                <w:lang w:val="en-US" w:eastAsia="zh-CN" w:bidi="ar"/>
              </w:rPr>
              <w:fldChar w:fldCharType="end"/>
            </w:r>
          </w:p>
        </w:tc>
      </w:tr>
      <w:tr w14:paraId="682C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19CB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DF66D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6F38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水溶性铬（Ⅵ）</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C01A5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 31893—2015（含第1号修改单）</w:t>
            </w:r>
            <w:r>
              <w:rPr>
                <w:rFonts w:hint="default" w:ascii="宋体" w:hAnsi="宋体" w:eastAsia="宋体" w:cs="宋体"/>
                <w:i w:val="0"/>
                <w:iCs w:val="0"/>
                <w:color w:val="000000"/>
                <w:kern w:val="0"/>
                <w:sz w:val="22"/>
                <w:szCs w:val="22"/>
                <w:u w:val="none"/>
                <w:lang w:val="en-US" w:eastAsia="zh-CN" w:bidi="ar"/>
              </w:rPr>
              <w:fldChar w:fldCharType="end"/>
            </w:r>
          </w:p>
        </w:tc>
      </w:tr>
      <w:tr w14:paraId="34D9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1C3C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6C6DB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4A97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不溶物</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12556B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176—2017</w:t>
            </w:r>
            <w:r>
              <w:rPr>
                <w:rFonts w:hint="default" w:ascii="宋体" w:hAnsi="宋体" w:eastAsia="宋体" w:cs="宋体"/>
                <w:i w:val="0"/>
                <w:iCs w:val="0"/>
                <w:color w:val="000000"/>
                <w:kern w:val="0"/>
                <w:sz w:val="22"/>
                <w:szCs w:val="22"/>
                <w:u w:val="none"/>
                <w:lang w:val="en-US" w:eastAsia="zh-CN" w:bidi="ar"/>
              </w:rPr>
              <w:fldChar w:fldCharType="end"/>
            </w:r>
          </w:p>
        </w:tc>
      </w:tr>
      <w:tr w14:paraId="1758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CCBE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CE77A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1836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烧失量</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3957B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07D1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963A5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081D6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8EC3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三氧化硫</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576CE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F73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24AF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3C2BF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B9EB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氧化镁</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0413594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5D47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92C2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8E7EB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10346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氯离子</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5A3467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5D8C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D6DF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2FFD2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E7C18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水泥中水溶性铬(Ⅵ)</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92ADE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 31893—2015（含第1号修改单）</w:t>
            </w:r>
            <w:r>
              <w:rPr>
                <w:rFonts w:hint="default" w:ascii="宋体" w:hAnsi="宋体" w:eastAsia="宋体" w:cs="宋体"/>
                <w:i w:val="0"/>
                <w:iCs w:val="0"/>
                <w:color w:val="000000"/>
                <w:kern w:val="0"/>
                <w:sz w:val="22"/>
                <w:szCs w:val="22"/>
                <w:u w:val="none"/>
                <w:lang w:val="en-US" w:eastAsia="zh-CN" w:bidi="ar"/>
              </w:rPr>
              <w:fldChar w:fldCharType="end"/>
            </w:r>
          </w:p>
        </w:tc>
      </w:tr>
      <w:tr w14:paraId="75B1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C844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F8260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8EF3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凝结时间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43D08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1346—2011</w:t>
            </w:r>
            <w:r>
              <w:rPr>
                <w:rFonts w:hint="default" w:ascii="宋体" w:hAnsi="宋体" w:eastAsia="宋体" w:cs="宋体"/>
                <w:i w:val="0"/>
                <w:iCs w:val="0"/>
                <w:color w:val="000000"/>
                <w:kern w:val="0"/>
                <w:sz w:val="22"/>
                <w:szCs w:val="22"/>
                <w:u w:val="none"/>
                <w:lang w:val="en-US" w:eastAsia="zh-CN" w:bidi="ar"/>
              </w:rPr>
              <w:fldChar w:fldCharType="end"/>
            </w:r>
          </w:p>
        </w:tc>
      </w:tr>
      <w:tr w14:paraId="60EE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7C97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45FDE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4CC2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安定性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E0627F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1346—2011</w:t>
            </w:r>
            <w:r>
              <w:rPr>
                <w:rFonts w:hint="default" w:ascii="宋体" w:hAnsi="宋体" w:eastAsia="宋体" w:cs="宋体"/>
                <w:i w:val="0"/>
                <w:iCs w:val="0"/>
                <w:color w:val="000000"/>
                <w:kern w:val="0"/>
                <w:sz w:val="22"/>
                <w:szCs w:val="22"/>
                <w:u w:val="none"/>
                <w:lang w:val="en-US" w:eastAsia="zh-CN" w:bidi="ar"/>
              </w:rPr>
              <w:fldChar w:fldCharType="end"/>
            </w:r>
          </w:p>
        </w:tc>
      </w:tr>
      <w:tr w14:paraId="4A3C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911B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12FE4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2238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73AAD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750—1992</w:t>
            </w:r>
            <w:r>
              <w:rPr>
                <w:rFonts w:hint="default" w:ascii="宋体" w:hAnsi="宋体" w:eastAsia="宋体" w:cs="宋体"/>
                <w:i w:val="0"/>
                <w:iCs w:val="0"/>
                <w:color w:val="000000"/>
                <w:kern w:val="0"/>
                <w:sz w:val="22"/>
                <w:szCs w:val="22"/>
                <w:u w:val="none"/>
                <w:lang w:val="en-US" w:eastAsia="zh-CN" w:bidi="ar"/>
              </w:rPr>
              <w:fldChar w:fldCharType="end"/>
            </w:r>
          </w:p>
        </w:tc>
      </w:tr>
      <w:tr w14:paraId="5E55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6335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BD6695">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CDA2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5CEC8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175—2023</w:t>
            </w:r>
          </w:p>
        </w:tc>
      </w:tr>
      <w:tr w14:paraId="05B7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CAB7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E95C4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F80F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7B7A3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17671—2021</w:t>
            </w:r>
          </w:p>
        </w:tc>
      </w:tr>
      <w:tr w14:paraId="641C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6C05B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7DEB00">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1D4FF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C24BA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2419—2005</w:t>
            </w:r>
          </w:p>
        </w:tc>
      </w:tr>
      <w:tr w14:paraId="176E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BAF60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18150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32E6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77006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175—2023</w:t>
            </w:r>
          </w:p>
        </w:tc>
      </w:tr>
      <w:tr w14:paraId="6CE5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D50D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6A887E">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B9300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BC57A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8074—2008</w:t>
            </w:r>
            <w:r>
              <w:rPr>
                <w:rFonts w:hint="default" w:ascii="宋体" w:hAnsi="宋体" w:eastAsia="宋体" w:cs="宋体"/>
                <w:i w:val="0"/>
                <w:iCs w:val="0"/>
                <w:color w:val="000000"/>
                <w:kern w:val="0"/>
                <w:sz w:val="22"/>
                <w:szCs w:val="22"/>
                <w:u w:val="none"/>
                <w:lang w:val="en-US" w:eastAsia="zh-CN" w:bidi="ar"/>
              </w:rPr>
              <w:fldChar w:fldCharType="end"/>
            </w:r>
          </w:p>
        </w:tc>
      </w:tr>
      <w:tr w14:paraId="43B9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1AFC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667E5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65CB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FE65C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1345—2005</w:t>
            </w:r>
            <w:r>
              <w:rPr>
                <w:rFonts w:hint="default" w:ascii="宋体" w:hAnsi="宋体" w:eastAsia="宋体" w:cs="宋体"/>
                <w:i w:val="0"/>
                <w:iCs w:val="0"/>
                <w:color w:val="000000"/>
                <w:kern w:val="0"/>
                <w:sz w:val="22"/>
                <w:szCs w:val="22"/>
                <w:u w:val="none"/>
                <w:lang w:val="en-US" w:eastAsia="zh-CN" w:bidi="ar"/>
              </w:rPr>
              <w:fldChar w:fldCharType="end"/>
            </w:r>
          </w:p>
        </w:tc>
      </w:tr>
      <w:tr w14:paraId="67AF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8D1A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892BC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9F8D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放射性核素限量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0AAE2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 6566—2010</w:t>
            </w:r>
            <w:r>
              <w:rPr>
                <w:rFonts w:hint="default" w:ascii="宋体" w:hAnsi="宋体" w:eastAsia="宋体" w:cs="宋体"/>
                <w:i w:val="0"/>
                <w:iCs w:val="0"/>
                <w:color w:val="000000"/>
                <w:kern w:val="0"/>
                <w:sz w:val="22"/>
                <w:szCs w:val="22"/>
                <w:u w:val="none"/>
                <w:lang w:val="en-US" w:eastAsia="zh-CN" w:bidi="ar"/>
              </w:rPr>
              <w:fldChar w:fldCharType="end"/>
            </w:r>
          </w:p>
        </w:tc>
      </w:tr>
      <w:tr w14:paraId="20BC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E44D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1275C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36EC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三氧化硫</w:t>
            </w:r>
          </w:p>
        </w:tc>
        <w:tc>
          <w:tcPr>
            <w:tcW w:w="0" w:type="auto"/>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17BC0D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176—2017</w:t>
            </w:r>
            <w:r>
              <w:rPr>
                <w:rFonts w:hint="default" w:ascii="宋体" w:hAnsi="宋体" w:eastAsia="宋体" w:cs="宋体"/>
                <w:i w:val="0"/>
                <w:iCs w:val="0"/>
                <w:color w:val="000000"/>
                <w:kern w:val="0"/>
                <w:sz w:val="22"/>
                <w:szCs w:val="22"/>
                <w:u w:val="none"/>
                <w:lang w:val="en-US" w:eastAsia="zh-CN" w:bidi="ar"/>
              </w:rPr>
              <w:fldChar w:fldCharType="end"/>
            </w:r>
          </w:p>
        </w:tc>
      </w:tr>
      <w:tr w14:paraId="38A1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3E08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E1101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A87B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氯离子</w:t>
            </w:r>
          </w:p>
        </w:tc>
        <w:tc>
          <w:tcPr>
            <w:tcW w:w="0" w:type="auto"/>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01D74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5D36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0193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DA60C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6D5D0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水泥中水溶性铬（Ⅵ）</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059C2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 31893—2015（含第1号修改单）</w:t>
            </w:r>
            <w:r>
              <w:rPr>
                <w:rFonts w:hint="default" w:ascii="宋体" w:hAnsi="宋体" w:eastAsia="宋体" w:cs="宋体"/>
                <w:i w:val="0"/>
                <w:iCs w:val="0"/>
                <w:color w:val="000000"/>
                <w:kern w:val="0"/>
                <w:sz w:val="22"/>
                <w:szCs w:val="22"/>
                <w:u w:val="none"/>
                <w:lang w:val="en-US" w:eastAsia="zh-CN" w:bidi="ar"/>
              </w:rPr>
              <w:fldChar w:fldCharType="end"/>
            </w:r>
          </w:p>
        </w:tc>
      </w:tr>
      <w:tr w14:paraId="1F21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FFAC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EC587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6042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A55D4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1345—2005</w:t>
            </w:r>
            <w:r>
              <w:rPr>
                <w:rFonts w:hint="default" w:ascii="宋体" w:hAnsi="宋体" w:eastAsia="宋体" w:cs="宋体"/>
                <w:i w:val="0"/>
                <w:iCs w:val="0"/>
                <w:color w:val="000000"/>
                <w:kern w:val="0"/>
                <w:sz w:val="22"/>
                <w:szCs w:val="22"/>
                <w:u w:val="none"/>
                <w:lang w:val="en-US" w:eastAsia="zh-CN" w:bidi="ar"/>
              </w:rPr>
              <w:fldChar w:fldCharType="end"/>
            </w:r>
          </w:p>
        </w:tc>
      </w:tr>
      <w:tr w14:paraId="7F74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C6E4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4495A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3CEF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凝结时间</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4DEE9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1346—2011</w:t>
            </w:r>
            <w:r>
              <w:rPr>
                <w:rFonts w:hint="default" w:ascii="宋体" w:hAnsi="宋体" w:eastAsia="宋体" w:cs="宋体"/>
                <w:i w:val="0"/>
                <w:iCs w:val="0"/>
                <w:color w:val="000000"/>
                <w:kern w:val="0"/>
                <w:sz w:val="22"/>
                <w:szCs w:val="22"/>
                <w:u w:val="none"/>
                <w:lang w:val="en-US" w:eastAsia="zh-CN" w:bidi="ar"/>
              </w:rPr>
              <w:fldChar w:fldCharType="end"/>
            </w:r>
          </w:p>
        </w:tc>
      </w:tr>
      <w:tr w14:paraId="3414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CECB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516F1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51E59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沸煮法安定性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0B02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1346—2011</w:t>
            </w:r>
            <w:r>
              <w:rPr>
                <w:rFonts w:hint="default" w:ascii="宋体" w:hAnsi="宋体" w:eastAsia="宋体" w:cs="宋体"/>
                <w:i w:val="0"/>
                <w:iCs w:val="0"/>
                <w:color w:val="000000"/>
                <w:kern w:val="0"/>
                <w:sz w:val="22"/>
                <w:szCs w:val="22"/>
                <w:u w:val="none"/>
                <w:lang w:val="en-US" w:eastAsia="zh-CN" w:bidi="ar"/>
              </w:rPr>
              <w:fldChar w:fldCharType="end"/>
            </w:r>
          </w:p>
        </w:tc>
      </w:tr>
      <w:tr w14:paraId="31B8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345E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467E9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497FA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保水率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DA23D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GB/T 3183—2017</w:t>
            </w:r>
            <w:r>
              <w:rPr>
                <w:rFonts w:hint="default" w:ascii="宋体" w:hAnsi="宋体" w:eastAsia="宋体" w:cs="宋体"/>
                <w:i w:val="0"/>
                <w:iCs w:val="0"/>
                <w:color w:val="000000"/>
                <w:kern w:val="0"/>
                <w:sz w:val="22"/>
                <w:szCs w:val="22"/>
                <w:u w:val="none"/>
                <w:lang w:val="en-US" w:eastAsia="zh-CN" w:bidi="ar"/>
              </w:rPr>
              <w:fldChar w:fldCharType="end"/>
            </w:r>
          </w:p>
        </w:tc>
      </w:tr>
      <w:tr w14:paraId="548B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F3C19">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793E80">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4E949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5138C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 xml:space="preserve">GB/T 3183—2017 </w:t>
            </w:r>
            <w:r>
              <w:rPr>
                <w:rFonts w:hint="default" w:ascii="宋体" w:hAnsi="宋体" w:eastAsia="宋体" w:cs="宋体"/>
                <w:i w:val="0"/>
                <w:iCs w:val="0"/>
                <w:color w:val="000000"/>
                <w:kern w:val="0"/>
                <w:sz w:val="22"/>
                <w:szCs w:val="22"/>
                <w:u w:val="none"/>
                <w:lang w:val="en-US" w:eastAsia="zh-CN" w:bidi="ar"/>
              </w:rPr>
              <w:fldChar w:fldCharType="end"/>
            </w:r>
          </w:p>
        </w:tc>
      </w:tr>
      <w:tr w14:paraId="23CF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3C4A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3CD26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93C0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2AEDE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17671—2021</w:t>
            </w:r>
          </w:p>
        </w:tc>
      </w:tr>
      <w:tr w14:paraId="48CC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C6CE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8CB63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8354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3F25D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2419—2005</w:t>
            </w:r>
          </w:p>
        </w:tc>
      </w:tr>
      <w:tr w14:paraId="22CA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8375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2361E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09BC1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放射性</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4113D1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fldChar w:fldCharType="begin"/>
            </w:r>
            <w:r>
              <w:rPr>
                <w:rFonts w:hint="default" w:ascii="宋体" w:hAnsi="宋体" w:eastAsia="宋体" w:cs="宋体"/>
                <w:i w:val="0"/>
                <w:iCs w:val="0"/>
                <w:color w:val="000000"/>
                <w:kern w:val="0"/>
                <w:sz w:val="22"/>
                <w:szCs w:val="22"/>
                <w:u w:val="none"/>
                <w:lang w:val="en-US" w:eastAsia="zh-CN" w:bidi="ar"/>
              </w:rPr>
              <w:instrText xml:space="preserve"> HYPERLINK "C:\\Users\\lenovo\\Desktop\\2025监督抽查 工作\\邵\\招标\\招标细则\\劳动保护用品及建材\\javascript:__doPostBack('ctl00$ctl00$ContentPlaceHolder1$ContentPlaceHolder1$rptStandard$ctl00$lbtnDetail','')" \o "file:///C:\\Users\\lenovo\\Desktop\\2025监督抽查 工作\\邵\\招标\\招标细则\\劳动保护用品及建材\\javascript:__doPostBack('ctl00$ctl00$ContentPlaceHolder1$ContentPlaceHolder1$rptStandard$ctl00$lbtnDetail','')" </w:instrText>
            </w:r>
            <w:r>
              <w:rPr>
                <w:rFonts w:hint="default" w:ascii="宋体" w:hAnsi="宋体" w:eastAsia="宋体" w:cs="宋体"/>
                <w:i w:val="0"/>
                <w:iCs w:val="0"/>
                <w:color w:val="000000"/>
                <w:kern w:val="0"/>
                <w:sz w:val="22"/>
                <w:szCs w:val="22"/>
                <w:u w:val="none"/>
                <w:lang w:val="en-US" w:eastAsia="zh-CN" w:bidi="ar"/>
              </w:rPr>
              <w:fldChar w:fldCharType="separate"/>
            </w:r>
            <w:r>
              <w:rPr>
                <w:rFonts w:hint="default" w:ascii="宋体" w:hAnsi="宋体" w:eastAsia="宋体" w:cs="宋体"/>
                <w:i w:val="0"/>
                <w:iCs w:val="0"/>
                <w:color w:val="000000"/>
                <w:kern w:val="0"/>
                <w:sz w:val="22"/>
                <w:szCs w:val="22"/>
                <w:u w:val="none"/>
                <w:lang w:val="en-US" w:eastAsia="zh-CN" w:bidi="ar"/>
              </w:rPr>
              <w:t>GB 6566—2010</w:t>
            </w:r>
            <w:r>
              <w:rPr>
                <w:rFonts w:hint="default" w:ascii="宋体" w:hAnsi="宋体" w:eastAsia="宋体" w:cs="宋体"/>
                <w:i w:val="0"/>
                <w:iCs w:val="0"/>
                <w:color w:val="000000"/>
                <w:kern w:val="0"/>
                <w:sz w:val="22"/>
                <w:szCs w:val="22"/>
                <w:u w:val="none"/>
                <w:lang w:val="en-US" w:eastAsia="zh-CN" w:bidi="ar"/>
              </w:rPr>
              <w:fldChar w:fldCharType="end"/>
            </w:r>
          </w:p>
        </w:tc>
      </w:tr>
      <w:tr w14:paraId="237D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27F1F">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5B8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8769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含水率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D2275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5849—2016</w:t>
            </w:r>
          </w:p>
        </w:tc>
      </w:tr>
      <w:tr w14:paraId="32F8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C5C8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D44ED8">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CEFBC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1884D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5DCD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B84C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1CCD3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2810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横向静曲强度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32ED2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5849—2016</w:t>
            </w:r>
          </w:p>
        </w:tc>
      </w:tr>
      <w:tr w14:paraId="63FA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F160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B71B22">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122D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45CCCE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65BE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DE61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2A164E">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C0C01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浸渍剥离性能</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3298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5849—2016</w:t>
            </w:r>
          </w:p>
        </w:tc>
      </w:tr>
      <w:tr w14:paraId="73E9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B5A7F">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84AED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D97F0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5089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4AB5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C7F6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AE9471">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27A6E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表面胶合强度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5B2A9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5849—2016</w:t>
            </w:r>
          </w:p>
        </w:tc>
      </w:tr>
      <w:tr w14:paraId="3893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CC45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FB5F6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72C0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B5F76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390A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ACE68">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4FFCD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49F9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甲醛释放量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1AF58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18580—2017</w:t>
            </w:r>
          </w:p>
        </w:tc>
      </w:tr>
      <w:tr w14:paraId="4B83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1909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FE73C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14F7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E7102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39600—2021</w:t>
            </w:r>
          </w:p>
        </w:tc>
      </w:tr>
      <w:tr w14:paraId="72DE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57F6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F58301">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F9CD8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DDE737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0308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BA1E2">
            <w:pPr>
              <w:jc w:val="center"/>
              <w:rPr>
                <w:rFonts w:hint="eastAsia" w:ascii="宋体" w:hAnsi="宋体" w:eastAsia="宋体" w:cs="宋体"/>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13C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胶合板</w:t>
            </w: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30B2D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含水率</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6364E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9846—2015</w:t>
            </w:r>
          </w:p>
        </w:tc>
      </w:tr>
      <w:tr w14:paraId="2359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DFA05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E4591C">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5054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D2E04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3110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202C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89C927">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359D0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胶合强度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3B87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9846—2015</w:t>
            </w:r>
          </w:p>
        </w:tc>
      </w:tr>
      <w:tr w14:paraId="6914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1C156">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DD14B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389F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D5F52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2EBB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6E9C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4D5877">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55EEC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浸渍剥离</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683BA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9846—2015</w:t>
            </w:r>
          </w:p>
        </w:tc>
      </w:tr>
      <w:tr w14:paraId="1FFD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449F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BE4E1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9B27C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847305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5B13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83E5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C2079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AE1B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静曲强度</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970FD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9846—2015</w:t>
            </w:r>
          </w:p>
        </w:tc>
      </w:tr>
      <w:tr w14:paraId="59C2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FF3F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26C3A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29D3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72195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7B7B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EE47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FEC4EE">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63F908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弹性模量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9650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9846—2015</w:t>
            </w:r>
          </w:p>
        </w:tc>
      </w:tr>
      <w:tr w14:paraId="6A0D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A468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88440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C5FC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E448A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346B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56AA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128EDC">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01FB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甲醛释放量</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632FD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 18580—2017</w:t>
            </w:r>
          </w:p>
        </w:tc>
      </w:tr>
      <w:tr w14:paraId="7D76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5ABC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15BDDF">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D174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B4C34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39600—2021</w:t>
            </w:r>
          </w:p>
        </w:tc>
      </w:tr>
      <w:tr w14:paraId="2E61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8FCA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B541BB">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39DA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97C47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GB/T 17657—2013</w:t>
            </w:r>
          </w:p>
        </w:tc>
      </w:tr>
      <w:tr w14:paraId="275E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2A1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煤制品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12D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民用散煤、民用型煤</w:t>
            </w: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81B7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全硫（St,d）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7D2A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214、GB/T 25214</w:t>
            </w:r>
          </w:p>
        </w:tc>
      </w:tr>
      <w:tr w14:paraId="7309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8CCCAB">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81A3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ECB24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挥发分（Vd）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4F376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212、GB/T 30732</w:t>
            </w:r>
          </w:p>
        </w:tc>
      </w:tr>
      <w:tr w14:paraId="205A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7524A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4FBF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E572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发热量（Qgr.d）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F6A9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213</w:t>
            </w:r>
          </w:p>
        </w:tc>
      </w:tr>
      <w:tr w14:paraId="049A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B75EF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236D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1299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水分（Mad）a</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3308F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212、GB/T 30732</w:t>
            </w:r>
          </w:p>
        </w:tc>
      </w:tr>
      <w:tr w14:paraId="4044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A47FF1">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013A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6A0A2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灰分（Aad）b</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0581F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212、GB/T 30732</w:t>
            </w:r>
          </w:p>
        </w:tc>
      </w:tr>
      <w:tr w14:paraId="16E5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8D3FC4">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D31C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D6EAC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灰分（Ad）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2A33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212、GB/T 30732</w:t>
            </w:r>
          </w:p>
        </w:tc>
      </w:tr>
      <w:tr w14:paraId="63B7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26CCD5">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59FE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1130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全硫（St,d）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23A3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214、GB/T 25214</w:t>
            </w:r>
          </w:p>
        </w:tc>
      </w:tr>
      <w:tr w14:paraId="22EA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69D64D">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DB4A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AB0E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挥发分（Vdaf）</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AD6B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212、GB/T 30732</w:t>
            </w:r>
          </w:p>
        </w:tc>
      </w:tr>
      <w:tr w14:paraId="4085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1355EE">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F86B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92FD5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氟含量（Fd）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2069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4633</w:t>
            </w:r>
          </w:p>
        </w:tc>
      </w:tr>
      <w:tr w14:paraId="702A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3EB3B0">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FAF6E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44C5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氯含量（Cld）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11045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3558</w:t>
            </w:r>
          </w:p>
        </w:tc>
      </w:tr>
      <w:tr w14:paraId="51C3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624C0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F5CE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5682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砷含量（Asd）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6435A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3058</w:t>
            </w:r>
          </w:p>
        </w:tc>
      </w:tr>
      <w:tr w14:paraId="78AA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7E69EA">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1081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C724D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汞含量（Hgd）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7C9C5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16659</w:t>
            </w:r>
          </w:p>
        </w:tc>
      </w:tr>
      <w:tr w14:paraId="7E19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623543">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78C11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6308F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磷含量（Pd）</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55A09D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216</w:t>
            </w:r>
          </w:p>
        </w:tc>
      </w:tr>
      <w:tr w14:paraId="44F5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E080E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ADC6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8" w:space="0"/>
              <w:left w:val="single" w:color="auto" w:sz="4" w:space="0"/>
              <w:bottom w:val="single" w:color="auto" w:sz="4" w:space="0"/>
              <w:right w:val="single" w:color="000000" w:sz="8" w:space="0"/>
            </w:tcBorders>
            <w:shd w:val="clear" w:color="auto" w:fill="auto"/>
            <w:vAlign w:val="center"/>
          </w:tcPr>
          <w:p w14:paraId="334C7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水分（Mad）a</w:t>
            </w:r>
          </w:p>
        </w:tc>
        <w:tc>
          <w:tcPr>
            <w:tcW w:w="0" w:type="auto"/>
            <w:tcBorders>
              <w:top w:val="single" w:color="000000" w:sz="8" w:space="0"/>
              <w:left w:val="single" w:color="000000" w:sz="8" w:space="0"/>
              <w:bottom w:val="single" w:color="auto" w:sz="4" w:space="0"/>
              <w:right w:val="single" w:color="auto" w:sz="4" w:space="0"/>
            </w:tcBorders>
            <w:shd w:val="clear" w:color="auto" w:fill="auto"/>
            <w:vAlign w:val="center"/>
          </w:tcPr>
          <w:p w14:paraId="4C69E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 212、GB/T 30732</w:t>
            </w:r>
          </w:p>
        </w:tc>
      </w:tr>
    </w:tbl>
    <w:p w14:paraId="2516144F">
      <w:pPr>
        <w:pStyle w:val="11"/>
        <w:rPr>
          <w:rFonts w:hint="eastAsia"/>
        </w:rPr>
      </w:pPr>
    </w:p>
    <w:p w14:paraId="78AD3B22">
      <w:pPr>
        <w:rPr>
          <w:rFonts w:hint="eastAsia"/>
        </w:rPr>
      </w:pPr>
    </w:p>
    <w:p w14:paraId="301ACA9B">
      <w:pPr>
        <w:pStyle w:val="10"/>
        <w:rPr>
          <w:rFonts w:hint="eastAsia"/>
        </w:rPr>
      </w:pPr>
    </w:p>
    <w:p w14:paraId="416EB1FF">
      <w:pPr>
        <w:pStyle w:val="11"/>
        <w:rPr>
          <w:rFonts w:hint="eastAsia"/>
        </w:rPr>
      </w:pPr>
    </w:p>
    <w:p w14:paraId="21B61019">
      <w:pPr>
        <w:rPr>
          <w:rFonts w:hint="eastAsia"/>
        </w:rPr>
      </w:pPr>
    </w:p>
    <w:p w14:paraId="65FBE44B">
      <w:pPr>
        <w:pStyle w:val="10"/>
        <w:rPr>
          <w:rFonts w:hint="eastAsia"/>
        </w:rPr>
      </w:pPr>
    </w:p>
    <w:p w14:paraId="538387FD">
      <w:pPr>
        <w:pStyle w:val="11"/>
        <w:rPr>
          <w:rFonts w:hint="eastAsia"/>
        </w:rPr>
      </w:pPr>
    </w:p>
    <w:p w14:paraId="11C49120">
      <w:pPr>
        <w:rPr>
          <w:rFonts w:hint="eastAsia"/>
        </w:rPr>
      </w:pPr>
    </w:p>
    <w:p w14:paraId="68A4E1ED">
      <w:pPr>
        <w:pStyle w:val="10"/>
        <w:rPr>
          <w:rFonts w:hint="eastAsia"/>
        </w:rPr>
      </w:pPr>
    </w:p>
    <w:p w14:paraId="1D6EBF40">
      <w:pPr>
        <w:pStyle w:val="11"/>
        <w:rPr>
          <w:rFonts w:hint="eastAsia"/>
        </w:rPr>
      </w:pPr>
    </w:p>
    <w:p w14:paraId="64BC7F5B">
      <w:pPr>
        <w:rPr>
          <w:rFonts w:hint="eastAsia"/>
        </w:rPr>
      </w:pPr>
    </w:p>
    <w:p w14:paraId="3456D0E2">
      <w:pPr>
        <w:pStyle w:val="10"/>
        <w:rPr>
          <w:rFonts w:hint="eastAsia"/>
        </w:rPr>
      </w:pPr>
    </w:p>
    <w:p w14:paraId="470311A7">
      <w:pPr>
        <w:pStyle w:val="11"/>
        <w:rPr>
          <w:rFonts w:hint="eastAsia"/>
        </w:rPr>
      </w:pPr>
    </w:p>
    <w:p w14:paraId="4C15A501">
      <w:pPr>
        <w:rPr>
          <w:rFonts w:hint="eastAsia"/>
        </w:rPr>
      </w:pPr>
    </w:p>
    <w:p w14:paraId="7C18114A">
      <w:pPr>
        <w:pStyle w:val="10"/>
        <w:rPr>
          <w:rFonts w:hint="eastAsia"/>
        </w:rPr>
      </w:pPr>
    </w:p>
    <w:p w14:paraId="26DF1644">
      <w:pPr>
        <w:pStyle w:val="11"/>
        <w:rPr>
          <w:rFonts w:hint="eastAsia"/>
        </w:rPr>
      </w:pPr>
    </w:p>
    <w:p w14:paraId="14366F4A">
      <w:pPr>
        <w:rPr>
          <w:rFonts w:hint="eastAsia"/>
        </w:rPr>
      </w:pPr>
    </w:p>
    <w:p w14:paraId="33864C53">
      <w:pPr>
        <w:pStyle w:val="27"/>
        <w:rPr>
          <w:rFonts w:hint="eastAsia"/>
        </w:rPr>
      </w:pPr>
    </w:p>
    <w:p w14:paraId="34308FC4">
      <w:pPr>
        <w:pStyle w:val="27"/>
        <w:rPr>
          <w:rFonts w:hint="eastAsia"/>
        </w:rPr>
      </w:pPr>
    </w:p>
    <w:p w14:paraId="69EFAD1B">
      <w:pPr>
        <w:pStyle w:val="27"/>
        <w:rPr>
          <w:rFonts w:hint="eastAsia"/>
        </w:rPr>
      </w:pPr>
    </w:p>
    <w:p w14:paraId="2C70CC7B">
      <w:pPr>
        <w:pStyle w:val="27"/>
        <w:rPr>
          <w:rFonts w:hint="eastAsia"/>
        </w:rPr>
      </w:pPr>
    </w:p>
    <w:p w14:paraId="7E92D7A8">
      <w:pPr>
        <w:pStyle w:val="27"/>
        <w:rPr>
          <w:rFonts w:hint="eastAsia"/>
        </w:rPr>
      </w:pPr>
    </w:p>
    <w:p w14:paraId="4E99B828">
      <w:pPr>
        <w:pStyle w:val="27"/>
        <w:rPr>
          <w:rFonts w:hint="eastAsia"/>
        </w:rPr>
      </w:pPr>
    </w:p>
    <w:p w14:paraId="6304E2E1">
      <w:pPr>
        <w:pStyle w:val="27"/>
        <w:rPr>
          <w:rFonts w:hint="eastAsia"/>
        </w:rPr>
      </w:pPr>
    </w:p>
    <w:p w14:paraId="2B071007">
      <w:pPr>
        <w:pStyle w:val="27"/>
        <w:rPr>
          <w:rFonts w:hint="eastAsia"/>
        </w:rPr>
      </w:pPr>
    </w:p>
    <w:p w14:paraId="03C231DB">
      <w:pPr>
        <w:pStyle w:val="27"/>
        <w:rPr>
          <w:rFonts w:hint="eastAsia"/>
        </w:rPr>
      </w:pPr>
    </w:p>
    <w:p w14:paraId="1A3238CA">
      <w:pPr>
        <w:pStyle w:val="27"/>
        <w:rPr>
          <w:rFonts w:hint="eastAsia"/>
        </w:rPr>
      </w:pPr>
    </w:p>
    <w:p w14:paraId="54F0053C">
      <w:pPr>
        <w:pStyle w:val="10"/>
        <w:rPr>
          <w:rFonts w:hint="eastAsia"/>
        </w:rPr>
      </w:pPr>
    </w:p>
    <w:p w14:paraId="7E36F58B">
      <w:pPr>
        <w:pStyle w:val="11"/>
        <w:rPr>
          <w:rFonts w:hint="eastAsia"/>
        </w:rPr>
      </w:pPr>
    </w:p>
    <w:p w14:paraId="135F87E9">
      <w:pPr>
        <w:rPr>
          <w:rFonts w:hint="eastAsia"/>
        </w:rPr>
      </w:pPr>
    </w:p>
    <w:p w14:paraId="6CFE9E0E">
      <w:pPr>
        <w:pStyle w:val="2"/>
        <w:jc w:val="center"/>
        <w:rPr>
          <w:rFonts w:ascii="宋体" w:hAnsi="宋体" w:cs="宋体"/>
          <w:color w:val="auto"/>
          <w:highlight w:val="none"/>
        </w:rPr>
      </w:pPr>
      <w:r>
        <w:rPr>
          <w:rFonts w:hint="eastAsia" w:ascii="宋体" w:hAnsi="宋体" w:cs="宋体"/>
          <w:color w:val="auto"/>
          <w:highlight w:val="none"/>
        </w:rPr>
        <w:t>第六章 响应文件构成及格式</w:t>
      </w:r>
      <w:bookmarkEnd w:id="67"/>
      <w:bookmarkEnd w:id="68"/>
      <w:bookmarkEnd w:id="69"/>
      <w:bookmarkEnd w:id="70"/>
      <w:bookmarkEnd w:id="71"/>
      <w:bookmarkEnd w:id="72"/>
      <w:bookmarkEnd w:id="74"/>
      <w:bookmarkEnd w:id="75"/>
    </w:p>
    <w:p w14:paraId="17734357">
      <w:pPr>
        <w:spacing w:line="360" w:lineRule="auto"/>
        <w:ind w:left="420"/>
        <w:jc w:val="center"/>
        <w:rPr>
          <w:rFonts w:ascii="宋体" w:hAnsi="宋体" w:cs="宋体"/>
          <w:color w:val="auto"/>
          <w:sz w:val="24"/>
          <w:highlight w:val="none"/>
        </w:rPr>
      </w:pPr>
    </w:p>
    <w:p w14:paraId="2270529B">
      <w:pPr>
        <w:pStyle w:val="11"/>
        <w:spacing w:line="360" w:lineRule="auto"/>
        <w:rPr>
          <w:rFonts w:ascii="宋体" w:hAnsi="宋体" w:cs="宋体"/>
          <w:bCs/>
          <w:color w:val="auto"/>
          <w:szCs w:val="24"/>
          <w:highlight w:val="none"/>
        </w:rPr>
      </w:pPr>
      <w:bookmarkStart w:id="76" w:name="_Toc7468"/>
      <w:bookmarkStart w:id="77" w:name="_Toc21796"/>
      <w:bookmarkStart w:id="78" w:name="_Toc9535"/>
      <w:bookmarkStart w:id="79" w:name="_Toc21335"/>
      <w:bookmarkStart w:id="80" w:name="_Toc24749"/>
      <w:bookmarkStart w:id="81" w:name="_Toc25392"/>
      <w:r>
        <w:rPr>
          <w:rFonts w:hint="eastAsia" w:ascii="宋体" w:hAnsi="宋体" w:cs="宋体"/>
          <w:bCs/>
          <w:color w:val="auto"/>
          <w:szCs w:val="24"/>
          <w:highlight w:val="none"/>
        </w:rPr>
        <w:t>采购人特别声明：</w:t>
      </w:r>
      <w:bookmarkEnd w:id="76"/>
      <w:bookmarkEnd w:id="77"/>
      <w:bookmarkEnd w:id="78"/>
      <w:bookmarkEnd w:id="79"/>
      <w:bookmarkEnd w:id="80"/>
      <w:bookmarkEnd w:id="81"/>
    </w:p>
    <w:p w14:paraId="7EDAC248">
      <w:pPr>
        <w:pStyle w:val="49"/>
        <w:ind w:firstLine="480"/>
        <w:rPr>
          <w:rFonts w:ascii="宋体" w:hAnsi="宋体" w:cs="宋体"/>
          <w:color w:val="auto"/>
          <w:sz w:val="24"/>
          <w:highlight w:val="none"/>
        </w:rPr>
      </w:pPr>
      <w:r>
        <w:rPr>
          <w:rFonts w:hint="eastAsia" w:ascii="宋体" w:hAnsi="宋体" w:cs="宋体"/>
          <w:color w:val="auto"/>
          <w:sz w:val="24"/>
          <w:highlight w:val="none"/>
        </w:rPr>
        <w:t>供应商应提交本“响应文件文件格式”所列举和要求的全部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，并且所提交的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都是真实有效的，否则，将是供应商的风险。</w:t>
      </w:r>
    </w:p>
    <w:p w14:paraId="32451875">
      <w:pPr>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1491AB7C">
      <w:pPr>
        <w:rPr>
          <w:rFonts w:ascii="宋体" w:hAnsi="宋体" w:cs="宋体"/>
          <w:b/>
          <w:color w:val="auto"/>
          <w:sz w:val="36"/>
          <w:szCs w:val="36"/>
          <w:highlight w:val="none"/>
        </w:rPr>
      </w:pPr>
    </w:p>
    <w:p w14:paraId="507B42D4">
      <w:pPr>
        <w:rPr>
          <w:rFonts w:ascii="宋体" w:hAnsi="宋体" w:cs="宋体"/>
          <w:b/>
          <w:color w:val="auto"/>
          <w:sz w:val="36"/>
          <w:szCs w:val="36"/>
          <w:highlight w:val="none"/>
        </w:rPr>
      </w:pPr>
    </w:p>
    <w:p w14:paraId="64795F6D">
      <w:pPr>
        <w:jc w:val="center"/>
        <w:rPr>
          <w:rFonts w:hint="eastAsia" w:ascii="宋体" w:hAnsi="宋体" w:eastAsia="宋体" w:cs="宋体"/>
          <w:b/>
          <w:bCs/>
          <w:color w:val="auto"/>
          <w:sz w:val="36"/>
          <w:szCs w:val="36"/>
          <w:highlight w:val="none"/>
          <w:u w:val="none"/>
          <w:lang w:eastAsia="zh-CN"/>
        </w:rPr>
      </w:pPr>
      <w:r>
        <w:rPr>
          <w:rFonts w:hint="eastAsia" w:ascii="宋体" w:hAnsi="宋体" w:cs="宋体"/>
          <w:b/>
          <w:bCs/>
          <w:color w:val="auto"/>
          <w:sz w:val="36"/>
          <w:szCs w:val="36"/>
          <w:highlight w:val="none"/>
          <w:u w:val="none"/>
          <w:lang w:val="en-US" w:eastAsia="zh-CN"/>
        </w:rPr>
        <w:t>长春市产品质量监督抽查抽样检验服务</w:t>
      </w:r>
      <w:r>
        <w:rPr>
          <w:rFonts w:hint="eastAsia" w:ascii="宋体" w:hAnsi="宋体" w:cs="宋体"/>
          <w:b/>
          <w:bCs/>
          <w:color w:val="auto"/>
          <w:sz w:val="36"/>
          <w:szCs w:val="36"/>
          <w:highlight w:val="none"/>
          <w:u w:val="single"/>
          <w:lang w:val="en-US" w:eastAsia="zh-CN"/>
        </w:rPr>
        <w:t xml:space="preserve"> / </w:t>
      </w:r>
      <w:r>
        <w:rPr>
          <w:rFonts w:hint="eastAsia" w:ascii="宋体" w:hAnsi="宋体" w:cs="宋体"/>
          <w:b/>
          <w:bCs/>
          <w:color w:val="auto"/>
          <w:sz w:val="36"/>
          <w:szCs w:val="36"/>
          <w:highlight w:val="none"/>
          <w:u w:val="none"/>
          <w:lang w:val="en-US" w:eastAsia="zh-CN"/>
        </w:rPr>
        <w:t>标项</w:t>
      </w:r>
    </w:p>
    <w:p w14:paraId="65C9B72F">
      <w:pPr>
        <w:pStyle w:val="3"/>
        <w:rPr>
          <w:rFonts w:hint="default" w:ascii="宋体" w:hAnsi="宋体" w:eastAsia="宋体" w:cs="宋体"/>
          <w:color w:val="auto"/>
          <w:highlight w:val="none"/>
        </w:rPr>
      </w:pPr>
    </w:p>
    <w:p w14:paraId="756C1C58">
      <w:pPr>
        <w:rPr>
          <w:rFonts w:ascii="宋体" w:hAnsi="宋体" w:cs="宋体"/>
          <w:b/>
          <w:color w:val="auto"/>
          <w:sz w:val="84"/>
          <w:szCs w:val="84"/>
          <w:highlight w:val="none"/>
        </w:rPr>
      </w:pPr>
    </w:p>
    <w:p w14:paraId="6E519F2E">
      <w:pPr>
        <w:spacing w:line="480" w:lineRule="auto"/>
        <w:ind w:right="105"/>
        <w:jc w:val="center"/>
        <w:rPr>
          <w:rFonts w:ascii="宋体" w:hAnsi="宋体" w:cs="宋体"/>
          <w:b/>
          <w:color w:val="auto"/>
          <w:sz w:val="84"/>
          <w:szCs w:val="84"/>
          <w:highlight w:val="none"/>
        </w:rPr>
      </w:pPr>
      <w:r>
        <w:rPr>
          <w:rFonts w:hint="eastAsia" w:ascii="宋体" w:hAnsi="宋体" w:cs="宋体"/>
          <w:b/>
          <w:color w:val="auto"/>
          <w:sz w:val="84"/>
          <w:szCs w:val="84"/>
          <w:highlight w:val="none"/>
        </w:rPr>
        <w:t xml:space="preserve"> 响 应 文 件</w:t>
      </w:r>
    </w:p>
    <w:p w14:paraId="37914DEC">
      <w:pPr>
        <w:rPr>
          <w:rFonts w:ascii="宋体" w:hAnsi="宋体" w:cs="宋体"/>
          <w:color w:val="auto"/>
          <w:sz w:val="36"/>
          <w:highlight w:val="none"/>
        </w:rPr>
      </w:pPr>
    </w:p>
    <w:p w14:paraId="3022A675">
      <w:pPr>
        <w:jc w:val="center"/>
        <w:rPr>
          <w:rFonts w:ascii="宋体" w:hAnsi="宋体" w:cs="宋体"/>
          <w:b/>
          <w:color w:val="auto"/>
          <w:sz w:val="28"/>
          <w:szCs w:val="28"/>
          <w:highlight w:val="none"/>
        </w:rPr>
      </w:pPr>
      <w:r>
        <w:rPr>
          <w:rFonts w:hint="eastAsia" w:ascii="宋体" w:hAnsi="宋体" w:cs="宋体"/>
          <w:b/>
          <w:color w:val="auto"/>
          <w:sz w:val="28"/>
          <w:szCs w:val="28"/>
          <w:highlight w:val="none"/>
        </w:rPr>
        <w:t>项目编号：</w:t>
      </w:r>
    </w:p>
    <w:p w14:paraId="22C48681">
      <w:pPr>
        <w:ind w:firstLine="321" w:firstLineChars="100"/>
        <w:jc w:val="center"/>
        <w:rPr>
          <w:rFonts w:ascii="宋体" w:hAnsi="宋体" w:cs="宋体"/>
          <w:b/>
          <w:color w:val="auto"/>
          <w:sz w:val="32"/>
          <w:szCs w:val="32"/>
          <w:highlight w:val="none"/>
        </w:rPr>
      </w:pPr>
    </w:p>
    <w:p w14:paraId="4B5BE7E9">
      <w:pPr>
        <w:rPr>
          <w:rFonts w:ascii="宋体" w:hAnsi="宋体" w:cs="宋体"/>
          <w:color w:val="auto"/>
          <w:sz w:val="30"/>
          <w:szCs w:val="30"/>
          <w:highlight w:val="none"/>
        </w:rPr>
      </w:pPr>
    </w:p>
    <w:p w14:paraId="3C98675A">
      <w:pPr>
        <w:rPr>
          <w:rFonts w:ascii="宋体" w:hAnsi="宋体" w:cs="宋体"/>
          <w:color w:val="auto"/>
          <w:sz w:val="32"/>
          <w:highlight w:val="none"/>
        </w:rPr>
      </w:pPr>
    </w:p>
    <w:p w14:paraId="199233F8">
      <w:pPr>
        <w:ind w:firstLine="643" w:firstLineChars="200"/>
        <w:rPr>
          <w:rFonts w:ascii="宋体" w:hAnsi="宋体" w:cs="宋体"/>
          <w:b/>
          <w:color w:val="auto"/>
          <w:sz w:val="32"/>
          <w:szCs w:val="32"/>
          <w:highlight w:val="none"/>
        </w:rPr>
      </w:pPr>
    </w:p>
    <w:p w14:paraId="5738E590">
      <w:pPr>
        <w:ind w:firstLine="643" w:firstLineChars="200"/>
        <w:rPr>
          <w:rFonts w:ascii="宋体" w:hAnsi="宋体" w:cs="宋体"/>
          <w:b/>
          <w:color w:val="auto"/>
          <w:sz w:val="32"/>
          <w:szCs w:val="32"/>
          <w:highlight w:val="none"/>
        </w:rPr>
      </w:pPr>
    </w:p>
    <w:p w14:paraId="2160BCF4">
      <w:pPr>
        <w:ind w:firstLine="643" w:firstLineChars="200"/>
        <w:rPr>
          <w:rFonts w:ascii="宋体" w:hAnsi="宋体" w:cs="宋体"/>
          <w:b/>
          <w:color w:val="auto"/>
          <w:sz w:val="32"/>
          <w:szCs w:val="32"/>
          <w:highlight w:val="none"/>
        </w:rPr>
      </w:pPr>
    </w:p>
    <w:p w14:paraId="45B12F44">
      <w:pPr>
        <w:ind w:firstLine="643" w:firstLineChars="200"/>
        <w:rPr>
          <w:rFonts w:ascii="宋体" w:hAnsi="宋体" w:cs="宋体"/>
          <w:b/>
          <w:color w:val="auto"/>
          <w:sz w:val="32"/>
          <w:szCs w:val="32"/>
          <w:highlight w:val="none"/>
          <w:u w:val="single"/>
        </w:rPr>
      </w:pPr>
      <w:r>
        <w:rPr>
          <w:rFonts w:hint="eastAsia" w:ascii="宋体" w:hAnsi="宋体" w:cs="宋体"/>
          <w:b/>
          <w:color w:val="auto"/>
          <w:sz w:val="32"/>
          <w:szCs w:val="32"/>
          <w:highlight w:val="none"/>
        </w:rPr>
        <w:t>供应商：</w:t>
      </w:r>
      <w:r>
        <w:rPr>
          <w:rFonts w:hint="eastAsia" w:ascii="宋体" w:hAnsi="宋体" w:cs="宋体"/>
          <w:b/>
          <w:color w:val="auto"/>
          <w:sz w:val="32"/>
          <w:szCs w:val="32"/>
          <w:highlight w:val="none"/>
          <w:u w:val="single"/>
        </w:rPr>
        <w:t xml:space="preserve">                       （盖章）</w:t>
      </w:r>
    </w:p>
    <w:p w14:paraId="72BCD25C">
      <w:pPr>
        <w:ind w:firstLine="643" w:firstLineChars="200"/>
        <w:rPr>
          <w:rFonts w:ascii="宋体" w:hAnsi="宋体" w:cs="宋体"/>
          <w:b/>
          <w:color w:val="auto"/>
          <w:sz w:val="32"/>
          <w:szCs w:val="32"/>
          <w:highlight w:val="none"/>
          <w:u w:val="single"/>
        </w:rPr>
      </w:pPr>
      <w:r>
        <w:rPr>
          <w:rFonts w:hint="eastAsia" w:ascii="宋体" w:hAnsi="宋体" w:cs="宋体"/>
          <w:b/>
          <w:color w:val="auto"/>
          <w:sz w:val="32"/>
          <w:szCs w:val="32"/>
          <w:highlight w:val="none"/>
        </w:rPr>
        <w:t>法定代表人或其授权委托代理人：</w:t>
      </w:r>
      <w:r>
        <w:rPr>
          <w:rFonts w:hint="eastAsia" w:ascii="宋体" w:hAnsi="宋体" w:cs="宋体"/>
          <w:b/>
          <w:color w:val="auto"/>
          <w:sz w:val="32"/>
          <w:szCs w:val="32"/>
          <w:highlight w:val="none"/>
          <w:u w:val="single"/>
        </w:rPr>
        <w:t xml:space="preserve">  （签字或盖章）       </w:t>
      </w:r>
    </w:p>
    <w:p w14:paraId="7344362D">
      <w:pPr>
        <w:ind w:firstLine="643" w:firstLineChars="200"/>
        <w:rPr>
          <w:rFonts w:ascii="宋体" w:hAnsi="宋体" w:cs="宋体"/>
          <w:b/>
          <w:color w:val="auto"/>
          <w:sz w:val="32"/>
          <w:szCs w:val="32"/>
          <w:highlight w:val="none"/>
          <w:u w:val="single"/>
        </w:rPr>
      </w:pPr>
      <w:r>
        <w:rPr>
          <w:rFonts w:hint="eastAsia" w:ascii="宋体" w:hAnsi="宋体" w:cs="宋体"/>
          <w:b/>
          <w:color w:val="auto"/>
          <w:sz w:val="32"/>
          <w:szCs w:val="32"/>
          <w:highlight w:val="none"/>
        </w:rPr>
        <w:t>日期：</w:t>
      </w:r>
      <w:r>
        <w:rPr>
          <w:rFonts w:hint="eastAsia" w:ascii="宋体" w:hAnsi="宋体" w:cs="宋体"/>
          <w:b/>
          <w:color w:val="auto"/>
          <w:sz w:val="32"/>
          <w:szCs w:val="32"/>
          <w:highlight w:val="none"/>
          <w:u w:val="single"/>
        </w:rPr>
        <w:t xml:space="preserve">    年   月   日</w:t>
      </w:r>
    </w:p>
    <w:p w14:paraId="5E93402A">
      <w:pPr>
        <w:tabs>
          <w:tab w:val="left" w:pos="1365"/>
        </w:tabs>
        <w:spacing w:line="360" w:lineRule="auto"/>
        <w:rPr>
          <w:rFonts w:ascii="宋体" w:hAnsi="宋体" w:cs="宋体"/>
          <w:b/>
          <w:color w:val="auto"/>
          <w:sz w:val="36"/>
          <w:szCs w:val="36"/>
          <w:highlight w:val="none"/>
        </w:rPr>
      </w:pPr>
    </w:p>
    <w:p w14:paraId="4958A992">
      <w:pPr>
        <w:tabs>
          <w:tab w:val="left" w:pos="1365"/>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09AB8CD9">
      <w:pPr>
        <w:tabs>
          <w:tab w:val="left" w:pos="1365"/>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43EADEE9">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1、磋商响应函</w:t>
      </w:r>
    </w:p>
    <w:p w14:paraId="595F546D">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2、法定代表人身份证明</w:t>
      </w:r>
    </w:p>
    <w:p w14:paraId="3DB24AB1">
      <w:pPr>
        <w:tabs>
          <w:tab w:val="left" w:pos="1365"/>
        </w:tabs>
        <w:spacing w:line="360" w:lineRule="auto"/>
        <w:ind w:left="-4" w:leftChars="-2" w:firstLine="480" w:firstLineChars="200"/>
        <w:rPr>
          <w:rFonts w:ascii="宋体" w:hAnsi="宋体" w:cs="宋体"/>
          <w:color w:val="auto"/>
          <w:sz w:val="24"/>
          <w:highlight w:val="none"/>
        </w:rPr>
      </w:pPr>
      <w:r>
        <w:rPr>
          <w:rFonts w:hint="eastAsia" w:ascii="宋体" w:hAnsi="宋体" w:cs="宋体"/>
          <w:color w:val="auto"/>
          <w:sz w:val="24"/>
          <w:highlight w:val="none"/>
        </w:rPr>
        <w:t>3、授权委托书</w:t>
      </w:r>
    </w:p>
    <w:p w14:paraId="0F279069">
      <w:pPr>
        <w:tabs>
          <w:tab w:val="left" w:pos="1365"/>
        </w:tabs>
        <w:spacing w:line="360" w:lineRule="auto"/>
        <w:ind w:left="-4" w:leftChars="-2" w:firstLine="480" w:firstLineChars="200"/>
        <w:rPr>
          <w:color w:val="auto"/>
          <w:highlight w:val="none"/>
        </w:rPr>
      </w:pPr>
      <w:r>
        <w:rPr>
          <w:rFonts w:hint="eastAsia" w:ascii="宋体" w:hAnsi="宋体" w:cs="宋体"/>
          <w:color w:val="auto"/>
          <w:sz w:val="24"/>
          <w:highlight w:val="none"/>
        </w:rPr>
        <w:t>4、磋商报价表</w:t>
      </w:r>
    </w:p>
    <w:p w14:paraId="17141E14">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方案</w:t>
      </w:r>
    </w:p>
    <w:p w14:paraId="096295FA">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供应商基本情况</w:t>
      </w:r>
    </w:p>
    <w:p w14:paraId="4504D364">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、资格条件承诺函</w:t>
      </w:r>
    </w:p>
    <w:p w14:paraId="2A696F0E">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8、项目管理机构</w:t>
      </w:r>
    </w:p>
    <w:p w14:paraId="772EC427">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9、供应商类似项目业绩一览表</w:t>
      </w:r>
    </w:p>
    <w:p w14:paraId="7F6157C4">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、磋商保证金</w:t>
      </w:r>
    </w:p>
    <w:p w14:paraId="05363EC7">
      <w:pPr>
        <w:tabs>
          <w:tab w:val="left" w:pos="13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、供应商认为需要提供的其他材料</w:t>
      </w:r>
    </w:p>
    <w:p w14:paraId="15A4F2CC">
      <w:pPr>
        <w:tabs>
          <w:tab w:val="left" w:pos="1365"/>
        </w:tabs>
        <w:spacing w:line="360" w:lineRule="auto"/>
        <w:ind w:firstLine="482" w:firstLineChars="201"/>
        <w:rPr>
          <w:rFonts w:ascii="宋体" w:hAnsi="宋体" w:cs="宋体"/>
          <w:color w:val="auto"/>
          <w:sz w:val="24"/>
          <w:highlight w:val="none"/>
        </w:rPr>
      </w:pPr>
    </w:p>
    <w:p w14:paraId="754BC493">
      <w:pPr>
        <w:spacing w:line="360" w:lineRule="auto"/>
        <w:rPr>
          <w:rFonts w:ascii="宋体" w:hAnsi="宋体" w:cs="宋体"/>
          <w:color w:val="auto"/>
          <w:sz w:val="24"/>
          <w:highlight w:val="none"/>
        </w:rPr>
      </w:pPr>
    </w:p>
    <w:p w14:paraId="3ED8067D">
      <w:pPr>
        <w:tabs>
          <w:tab w:val="left" w:pos="1365"/>
        </w:tabs>
        <w:spacing w:line="360" w:lineRule="auto"/>
        <w:jc w:val="left"/>
        <w:rPr>
          <w:rFonts w:ascii="宋体" w:hAnsi="宋体" w:cs="宋体"/>
          <w:b/>
          <w:color w:val="auto"/>
          <w:sz w:val="24"/>
          <w:highlight w:val="none"/>
        </w:rPr>
      </w:pPr>
    </w:p>
    <w:p w14:paraId="494CB29F">
      <w:pPr>
        <w:widowControl/>
        <w:spacing w:line="360" w:lineRule="auto"/>
        <w:jc w:val="both"/>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供应商可自行编制目录，并标注对应页码。所有复印件需清晰可辩。</w:t>
      </w:r>
    </w:p>
    <w:p w14:paraId="12415073">
      <w:pPr>
        <w:widowControl/>
        <w:spacing w:line="360" w:lineRule="auto"/>
        <w:ind w:firstLine="482" w:firstLineChars="200"/>
        <w:jc w:val="both"/>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2、供应商根据所投标项自行填写项目名称及项目编号，如填写错误供应商投标将被否决</w:t>
      </w:r>
      <w:r>
        <w:rPr>
          <w:rFonts w:hint="eastAsia" w:ascii="宋体" w:hAnsi="宋体" w:cs="宋体"/>
          <w:b/>
          <w:color w:val="auto"/>
          <w:kern w:val="0"/>
          <w:sz w:val="24"/>
          <w:highlight w:val="none"/>
          <w:lang w:val="en-US" w:eastAsia="zh-CN"/>
        </w:rPr>
        <w:t>。</w:t>
      </w:r>
    </w:p>
    <w:p w14:paraId="3EB7ECE5">
      <w:pPr>
        <w:tabs>
          <w:tab w:val="left" w:pos="1365"/>
        </w:tabs>
        <w:spacing w:line="360" w:lineRule="auto"/>
        <w:jc w:val="center"/>
        <w:rPr>
          <w:rFonts w:ascii="宋体" w:hAnsi="宋体" w:cs="宋体"/>
          <w:b/>
          <w:color w:val="auto"/>
          <w:sz w:val="32"/>
          <w:szCs w:val="32"/>
          <w:highlight w:val="none"/>
        </w:rPr>
      </w:pPr>
    </w:p>
    <w:p w14:paraId="26C42E17">
      <w:pPr>
        <w:tabs>
          <w:tab w:val="left" w:pos="1365"/>
        </w:tabs>
        <w:spacing w:line="360" w:lineRule="auto"/>
        <w:jc w:val="center"/>
        <w:rPr>
          <w:rFonts w:ascii="宋体" w:hAnsi="宋体" w:cs="宋体"/>
          <w:b/>
          <w:color w:val="auto"/>
          <w:sz w:val="32"/>
          <w:szCs w:val="32"/>
          <w:highlight w:val="none"/>
        </w:rPr>
      </w:pPr>
    </w:p>
    <w:p w14:paraId="57A1476F">
      <w:pPr>
        <w:tabs>
          <w:tab w:val="left" w:pos="1365"/>
        </w:tabs>
        <w:spacing w:line="360" w:lineRule="auto"/>
        <w:rPr>
          <w:rFonts w:ascii="宋体" w:hAnsi="宋体" w:cs="宋体"/>
          <w:b/>
          <w:color w:val="auto"/>
          <w:sz w:val="32"/>
          <w:szCs w:val="32"/>
          <w:highlight w:val="none"/>
        </w:rPr>
      </w:pPr>
    </w:p>
    <w:p w14:paraId="0E2BEFB0">
      <w:pPr>
        <w:tabs>
          <w:tab w:val="left" w:pos="1365"/>
        </w:tabs>
        <w:spacing w:line="360" w:lineRule="auto"/>
        <w:rPr>
          <w:rFonts w:ascii="宋体" w:hAnsi="宋体" w:cs="宋体"/>
          <w:b/>
          <w:color w:val="auto"/>
          <w:sz w:val="32"/>
          <w:szCs w:val="32"/>
          <w:highlight w:val="none"/>
        </w:rPr>
      </w:pPr>
    </w:p>
    <w:p w14:paraId="030AE4B4">
      <w:pPr>
        <w:tabs>
          <w:tab w:val="left" w:pos="1365"/>
        </w:tabs>
        <w:spacing w:line="360" w:lineRule="auto"/>
        <w:rPr>
          <w:rFonts w:ascii="宋体" w:hAnsi="宋体" w:cs="宋体"/>
          <w:b/>
          <w:color w:val="auto"/>
          <w:sz w:val="32"/>
          <w:szCs w:val="32"/>
          <w:highlight w:val="none"/>
        </w:rPr>
      </w:pPr>
    </w:p>
    <w:p w14:paraId="22B6416F">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7BDBA1F3">
      <w:pPr>
        <w:spacing w:beforeLines="50" w:afterLines="50" w:line="420" w:lineRule="exact"/>
        <w:jc w:val="center"/>
        <w:outlineLvl w:val="0"/>
        <w:rPr>
          <w:rFonts w:ascii="宋体" w:hAnsi="宋体" w:cs="宋体"/>
          <w:b/>
          <w:bCs/>
          <w:color w:val="auto"/>
          <w:sz w:val="28"/>
          <w:szCs w:val="28"/>
          <w:highlight w:val="none"/>
        </w:rPr>
      </w:pPr>
      <w:bookmarkStart w:id="82" w:name="_Toc3554"/>
      <w:r>
        <w:rPr>
          <w:rFonts w:hint="eastAsia" w:ascii="宋体" w:hAnsi="宋体" w:cs="宋体"/>
          <w:b/>
          <w:bCs/>
          <w:color w:val="auto"/>
          <w:sz w:val="28"/>
          <w:szCs w:val="28"/>
          <w:highlight w:val="none"/>
        </w:rPr>
        <w:t>1、磋商响应函</w:t>
      </w:r>
      <w:bookmarkEnd w:id="82"/>
    </w:p>
    <w:p w14:paraId="495F4189">
      <w:pPr>
        <w:tabs>
          <w:tab w:val="left" w:pos="2790"/>
        </w:tabs>
        <w:wordWrap w:val="0"/>
        <w:spacing w:line="360" w:lineRule="auto"/>
        <w:rPr>
          <w:rFonts w:ascii="宋体" w:hAnsi="宋体" w:cs="宋体"/>
          <w:bCs/>
          <w:color w:val="auto"/>
          <w:sz w:val="24"/>
          <w:highlight w:val="none"/>
        </w:rPr>
      </w:pPr>
      <w:r>
        <w:rPr>
          <w:rFonts w:hint="eastAsia" w:ascii="宋体" w:hAnsi="宋体" w:cs="宋体"/>
          <w:bCs/>
          <w:color w:val="auto"/>
          <w:sz w:val="24"/>
          <w:highlight w:val="none"/>
        </w:rPr>
        <w:tab/>
      </w:r>
    </w:p>
    <w:p w14:paraId="5F345C00">
      <w:pPr>
        <w:wordWrap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u w:val="single"/>
        </w:rPr>
        <w:t>{采购人名称}</w:t>
      </w:r>
      <w:r>
        <w:rPr>
          <w:rFonts w:hint="eastAsia" w:ascii="宋体" w:hAnsi="宋体" w:cs="宋体"/>
          <w:bCs/>
          <w:color w:val="auto"/>
          <w:sz w:val="24"/>
          <w:highlight w:val="none"/>
        </w:rPr>
        <w:t>：</w:t>
      </w:r>
    </w:p>
    <w:p w14:paraId="2F28223E">
      <w:pPr>
        <w:wordWrap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1、根据已收到的</w:t>
      </w:r>
      <w:r>
        <w:rPr>
          <w:rFonts w:hint="eastAsia" w:ascii="宋体" w:hAnsi="宋体" w:cs="宋体"/>
          <w:bCs/>
          <w:color w:val="auto"/>
          <w:sz w:val="24"/>
          <w:highlight w:val="none"/>
          <w:lang w:eastAsia="zh-CN"/>
        </w:rPr>
        <w:t>项目编号</w:t>
      </w:r>
      <w:r>
        <w:rPr>
          <w:rFonts w:hint="eastAsia" w:ascii="宋体" w:hAnsi="宋体" w:cs="宋体"/>
          <w:bCs/>
          <w:color w:val="auto"/>
          <w:sz w:val="24"/>
          <w:highlight w:val="none"/>
        </w:rPr>
        <w:t>为{</w:t>
      </w:r>
      <w:r>
        <w:rPr>
          <w:rFonts w:hint="eastAsia" w:ascii="宋体" w:hAnsi="宋体" w:cs="宋体"/>
          <w:bCs/>
          <w:color w:val="auto"/>
          <w:sz w:val="24"/>
          <w:highlight w:val="none"/>
          <w:u w:val="single"/>
          <w:lang w:eastAsia="zh-CN"/>
        </w:rPr>
        <w:t>项目编号</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}的竞争性磋商文件，遵照</w:t>
      </w:r>
      <w:r>
        <w:rPr>
          <w:rFonts w:hint="eastAsia" w:ascii="宋体" w:hAnsi="宋体" w:cs="宋体"/>
          <w:color w:val="auto"/>
          <w:sz w:val="24"/>
          <w:highlight w:val="none"/>
        </w:rPr>
        <w:t>《中华人民共和国政府采购法》、《政府采购竞争性磋商采购方式管理暂行办法》</w:t>
      </w:r>
      <w:r>
        <w:rPr>
          <w:rFonts w:hint="eastAsia" w:ascii="宋体" w:hAnsi="宋体" w:cs="宋体"/>
          <w:bCs/>
          <w:color w:val="auto"/>
          <w:sz w:val="24"/>
          <w:highlight w:val="none"/>
        </w:rPr>
        <w:t>的有关规定，我方经和研究上述竞争性磋商文件的供应商须知、合同条件、技术需求和其他有关文件后，我方愿以</w:t>
      </w:r>
      <w:r>
        <w:rPr>
          <w:rFonts w:hint="eastAsia" w:ascii="宋体" w:hAnsi="宋体" w:cs="宋体"/>
          <w:bCs/>
          <w:color w:val="auto"/>
          <w:sz w:val="24"/>
          <w:highlight w:val="none"/>
          <w:u w:val="single"/>
        </w:rPr>
        <w:t>（大写）：（小写）：</w:t>
      </w:r>
      <w:r>
        <w:rPr>
          <w:rFonts w:hint="eastAsia" w:ascii="宋体" w:hAnsi="宋体" w:cs="宋体"/>
          <w:bCs/>
          <w:color w:val="auto"/>
          <w:sz w:val="24"/>
          <w:highlight w:val="none"/>
        </w:rPr>
        <w:t>的总价</w:t>
      </w:r>
      <w:r>
        <w:rPr>
          <w:rFonts w:hint="eastAsia" w:ascii="宋体" w:hAnsi="宋体" w:cs="宋体"/>
          <w:bCs/>
          <w:color w:val="auto"/>
          <w:sz w:val="24"/>
          <w:highlight w:val="none"/>
          <w:lang w:eastAsia="zh-CN"/>
        </w:rPr>
        <w:t>，</w:t>
      </w:r>
      <w:r>
        <w:rPr>
          <w:rFonts w:hint="eastAsia" w:ascii="宋体" w:hAnsi="宋体" w:cs="宋体"/>
          <w:bCs/>
          <w:color w:val="auto"/>
          <w:sz w:val="24"/>
          <w:highlight w:val="none"/>
          <w:u w:val="single"/>
          <w:lang w:val="en-US" w:eastAsia="zh-CN"/>
        </w:rPr>
        <w:t>（小写）：</w:t>
      </w:r>
      <w:r>
        <w:rPr>
          <w:rFonts w:hint="eastAsia" w:ascii="宋体" w:hAnsi="宋体" w:cs="宋体"/>
          <w:bCs/>
          <w:color w:val="auto"/>
          <w:sz w:val="24"/>
          <w:highlight w:val="none"/>
          <w:lang w:val="en-US" w:eastAsia="zh-CN"/>
        </w:rPr>
        <w:t>批次</w:t>
      </w:r>
      <w:r>
        <w:rPr>
          <w:rFonts w:hint="eastAsia" w:ascii="宋体" w:hAnsi="宋体" w:cs="宋体"/>
          <w:bCs/>
          <w:color w:val="auto"/>
          <w:sz w:val="24"/>
          <w:highlight w:val="none"/>
        </w:rPr>
        <w:t>，按上述合同条件、要求承包。</w:t>
      </w:r>
    </w:p>
    <w:p w14:paraId="7A501FF5">
      <w:pPr>
        <w:wordWrap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2、一旦我方成交，我方保证在合同签订时间内完成合同约定全部内容并提供优质服务。</w:t>
      </w:r>
    </w:p>
    <w:p w14:paraId="09FE311E">
      <w:pPr>
        <w:wordWrap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3、我方同意所递交的</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在“供应商须知”规定的磋商响应有效期内有效，在此期间内我方的投标有可能中选，我方将受此约束。</w:t>
      </w:r>
    </w:p>
    <w:p w14:paraId="31B171A1">
      <w:pPr>
        <w:wordWrap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4、除非另外达成协议并生效，你方的成交通知书和本</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将构成约束我们双方的合同。</w:t>
      </w:r>
    </w:p>
    <w:p w14:paraId="48E6B052">
      <w:pPr>
        <w:wordWrap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5、我方递交人民币</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元作为磋商保证金。</w:t>
      </w:r>
    </w:p>
    <w:p w14:paraId="7AE62BAA">
      <w:pPr>
        <w:wordWrap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6、磋商响应有效期为：递交</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截止之日后</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none"/>
          <w:lang w:val="en-US" w:eastAsia="zh-CN"/>
        </w:rPr>
        <w:t>日历</w:t>
      </w:r>
      <w:r>
        <w:rPr>
          <w:rFonts w:hint="eastAsia" w:ascii="宋体" w:hAnsi="宋体" w:cs="宋体"/>
          <w:bCs/>
          <w:color w:val="auto"/>
          <w:sz w:val="24"/>
          <w:highlight w:val="none"/>
          <w:u w:val="none"/>
        </w:rPr>
        <w:t>天。</w:t>
      </w:r>
    </w:p>
    <w:p w14:paraId="7E717193">
      <w:pPr>
        <w:wordWrap w:val="0"/>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7、采购人不对任何供应商参加本磋商项目过程中进行经济补偿。</w:t>
      </w:r>
    </w:p>
    <w:p w14:paraId="30052127">
      <w:pPr>
        <w:pStyle w:val="15"/>
        <w:spacing w:line="360" w:lineRule="auto"/>
        <w:rPr>
          <w:rFonts w:hint="default" w:hAnsi="宋体" w:cs="宋体"/>
          <w:color w:val="auto"/>
          <w:sz w:val="24"/>
          <w:szCs w:val="24"/>
          <w:highlight w:val="none"/>
        </w:rPr>
      </w:pPr>
    </w:p>
    <w:p w14:paraId="6B36A078">
      <w:pPr>
        <w:wordWrap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供应商：（盖章）</w:t>
      </w:r>
    </w:p>
    <w:p w14:paraId="67A2C312">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单位地址：</w:t>
      </w:r>
    </w:p>
    <w:p w14:paraId="084F6705">
      <w:pPr>
        <w:wordWrap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法定代表人或委托代理人：（签字或盖章）</w:t>
      </w:r>
    </w:p>
    <w:p w14:paraId="6F10ED88">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邮政编码：</w:t>
      </w:r>
    </w:p>
    <w:p w14:paraId="2D9225CA">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电话：</w:t>
      </w:r>
    </w:p>
    <w:p w14:paraId="3F88F303">
      <w:pPr>
        <w:wordWrap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传真：</w:t>
      </w:r>
    </w:p>
    <w:p w14:paraId="5F5B2032">
      <w:pPr>
        <w:wordWrap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开户银行名称：</w:t>
      </w:r>
    </w:p>
    <w:p w14:paraId="208BC2BB">
      <w:pPr>
        <w:wordWrap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银行</w:t>
      </w:r>
      <w:r>
        <w:rPr>
          <w:rFonts w:hint="eastAsia" w:ascii="宋体" w:hAnsi="宋体" w:cs="宋体"/>
          <w:bCs/>
          <w:color w:val="auto"/>
          <w:sz w:val="24"/>
          <w:highlight w:val="none"/>
          <w:lang w:eastAsia="zh-CN"/>
        </w:rPr>
        <w:t>账</w:t>
      </w:r>
      <w:r>
        <w:rPr>
          <w:rFonts w:hint="eastAsia" w:ascii="宋体" w:hAnsi="宋体" w:cs="宋体"/>
          <w:bCs/>
          <w:color w:val="auto"/>
          <w:sz w:val="24"/>
          <w:highlight w:val="none"/>
        </w:rPr>
        <w:t>号：</w:t>
      </w:r>
    </w:p>
    <w:p w14:paraId="174A70FC">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开户行地址：</w:t>
      </w:r>
    </w:p>
    <w:p w14:paraId="513020C3">
      <w:pPr>
        <w:spacing w:line="360" w:lineRule="auto"/>
        <w:ind w:right="105" w:firstLine="480" w:firstLineChars="200"/>
        <w:rPr>
          <w:rFonts w:ascii="宋体" w:hAnsi="宋体" w:cs="宋体"/>
          <w:bCs/>
          <w:color w:val="auto"/>
          <w:sz w:val="24"/>
          <w:highlight w:val="none"/>
        </w:rPr>
      </w:pPr>
      <w:r>
        <w:rPr>
          <w:rFonts w:hint="eastAsia" w:ascii="宋体" w:hAnsi="宋体" w:cs="宋体"/>
          <w:bCs/>
          <w:color w:val="auto"/>
          <w:sz w:val="24"/>
          <w:highlight w:val="none"/>
        </w:rPr>
        <w:t>日期：年月日</w:t>
      </w:r>
    </w:p>
    <w:p w14:paraId="64354706">
      <w:pPr>
        <w:wordWrap w:val="0"/>
        <w:spacing w:line="360" w:lineRule="auto"/>
        <w:rPr>
          <w:rFonts w:ascii="宋体" w:hAnsi="宋体" w:cs="宋体"/>
          <w:bCs/>
          <w:color w:val="auto"/>
          <w:sz w:val="24"/>
          <w:highlight w:val="none"/>
        </w:rPr>
      </w:pPr>
    </w:p>
    <w:p w14:paraId="699BA60C">
      <w:pPr>
        <w:spacing w:line="360" w:lineRule="auto"/>
        <w:jc w:val="left"/>
        <w:rPr>
          <w:rFonts w:ascii="宋体" w:hAnsi="宋体" w:cs="宋体"/>
          <w:color w:val="auto"/>
          <w:sz w:val="24"/>
          <w:highlight w:val="none"/>
        </w:rPr>
      </w:pPr>
    </w:p>
    <w:p w14:paraId="6949993B">
      <w:pPr>
        <w:spacing w:line="360" w:lineRule="auto"/>
        <w:jc w:val="left"/>
        <w:rPr>
          <w:rFonts w:ascii="宋体" w:hAnsi="宋体" w:cs="宋体"/>
          <w:color w:val="auto"/>
          <w:sz w:val="24"/>
          <w:highlight w:val="none"/>
        </w:rPr>
      </w:pPr>
    </w:p>
    <w:p w14:paraId="127B2479">
      <w:pPr>
        <w:spacing w:line="360" w:lineRule="auto"/>
        <w:jc w:val="left"/>
        <w:rPr>
          <w:rFonts w:ascii="宋体" w:hAnsi="宋体" w:cs="宋体"/>
          <w:color w:val="auto"/>
          <w:sz w:val="24"/>
          <w:highlight w:val="none"/>
        </w:rPr>
      </w:pPr>
    </w:p>
    <w:p w14:paraId="153C0B57">
      <w:pPr>
        <w:rPr>
          <w:rFonts w:hint="eastAsia" w:ascii="宋体" w:hAnsi="宋体" w:cs="宋体"/>
          <w:b/>
          <w:color w:val="auto"/>
          <w:sz w:val="32"/>
          <w:szCs w:val="32"/>
          <w:highlight w:val="none"/>
        </w:rPr>
      </w:pPr>
      <w:bookmarkStart w:id="83" w:name="_Toc28778"/>
      <w:bookmarkStart w:id="84" w:name="_Toc139773320"/>
      <w:bookmarkStart w:id="85" w:name="_Toc45942979"/>
      <w:bookmarkStart w:id="86" w:name="_Toc30577828"/>
      <w:bookmarkStart w:id="87" w:name="_Toc45511005"/>
      <w:bookmarkStart w:id="88" w:name="_Toc107716842"/>
      <w:bookmarkStart w:id="89" w:name="_Toc107393598"/>
      <w:bookmarkStart w:id="90" w:name="_Toc112237131"/>
      <w:r>
        <w:rPr>
          <w:rFonts w:hint="eastAsia" w:ascii="宋体" w:hAnsi="宋体" w:cs="宋体"/>
          <w:b/>
          <w:color w:val="auto"/>
          <w:sz w:val="32"/>
          <w:szCs w:val="32"/>
          <w:highlight w:val="none"/>
        </w:rPr>
        <w:br w:type="page"/>
      </w:r>
    </w:p>
    <w:p w14:paraId="72FDD593">
      <w:pPr>
        <w:spacing w:line="480" w:lineRule="exact"/>
        <w:ind w:right="420"/>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2、法定代表人身份证明</w:t>
      </w:r>
      <w:bookmarkEnd w:id="83"/>
    </w:p>
    <w:p w14:paraId="751DCA3B">
      <w:pPr>
        <w:pStyle w:val="44"/>
        <w:jc w:val="center"/>
        <w:rPr>
          <w:rFonts w:ascii="宋体" w:hAnsi="宋体" w:cs="宋体"/>
          <w:b/>
          <w:color w:val="auto"/>
          <w:sz w:val="32"/>
          <w:szCs w:val="32"/>
          <w:highlight w:val="none"/>
        </w:rPr>
      </w:pPr>
    </w:p>
    <w:p w14:paraId="6B58FFFB">
      <w:pPr>
        <w:pStyle w:val="44"/>
        <w:jc w:val="center"/>
        <w:rPr>
          <w:rFonts w:ascii="宋体" w:hAnsi="宋体" w:cs="宋体"/>
          <w:color w:val="auto"/>
          <w:sz w:val="21"/>
          <w:szCs w:val="21"/>
          <w:highlight w:val="none"/>
        </w:rPr>
      </w:pPr>
    </w:p>
    <w:p w14:paraId="4381F59E">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供应商名称：______________________________ </w:t>
      </w:r>
    </w:p>
    <w:p w14:paraId="55F55B98">
      <w:pPr>
        <w:spacing w:line="500" w:lineRule="exact"/>
        <w:rPr>
          <w:rFonts w:ascii="宋体" w:hAnsi="宋体" w:cs="宋体"/>
          <w:color w:val="auto"/>
          <w:sz w:val="24"/>
          <w:highlight w:val="none"/>
        </w:rPr>
      </w:pPr>
      <w:r>
        <w:rPr>
          <w:rFonts w:hint="eastAsia" w:ascii="宋体" w:hAnsi="宋体" w:cs="宋体"/>
          <w:color w:val="auto"/>
          <w:sz w:val="24"/>
          <w:highlight w:val="none"/>
        </w:rPr>
        <w:t>单位性质：_______________________________</w:t>
      </w:r>
    </w:p>
    <w:p w14:paraId="136D481E">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地址：___________________________________ </w:t>
      </w:r>
    </w:p>
    <w:p w14:paraId="2B7BE5E5">
      <w:pPr>
        <w:spacing w:line="500" w:lineRule="exact"/>
        <w:rPr>
          <w:rFonts w:ascii="宋体" w:hAnsi="宋体" w:cs="宋体"/>
          <w:color w:val="auto"/>
          <w:sz w:val="24"/>
          <w:highlight w:val="none"/>
        </w:rPr>
      </w:pPr>
      <w:r>
        <w:rPr>
          <w:rFonts w:hint="eastAsia" w:ascii="宋体" w:hAnsi="宋体" w:cs="宋体"/>
          <w:color w:val="auto"/>
          <w:sz w:val="24"/>
          <w:highlight w:val="none"/>
        </w:rPr>
        <w:t>成立时间： 年 月 日</w:t>
      </w:r>
    </w:p>
    <w:p w14:paraId="61218D03">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经营期限：_______________________________ </w:t>
      </w:r>
    </w:p>
    <w:p w14:paraId="14DF971F">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姓名： 性别： 年龄：职务：________ </w:t>
      </w:r>
    </w:p>
    <w:p w14:paraId="46F474A3">
      <w:pPr>
        <w:spacing w:line="500" w:lineRule="exact"/>
        <w:rPr>
          <w:rFonts w:ascii="宋体" w:hAnsi="宋体" w:cs="宋体"/>
          <w:color w:val="auto"/>
          <w:sz w:val="24"/>
          <w:highlight w:val="none"/>
        </w:rPr>
      </w:pPr>
      <w:r>
        <w:rPr>
          <w:rFonts w:hint="eastAsia" w:ascii="宋体" w:hAnsi="宋体" w:cs="宋体"/>
          <w:color w:val="auto"/>
          <w:sz w:val="24"/>
          <w:highlight w:val="none"/>
        </w:rPr>
        <w:t>系（供应商名称）的法定代表人。</w:t>
      </w:r>
    </w:p>
    <w:p w14:paraId="11BF7F8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2C860733">
      <w:pPr>
        <w:spacing w:line="360" w:lineRule="auto"/>
        <w:rPr>
          <w:rFonts w:ascii="宋体" w:hAnsi="宋体" w:cs="宋体"/>
          <w:b/>
          <w:bCs/>
          <w:color w:val="auto"/>
          <w:sz w:val="24"/>
          <w:highlight w:val="none"/>
          <w:u w:val="single"/>
        </w:rPr>
      </w:pPr>
    </w:p>
    <w:tbl>
      <w:tblPr>
        <w:tblStyle w:val="2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84"/>
      </w:tblGrid>
      <w:tr w14:paraId="258F8B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31" w:hRule="atLeast"/>
        </w:trPr>
        <w:tc>
          <w:tcPr>
            <w:tcW w:w="5684" w:type="dxa"/>
            <w:noWrap/>
            <w:vAlign w:val="center"/>
          </w:tcPr>
          <w:p w14:paraId="278C3B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法定代表人</w:t>
            </w:r>
          </w:p>
          <w:p w14:paraId="022B0DF7">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居民身份证复印件粘贴处（正、反面）</w:t>
            </w:r>
          </w:p>
        </w:tc>
      </w:tr>
    </w:tbl>
    <w:p w14:paraId="5FDFC18E">
      <w:pPr>
        <w:autoSpaceDE w:val="0"/>
        <w:autoSpaceDN w:val="0"/>
        <w:adjustRightInd w:val="0"/>
        <w:spacing w:line="360" w:lineRule="auto"/>
        <w:ind w:firstLine="4252" w:firstLineChars="1772"/>
        <w:jc w:val="right"/>
        <w:rPr>
          <w:rFonts w:ascii="宋体" w:hAnsi="宋体"/>
          <w:color w:val="auto"/>
          <w:sz w:val="24"/>
          <w:highlight w:val="none"/>
          <w:lang w:val="zh-CN"/>
        </w:rPr>
      </w:pPr>
      <w:bookmarkStart w:id="91" w:name="_Toc492451835"/>
    </w:p>
    <w:p w14:paraId="66AB20C4">
      <w:pPr>
        <w:autoSpaceDE w:val="0"/>
        <w:autoSpaceDN w:val="0"/>
        <w:adjustRightInd w:val="0"/>
        <w:spacing w:line="360" w:lineRule="auto"/>
        <w:ind w:firstLine="4252" w:firstLineChars="1772"/>
        <w:jc w:val="right"/>
        <w:rPr>
          <w:rFonts w:ascii="宋体" w:hAnsi="宋体"/>
          <w:color w:val="auto"/>
          <w:sz w:val="24"/>
          <w:highlight w:val="none"/>
          <w:lang w:val="zh-CN"/>
        </w:rPr>
      </w:pPr>
    </w:p>
    <w:p w14:paraId="5B8BD0A8">
      <w:pPr>
        <w:autoSpaceDE w:val="0"/>
        <w:autoSpaceDN w:val="0"/>
        <w:adjustRightInd w:val="0"/>
        <w:spacing w:line="360" w:lineRule="auto"/>
        <w:ind w:firstLine="4252" w:firstLineChars="1772"/>
        <w:jc w:val="right"/>
        <w:rPr>
          <w:rFonts w:ascii="宋体" w:hAnsi="宋体"/>
          <w:color w:val="auto"/>
          <w:sz w:val="24"/>
          <w:highlight w:val="none"/>
          <w:lang w:val="zh-CN"/>
        </w:rPr>
      </w:pPr>
    </w:p>
    <w:p w14:paraId="3C9698D0">
      <w:pPr>
        <w:autoSpaceDE w:val="0"/>
        <w:autoSpaceDN w:val="0"/>
        <w:adjustRightInd w:val="0"/>
        <w:spacing w:line="360" w:lineRule="auto"/>
        <w:ind w:firstLine="4252" w:firstLineChars="1772"/>
        <w:jc w:val="right"/>
        <w:rPr>
          <w:rFonts w:ascii="宋体" w:hAnsi="宋体"/>
          <w:color w:val="auto"/>
          <w:sz w:val="24"/>
          <w:highlight w:val="none"/>
          <w:lang w:val="zh-CN"/>
        </w:rPr>
      </w:pPr>
      <w:r>
        <w:rPr>
          <w:rFonts w:hint="eastAsia" w:ascii="宋体" w:hAnsi="宋体"/>
          <w:color w:val="auto"/>
          <w:sz w:val="24"/>
          <w:highlight w:val="none"/>
          <w:lang w:val="zh-CN"/>
        </w:rPr>
        <w:t>供应商名称（盖章）：</w:t>
      </w:r>
    </w:p>
    <w:p w14:paraId="66B226E9">
      <w:pPr>
        <w:autoSpaceDE w:val="0"/>
        <w:autoSpaceDN w:val="0"/>
        <w:adjustRightInd w:val="0"/>
        <w:spacing w:line="360" w:lineRule="auto"/>
        <w:ind w:firstLine="4252" w:firstLineChars="1772"/>
        <w:jc w:val="right"/>
        <w:rPr>
          <w:rFonts w:ascii="宋体" w:hAnsi="宋体"/>
          <w:color w:val="auto"/>
          <w:sz w:val="24"/>
          <w:highlight w:val="none"/>
          <w:lang w:val="zh-CN"/>
        </w:rPr>
      </w:pPr>
    </w:p>
    <w:p w14:paraId="7AA04D2D">
      <w:pPr>
        <w:spacing w:line="360" w:lineRule="auto"/>
        <w:jc w:val="right"/>
        <w:rPr>
          <w:rFonts w:ascii="宋体" w:hAnsi="宋体" w:cs="宋体"/>
          <w:color w:val="auto"/>
          <w:sz w:val="24"/>
          <w:highlight w:val="none"/>
        </w:rPr>
      </w:pPr>
      <w:r>
        <w:rPr>
          <w:rFonts w:hint="eastAsia" w:ascii="宋体" w:hAnsi="宋体"/>
          <w:color w:val="auto"/>
          <w:sz w:val="24"/>
          <w:highlight w:val="none"/>
          <w:lang w:val="zh-CN"/>
        </w:rPr>
        <w:t>年月日</w:t>
      </w:r>
    </w:p>
    <w:bookmarkEnd w:id="91"/>
    <w:p w14:paraId="7AC6DD3A">
      <w:pPr>
        <w:tabs>
          <w:tab w:val="left" w:pos="1365"/>
        </w:tabs>
        <w:spacing w:line="360" w:lineRule="auto"/>
        <w:ind w:left="-2" w:leftChars="-1" w:firstLine="2"/>
        <w:jc w:val="center"/>
        <w:rPr>
          <w:rFonts w:ascii="宋体" w:hAnsi="宋体" w:cs="宋体"/>
          <w:color w:val="auto"/>
          <w:sz w:val="24"/>
          <w:highlight w:val="none"/>
        </w:rPr>
      </w:pPr>
    </w:p>
    <w:p w14:paraId="4D881060">
      <w:pPr>
        <w:jc w:val="center"/>
        <w:rPr>
          <w:rFonts w:ascii="宋体" w:hAnsi="宋体" w:cs="宋体"/>
          <w:color w:val="auto"/>
          <w:sz w:val="24"/>
          <w:highlight w:val="none"/>
        </w:rPr>
      </w:pPr>
      <w:r>
        <w:rPr>
          <w:rFonts w:hint="eastAsia" w:ascii="宋体" w:hAnsi="宋体" w:cs="宋体"/>
          <w:color w:val="auto"/>
          <w:sz w:val="24"/>
          <w:highlight w:val="none"/>
        </w:rPr>
        <w:br w:type="page"/>
      </w:r>
      <w:bookmarkStart w:id="92" w:name="_Toc7795"/>
      <w:bookmarkStart w:id="93" w:name="_Toc492451836"/>
    </w:p>
    <w:p w14:paraId="61AD50F8">
      <w:pPr>
        <w:jc w:val="center"/>
        <w:outlineLvl w:val="0"/>
        <w:rPr>
          <w:rFonts w:ascii="宋体" w:hAnsi="宋体" w:cs="宋体"/>
          <w:b/>
          <w:color w:val="auto"/>
          <w:sz w:val="32"/>
          <w:szCs w:val="32"/>
          <w:highlight w:val="none"/>
        </w:rPr>
      </w:pPr>
      <w:bookmarkStart w:id="94" w:name="_Toc10155"/>
      <w:r>
        <w:rPr>
          <w:rFonts w:hint="eastAsia" w:ascii="宋体" w:hAnsi="宋体" w:cs="宋体"/>
          <w:b/>
          <w:color w:val="auto"/>
          <w:sz w:val="32"/>
          <w:szCs w:val="32"/>
          <w:highlight w:val="none"/>
        </w:rPr>
        <w:t>3、授权委托书</w:t>
      </w:r>
      <w:bookmarkEnd w:id="92"/>
      <w:bookmarkEnd w:id="93"/>
      <w:bookmarkEnd w:id="94"/>
    </w:p>
    <w:p w14:paraId="58691D07">
      <w:pPr>
        <w:spacing w:line="360" w:lineRule="auto"/>
        <w:ind w:firstLine="480" w:firstLineChars="200"/>
        <w:rPr>
          <w:rFonts w:ascii="宋体" w:hAnsi="宋体" w:cs="宋体"/>
          <w:color w:val="auto"/>
          <w:sz w:val="24"/>
          <w:highlight w:val="none"/>
        </w:rPr>
      </w:pPr>
    </w:p>
    <w:p w14:paraId="1A54628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本授权书声明：（公司）的</w:t>
      </w:r>
      <w:r>
        <w:rPr>
          <w:rFonts w:hint="eastAsia" w:ascii="宋体" w:hAnsi="宋体" w:cs="宋体"/>
          <w:color w:val="auto"/>
          <w:sz w:val="24"/>
          <w:highlight w:val="none"/>
          <w:u w:val="single"/>
        </w:rPr>
        <w:t xml:space="preserve">（法人代表姓名、职务）   </w:t>
      </w:r>
      <w:r>
        <w:rPr>
          <w:rFonts w:hint="eastAsia" w:ascii="宋体" w:hAnsi="宋体" w:cs="宋体"/>
          <w:color w:val="auto"/>
          <w:sz w:val="24"/>
          <w:highlight w:val="none"/>
        </w:rPr>
        <w:t>代表本公司授权</w:t>
      </w:r>
      <w:r>
        <w:rPr>
          <w:rFonts w:hint="eastAsia" w:ascii="宋体" w:hAnsi="宋体" w:cs="宋体"/>
          <w:color w:val="auto"/>
          <w:sz w:val="24"/>
          <w:highlight w:val="none"/>
          <w:u w:val="single"/>
        </w:rPr>
        <w:t xml:space="preserve"> （被授权人姓名、职务）</w:t>
      </w:r>
      <w:r>
        <w:rPr>
          <w:rFonts w:hint="eastAsia" w:ascii="宋体" w:hAnsi="宋体" w:cs="宋体"/>
          <w:color w:val="auto"/>
          <w:sz w:val="24"/>
          <w:highlight w:val="none"/>
        </w:rPr>
        <w:t>为本公司的合法代理人，代理人根据授权，以我方名义签署、澄清、说明、补正、递交、撤回、修改项目编号为：的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）响应文件、签定合同和处理有关事宜，其法律后果由我方承担。</w:t>
      </w:r>
    </w:p>
    <w:p w14:paraId="629A4F09">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委托期限：</w:t>
      </w:r>
    </w:p>
    <w:p w14:paraId="776092CA">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代理人无转委托权。</w:t>
      </w:r>
    </w:p>
    <w:p w14:paraId="248400D8">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w:t>
      </w:r>
    </w:p>
    <w:p w14:paraId="7D532194">
      <w:pPr>
        <w:spacing w:line="360" w:lineRule="auto"/>
        <w:jc w:val="left"/>
        <w:rPr>
          <w:rFonts w:ascii="宋体" w:hAnsi="宋体" w:cs="宋体"/>
          <w:color w:val="auto"/>
          <w:sz w:val="24"/>
          <w:highlight w:val="none"/>
        </w:rPr>
      </w:pP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
        <w:gridCol w:w="4111"/>
      </w:tblGrid>
      <w:tr w14:paraId="59A0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3969" w:type="dxa"/>
            <w:noWrap/>
            <w:vAlign w:val="center"/>
          </w:tcPr>
          <w:p w14:paraId="328FD4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法定代表人</w:t>
            </w:r>
          </w:p>
          <w:p w14:paraId="5B15ABBE">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居民身份证复印件粘贴处（正、反面）</w:t>
            </w:r>
          </w:p>
        </w:tc>
        <w:tc>
          <w:tcPr>
            <w:tcW w:w="567" w:type="dxa"/>
            <w:tcBorders>
              <w:top w:val="nil"/>
              <w:bottom w:val="nil"/>
            </w:tcBorders>
            <w:noWrap/>
          </w:tcPr>
          <w:p w14:paraId="0145F811">
            <w:pPr>
              <w:widowControl/>
              <w:jc w:val="left"/>
              <w:rPr>
                <w:rFonts w:ascii="宋体" w:hAnsi="宋体" w:cs="宋体"/>
                <w:color w:val="auto"/>
                <w:sz w:val="24"/>
                <w:highlight w:val="none"/>
              </w:rPr>
            </w:pPr>
          </w:p>
        </w:tc>
        <w:tc>
          <w:tcPr>
            <w:tcW w:w="4111" w:type="dxa"/>
            <w:noWrap/>
            <w:vAlign w:val="center"/>
          </w:tcPr>
          <w:p w14:paraId="4E9F860A">
            <w:pPr>
              <w:pStyle w:val="51"/>
              <w:ind w:left="105"/>
              <w:jc w:val="center"/>
              <w:rPr>
                <w:rFonts w:cs="宋体"/>
                <w:b/>
                <w:color w:val="auto"/>
                <w:szCs w:val="24"/>
                <w:highlight w:val="none"/>
              </w:rPr>
            </w:pPr>
            <w:r>
              <w:rPr>
                <w:rFonts w:hint="eastAsia" w:cs="宋体"/>
                <w:b/>
                <w:color w:val="auto"/>
                <w:szCs w:val="24"/>
                <w:highlight w:val="none"/>
              </w:rPr>
              <w:t>被授权人（授权代表）</w:t>
            </w:r>
          </w:p>
          <w:p w14:paraId="279541A0">
            <w:pPr>
              <w:widowControl/>
              <w:jc w:val="center"/>
              <w:rPr>
                <w:rFonts w:ascii="宋体" w:hAnsi="宋体" w:cs="宋体"/>
                <w:color w:val="auto"/>
                <w:sz w:val="24"/>
                <w:highlight w:val="none"/>
              </w:rPr>
            </w:pPr>
            <w:r>
              <w:rPr>
                <w:rFonts w:hint="eastAsia" w:ascii="宋体" w:hAnsi="宋体" w:cs="宋体"/>
                <w:b/>
                <w:color w:val="auto"/>
                <w:sz w:val="24"/>
                <w:highlight w:val="none"/>
              </w:rPr>
              <w:t>居民身份证复印件粘贴处（正、反面）</w:t>
            </w:r>
          </w:p>
        </w:tc>
      </w:tr>
    </w:tbl>
    <w:p w14:paraId="545A97A9">
      <w:pPr>
        <w:spacing w:line="360" w:lineRule="auto"/>
        <w:jc w:val="left"/>
        <w:rPr>
          <w:rFonts w:ascii="宋体" w:hAnsi="宋体" w:cs="宋体"/>
          <w:color w:val="auto"/>
          <w:sz w:val="24"/>
          <w:highlight w:val="none"/>
        </w:rPr>
      </w:pPr>
    </w:p>
    <w:p w14:paraId="1EBBAA92">
      <w:pPr>
        <w:spacing w:line="360" w:lineRule="auto"/>
        <w:jc w:val="left"/>
        <w:rPr>
          <w:rFonts w:ascii="宋体" w:hAnsi="宋体" w:cs="宋体"/>
          <w:color w:val="auto"/>
          <w:sz w:val="24"/>
          <w:highlight w:val="none"/>
        </w:rPr>
      </w:pPr>
    </w:p>
    <w:p w14:paraId="1B4B0D46">
      <w:pPr>
        <w:snapToGrid w:val="0"/>
        <w:spacing w:line="360" w:lineRule="auto"/>
        <w:ind w:firstLine="3840" w:firstLineChars="1600"/>
        <w:rPr>
          <w:rFonts w:ascii="宋体" w:hAnsi="宋体" w:cs="宋体"/>
          <w:color w:val="auto"/>
          <w:sz w:val="24"/>
          <w:highlight w:val="none"/>
          <w:u w:val="single"/>
        </w:rPr>
      </w:pPr>
      <w:r>
        <w:rPr>
          <w:rFonts w:hint="eastAsia" w:ascii="宋体" w:hAnsi="宋体" w:cs="宋体"/>
          <w:color w:val="auto"/>
          <w:sz w:val="24"/>
          <w:highlight w:val="none"/>
        </w:rPr>
        <w:t>供应商（单位盖章）：______________________</w:t>
      </w:r>
    </w:p>
    <w:p w14:paraId="206E38D3">
      <w:pPr>
        <w:snapToGrid w:val="0"/>
        <w:spacing w:line="360" w:lineRule="auto"/>
        <w:ind w:firstLine="3840" w:firstLineChars="1600"/>
        <w:jc w:val="left"/>
        <w:rPr>
          <w:rFonts w:ascii="宋体" w:hAnsi="宋体" w:cs="宋体"/>
          <w:color w:val="auto"/>
          <w:sz w:val="24"/>
          <w:highlight w:val="none"/>
          <w:u w:val="single"/>
        </w:rPr>
      </w:pPr>
      <w:r>
        <w:rPr>
          <w:rFonts w:hint="eastAsia" w:ascii="宋体" w:hAnsi="宋体" w:cs="宋体"/>
          <w:color w:val="auto"/>
          <w:sz w:val="24"/>
          <w:highlight w:val="none"/>
        </w:rPr>
        <w:t>法定代表人（签字或盖章）：___________________</w:t>
      </w:r>
    </w:p>
    <w:p w14:paraId="6AD00002">
      <w:pPr>
        <w:snapToGrid w:val="0"/>
        <w:spacing w:line="360" w:lineRule="auto"/>
        <w:ind w:firstLine="3840" w:firstLineChars="1600"/>
        <w:rPr>
          <w:rFonts w:ascii="宋体" w:hAnsi="宋体" w:cs="宋体"/>
          <w:color w:val="auto"/>
          <w:sz w:val="24"/>
          <w:highlight w:val="none"/>
          <w:u w:val="single"/>
        </w:rPr>
      </w:pPr>
      <w:r>
        <w:rPr>
          <w:rFonts w:hint="eastAsia" w:ascii="宋体" w:hAnsi="宋体" w:cs="宋体"/>
          <w:color w:val="auto"/>
          <w:sz w:val="24"/>
          <w:highlight w:val="none"/>
        </w:rPr>
        <w:t>法定代表人身份证号码：______________________</w:t>
      </w:r>
    </w:p>
    <w:p w14:paraId="264C1C5E">
      <w:pPr>
        <w:snapToGrid w:val="0"/>
        <w:spacing w:line="360" w:lineRule="auto"/>
        <w:ind w:firstLine="3840" w:firstLineChars="1600"/>
        <w:rPr>
          <w:rFonts w:ascii="宋体" w:hAnsi="宋体" w:cs="宋体"/>
          <w:color w:val="auto"/>
          <w:sz w:val="24"/>
          <w:highlight w:val="none"/>
          <w:u w:val="single"/>
        </w:rPr>
      </w:pPr>
      <w:r>
        <w:rPr>
          <w:rFonts w:hint="eastAsia" w:ascii="宋体" w:hAnsi="宋体" w:cs="宋体"/>
          <w:color w:val="auto"/>
          <w:sz w:val="24"/>
          <w:highlight w:val="none"/>
        </w:rPr>
        <w:t>授权代理人（签字或盖章）：________________</w:t>
      </w:r>
    </w:p>
    <w:p w14:paraId="510D7281">
      <w:pPr>
        <w:snapToGrid w:val="0"/>
        <w:spacing w:line="360" w:lineRule="auto"/>
        <w:ind w:firstLine="3840" w:firstLineChars="1600"/>
        <w:rPr>
          <w:rFonts w:ascii="宋体" w:hAnsi="宋体" w:cs="宋体"/>
          <w:color w:val="auto"/>
          <w:sz w:val="24"/>
          <w:highlight w:val="none"/>
          <w:u w:val="single"/>
        </w:rPr>
      </w:pPr>
      <w:r>
        <w:rPr>
          <w:rFonts w:hint="eastAsia" w:ascii="宋体" w:hAnsi="宋体" w:cs="宋体"/>
          <w:color w:val="auto"/>
          <w:sz w:val="24"/>
          <w:highlight w:val="none"/>
        </w:rPr>
        <w:t>授权代理人身份证号码：______________________</w:t>
      </w:r>
    </w:p>
    <w:p w14:paraId="7CE53C29">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         期：年月日</w:t>
      </w:r>
    </w:p>
    <w:p w14:paraId="5DFC0F5B">
      <w:pPr>
        <w:tabs>
          <w:tab w:val="left" w:pos="0"/>
        </w:tabs>
        <w:spacing w:line="360" w:lineRule="auto"/>
        <w:rPr>
          <w:rFonts w:ascii="宋体" w:hAnsi="宋体" w:cs="宋体"/>
          <w:color w:val="auto"/>
          <w:sz w:val="24"/>
          <w:highlight w:val="none"/>
        </w:rPr>
      </w:pPr>
    </w:p>
    <w:p w14:paraId="535CB311">
      <w:pPr>
        <w:tabs>
          <w:tab w:val="left" w:pos="1365"/>
        </w:tabs>
        <w:spacing w:line="360" w:lineRule="auto"/>
        <w:ind w:left="-2" w:leftChars="-1" w:firstLine="2"/>
        <w:jc w:val="left"/>
        <w:rPr>
          <w:rFonts w:ascii="宋体" w:hAnsi="宋体" w:cs="宋体"/>
          <w:b/>
          <w:color w:val="auto"/>
          <w:sz w:val="24"/>
          <w:highlight w:val="none"/>
        </w:rPr>
      </w:pPr>
      <w:r>
        <w:rPr>
          <w:rFonts w:hint="eastAsia" w:ascii="宋体" w:hAnsi="宋体" w:cs="宋体"/>
          <w:b/>
          <w:color w:val="auto"/>
          <w:sz w:val="24"/>
          <w:highlight w:val="none"/>
        </w:rPr>
        <w:br w:type="page"/>
      </w:r>
    </w:p>
    <w:p w14:paraId="0E94DE99">
      <w:pPr>
        <w:pStyle w:val="3"/>
        <w:spacing w:line="360" w:lineRule="auto"/>
        <w:jc w:val="center"/>
        <w:rPr>
          <w:rFonts w:hint="default" w:ascii="宋体" w:hAnsi="宋体" w:eastAsia="宋体" w:cs="宋体"/>
          <w:color w:val="auto"/>
          <w:highlight w:val="none"/>
        </w:rPr>
      </w:pPr>
      <w:bookmarkStart w:id="95" w:name="_Toc32146"/>
      <w:bookmarkStart w:id="96" w:name="_Toc28490"/>
      <w:r>
        <w:rPr>
          <w:rFonts w:ascii="宋体" w:hAnsi="宋体" w:eastAsia="宋体" w:cs="宋体"/>
          <w:color w:val="auto"/>
          <w:highlight w:val="none"/>
        </w:rPr>
        <w:t>4、</w:t>
      </w:r>
      <w:bookmarkEnd w:id="84"/>
      <w:bookmarkEnd w:id="85"/>
      <w:bookmarkEnd w:id="86"/>
      <w:bookmarkEnd w:id="87"/>
      <w:bookmarkEnd w:id="88"/>
      <w:bookmarkEnd w:id="89"/>
      <w:bookmarkEnd w:id="90"/>
      <w:bookmarkEnd w:id="95"/>
      <w:r>
        <w:rPr>
          <w:rFonts w:ascii="宋体" w:hAnsi="宋体" w:eastAsia="宋体" w:cs="宋体"/>
          <w:color w:val="auto"/>
          <w:highlight w:val="none"/>
        </w:rPr>
        <w:t>磋商报价表</w:t>
      </w:r>
      <w:bookmarkEnd w:id="96"/>
    </w:p>
    <w:p w14:paraId="7664CCC2">
      <w:pPr>
        <w:spacing w:line="360" w:lineRule="auto"/>
        <w:ind w:left="211"/>
        <w:rPr>
          <w:rFonts w:ascii="宋体" w:hAnsi="宋体" w:cs="宋体"/>
          <w:color w:val="auto"/>
          <w:sz w:val="24"/>
          <w:highlight w:val="none"/>
          <w:u w:val="single"/>
        </w:rPr>
      </w:pPr>
      <w:r>
        <w:rPr>
          <w:rFonts w:hint="eastAsia" w:ascii="宋体" w:hAnsi="宋体" w:cs="宋体"/>
          <w:color w:val="auto"/>
          <w:sz w:val="24"/>
          <w:highlight w:val="none"/>
        </w:rPr>
        <w:t>项目名称：</w:t>
      </w:r>
    </w:p>
    <w:p w14:paraId="3815F27E">
      <w:pPr>
        <w:spacing w:line="360" w:lineRule="auto"/>
        <w:ind w:left="211"/>
        <w:rPr>
          <w:rFonts w:ascii="宋体" w:hAnsi="宋体" w:cs="宋体"/>
          <w:color w:val="auto"/>
          <w:sz w:val="24"/>
          <w:highlight w:val="none"/>
          <w:u w:val="single"/>
        </w:rPr>
      </w:pPr>
      <w:r>
        <w:rPr>
          <w:rFonts w:hint="eastAsia" w:ascii="宋体" w:hAnsi="宋体" w:cs="宋体"/>
          <w:color w:val="auto"/>
          <w:sz w:val="24"/>
          <w:highlight w:val="none"/>
        </w:rPr>
        <w:t>项目编号：</w:t>
      </w:r>
    </w:p>
    <w:p w14:paraId="5028C885">
      <w:pPr>
        <w:spacing w:line="360" w:lineRule="auto"/>
        <w:ind w:left="211"/>
        <w:rPr>
          <w:rFonts w:ascii="宋体" w:hAnsi="宋体" w:cs="宋体"/>
          <w:color w:val="auto"/>
          <w:sz w:val="24"/>
          <w:highlight w:val="none"/>
          <w:u w:val="single"/>
        </w:rPr>
      </w:pPr>
    </w:p>
    <w:tbl>
      <w:tblPr>
        <w:tblStyle w:val="28"/>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2004"/>
        <w:gridCol w:w="1845"/>
        <w:gridCol w:w="1965"/>
        <w:gridCol w:w="1512"/>
      </w:tblGrid>
      <w:tr w14:paraId="111A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715" w:type="dxa"/>
            <w:noWrap w:val="0"/>
            <w:vAlign w:val="center"/>
          </w:tcPr>
          <w:p w14:paraId="1FCDDFB2">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供应商</w:t>
            </w:r>
            <w:r>
              <w:rPr>
                <w:rFonts w:hint="eastAsia" w:ascii="宋体" w:hAnsi="宋体" w:cs="宋体"/>
                <w:bCs/>
                <w:szCs w:val="21"/>
                <w:highlight w:val="none"/>
              </w:rPr>
              <w:t>名称</w:t>
            </w:r>
          </w:p>
        </w:tc>
        <w:tc>
          <w:tcPr>
            <w:tcW w:w="2004" w:type="dxa"/>
            <w:noWrap w:val="0"/>
            <w:vAlign w:val="center"/>
          </w:tcPr>
          <w:p w14:paraId="7E4D42F4">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rPr>
              <w:t>报价</w:t>
            </w:r>
            <w:r>
              <w:rPr>
                <w:rFonts w:hint="eastAsia" w:ascii="宋体" w:hAnsi="宋体" w:cs="宋体"/>
                <w:bCs/>
                <w:szCs w:val="21"/>
                <w:highlight w:val="none"/>
                <w:lang w:eastAsia="zh-CN"/>
              </w:rPr>
              <w:t>（万元）</w:t>
            </w:r>
          </w:p>
        </w:tc>
        <w:tc>
          <w:tcPr>
            <w:tcW w:w="1845" w:type="dxa"/>
            <w:noWrap w:val="0"/>
            <w:vAlign w:val="center"/>
          </w:tcPr>
          <w:p w14:paraId="2D2F0717">
            <w:pPr>
              <w:spacing w:line="360" w:lineRule="auto"/>
              <w:ind w:firstLine="210" w:firstLineChars="100"/>
              <w:rPr>
                <w:rFonts w:hint="eastAsia" w:ascii="宋体" w:hAnsi="宋体" w:cs="宋体"/>
                <w:bCs/>
                <w:szCs w:val="21"/>
                <w:highlight w:val="none"/>
              </w:rPr>
            </w:pPr>
            <w:r>
              <w:rPr>
                <w:rFonts w:hint="eastAsia" w:ascii="宋体" w:hAnsi="宋体" w:cs="宋体"/>
                <w:bCs/>
                <w:szCs w:val="21"/>
                <w:highlight w:val="none"/>
                <w:lang w:eastAsia="zh-CN"/>
              </w:rPr>
              <w:t>批次数量</w:t>
            </w:r>
          </w:p>
        </w:tc>
        <w:tc>
          <w:tcPr>
            <w:tcW w:w="1965" w:type="dxa"/>
            <w:noWrap w:val="0"/>
            <w:vAlign w:val="center"/>
          </w:tcPr>
          <w:p w14:paraId="7171B39A">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rPr>
              <w:t>合同履行期限</w:t>
            </w:r>
          </w:p>
        </w:tc>
        <w:tc>
          <w:tcPr>
            <w:tcW w:w="1512" w:type="dxa"/>
            <w:noWrap w:val="0"/>
            <w:vAlign w:val="center"/>
          </w:tcPr>
          <w:p w14:paraId="2BC1F045">
            <w:pPr>
              <w:spacing w:line="360" w:lineRule="auto"/>
              <w:jc w:val="center"/>
              <w:rPr>
                <w:rFonts w:hint="eastAsia" w:ascii="宋体" w:hAnsi="宋体" w:cs="宋体"/>
                <w:bCs/>
                <w:szCs w:val="21"/>
                <w:highlight w:val="none"/>
              </w:rPr>
            </w:pPr>
            <w:r>
              <w:rPr>
                <w:rFonts w:hint="eastAsia" w:ascii="宋体" w:hAnsi="宋体" w:cs="宋体"/>
                <w:bCs/>
                <w:szCs w:val="21"/>
                <w:highlight w:val="none"/>
              </w:rPr>
              <w:t>服务质量要求</w:t>
            </w:r>
          </w:p>
        </w:tc>
      </w:tr>
      <w:tr w14:paraId="581C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715" w:type="dxa"/>
            <w:noWrap w:val="0"/>
            <w:vAlign w:val="top"/>
          </w:tcPr>
          <w:p w14:paraId="77BF9757">
            <w:pPr>
              <w:spacing w:line="360" w:lineRule="auto"/>
              <w:ind w:firstLine="420" w:firstLineChars="200"/>
              <w:rPr>
                <w:rFonts w:hint="eastAsia" w:ascii="宋体" w:hAnsi="宋体" w:cs="宋体"/>
                <w:bCs/>
                <w:szCs w:val="21"/>
                <w:highlight w:val="none"/>
              </w:rPr>
            </w:pPr>
          </w:p>
        </w:tc>
        <w:tc>
          <w:tcPr>
            <w:tcW w:w="2004" w:type="dxa"/>
            <w:noWrap w:val="0"/>
            <w:vAlign w:val="top"/>
          </w:tcPr>
          <w:p w14:paraId="0C9463C6">
            <w:pPr>
              <w:spacing w:line="360" w:lineRule="auto"/>
              <w:rPr>
                <w:rFonts w:hint="eastAsia"/>
                <w:lang w:eastAsia="zh-CN"/>
              </w:rPr>
            </w:pPr>
            <w:r>
              <w:rPr>
                <w:rFonts w:hint="eastAsia"/>
                <w:lang w:eastAsia="zh-CN"/>
              </w:rPr>
              <w:t>固定报价金额：</w:t>
            </w:r>
          </w:p>
          <w:p w14:paraId="55F8A6EE">
            <w:pPr>
              <w:pStyle w:val="11"/>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大写</w:t>
            </w:r>
            <w:r>
              <w:rPr>
                <w:rFonts w:hint="eastAsia" w:eastAsia="宋体" w:cs="Times New Roman"/>
                <w:kern w:val="2"/>
                <w:sz w:val="21"/>
                <w:szCs w:val="24"/>
                <w:lang w:val="en-US" w:eastAsia="zh-CN" w:bidi="ar-SA"/>
              </w:rPr>
              <w:t>：</w:t>
            </w:r>
          </w:p>
          <w:p w14:paraId="6BD24C9F">
            <w:pPr>
              <w:rPr>
                <w:rFonts w:hint="default"/>
                <w:lang w:val="en-US" w:eastAsia="zh-CN"/>
              </w:rPr>
            </w:pPr>
            <w:r>
              <w:rPr>
                <w:rFonts w:hint="eastAsia" w:ascii="Calibri" w:hAnsi="Calibri" w:eastAsia="宋体" w:cs="Times New Roman"/>
                <w:kern w:val="2"/>
                <w:sz w:val="21"/>
                <w:szCs w:val="24"/>
                <w:lang w:val="en-US" w:eastAsia="zh-CN" w:bidi="ar-SA"/>
              </w:rPr>
              <w:t>小写</w:t>
            </w:r>
            <w:r>
              <w:rPr>
                <w:rFonts w:hint="eastAsia" w:eastAsia="宋体" w:cs="Times New Roman"/>
                <w:kern w:val="2"/>
                <w:sz w:val="21"/>
                <w:szCs w:val="24"/>
                <w:lang w:val="en-US" w:eastAsia="zh-CN" w:bidi="ar-SA"/>
              </w:rPr>
              <w:t>：</w:t>
            </w:r>
          </w:p>
        </w:tc>
        <w:tc>
          <w:tcPr>
            <w:tcW w:w="1845" w:type="dxa"/>
            <w:noWrap w:val="0"/>
            <w:vAlign w:val="top"/>
          </w:tcPr>
          <w:p w14:paraId="681CEB76">
            <w:pPr>
              <w:spacing w:line="360" w:lineRule="auto"/>
              <w:ind w:firstLine="420" w:firstLineChars="200"/>
              <w:rPr>
                <w:rFonts w:hint="eastAsia" w:ascii="宋体" w:hAnsi="宋体" w:cs="宋体"/>
                <w:bCs/>
                <w:szCs w:val="21"/>
                <w:highlight w:val="none"/>
              </w:rPr>
            </w:pPr>
          </w:p>
        </w:tc>
        <w:tc>
          <w:tcPr>
            <w:tcW w:w="1965" w:type="dxa"/>
            <w:noWrap w:val="0"/>
            <w:vAlign w:val="top"/>
          </w:tcPr>
          <w:p w14:paraId="76D3C0D8">
            <w:pPr>
              <w:spacing w:line="360" w:lineRule="auto"/>
              <w:ind w:firstLine="420" w:firstLineChars="200"/>
              <w:rPr>
                <w:rFonts w:hint="eastAsia" w:ascii="宋体" w:hAnsi="宋体" w:cs="宋体"/>
                <w:bCs/>
                <w:szCs w:val="21"/>
                <w:highlight w:val="none"/>
              </w:rPr>
            </w:pPr>
          </w:p>
        </w:tc>
        <w:tc>
          <w:tcPr>
            <w:tcW w:w="1512" w:type="dxa"/>
            <w:noWrap w:val="0"/>
            <w:vAlign w:val="top"/>
          </w:tcPr>
          <w:p w14:paraId="5C89BA92">
            <w:pPr>
              <w:spacing w:line="360" w:lineRule="auto"/>
              <w:ind w:firstLine="420" w:firstLineChars="200"/>
              <w:rPr>
                <w:rFonts w:hint="eastAsia" w:ascii="宋体" w:hAnsi="宋体" w:cs="宋体"/>
                <w:bCs/>
                <w:szCs w:val="21"/>
                <w:highlight w:val="none"/>
              </w:rPr>
            </w:pPr>
          </w:p>
        </w:tc>
      </w:tr>
    </w:tbl>
    <w:p w14:paraId="46A9FE6B">
      <w:pPr>
        <w:autoSpaceDE w:val="0"/>
        <w:autoSpaceDN w:val="0"/>
        <w:adjustRightInd w:val="0"/>
        <w:spacing w:line="360" w:lineRule="auto"/>
        <w:rPr>
          <w:rFonts w:ascii="宋体" w:hAnsi="宋体" w:cs="宋体"/>
          <w:color w:val="auto"/>
          <w:kern w:val="0"/>
          <w:sz w:val="24"/>
          <w:highlight w:val="none"/>
        </w:rPr>
      </w:pPr>
    </w:p>
    <w:p w14:paraId="6AFD0FAF">
      <w:pPr>
        <w:autoSpaceDE w:val="0"/>
        <w:autoSpaceDN w:val="0"/>
        <w:adjustRightInd w:val="0"/>
        <w:spacing w:line="360" w:lineRule="auto"/>
        <w:rPr>
          <w:rFonts w:ascii="宋体" w:hAnsi="宋体" w:cs="宋体"/>
          <w:bCs/>
          <w:color w:val="auto"/>
          <w:sz w:val="24"/>
          <w:highlight w:val="none"/>
          <w:lang w:val="zh-CN"/>
        </w:rPr>
      </w:pPr>
      <w:r>
        <w:rPr>
          <w:rFonts w:hint="eastAsia" w:ascii="宋体" w:hAnsi="宋体" w:cs="宋体"/>
          <w:bCs/>
          <w:color w:val="auto"/>
          <w:sz w:val="24"/>
          <w:highlight w:val="none"/>
          <w:lang w:val="zh-CN"/>
        </w:rPr>
        <w:t>注：</w:t>
      </w:r>
    </w:p>
    <w:p w14:paraId="74C7449B">
      <w:pPr>
        <w:autoSpaceDE w:val="0"/>
        <w:autoSpaceDN w:val="0"/>
        <w:adjustRightInd w:val="0"/>
        <w:spacing w:line="360" w:lineRule="auto"/>
        <w:rPr>
          <w:rFonts w:ascii="宋体" w:hAnsi="宋体" w:cs="宋体"/>
          <w:bCs/>
          <w:color w:val="auto"/>
          <w:sz w:val="24"/>
          <w:highlight w:val="none"/>
          <w:lang w:val="zh-CN"/>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、填报的内容必须和磋商响应函中的内容一致；如不一致，以磋商报价表中相关内容为准；</w:t>
      </w:r>
    </w:p>
    <w:p w14:paraId="445E982C">
      <w:pPr>
        <w:autoSpaceDE w:val="0"/>
        <w:autoSpaceDN w:val="0"/>
        <w:adjustRightInd w:val="0"/>
        <w:spacing w:line="360" w:lineRule="auto"/>
        <w:rPr>
          <w:rFonts w:ascii="宋体" w:hAnsi="宋体" w:cs="宋体"/>
          <w:bCs/>
          <w:color w:val="auto"/>
          <w:sz w:val="24"/>
          <w:highlight w:val="none"/>
          <w:lang w:val="zh-CN"/>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、磋商响应函中大写金额报价与磋商响应函、磋商报价表中的小写金额报价不一致时，以磋商报价表中的大写金额报价为准，保留小数点后</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lang w:val="zh-CN"/>
        </w:rPr>
        <w:t>位。</w:t>
      </w:r>
    </w:p>
    <w:p w14:paraId="6668687A">
      <w:pPr>
        <w:spacing w:line="360" w:lineRule="auto"/>
        <w:ind w:firstLine="480"/>
        <w:rPr>
          <w:rFonts w:ascii="宋体" w:hAnsi="宋体" w:cs="宋体"/>
          <w:color w:val="auto"/>
          <w:sz w:val="24"/>
          <w:highlight w:val="none"/>
        </w:rPr>
      </w:pPr>
    </w:p>
    <w:p w14:paraId="0514CAFB">
      <w:pPr>
        <w:autoSpaceDE w:val="0"/>
        <w:autoSpaceDN w:val="0"/>
        <w:adjustRightInd w:val="0"/>
        <w:spacing w:line="360" w:lineRule="auto"/>
        <w:ind w:right="480" w:firstLine="4920" w:firstLineChars="2050"/>
        <w:rPr>
          <w:rFonts w:ascii="宋体" w:hAnsi="宋体" w:cs="宋体"/>
          <w:color w:val="auto"/>
          <w:sz w:val="24"/>
          <w:highlight w:val="none"/>
          <w:lang w:val="zh-CN"/>
        </w:rPr>
      </w:pPr>
    </w:p>
    <w:p w14:paraId="21C2617B">
      <w:pPr>
        <w:autoSpaceDE w:val="0"/>
        <w:autoSpaceDN w:val="0"/>
        <w:adjustRightInd w:val="0"/>
        <w:spacing w:line="360" w:lineRule="auto"/>
        <w:ind w:right="480" w:firstLine="6360" w:firstLineChars="2650"/>
        <w:rPr>
          <w:rFonts w:ascii="宋体" w:hAnsi="宋体" w:cs="宋体"/>
          <w:color w:val="auto"/>
          <w:sz w:val="24"/>
          <w:highlight w:val="none"/>
          <w:lang w:val="zh-CN"/>
        </w:rPr>
      </w:pPr>
      <w:r>
        <w:rPr>
          <w:rFonts w:hint="eastAsia" w:ascii="宋体" w:hAnsi="宋体" w:cs="宋体"/>
          <w:color w:val="auto"/>
          <w:sz w:val="24"/>
          <w:highlight w:val="none"/>
          <w:lang w:val="zh-CN"/>
        </w:rPr>
        <w:t>供应商名称（盖章）：</w:t>
      </w:r>
    </w:p>
    <w:p w14:paraId="503B28F8">
      <w:pPr>
        <w:autoSpaceDE w:val="0"/>
        <w:autoSpaceDN w:val="0"/>
        <w:adjustRightInd w:val="0"/>
        <w:spacing w:line="360" w:lineRule="auto"/>
        <w:ind w:right="480" w:firstLine="4920" w:firstLineChars="2050"/>
        <w:rPr>
          <w:rFonts w:ascii="宋体" w:hAnsi="宋体" w:cs="宋体"/>
          <w:color w:val="auto"/>
          <w:sz w:val="24"/>
          <w:highlight w:val="none"/>
          <w:lang w:val="zh-CN"/>
        </w:rPr>
      </w:pPr>
    </w:p>
    <w:p w14:paraId="4473A17C">
      <w:pPr>
        <w:autoSpaceDE w:val="0"/>
        <w:autoSpaceDN w:val="0"/>
        <w:adjustRightInd w:val="0"/>
        <w:spacing w:line="360" w:lineRule="auto"/>
        <w:ind w:firstLine="480"/>
        <w:jc w:val="right"/>
        <w:rPr>
          <w:rFonts w:ascii="宋体" w:hAnsi="宋体" w:cs="宋体"/>
          <w:color w:val="auto"/>
          <w:sz w:val="24"/>
          <w:highlight w:val="none"/>
          <w:lang w:val="zh-CN"/>
        </w:rPr>
      </w:pPr>
      <w:r>
        <w:rPr>
          <w:rFonts w:hint="eastAsia" w:ascii="宋体" w:hAnsi="宋体" w:cs="宋体"/>
          <w:color w:val="auto"/>
          <w:sz w:val="24"/>
          <w:highlight w:val="none"/>
          <w:lang w:val="zh-CN"/>
        </w:rPr>
        <w:t>法定代表人或其委托代理人（签字）：</w:t>
      </w:r>
    </w:p>
    <w:p w14:paraId="002708EA">
      <w:pPr>
        <w:autoSpaceDE w:val="0"/>
        <w:autoSpaceDN w:val="0"/>
        <w:adjustRightInd w:val="0"/>
        <w:spacing w:line="360" w:lineRule="auto"/>
        <w:ind w:firstLine="480"/>
        <w:jc w:val="right"/>
        <w:rPr>
          <w:rFonts w:ascii="宋体" w:hAnsi="宋体" w:cs="宋体"/>
          <w:color w:val="auto"/>
          <w:sz w:val="24"/>
          <w:highlight w:val="none"/>
          <w:lang w:val="zh-CN"/>
        </w:rPr>
      </w:pPr>
    </w:p>
    <w:p w14:paraId="734DEB7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日期：年月日</w:t>
      </w:r>
    </w:p>
    <w:p w14:paraId="7039C03A">
      <w:pPr>
        <w:spacing w:line="360" w:lineRule="auto"/>
        <w:rPr>
          <w:rFonts w:ascii="宋体" w:hAnsi="宋体" w:cs="宋体"/>
          <w:color w:val="auto"/>
          <w:sz w:val="24"/>
          <w:highlight w:val="none"/>
        </w:rPr>
      </w:pPr>
    </w:p>
    <w:p w14:paraId="53C442C1">
      <w:pPr>
        <w:spacing w:line="360" w:lineRule="auto"/>
        <w:rPr>
          <w:rFonts w:ascii="宋体" w:hAnsi="宋体" w:cs="宋体"/>
          <w:color w:val="auto"/>
          <w:sz w:val="24"/>
          <w:highlight w:val="none"/>
        </w:rPr>
      </w:pPr>
    </w:p>
    <w:p w14:paraId="699320DA">
      <w:pPr>
        <w:spacing w:line="360" w:lineRule="auto"/>
        <w:jc w:val="left"/>
        <w:rPr>
          <w:rFonts w:ascii="宋体" w:hAnsi="宋体" w:cs="宋体"/>
          <w:b/>
          <w:color w:val="auto"/>
          <w:sz w:val="24"/>
          <w:highlight w:val="none"/>
        </w:rPr>
      </w:pPr>
    </w:p>
    <w:p w14:paraId="56F2FB2B">
      <w:pPr>
        <w:tabs>
          <w:tab w:val="left" w:pos="1365"/>
        </w:tabs>
        <w:jc w:val="center"/>
        <w:rPr>
          <w:rFonts w:ascii="宋体" w:hAnsi="宋体" w:cs="宋体"/>
          <w:b/>
          <w:color w:val="auto"/>
          <w:sz w:val="32"/>
          <w:szCs w:val="32"/>
          <w:highlight w:val="none"/>
        </w:rPr>
      </w:pPr>
    </w:p>
    <w:p w14:paraId="76029A44">
      <w:pPr>
        <w:pStyle w:val="10"/>
      </w:pPr>
    </w:p>
    <w:p w14:paraId="5D9EDB5C">
      <w:pPr>
        <w:spacing w:line="360" w:lineRule="auto"/>
        <w:jc w:val="center"/>
        <w:rPr>
          <w:rFonts w:hint="eastAsia" w:ascii="宋体" w:hAnsi="宋体" w:cs="宋体"/>
          <w:b/>
          <w:szCs w:val="21"/>
          <w:highlight w:val="none"/>
          <w:lang w:val="zh-CN"/>
        </w:rPr>
      </w:pPr>
      <w:bookmarkStart w:id="97" w:name="_Toc201719192"/>
    </w:p>
    <w:p w14:paraId="469722C0">
      <w:pPr>
        <w:spacing w:line="360" w:lineRule="auto"/>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en-US" w:eastAsia="zh-CN" w:bidi="ar-SA"/>
        </w:rPr>
        <w:t>5</w:t>
      </w:r>
      <w:r>
        <w:rPr>
          <w:rFonts w:hint="eastAsia" w:ascii="宋体" w:hAnsi="宋体" w:eastAsia="宋体" w:cs="宋体"/>
          <w:b/>
          <w:bCs/>
          <w:color w:val="auto"/>
          <w:kern w:val="2"/>
          <w:sz w:val="32"/>
          <w:szCs w:val="32"/>
          <w:highlight w:val="none"/>
          <w:lang w:val="zh-CN" w:eastAsia="zh-CN" w:bidi="ar-SA"/>
        </w:rPr>
        <w:t>、</w:t>
      </w:r>
      <w:bookmarkEnd w:id="97"/>
      <w:r>
        <w:rPr>
          <w:rFonts w:hint="eastAsia" w:ascii="宋体" w:hAnsi="宋体" w:eastAsia="宋体" w:cs="宋体"/>
          <w:b/>
          <w:bCs/>
          <w:color w:val="auto"/>
          <w:kern w:val="2"/>
          <w:sz w:val="32"/>
          <w:szCs w:val="32"/>
          <w:highlight w:val="none"/>
          <w:lang w:val="en-US" w:eastAsia="zh-CN" w:bidi="ar-SA"/>
        </w:rPr>
        <w:t>服务</w:t>
      </w:r>
      <w:r>
        <w:rPr>
          <w:rFonts w:hint="eastAsia" w:ascii="宋体" w:hAnsi="宋体" w:eastAsia="宋体" w:cs="宋体"/>
          <w:b/>
          <w:bCs/>
          <w:color w:val="auto"/>
          <w:kern w:val="2"/>
          <w:sz w:val="32"/>
          <w:szCs w:val="32"/>
          <w:highlight w:val="none"/>
          <w:lang w:val="zh-CN" w:eastAsia="zh-CN" w:bidi="ar-SA"/>
        </w:rPr>
        <w:t>方案</w:t>
      </w:r>
    </w:p>
    <w:p w14:paraId="2973C571">
      <w:pPr>
        <w:spacing w:line="360" w:lineRule="auto"/>
        <w:rPr>
          <w:rFonts w:hint="eastAsia" w:ascii="宋体" w:hAnsi="宋体" w:cs="宋体"/>
          <w:szCs w:val="21"/>
          <w:highlight w:val="none"/>
          <w:lang w:val="zh-CN"/>
        </w:rPr>
      </w:pPr>
    </w:p>
    <w:p w14:paraId="4415BC5C">
      <w:pPr>
        <w:tabs>
          <w:tab w:val="left" w:pos="770"/>
        </w:tabs>
        <w:spacing w:line="360" w:lineRule="auto"/>
        <w:ind w:firstLine="630" w:firstLineChars="3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对本项目的理解和技术建议、服务方案等</w:t>
      </w:r>
    </w:p>
    <w:p w14:paraId="6E55DF7E">
      <w:pPr>
        <w:tabs>
          <w:tab w:val="left" w:pos="770"/>
        </w:tabs>
        <w:spacing w:line="360" w:lineRule="auto"/>
        <w:ind w:firstLine="630" w:firstLineChars="300"/>
        <w:rPr>
          <w:rFonts w:hint="eastAsia" w:ascii="宋体" w:hAnsi="宋体" w:cs="宋体"/>
          <w:color w:val="000000"/>
          <w:szCs w:val="21"/>
          <w:highlight w:val="none"/>
        </w:rPr>
      </w:pPr>
      <w:r>
        <w:rPr>
          <w:rFonts w:hint="eastAsia" w:ascii="宋体" w:hAnsi="宋体" w:cs="宋体"/>
          <w:bCs/>
          <w:color w:val="000000"/>
          <w:szCs w:val="21"/>
          <w:highlight w:val="none"/>
          <w:lang w:val="zh-CN"/>
        </w:rPr>
        <w:t>但不仅限于以上内容。</w:t>
      </w:r>
    </w:p>
    <w:p w14:paraId="1006F0F8">
      <w:pPr>
        <w:spacing w:line="360" w:lineRule="auto"/>
        <w:ind w:left="210" w:hanging="210" w:hangingChars="100"/>
        <w:rPr>
          <w:rFonts w:hint="eastAsia" w:ascii="宋体" w:hAnsi="宋体" w:cs="宋体"/>
          <w:bCs/>
          <w:szCs w:val="21"/>
          <w:highlight w:val="none"/>
          <w:lang w:val="zh-CN"/>
        </w:rPr>
      </w:pPr>
      <w:r>
        <w:rPr>
          <w:rFonts w:hint="eastAsia" w:ascii="宋体" w:hAnsi="宋体" w:cs="宋体"/>
          <w:bCs/>
          <w:szCs w:val="21"/>
          <w:highlight w:val="none"/>
          <w:lang w:val="zh-CN"/>
        </w:rPr>
        <w:t xml:space="preserve">      </w:t>
      </w:r>
    </w:p>
    <w:p w14:paraId="0470331F">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74A4B176">
      <w:pPr>
        <w:numPr>
          <w:ilvl w:val="0"/>
          <w:numId w:val="6"/>
        </w:numPr>
        <w:autoSpaceDE w:val="0"/>
        <w:autoSpaceDN w:val="0"/>
        <w:adjustRightInd w:val="0"/>
        <w:ind w:right="48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供应商基本情况</w:t>
      </w:r>
    </w:p>
    <w:p w14:paraId="5755295C">
      <w:pPr>
        <w:numPr>
          <w:numId w:val="0"/>
        </w:numPr>
        <w:autoSpaceDE w:val="0"/>
        <w:autoSpaceDN w:val="0"/>
        <w:adjustRightInd w:val="0"/>
        <w:ind w:right="480" w:rightChars="0"/>
        <w:jc w:val="both"/>
        <w:rPr>
          <w:rFonts w:hint="eastAsia" w:ascii="宋体" w:hAnsi="宋体" w:cs="宋体"/>
          <w:b/>
          <w:color w:val="auto"/>
          <w:sz w:val="32"/>
          <w:szCs w:val="32"/>
          <w:highlight w:val="none"/>
        </w:rPr>
      </w:pPr>
    </w:p>
    <w:tbl>
      <w:tblPr>
        <w:tblStyle w:val="28"/>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53"/>
        <w:gridCol w:w="1313"/>
        <w:gridCol w:w="2056"/>
        <w:gridCol w:w="1236"/>
      </w:tblGrid>
      <w:tr w14:paraId="418B1B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EFA4F30">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供应商全称</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0ACA7D3C">
            <w:pPr>
              <w:autoSpaceDE w:val="0"/>
              <w:autoSpaceDN w:val="0"/>
              <w:adjustRightInd w:val="0"/>
              <w:spacing w:line="360" w:lineRule="auto"/>
              <w:jc w:val="center"/>
              <w:rPr>
                <w:rFonts w:ascii="宋体" w:hAnsi="宋体" w:cs="宋体"/>
                <w:color w:val="auto"/>
                <w:sz w:val="24"/>
                <w:highlight w:val="none"/>
              </w:rPr>
            </w:pPr>
          </w:p>
        </w:tc>
      </w:tr>
      <w:tr w14:paraId="5549CAA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4833E01">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法定代表人</w:t>
            </w:r>
          </w:p>
        </w:tc>
        <w:tc>
          <w:tcPr>
            <w:tcW w:w="2153" w:type="dxa"/>
            <w:tcBorders>
              <w:top w:val="single" w:color="auto" w:sz="6" w:space="0"/>
              <w:left w:val="single" w:color="auto" w:sz="6" w:space="0"/>
              <w:bottom w:val="single" w:color="auto" w:sz="6" w:space="0"/>
              <w:right w:val="single" w:color="auto" w:sz="6" w:space="0"/>
            </w:tcBorders>
            <w:noWrap/>
            <w:vAlign w:val="center"/>
          </w:tcPr>
          <w:p w14:paraId="689C8D85">
            <w:pPr>
              <w:autoSpaceDE w:val="0"/>
              <w:autoSpaceDN w:val="0"/>
              <w:adjustRightInd w:val="0"/>
              <w:spacing w:line="360" w:lineRule="auto"/>
              <w:jc w:val="center"/>
              <w:rPr>
                <w:rFonts w:ascii="宋体" w:hAnsi="宋体" w:cs="宋体"/>
                <w:color w:val="auto"/>
                <w:sz w:val="24"/>
                <w:highlight w:val="none"/>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7B67FBB2">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0D9B67D8">
            <w:pPr>
              <w:autoSpaceDE w:val="0"/>
              <w:autoSpaceDN w:val="0"/>
              <w:adjustRightInd w:val="0"/>
              <w:spacing w:line="360" w:lineRule="auto"/>
              <w:jc w:val="center"/>
              <w:rPr>
                <w:rFonts w:ascii="宋体" w:hAnsi="宋体" w:cs="宋体"/>
                <w:color w:val="auto"/>
                <w:sz w:val="24"/>
                <w:highlight w:val="none"/>
              </w:rPr>
            </w:pPr>
          </w:p>
        </w:tc>
      </w:tr>
      <w:tr w14:paraId="5E03F5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3AC7DF68">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企业地址</w:t>
            </w:r>
          </w:p>
        </w:tc>
        <w:tc>
          <w:tcPr>
            <w:tcW w:w="2153" w:type="dxa"/>
            <w:tcBorders>
              <w:top w:val="single" w:color="auto" w:sz="6" w:space="0"/>
              <w:left w:val="single" w:color="auto" w:sz="6" w:space="0"/>
              <w:bottom w:val="single" w:color="auto" w:sz="6" w:space="0"/>
              <w:right w:val="single" w:color="auto" w:sz="6" w:space="0"/>
            </w:tcBorders>
            <w:noWrap/>
            <w:vAlign w:val="center"/>
          </w:tcPr>
          <w:p w14:paraId="0CE48A50">
            <w:pPr>
              <w:autoSpaceDE w:val="0"/>
              <w:autoSpaceDN w:val="0"/>
              <w:adjustRightInd w:val="0"/>
              <w:spacing w:line="360" w:lineRule="auto"/>
              <w:jc w:val="center"/>
              <w:rPr>
                <w:rFonts w:ascii="宋体" w:hAnsi="宋体" w:cs="宋体"/>
                <w:color w:val="auto"/>
                <w:sz w:val="24"/>
                <w:highlight w:val="none"/>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5EB9541A">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4709242D">
            <w:pPr>
              <w:autoSpaceDE w:val="0"/>
              <w:autoSpaceDN w:val="0"/>
              <w:adjustRightInd w:val="0"/>
              <w:spacing w:line="360" w:lineRule="auto"/>
              <w:ind w:firstLine="2160"/>
              <w:jc w:val="center"/>
              <w:rPr>
                <w:rFonts w:ascii="宋体" w:hAnsi="宋体" w:cs="宋体"/>
                <w:color w:val="auto"/>
                <w:sz w:val="24"/>
                <w:highlight w:val="none"/>
              </w:rPr>
            </w:pPr>
            <w:r>
              <w:rPr>
                <w:rFonts w:hint="eastAsia" w:ascii="宋体" w:hAnsi="宋体" w:cs="宋体"/>
                <w:color w:val="auto"/>
                <w:sz w:val="24"/>
                <w:highlight w:val="none"/>
                <w:lang w:val="zh-CN"/>
              </w:rPr>
              <w:t>万元</w:t>
            </w:r>
          </w:p>
        </w:tc>
      </w:tr>
      <w:tr w14:paraId="68570AD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292424A">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38918FE5">
            <w:pPr>
              <w:autoSpaceDE w:val="0"/>
              <w:autoSpaceDN w:val="0"/>
              <w:adjustRightInd w:val="0"/>
              <w:spacing w:line="360" w:lineRule="auto"/>
              <w:jc w:val="center"/>
              <w:rPr>
                <w:rFonts w:ascii="宋体" w:hAnsi="宋体" w:cs="宋体"/>
                <w:color w:val="auto"/>
                <w:sz w:val="24"/>
                <w:highlight w:val="none"/>
              </w:rPr>
            </w:pPr>
          </w:p>
        </w:tc>
      </w:tr>
      <w:tr w14:paraId="360E20A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3135F285">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职工人数</w:t>
            </w:r>
          </w:p>
        </w:tc>
        <w:tc>
          <w:tcPr>
            <w:tcW w:w="2153" w:type="dxa"/>
            <w:tcBorders>
              <w:top w:val="single" w:color="auto" w:sz="6" w:space="0"/>
              <w:left w:val="single" w:color="auto" w:sz="6" w:space="0"/>
              <w:bottom w:val="single" w:color="auto" w:sz="6" w:space="0"/>
              <w:right w:val="single" w:color="auto" w:sz="6" w:space="0"/>
            </w:tcBorders>
            <w:noWrap/>
            <w:vAlign w:val="center"/>
          </w:tcPr>
          <w:p w14:paraId="626F6F88">
            <w:pPr>
              <w:autoSpaceDE w:val="0"/>
              <w:autoSpaceDN w:val="0"/>
              <w:adjustRightInd w:val="0"/>
              <w:spacing w:line="360" w:lineRule="auto"/>
              <w:jc w:val="center"/>
              <w:rPr>
                <w:rFonts w:ascii="宋体" w:hAnsi="宋体" w:cs="宋体"/>
                <w:color w:val="auto"/>
                <w:sz w:val="24"/>
                <w:highlight w:val="none"/>
              </w:rPr>
            </w:pPr>
          </w:p>
        </w:tc>
        <w:tc>
          <w:tcPr>
            <w:tcW w:w="3369" w:type="dxa"/>
            <w:gridSpan w:val="2"/>
            <w:tcBorders>
              <w:top w:val="single" w:color="auto" w:sz="6" w:space="0"/>
              <w:left w:val="single" w:color="auto" w:sz="6" w:space="0"/>
              <w:bottom w:val="single" w:color="auto" w:sz="6" w:space="0"/>
              <w:right w:val="single" w:color="auto" w:sz="6" w:space="0"/>
            </w:tcBorders>
            <w:noWrap/>
            <w:vAlign w:val="center"/>
          </w:tcPr>
          <w:p w14:paraId="1CF0B28B">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noWrap/>
            <w:vAlign w:val="center"/>
          </w:tcPr>
          <w:p w14:paraId="16D6C8CC">
            <w:pPr>
              <w:autoSpaceDE w:val="0"/>
              <w:autoSpaceDN w:val="0"/>
              <w:adjustRightInd w:val="0"/>
              <w:spacing w:line="360" w:lineRule="auto"/>
              <w:jc w:val="center"/>
              <w:rPr>
                <w:rFonts w:ascii="宋体" w:hAnsi="宋体" w:cs="宋体"/>
                <w:color w:val="auto"/>
                <w:sz w:val="24"/>
                <w:highlight w:val="none"/>
              </w:rPr>
            </w:pPr>
          </w:p>
        </w:tc>
      </w:tr>
      <w:tr w14:paraId="4F853F5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2470DF2">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资产总计</w:t>
            </w:r>
          </w:p>
        </w:tc>
        <w:tc>
          <w:tcPr>
            <w:tcW w:w="2153" w:type="dxa"/>
            <w:tcBorders>
              <w:top w:val="single" w:color="auto" w:sz="6" w:space="0"/>
              <w:left w:val="single" w:color="auto" w:sz="6" w:space="0"/>
              <w:bottom w:val="single" w:color="auto" w:sz="6" w:space="0"/>
              <w:right w:val="single" w:color="auto" w:sz="6" w:space="0"/>
            </w:tcBorders>
            <w:noWrap/>
            <w:vAlign w:val="center"/>
          </w:tcPr>
          <w:p w14:paraId="3F1CF362">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7A86367D">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0F32A90F">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万元</w:t>
            </w:r>
          </w:p>
        </w:tc>
      </w:tr>
      <w:tr w14:paraId="3EB894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4B28028">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股东权益</w:t>
            </w:r>
          </w:p>
        </w:tc>
        <w:tc>
          <w:tcPr>
            <w:tcW w:w="2153" w:type="dxa"/>
            <w:tcBorders>
              <w:top w:val="single" w:color="auto" w:sz="6" w:space="0"/>
              <w:left w:val="single" w:color="auto" w:sz="6" w:space="0"/>
              <w:bottom w:val="single" w:color="auto" w:sz="6" w:space="0"/>
              <w:right w:val="single" w:color="auto" w:sz="6" w:space="0"/>
            </w:tcBorders>
            <w:noWrap/>
            <w:vAlign w:val="center"/>
          </w:tcPr>
          <w:p w14:paraId="1EED834A">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361BA24E">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19098211">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万元</w:t>
            </w:r>
          </w:p>
        </w:tc>
      </w:tr>
      <w:tr w14:paraId="488565D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5318A3BC">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实现利润</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244AB0BF">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万元</w:t>
            </w:r>
          </w:p>
        </w:tc>
      </w:tr>
      <w:tr w14:paraId="7096E14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5DA99308">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1D2FFBD7">
            <w:pPr>
              <w:autoSpaceDE w:val="0"/>
              <w:autoSpaceDN w:val="0"/>
              <w:adjustRightInd w:val="0"/>
              <w:spacing w:line="360" w:lineRule="auto"/>
              <w:jc w:val="center"/>
              <w:rPr>
                <w:rFonts w:ascii="宋体" w:hAnsi="宋体" w:cs="宋体"/>
                <w:color w:val="auto"/>
                <w:sz w:val="24"/>
                <w:highlight w:val="none"/>
              </w:rPr>
            </w:pPr>
          </w:p>
        </w:tc>
      </w:tr>
      <w:tr w14:paraId="4AEFDB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E7E536B">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1B7A9E15">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（包括财政、工商、税务、物价、技监部门稽查情况和结果）</w:t>
            </w:r>
          </w:p>
        </w:tc>
      </w:tr>
      <w:tr w14:paraId="006B90B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3870A31C">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最近3年内有无因货物供应或是其他原因被投诉或起诉的情况及说明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9D72B0E">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（包括解决方式和结果）</w:t>
            </w:r>
          </w:p>
        </w:tc>
      </w:tr>
      <w:tr w14:paraId="054EC81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17EDE0F2">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1B7C762F">
            <w:pPr>
              <w:autoSpaceDE w:val="0"/>
              <w:autoSpaceDN w:val="0"/>
              <w:adjustRightInd w:val="0"/>
              <w:spacing w:line="360" w:lineRule="auto"/>
              <w:jc w:val="center"/>
              <w:rPr>
                <w:rFonts w:ascii="宋体" w:hAnsi="宋体" w:cs="宋体"/>
                <w:color w:val="auto"/>
                <w:sz w:val="24"/>
                <w:highlight w:val="none"/>
              </w:rPr>
            </w:pPr>
          </w:p>
        </w:tc>
      </w:tr>
      <w:tr w14:paraId="5B6E25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72075EB">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0A2F15A">
            <w:pPr>
              <w:autoSpaceDE w:val="0"/>
              <w:autoSpaceDN w:val="0"/>
              <w:adjustRightInd w:val="0"/>
              <w:spacing w:line="360" w:lineRule="auto"/>
              <w:jc w:val="center"/>
              <w:rPr>
                <w:rFonts w:ascii="宋体" w:hAnsi="宋体" w:cs="宋体"/>
                <w:color w:val="auto"/>
                <w:sz w:val="24"/>
                <w:highlight w:val="none"/>
              </w:rPr>
            </w:pPr>
          </w:p>
        </w:tc>
      </w:tr>
    </w:tbl>
    <w:p w14:paraId="2AF35B81">
      <w:pPr>
        <w:autoSpaceDE w:val="0"/>
        <w:autoSpaceDN w:val="0"/>
        <w:adjustRightInd w:val="0"/>
        <w:spacing w:line="400" w:lineRule="exact"/>
        <w:rPr>
          <w:rFonts w:ascii="宋体" w:hAnsi="宋体" w:cs="宋体"/>
          <w:b/>
          <w:bCs/>
          <w:color w:val="auto"/>
          <w:szCs w:val="21"/>
          <w:highlight w:val="none"/>
          <w:lang w:val="zh-CN"/>
        </w:rPr>
      </w:pPr>
      <w:r>
        <w:rPr>
          <w:rFonts w:hint="eastAsia" w:ascii="宋体" w:hAnsi="宋体" w:cs="宋体"/>
          <w:b/>
          <w:bCs/>
          <w:color w:val="auto"/>
          <w:szCs w:val="21"/>
          <w:highlight w:val="none"/>
        </w:rPr>
        <w:t>附：本表后须附</w:t>
      </w:r>
      <w:r>
        <w:rPr>
          <w:rFonts w:hint="eastAsia" w:ascii="宋体" w:hAnsi="宋体" w:cs="宋体"/>
          <w:b/>
          <w:bCs/>
          <w:color w:val="auto"/>
          <w:szCs w:val="21"/>
          <w:highlight w:val="none"/>
          <w:lang w:val="zh-CN"/>
        </w:rPr>
        <w:t>企业营业执照副本、</w:t>
      </w:r>
      <w:r>
        <w:rPr>
          <w:rFonts w:hint="eastAsia" w:ascii="宋体" w:hAnsi="宋体" w:cs="宋体"/>
          <w:b/>
          <w:bCs/>
          <w:color w:val="auto"/>
          <w:szCs w:val="21"/>
          <w:highlight w:val="none"/>
          <w:lang w:val="en-US" w:eastAsia="zh-CN"/>
        </w:rPr>
        <w:t>资质证书</w:t>
      </w:r>
      <w:r>
        <w:rPr>
          <w:rFonts w:hint="eastAsia" w:ascii="宋体" w:hAnsi="宋体" w:cs="宋体"/>
          <w:b/>
          <w:bCs/>
          <w:color w:val="auto"/>
          <w:szCs w:val="21"/>
          <w:highlight w:val="none"/>
          <w:lang w:val="zh-CN"/>
        </w:rPr>
        <w:t>等资料；</w:t>
      </w:r>
    </w:p>
    <w:p w14:paraId="4D254799">
      <w:pPr>
        <w:tabs>
          <w:tab w:val="left" w:pos="1365"/>
        </w:tabs>
        <w:jc w:val="center"/>
        <w:rPr>
          <w:rFonts w:hint="eastAsia" w:ascii="宋体" w:hAnsi="宋体" w:cs="宋体"/>
          <w:b/>
          <w:color w:val="auto"/>
          <w:sz w:val="32"/>
          <w:szCs w:val="32"/>
          <w:highlight w:val="none"/>
        </w:rPr>
      </w:pPr>
    </w:p>
    <w:p w14:paraId="7B288418">
      <w:pPr>
        <w:shd w:val="clear" w:color="auto" w:fill="auto"/>
        <w:spacing w:before="140" w:line="219" w:lineRule="auto"/>
        <w:jc w:val="center"/>
        <w:rPr>
          <w:rFonts w:ascii="宋体" w:hAnsi="宋体" w:eastAsia="宋体" w:cs="宋体"/>
          <w:sz w:val="43"/>
          <w:szCs w:val="43"/>
          <w:highlight w:val="none"/>
        </w:rPr>
      </w:pPr>
      <w:r>
        <w:rPr>
          <w:rFonts w:hint="eastAsia" w:ascii="宋体" w:hAnsi="宋体" w:eastAsia="宋体" w:cs="宋体"/>
          <w:b/>
          <w:sz w:val="32"/>
          <w:szCs w:val="32"/>
          <w:highlight w:val="none"/>
          <w:lang w:val="en-US" w:eastAsia="zh-CN"/>
        </w:rPr>
        <w:t>7、资格条件承诺函</w:t>
      </w:r>
    </w:p>
    <w:p w14:paraId="44A43047">
      <w:pPr>
        <w:shd w:val="clear" w:color="auto" w:fill="auto"/>
        <w:spacing w:line="290" w:lineRule="auto"/>
        <w:rPr>
          <w:rFonts w:ascii="Arial"/>
          <w:sz w:val="21"/>
          <w:highlight w:val="none"/>
        </w:rPr>
      </w:pPr>
    </w:p>
    <w:p w14:paraId="7FAD851C">
      <w:pPr>
        <w:shd w:val="clear" w:color="auto" w:fill="auto"/>
        <w:spacing w:line="291" w:lineRule="auto"/>
        <w:rPr>
          <w:rFonts w:ascii="Arial"/>
          <w:sz w:val="21"/>
          <w:highlight w:val="none"/>
        </w:rPr>
      </w:pPr>
    </w:p>
    <w:p w14:paraId="40139875">
      <w:pPr>
        <w:shd w:val="clear" w:color="auto" w:fill="auto"/>
        <w:spacing w:line="291" w:lineRule="auto"/>
        <w:rPr>
          <w:rFonts w:ascii="Arial"/>
          <w:sz w:val="21"/>
          <w:highlight w:val="none"/>
        </w:rPr>
      </w:pPr>
    </w:p>
    <w:p w14:paraId="3478CA36">
      <w:pPr>
        <w:shd w:val="clear" w:color="auto" w:fill="auto"/>
        <w:spacing w:before="101" w:line="219" w:lineRule="auto"/>
        <w:rPr>
          <w:rFonts w:ascii="宋体" w:hAnsi="宋体" w:eastAsia="宋体" w:cs="宋体"/>
          <w:sz w:val="24"/>
          <w:szCs w:val="24"/>
          <w:highlight w:val="none"/>
        </w:rPr>
      </w:pPr>
      <w:r>
        <w:rPr>
          <w:rFonts w:ascii="宋体" w:hAnsi="宋体" w:eastAsia="宋体" w:cs="宋体"/>
          <w:spacing w:val="-19"/>
          <w:sz w:val="24"/>
          <w:szCs w:val="24"/>
          <w:highlight w:val="none"/>
        </w:rPr>
        <w:t>致</w:t>
      </w:r>
      <w:r>
        <w:rPr>
          <w:rFonts w:ascii="宋体" w:hAnsi="宋体" w:eastAsia="宋体" w:cs="宋体"/>
          <w:spacing w:val="132"/>
          <w:sz w:val="24"/>
          <w:szCs w:val="24"/>
          <w:highlight w:val="none"/>
        </w:rPr>
        <w:t xml:space="preserve"> </w:t>
      </w:r>
      <w:r>
        <w:rPr>
          <w:rFonts w:ascii="宋体" w:hAnsi="宋体" w:eastAsia="宋体" w:cs="宋体"/>
          <w:spacing w:val="-19"/>
          <w:sz w:val="24"/>
          <w:szCs w:val="24"/>
          <w:highlight w:val="none"/>
        </w:rPr>
        <w:t>：</w:t>
      </w:r>
      <w:r>
        <w:rPr>
          <w:rFonts w:ascii="宋体" w:hAnsi="宋体" w:eastAsia="宋体" w:cs="宋体"/>
          <w:spacing w:val="-85"/>
          <w:sz w:val="24"/>
          <w:szCs w:val="24"/>
          <w:highlight w:val="none"/>
          <w:u w:val="single" w:color="auto"/>
        </w:rPr>
        <w:t xml:space="preserve"> </w:t>
      </w:r>
      <w:r>
        <w:rPr>
          <w:rFonts w:ascii="宋体" w:hAnsi="宋体" w:eastAsia="宋体" w:cs="宋体"/>
          <w:spacing w:val="-19"/>
          <w:sz w:val="24"/>
          <w:szCs w:val="24"/>
          <w:highlight w:val="none"/>
          <w:u w:val="single" w:color="auto"/>
        </w:rPr>
        <w:t>(</w:t>
      </w:r>
      <w:r>
        <w:rPr>
          <w:rFonts w:ascii="宋体" w:hAnsi="宋体" w:eastAsia="宋体" w:cs="宋体"/>
          <w:spacing w:val="-70"/>
          <w:sz w:val="24"/>
          <w:szCs w:val="24"/>
          <w:highlight w:val="none"/>
          <w:u w:val="single" w:color="auto"/>
        </w:rPr>
        <w:t xml:space="preserve"> </w:t>
      </w:r>
      <w:r>
        <w:rPr>
          <w:rFonts w:ascii="宋体" w:hAnsi="宋体" w:eastAsia="宋体" w:cs="宋体"/>
          <w:spacing w:val="-19"/>
          <w:sz w:val="24"/>
          <w:szCs w:val="24"/>
          <w:highlight w:val="none"/>
          <w:u w:val="single" w:color="auto"/>
        </w:rPr>
        <w:t>采</w:t>
      </w:r>
      <w:r>
        <w:rPr>
          <w:rFonts w:ascii="宋体" w:hAnsi="宋体" w:eastAsia="宋体" w:cs="宋体"/>
          <w:spacing w:val="-70"/>
          <w:sz w:val="24"/>
          <w:szCs w:val="24"/>
          <w:highlight w:val="none"/>
          <w:u w:val="single" w:color="auto"/>
        </w:rPr>
        <w:t xml:space="preserve"> </w:t>
      </w:r>
      <w:r>
        <w:rPr>
          <w:rFonts w:ascii="宋体" w:hAnsi="宋体" w:eastAsia="宋体" w:cs="宋体"/>
          <w:spacing w:val="-19"/>
          <w:sz w:val="24"/>
          <w:szCs w:val="24"/>
          <w:highlight w:val="none"/>
          <w:u w:val="single" w:color="auto"/>
        </w:rPr>
        <w:t>购</w:t>
      </w:r>
      <w:r>
        <w:rPr>
          <w:rFonts w:ascii="宋体" w:hAnsi="宋体" w:eastAsia="宋体" w:cs="宋体"/>
          <w:spacing w:val="-66"/>
          <w:sz w:val="24"/>
          <w:szCs w:val="24"/>
          <w:highlight w:val="none"/>
          <w:u w:val="single" w:color="auto"/>
        </w:rPr>
        <w:t xml:space="preserve"> </w:t>
      </w:r>
      <w:r>
        <w:rPr>
          <w:rFonts w:ascii="宋体" w:hAnsi="宋体" w:eastAsia="宋体" w:cs="宋体"/>
          <w:spacing w:val="-19"/>
          <w:sz w:val="24"/>
          <w:szCs w:val="24"/>
          <w:highlight w:val="none"/>
          <w:u w:val="single" w:color="auto"/>
        </w:rPr>
        <w:t>人</w:t>
      </w:r>
      <w:r>
        <w:rPr>
          <w:rFonts w:ascii="宋体" w:hAnsi="宋体" w:eastAsia="宋体" w:cs="宋体"/>
          <w:spacing w:val="-47"/>
          <w:sz w:val="24"/>
          <w:szCs w:val="24"/>
          <w:highlight w:val="none"/>
          <w:u w:val="single" w:color="auto"/>
        </w:rPr>
        <w:t xml:space="preserve"> </w:t>
      </w:r>
      <w:r>
        <w:rPr>
          <w:rFonts w:ascii="宋体" w:hAnsi="宋体" w:eastAsia="宋体" w:cs="宋体"/>
          <w:spacing w:val="-19"/>
          <w:sz w:val="24"/>
          <w:szCs w:val="24"/>
          <w:highlight w:val="none"/>
          <w:u w:val="single" w:color="auto"/>
        </w:rPr>
        <w:t>、</w:t>
      </w:r>
      <w:r>
        <w:rPr>
          <w:rFonts w:ascii="宋体" w:hAnsi="宋体" w:eastAsia="宋体" w:cs="宋体"/>
          <w:spacing w:val="-69"/>
          <w:sz w:val="24"/>
          <w:szCs w:val="24"/>
          <w:highlight w:val="none"/>
          <w:u w:val="single" w:color="auto"/>
        </w:rPr>
        <w:t xml:space="preserve"> </w:t>
      </w:r>
      <w:r>
        <w:rPr>
          <w:rFonts w:ascii="宋体" w:hAnsi="宋体" w:eastAsia="宋体" w:cs="宋体"/>
          <w:spacing w:val="-19"/>
          <w:sz w:val="24"/>
          <w:szCs w:val="24"/>
          <w:highlight w:val="none"/>
          <w:u w:val="single" w:color="auto"/>
        </w:rPr>
        <w:t>采</w:t>
      </w:r>
      <w:r>
        <w:rPr>
          <w:rFonts w:ascii="宋体" w:hAnsi="宋体" w:eastAsia="宋体" w:cs="宋体"/>
          <w:spacing w:val="-71"/>
          <w:sz w:val="24"/>
          <w:szCs w:val="24"/>
          <w:highlight w:val="none"/>
          <w:u w:val="single" w:color="auto"/>
        </w:rPr>
        <w:t xml:space="preserve"> </w:t>
      </w:r>
      <w:r>
        <w:rPr>
          <w:rFonts w:ascii="宋体" w:hAnsi="宋体" w:eastAsia="宋体" w:cs="宋体"/>
          <w:spacing w:val="-19"/>
          <w:sz w:val="24"/>
          <w:szCs w:val="24"/>
          <w:highlight w:val="none"/>
          <w:u w:val="single" w:color="auto"/>
        </w:rPr>
        <w:t>购</w:t>
      </w:r>
      <w:r>
        <w:rPr>
          <w:rFonts w:ascii="宋体" w:hAnsi="宋体" w:eastAsia="宋体" w:cs="宋体"/>
          <w:spacing w:val="-69"/>
          <w:sz w:val="24"/>
          <w:szCs w:val="24"/>
          <w:highlight w:val="none"/>
          <w:u w:val="single" w:color="auto"/>
        </w:rPr>
        <w:t xml:space="preserve"> </w:t>
      </w:r>
      <w:r>
        <w:rPr>
          <w:rFonts w:ascii="宋体" w:hAnsi="宋体" w:eastAsia="宋体" w:cs="宋体"/>
          <w:spacing w:val="-19"/>
          <w:sz w:val="24"/>
          <w:szCs w:val="24"/>
          <w:highlight w:val="none"/>
          <w:u w:val="single" w:color="auto"/>
        </w:rPr>
        <w:t>代</w:t>
      </w:r>
      <w:r>
        <w:rPr>
          <w:rFonts w:ascii="宋体" w:hAnsi="宋体" w:eastAsia="宋体" w:cs="宋体"/>
          <w:spacing w:val="-65"/>
          <w:sz w:val="24"/>
          <w:szCs w:val="24"/>
          <w:highlight w:val="none"/>
          <w:u w:val="single" w:color="auto"/>
        </w:rPr>
        <w:t xml:space="preserve"> </w:t>
      </w:r>
      <w:r>
        <w:rPr>
          <w:rFonts w:ascii="宋体" w:hAnsi="宋体" w:eastAsia="宋体" w:cs="宋体"/>
          <w:spacing w:val="-19"/>
          <w:sz w:val="24"/>
          <w:szCs w:val="24"/>
          <w:highlight w:val="none"/>
          <w:u w:val="single" w:color="auto"/>
        </w:rPr>
        <w:t>理</w:t>
      </w:r>
      <w:r>
        <w:rPr>
          <w:rFonts w:ascii="宋体" w:hAnsi="宋体" w:eastAsia="宋体" w:cs="宋体"/>
          <w:spacing w:val="-69"/>
          <w:sz w:val="24"/>
          <w:szCs w:val="24"/>
          <w:highlight w:val="none"/>
          <w:u w:val="single" w:color="auto"/>
        </w:rPr>
        <w:t xml:space="preserve"> </w:t>
      </w:r>
      <w:r>
        <w:rPr>
          <w:rFonts w:ascii="宋体" w:hAnsi="宋体" w:eastAsia="宋体" w:cs="宋体"/>
          <w:spacing w:val="-19"/>
          <w:sz w:val="24"/>
          <w:szCs w:val="24"/>
          <w:highlight w:val="none"/>
          <w:u w:val="single" w:color="auto"/>
        </w:rPr>
        <w:t>机</w:t>
      </w:r>
      <w:r>
        <w:rPr>
          <w:rFonts w:ascii="宋体" w:hAnsi="宋体" w:eastAsia="宋体" w:cs="宋体"/>
          <w:spacing w:val="-65"/>
          <w:sz w:val="24"/>
          <w:szCs w:val="24"/>
          <w:highlight w:val="none"/>
          <w:u w:val="single" w:color="auto"/>
        </w:rPr>
        <w:t xml:space="preserve"> </w:t>
      </w:r>
      <w:r>
        <w:rPr>
          <w:rFonts w:ascii="宋体" w:hAnsi="宋体" w:eastAsia="宋体" w:cs="宋体"/>
          <w:spacing w:val="-19"/>
          <w:sz w:val="24"/>
          <w:szCs w:val="24"/>
          <w:highlight w:val="none"/>
          <w:u w:val="single" w:color="auto"/>
        </w:rPr>
        <w:t>构</w:t>
      </w:r>
      <w:r>
        <w:rPr>
          <w:rFonts w:ascii="宋体" w:hAnsi="宋体" w:eastAsia="宋体" w:cs="宋体"/>
          <w:spacing w:val="-67"/>
          <w:sz w:val="24"/>
          <w:szCs w:val="24"/>
          <w:highlight w:val="none"/>
          <w:u w:val="single" w:color="auto"/>
        </w:rPr>
        <w:t xml:space="preserve"> </w:t>
      </w:r>
      <w:r>
        <w:rPr>
          <w:rFonts w:ascii="宋体" w:hAnsi="宋体" w:eastAsia="宋体" w:cs="宋体"/>
          <w:spacing w:val="-19"/>
          <w:sz w:val="24"/>
          <w:szCs w:val="24"/>
          <w:highlight w:val="none"/>
          <w:u w:val="single" w:color="auto"/>
        </w:rPr>
        <w:t>)</w:t>
      </w:r>
      <w:r>
        <w:rPr>
          <w:rFonts w:ascii="宋体" w:hAnsi="宋体" w:eastAsia="宋体" w:cs="宋体"/>
          <w:spacing w:val="74"/>
          <w:sz w:val="24"/>
          <w:szCs w:val="24"/>
          <w:highlight w:val="none"/>
          <w:u w:val="single" w:color="auto"/>
        </w:rPr>
        <w:t xml:space="preserve">  </w:t>
      </w:r>
      <w:r>
        <w:rPr>
          <w:rFonts w:ascii="宋体" w:hAnsi="宋体" w:eastAsia="宋体" w:cs="宋体"/>
          <w:spacing w:val="-74"/>
          <w:sz w:val="24"/>
          <w:szCs w:val="24"/>
          <w:highlight w:val="none"/>
        </w:rPr>
        <w:t xml:space="preserve"> </w:t>
      </w:r>
      <w:r>
        <w:rPr>
          <w:rFonts w:ascii="宋体" w:hAnsi="宋体" w:eastAsia="宋体" w:cs="宋体"/>
          <w:spacing w:val="-19"/>
          <w:sz w:val="24"/>
          <w:szCs w:val="24"/>
          <w:highlight w:val="none"/>
        </w:rPr>
        <w:t>:</w:t>
      </w:r>
    </w:p>
    <w:p w14:paraId="3A148980">
      <w:pPr>
        <w:shd w:val="clear" w:color="auto" w:fill="auto"/>
        <w:spacing w:before="243" w:line="387" w:lineRule="auto"/>
        <w:ind w:left="619"/>
        <w:rPr>
          <w:rFonts w:ascii="宋体" w:hAnsi="宋体" w:eastAsia="宋体" w:cs="宋体"/>
          <w:sz w:val="24"/>
          <w:szCs w:val="24"/>
          <w:highlight w:val="none"/>
        </w:rPr>
      </w:pPr>
      <w:r>
        <w:rPr>
          <w:rFonts w:ascii="宋体" w:hAnsi="宋体" w:eastAsia="宋体" w:cs="宋体"/>
          <w:spacing w:val="-1"/>
          <w:sz w:val="24"/>
          <w:szCs w:val="24"/>
          <w:highlight w:val="none"/>
        </w:rPr>
        <w:t>我单位(公司)参与</w:t>
      </w:r>
      <w:r>
        <w:rPr>
          <w:rFonts w:ascii="宋体" w:hAnsi="宋体" w:eastAsia="宋体" w:cs="宋体"/>
          <w:spacing w:val="-30"/>
          <w:sz w:val="24"/>
          <w:szCs w:val="24"/>
          <w:highlight w:val="none"/>
        </w:rPr>
        <w:t xml:space="preserve"> </w:t>
      </w:r>
      <w:r>
        <w:rPr>
          <w:rFonts w:ascii="宋体" w:hAnsi="宋体" w:eastAsia="宋体" w:cs="宋体"/>
          <w:spacing w:val="26"/>
          <w:sz w:val="24"/>
          <w:szCs w:val="24"/>
          <w:highlight w:val="none"/>
          <w:u w:val="single" w:color="auto"/>
        </w:rPr>
        <w:t xml:space="preserve">   </w:t>
      </w:r>
      <w:r>
        <w:rPr>
          <w:rFonts w:ascii="宋体" w:hAnsi="宋体" w:eastAsia="宋体" w:cs="宋体"/>
          <w:spacing w:val="-1"/>
          <w:sz w:val="24"/>
          <w:szCs w:val="24"/>
          <w:highlight w:val="none"/>
          <w:u w:val="single" w:color="auto"/>
        </w:rPr>
        <w:t>(</w:t>
      </w:r>
      <w:r>
        <w:rPr>
          <w:rFonts w:ascii="宋体" w:hAnsi="宋体" w:eastAsia="宋体" w:cs="宋体"/>
          <w:spacing w:val="-60"/>
          <w:sz w:val="24"/>
          <w:szCs w:val="24"/>
          <w:highlight w:val="none"/>
          <w:u w:val="single" w:color="auto"/>
        </w:rPr>
        <w:t xml:space="preserve"> </w:t>
      </w:r>
      <w:r>
        <w:rPr>
          <w:rFonts w:ascii="宋体" w:hAnsi="宋体" w:eastAsia="宋体" w:cs="宋体"/>
          <w:spacing w:val="-1"/>
          <w:sz w:val="24"/>
          <w:szCs w:val="24"/>
          <w:highlight w:val="none"/>
          <w:u w:val="single" w:color="auto"/>
        </w:rPr>
        <w:t>采</w:t>
      </w:r>
      <w:r>
        <w:rPr>
          <w:rFonts w:ascii="宋体" w:hAnsi="宋体" w:eastAsia="宋体" w:cs="宋体"/>
          <w:spacing w:val="-61"/>
          <w:sz w:val="24"/>
          <w:szCs w:val="24"/>
          <w:highlight w:val="none"/>
          <w:u w:val="single" w:color="auto"/>
        </w:rPr>
        <w:t xml:space="preserve"> </w:t>
      </w:r>
      <w:r>
        <w:rPr>
          <w:rFonts w:ascii="宋体" w:hAnsi="宋体" w:eastAsia="宋体" w:cs="宋体"/>
          <w:spacing w:val="-1"/>
          <w:sz w:val="24"/>
          <w:szCs w:val="24"/>
          <w:highlight w:val="none"/>
          <w:u w:val="single" w:color="auto"/>
        </w:rPr>
        <w:t>购</w:t>
      </w:r>
      <w:r>
        <w:rPr>
          <w:rFonts w:ascii="宋体" w:hAnsi="宋体" w:eastAsia="宋体" w:cs="宋体"/>
          <w:spacing w:val="-55"/>
          <w:sz w:val="24"/>
          <w:szCs w:val="24"/>
          <w:highlight w:val="none"/>
          <w:u w:val="single" w:color="auto"/>
        </w:rPr>
        <w:t xml:space="preserve"> </w:t>
      </w:r>
      <w:r>
        <w:rPr>
          <w:rFonts w:ascii="宋体" w:hAnsi="宋体" w:eastAsia="宋体" w:cs="宋体"/>
          <w:spacing w:val="-1"/>
          <w:sz w:val="24"/>
          <w:szCs w:val="24"/>
          <w:highlight w:val="none"/>
          <w:u w:val="single" w:color="auto"/>
        </w:rPr>
        <w:t>项目</w:t>
      </w:r>
      <w:r>
        <w:rPr>
          <w:rFonts w:ascii="宋体" w:hAnsi="宋体" w:eastAsia="宋体" w:cs="宋体"/>
          <w:spacing w:val="-55"/>
          <w:sz w:val="24"/>
          <w:szCs w:val="24"/>
          <w:highlight w:val="none"/>
          <w:u w:val="single" w:color="auto"/>
        </w:rPr>
        <w:t xml:space="preserve"> </w:t>
      </w:r>
      <w:r>
        <w:rPr>
          <w:rFonts w:ascii="宋体" w:hAnsi="宋体" w:eastAsia="宋体" w:cs="宋体"/>
          <w:spacing w:val="-1"/>
          <w:sz w:val="24"/>
          <w:szCs w:val="24"/>
          <w:highlight w:val="none"/>
          <w:u w:val="single" w:color="auto"/>
        </w:rPr>
        <w:t>名</w:t>
      </w:r>
      <w:r>
        <w:rPr>
          <w:rFonts w:ascii="宋体" w:hAnsi="宋体" w:eastAsia="宋体" w:cs="宋体"/>
          <w:spacing w:val="-61"/>
          <w:sz w:val="24"/>
          <w:szCs w:val="24"/>
          <w:highlight w:val="none"/>
          <w:u w:val="single" w:color="auto"/>
        </w:rPr>
        <w:t xml:space="preserve"> </w:t>
      </w:r>
      <w:r>
        <w:rPr>
          <w:rFonts w:ascii="宋体" w:hAnsi="宋体" w:eastAsia="宋体" w:cs="宋体"/>
          <w:spacing w:val="-1"/>
          <w:sz w:val="24"/>
          <w:szCs w:val="24"/>
          <w:highlight w:val="none"/>
          <w:u w:val="single" w:color="auto"/>
        </w:rPr>
        <w:t>称</w:t>
      </w:r>
      <w:r>
        <w:rPr>
          <w:rFonts w:ascii="宋体" w:hAnsi="宋体" w:eastAsia="宋体" w:cs="宋体"/>
          <w:spacing w:val="-54"/>
          <w:sz w:val="24"/>
          <w:szCs w:val="24"/>
          <w:highlight w:val="none"/>
          <w:u w:val="single" w:color="auto"/>
        </w:rPr>
        <w:t xml:space="preserve"> </w:t>
      </w:r>
      <w:r>
        <w:rPr>
          <w:rFonts w:ascii="宋体" w:hAnsi="宋体" w:eastAsia="宋体" w:cs="宋体"/>
          <w:spacing w:val="-1"/>
          <w:sz w:val="24"/>
          <w:szCs w:val="24"/>
          <w:highlight w:val="none"/>
          <w:u w:val="single" w:color="auto"/>
        </w:rPr>
        <w:t>项目</w:t>
      </w:r>
      <w:r>
        <w:rPr>
          <w:rFonts w:ascii="宋体" w:hAnsi="宋体" w:eastAsia="宋体" w:cs="宋体"/>
          <w:spacing w:val="-57"/>
          <w:sz w:val="24"/>
          <w:szCs w:val="24"/>
          <w:highlight w:val="none"/>
          <w:u w:val="single" w:color="auto"/>
        </w:rPr>
        <w:t xml:space="preserve"> </w:t>
      </w:r>
      <w:r>
        <w:rPr>
          <w:rFonts w:ascii="宋体" w:hAnsi="宋体" w:eastAsia="宋体" w:cs="宋体"/>
          <w:spacing w:val="-1"/>
          <w:sz w:val="24"/>
          <w:szCs w:val="24"/>
          <w:highlight w:val="none"/>
          <w:u w:val="single" w:color="auto"/>
        </w:rPr>
        <w:t>编</w:t>
      </w:r>
      <w:r>
        <w:rPr>
          <w:rFonts w:ascii="宋体" w:hAnsi="宋体" w:eastAsia="宋体" w:cs="宋体"/>
          <w:spacing w:val="-51"/>
          <w:sz w:val="24"/>
          <w:szCs w:val="24"/>
          <w:highlight w:val="none"/>
          <w:u w:val="single" w:color="auto"/>
        </w:rPr>
        <w:t xml:space="preserve"> </w:t>
      </w:r>
      <w:r>
        <w:rPr>
          <w:rFonts w:ascii="宋体" w:hAnsi="宋体" w:eastAsia="宋体" w:cs="宋体"/>
          <w:spacing w:val="-1"/>
          <w:sz w:val="24"/>
          <w:szCs w:val="24"/>
          <w:highlight w:val="none"/>
          <w:u w:val="single" w:color="auto"/>
        </w:rPr>
        <w:t>号</w:t>
      </w:r>
      <w:r>
        <w:rPr>
          <w:rFonts w:ascii="宋体" w:hAnsi="宋体" w:eastAsia="宋体" w:cs="宋体"/>
          <w:spacing w:val="-58"/>
          <w:sz w:val="24"/>
          <w:szCs w:val="24"/>
          <w:highlight w:val="none"/>
          <w:u w:val="single" w:color="auto"/>
        </w:rPr>
        <w:t xml:space="preserve"> </w:t>
      </w:r>
      <w:r>
        <w:rPr>
          <w:rFonts w:ascii="宋体" w:hAnsi="宋体" w:eastAsia="宋体" w:cs="宋体"/>
          <w:spacing w:val="-1"/>
          <w:sz w:val="24"/>
          <w:szCs w:val="24"/>
          <w:highlight w:val="none"/>
          <w:u w:val="single" w:color="auto"/>
        </w:rPr>
        <w:t>)</w:t>
      </w:r>
    </w:p>
    <w:p w14:paraId="7F519813">
      <w:pPr>
        <w:shd w:val="clear" w:color="auto" w:fill="auto"/>
        <w:spacing w:before="1" w:line="218" w:lineRule="auto"/>
        <w:rPr>
          <w:rFonts w:ascii="宋体" w:hAnsi="宋体" w:eastAsia="宋体" w:cs="宋体"/>
          <w:sz w:val="24"/>
          <w:szCs w:val="24"/>
          <w:highlight w:val="none"/>
        </w:rPr>
      </w:pPr>
      <w:r>
        <w:rPr>
          <w:rFonts w:ascii="宋体" w:hAnsi="宋体" w:eastAsia="宋体" w:cs="宋体"/>
          <w:spacing w:val="1"/>
          <w:sz w:val="24"/>
          <w:szCs w:val="24"/>
          <w:highlight w:val="none"/>
        </w:rPr>
        <w:t>采购项目的政府采购活动，现承诺如下：</w:t>
      </w:r>
    </w:p>
    <w:p w14:paraId="14CE27C7">
      <w:pPr>
        <w:shd w:val="clear" w:color="auto" w:fill="auto"/>
        <w:spacing w:before="252" w:line="219" w:lineRule="auto"/>
        <w:ind w:left="619"/>
        <w:rPr>
          <w:rFonts w:ascii="宋体" w:hAnsi="宋体" w:eastAsia="宋体" w:cs="宋体"/>
          <w:sz w:val="24"/>
          <w:szCs w:val="24"/>
          <w:highlight w:val="none"/>
        </w:rPr>
      </w:pPr>
      <w:r>
        <w:rPr>
          <w:rFonts w:ascii="宋体" w:hAnsi="宋体" w:eastAsia="宋体" w:cs="宋体"/>
          <w:spacing w:val="1"/>
          <w:sz w:val="24"/>
          <w:szCs w:val="24"/>
          <w:highlight w:val="none"/>
        </w:rPr>
        <w:t>1.</w:t>
      </w:r>
      <w:r>
        <w:rPr>
          <w:rFonts w:ascii="宋体" w:hAnsi="宋体" w:eastAsia="宋体" w:cs="宋体"/>
          <w:spacing w:val="-43"/>
          <w:sz w:val="24"/>
          <w:szCs w:val="24"/>
          <w:highlight w:val="none"/>
        </w:rPr>
        <w:t xml:space="preserve"> </w:t>
      </w:r>
      <w:r>
        <w:rPr>
          <w:rFonts w:ascii="宋体" w:hAnsi="宋体" w:eastAsia="宋体" w:cs="宋体"/>
          <w:spacing w:val="1"/>
          <w:sz w:val="24"/>
          <w:szCs w:val="24"/>
          <w:highlight w:val="none"/>
        </w:rPr>
        <w:t>具有良好的商业信誉和健全的财务会计制度；</w:t>
      </w:r>
    </w:p>
    <w:p w14:paraId="16DCBCE9">
      <w:pPr>
        <w:shd w:val="clear" w:color="auto" w:fill="auto"/>
        <w:spacing w:before="252" w:line="219" w:lineRule="auto"/>
        <w:ind w:left="619"/>
        <w:rPr>
          <w:rFonts w:ascii="宋体" w:hAnsi="宋体" w:eastAsia="宋体" w:cs="宋体"/>
          <w:sz w:val="24"/>
          <w:szCs w:val="24"/>
          <w:highlight w:val="none"/>
        </w:rPr>
      </w:pPr>
      <w:r>
        <w:rPr>
          <w:rFonts w:ascii="宋体" w:hAnsi="宋体" w:eastAsia="宋体" w:cs="宋体"/>
          <w:spacing w:val="1"/>
          <w:sz w:val="24"/>
          <w:szCs w:val="24"/>
          <w:highlight w:val="none"/>
        </w:rPr>
        <w:t>2.</w:t>
      </w:r>
      <w:r>
        <w:rPr>
          <w:rFonts w:ascii="宋体" w:hAnsi="宋体" w:eastAsia="宋体" w:cs="宋体"/>
          <w:spacing w:val="-57"/>
          <w:sz w:val="24"/>
          <w:szCs w:val="24"/>
          <w:highlight w:val="none"/>
        </w:rPr>
        <w:t xml:space="preserve"> </w:t>
      </w:r>
      <w:r>
        <w:rPr>
          <w:rFonts w:ascii="宋体" w:hAnsi="宋体" w:eastAsia="宋体" w:cs="宋体"/>
          <w:spacing w:val="1"/>
          <w:sz w:val="24"/>
          <w:szCs w:val="24"/>
          <w:highlight w:val="none"/>
        </w:rPr>
        <w:t>具有依法缴纳税收的良好记录；</w:t>
      </w:r>
    </w:p>
    <w:p w14:paraId="7346F014">
      <w:pPr>
        <w:shd w:val="clear" w:color="auto" w:fill="auto"/>
        <w:spacing w:before="252" w:line="219" w:lineRule="auto"/>
        <w:ind w:left="619"/>
        <w:rPr>
          <w:rFonts w:ascii="宋体" w:hAnsi="宋体" w:eastAsia="宋体" w:cs="宋体"/>
          <w:sz w:val="24"/>
          <w:szCs w:val="24"/>
          <w:highlight w:val="none"/>
        </w:rPr>
      </w:pPr>
      <w:r>
        <w:rPr>
          <w:rFonts w:ascii="宋体" w:hAnsi="宋体" w:eastAsia="宋体" w:cs="宋体"/>
          <w:spacing w:val="3"/>
          <w:sz w:val="24"/>
          <w:szCs w:val="24"/>
          <w:highlight w:val="none"/>
        </w:rPr>
        <w:t>3.具有依法缴纳社会保障</w:t>
      </w:r>
      <w:r>
        <w:rPr>
          <w:rFonts w:hint="eastAsia" w:ascii="宋体" w:hAnsi="宋体" w:eastAsia="宋体" w:cs="宋体"/>
          <w:spacing w:val="3"/>
          <w:sz w:val="24"/>
          <w:szCs w:val="24"/>
          <w:highlight w:val="none"/>
          <w:lang w:val="en-US" w:eastAsia="zh-CN"/>
        </w:rPr>
        <w:t>资</w:t>
      </w:r>
      <w:r>
        <w:rPr>
          <w:rFonts w:ascii="宋体" w:hAnsi="宋体" w:eastAsia="宋体" w:cs="宋体"/>
          <w:spacing w:val="3"/>
          <w:sz w:val="24"/>
          <w:szCs w:val="24"/>
          <w:highlight w:val="none"/>
        </w:rPr>
        <w:t>金的良好记录。</w:t>
      </w:r>
    </w:p>
    <w:p w14:paraId="11FBB539">
      <w:pPr>
        <w:shd w:val="clear" w:color="auto" w:fill="auto"/>
        <w:spacing w:before="244" w:line="369" w:lineRule="auto"/>
        <w:ind w:right="149" w:firstLine="619"/>
        <w:rPr>
          <w:rFonts w:ascii="宋体" w:hAnsi="宋体" w:eastAsia="宋体" w:cs="宋体"/>
          <w:sz w:val="24"/>
          <w:szCs w:val="24"/>
          <w:highlight w:val="none"/>
        </w:rPr>
      </w:pPr>
      <w:r>
        <w:rPr>
          <w:rFonts w:ascii="宋体" w:hAnsi="宋体" w:eastAsia="宋体" w:cs="宋体"/>
          <w:spacing w:val="17"/>
          <w:sz w:val="24"/>
          <w:szCs w:val="24"/>
          <w:highlight w:val="none"/>
        </w:rPr>
        <w:t>我方在采购项目评审(评标)环节结束后，随时接受采</w:t>
      </w:r>
      <w:r>
        <w:rPr>
          <w:rFonts w:ascii="宋体" w:hAnsi="宋体" w:eastAsia="宋体" w:cs="宋体"/>
          <w:spacing w:val="4"/>
          <w:sz w:val="24"/>
          <w:szCs w:val="24"/>
          <w:highlight w:val="none"/>
        </w:rPr>
        <w:t>购人、采购代理机构的检查验证，配合提供相关证明材料，</w:t>
      </w:r>
      <w:r>
        <w:rPr>
          <w:rFonts w:ascii="宋体" w:hAnsi="宋体" w:eastAsia="宋体" w:cs="宋体"/>
          <w:spacing w:val="6"/>
          <w:sz w:val="24"/>
          <w:szCs w:val="24"/>
          <w:highlight w:val="none"/>
        </w:rPr>
        <w:t>证明符合《中华人民共和国政府采购法》规定的</w:t>
      </w:r>
      <w:r>
        <w:rPr>
          <w:rFonts w:hint="eastAsia" w:ascii="宋体" w:hAnsi="宋体" w:eastAsia="宋体" w:cs="宋体"/>
          <w:spacing w:val="6"/>
          <w:sz w:val="24"/>
          <w:szCs w:val="24"/>
          <w:highlight w:val="none"/>
          <w:lang w:eastAsia="zh-CN"/>
        </w:rPr>
        <w:t>投标人</w:t>
      </w:r>
      <w:r>
        <w:rPr>
          <w:rFonts w:ascii="宋体" w:hAnsi="宋体" w:eastAsia="宋体" w:cs="宋体"/>
          <w:spacing w:val="6"/>
          <w:sz w:val="24"/>
          <w:szCs w:val="24"/>
          <w:highlight w:val="none"/>
        </w:rPr>
        <w:t>基本</w:t>
      </w:r>
      <w:r>
        <w:rPr>
          <w:rFonts w:ascii="宋体" w:hAnsi="宋体" w:eastAsia="宋体" w:cs="宋体"/>
          <w:spacing w:val="-5"/>
          <w:sz w:val="24"/>
          <w:szCs w:val="24"/>
          <w:highlight w:val="none"/>
        </w:rPr>
        <w:t>资格条件。</w:t>
      </w:r>
    </w:p>
    <w:p w14:paraId="7AAC8D65">
      <w:pPr>
        <w:shd w:val="clear" w:color="auto" w:fill="auto"/>
        <w:spacing w:before="244" w:line="369" w:lineRule="auto"/>
        <w:ind w:right="149" w:firstLine="619"/>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我单位(公司)对上述承诺的真实性负责。如有虚假，将依法承担相应责任。</w:t>
      </w:r>
    </w:p>
    <w:p w14:paraId="7E0CF76E">
      <w:pPr>
        <w:shd w:val="clear" w:color="auto" w:fill="auto"/>
        <w:spacing w:before="244" w:line="369" w:lineRule="auto"/>
        <w:ind w:right="149" w:firstLine="619"/>
        <w:rPr>
          <w:rFonts w:ascii="宋体" w:hAnsi="宋体" w:eastAsia="宋体" w:cs="宋体"/>
          <w:spacing w:val="4"/>
          <w:sz w:val="24"/>
          <w:szCs w:val="24"/>
          <w:highlight w:val="none"/>
        </w:rPr>
      </w:pPr>
      <w:r>
        <w:rPr>
          <w:rFonts w:ascii="宋体" w:hAnsi="宋体" w:eastAsia="宋体" w:cs="宋体"/>
          <w:spacing w:val="4"/>
          <w:sz w:val="24"/>
          <w:szCs w:val="24"/>
          <w:highlight w:val="none"/>
        </w:rPr>
        <w:t>特此承诺。</w:t>
      </w:r>
    </w:p>
    <w:p w14:paraId="254F381D">
      <w:pPr>
        <w:shd w:val="clear" w:color="auto" w:fill="auto"/>
        <w:spacing w:line="258" w:lineRule="auto"/>
        <w:rPr>
          <w:rFonts w:ascii="Arial"/>
          <w:sz w:val="18"/>
          <w:szCs w:val="21"/>
          <w:highlight w:val="none"/>
        </w:rPr>
      </w:pPr>
    </w:p>
    <w:p w14:paraId="62FE1384">
      <w:pPr>
        <w:shd w:val="clear" w:color="auto" w:fill="auto"/>
        <w:spacing w:line="258" w:lineRule="auto"/>
        <w:rPr>
          <w:rFonts w:ascii="Arial"/>
          <w:sz w:val="18"/>
          <w:szCs w:val="21"/>
          <w:highlight w:val="none"/>
        </w:rPr>
      </w:pPr>
    </w:p>
    <w:p w14:paraId="4D6AAF4E">
      <w:pPr>
        <w:shd w:val="clear" w:color="auto" w:fill="auto"/>
        <w:spacing w:line="259" w:lineRule="auto"/>
        <w:rPr>
          <w:rFonts w:ascii="Arial"/>
          <w:sz w:val="18"/>
          <w:szCs w:val="21"/>
          <w:highlight w:val="none"/>
        </w:rPr>
      </w:pPr>
    </w:p>
    <w:p w14:paraId="43964F9A">
      <w:pPr>
        <w:shd w:val="clear" w:color="auto" w:fill="auto"/>
        <w:spacing w:before="101" w:line="621" w:lineRule="exact"/>
        <w:ind w:left="4889"/>
        <w:rPr>
          <w:rFonts w:ascii="宋体" w:hAnsi="宋体" w:eastAsia="宋体" w:cs="宋体"/>
          <w:sz w:val="24"/>
          <w:szCs w:val="24"/>
          <w:highlight w:val="none"/>
        </w:rPr>
      </w:pPr>
      <w:r>
        <w:rPr>
          <w:rFonts w:ascii="宋体" w:hAnsi="宋体" w:eastAsia="宋体" w:cs="宋体"/>
          <w:spacing w:val="-13"/>
          <w:position w:val="23"/>
          <w:sz w:val="24"/>
          <w:szCs w:val="24"/>
          <w:highlight w:val="none"/>
        </w:rPr>
        <w:t>盖章：</w:t>
      </w:r>
    </w:p>
    <w:p w14:paraId="6F498B61">
      <w:pPr>
        <w:shd w:val="clear" w:color="auto" w:fill="auto"/>
        <w:spacing w:line="219" w:lineRule="auto"/>
        <w:ind w:left="4889"/>
        <w:rPr>
          <w:rFonts w:ascii="宋体" w:hAnsi="宋体" w:cs="黑体"/>
          <w:color w:val="auto"/>
          <w:kern w:val="1"/>
          <w:sz w:val="28"/>
          <w:szCs w:val="24"/>
        </w:rPr>
      </w:pPr>
      <w:r>
        <w:rPr>
          <w:rFonts w:ascii="宋体" w:hAnsi="宋体" w:eastAsia="宋体" w:cs="宋体"/>
          <w:spacing w:val="-13"/>
          <w:sz w:val="24"/>
          <w:szCs w:val="24"/>
          <w:highlight w:val="none"/>
        </w:rPr>
        <w:t>签字：</w:t>
      </w:r>
    </w:p>
    <w:p w14:paraId="2EB6214A">
      <w:pPr>
        <w:tabs>
          <w:tab w:val="left" w:pos="1365"/>
        </w:tabs>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9BE54E5">
      <w:pPr>
        <w:tabs>
          <w:tab w:val="left" w:pos="0"/>
        </w:tabs>
        <w:spacing w:line="360" w:lineRule="auto"/>
        <w:jc w:val="center"/>
        <w:rPr>
          <w:rFonts w:hint="eastAsia" w:ascii="宋体" w:hAnsi="宋体" w:eastAsia="宋体" w:cs="宋体"/>
          <w:b/>
          <w:color w:val="auto"/>
          <w:sz w:val="32"/>
          <w:szCs w:val="32"/>
          <w:highlight w:val="none"/>
          <w:lang w:val="zh-CN" w:eastAsia="zh-CN"/>
        </w:rPr>
      </w:pPr>
      <w:bookmarkStart w:id="98" w:name="_Toc201719199"/>
      <w:bookmarkStart w:id="99" w:name="_Toc330463687"/>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lang w:val="zh-CN" w:eastAsia="zh-CN"/>
        </w:rPr>
        <w:t>、项目管理机构</w:t>
      </w:r>
      <w:bookmarkEnd w:id="98"/>
      <w:bookmarkEnd w:id="99"/>
    </w:p>
    <w:p w14:paraId="41E7F0C9">
      <w:pPr>
        <w:jc w:val="both"/>
        <w:rPr>
          <w:rFonts w:hint="eastAsia"/>
          <w:highlight w:val="none"/>
          <w:lang w:val="zh-CN"/>
        </w:rPr>
      </w:pPr>
      <w:bookmarkStart w:id="100" w:name="_Toc330463688"/>
      <w:bookmarkStart w:id="101" w:name="_Toc201719200"/>
      <w:r>
        <w:rPr>
          <w:rFonts w:hint="eastAsia"/>
          <w:b/>
          <w:bCs/>
          <w:highlight w:val="none"/>
          <w:lang w:val="zh-CN"/>
        </w:rPr>
        <w:t>(一)项目管理机构组成表</w:t>
      </w:r>
      <w:bookmarkEnd w:id="100"/>
      <w:bookmarkEnd w:id="10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621"/>
        <w:gridCol w:w="1087"/>
        <w:gridCol w:w="725"/>
        <w:gridCol w:w="725"/>
        <w:gridCol w:w="725"/>
        <w:gridCol w:w="1242"/>
        <w:gridCol w:w="1087"/>
        <w:gridCol w:w="1087"/>
        <w:gridCol w:w="776"/>
      </w:tblGrid>
      <w:tr w14:paraId="0941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21" w:type="dxa"/>
            <w:noWrap w:val="0"/>
            <w:vAlign w:val="center"/>
          </w:tcPr>
          <w:p w14:paraId="45F177ED">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621" w:type="dxa"/>
            <w:noWrap w:val="0"/>
            <w:vAlign w:val="center"/>
          </w:tcPr>
          <w:p w14:paraId="23DB700A">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姓名</w:t>
            </w:r>
          </w:p>
        </w:tc>
        <w:tc>
          <w:tcPr>
            <w:tcW w:w="1087" w:type="dxa"/>
            <w:noWrap w:val="0"/>
            <w:vAlign w:val="center"/>
          </w:tcPr>
          <w:p w14:paraId="2C02D1BC">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职务</w:t>
            </w:r>
          </w:p>
        </w:tc>
        <w:tc>
          <w:tcPr>
            <w:tcW w:w="725" w:type="dxa"/>
            <w:noWrap w:val="0"/>
            <w:vAlign w:val="center"/>
          </w:tcPr>
          <w:p w14:paraId="3A0B5734">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职称</w:t>
            </w:r>
          </w:p>
        </w:tc>
        <w:tc>
          <w:tcPr>
            <w:tcW w:w="725" w:type="dxa"/>
            <w:noWrap w:val="0"/>
            <w:vAlign w:val="center"/>
          </w:tcPr>
          <w:p w14:paraId="7B747B1F">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学历</w:t>
            </w:r>
          </w:p>
        </w:tc>
        <w:tc>
          <w:tcPr>
            <w:tcW w:w="725" w:type="dxa"/>
            <w:noWrap w:val="0"/>
            <w:vAlign w:val="center"/>
          </w:tcPr>
          <w:p w14:paraId="552D885C">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专业</w:t>
            </w:r>
          </w:p>
        </w:tc>
        <w:tc>
          <w:tcPr>
            <w:tcW w:w="1242" w:type="dxa"/>
            <w:noWrap w:val="0"/>
            <w:vAlign w:val="center"/>
          </w:tcPr>
          <w:p w14:paraId="78C28865">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职业资格</w:t>
            </w:r>
          </w:p>
        </w:tc>
        <w:tc>
          <w:tcPr>
            <w:tcW w:w="1087" w:type="dxa"/>
            <w:noWrap w:val="0"/>
            <w:vAlign w:val="center"/>
          </w:tcPr>
          <w:p w14:paraId="7B336978">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证书</w:t>
            </w:r>
          </w:p>
          <w:p w14:paraId="594825E2">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编号</w:t>
            </w:r>
          </w:p>
        </w:tc>
        <w:tc>
          <w:tcPr>
            <w:tcW w:w="1087" w:type="dxa"/>
            <w:noWrap w:val="0"/>
            <w:vAlign w:val="center"/>
          </w:tcPr>
          <w:p w14:paraId="39087620">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从业</w:t>
            </w:r>
          </w:p>
          <w:p w14:paraId="6634C848">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时间</w:t>
            </w:r>
          </w:p>
        </w:tc>
        <w:tc>
          <w:tcPr>
            <w:tcW w:w="776" w:type="dxa"/>
            <w:noWrap w:val="0"/>
            <w:vAlign w:val="center"/>
          </w:tcPr>
          <w:p w14:paraId="7F253930">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职责分工</w:t>
            </w:r>
          </w:p>
        </w:tc>
      </w:tr>
      <w:tr w14:paraId="241E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5F660AC3">
            <w:pPr>
              <w:rPr>
                <w:rFonts w:hint="eastAsia" w:ascii="宋体" w:hAnsi="宋体" w:eastAsia="宋体" w:cs="宋体"/>
                <w:sz w:val="21"/>
                <w:szCs w:val="21"/>
                <w:highlight w:val="none"/>
              </w:rPr>
            </w:pPr>
          </w:p>
        </w:tc>
        <w:tc>
          <w:tcPr>
            <w:tcW w:w="621" w:type="dxa"/>
            <w:noWrap w:val="0"/>
            <w:vAlign w:val="top"/>
          </w:tcPr>
          <w:p w14:paraId="572D7721">
            <w:pPr>
              <w:rPr>
                <w:rFonts w:hint="eastAsia" w:ascii="宋体" w:hAnsi="宋体" w:eastAsia="宋体" w:cs="宋体"/>
                <w:sz w:val="21"/>
                <w:szCs w:val="21"/>
                <w:highlight w:val="none"/>
              </w:rPr>
            </w:pPr>
          </w:p>
        </w:tc>
        <w:tc>
          <w:tcPr>
            <w:tcW w:w="1087" w:type="dxa"/>
            <w:noWrap w:val="0"/>
            <w:vAlign w:val="top"/>
          </w:tcPr>
          <w:p w14:paraId="65A85E58">
            <w:pPr>
              <w:rPr>
                <w:rFonts w:hint="eastAsia" w:ascii="宋体" w:hAnsi="宋体" w:eastAsia="宋体" w:cs="宋体"/>
                <w:sz w:val="21"/>
                <w:szCs w:val="21"/>
                <w:highlight w:val="none"/>
              </w:rPr>
            </w:pPr>
          </w:p>
        </w:tc>
        <w:tc>
          <w:tcPr>
            <w:tcW w:w="725" w:type="dxa"/>
            <w:noWrap w:val="0"/>
            <w:vAlign w:val="top"/>
          </w:tcPr>
          <w:p w14:paraId="06B1EBF0">
            <w:pPr>
              <w:rPr>
                <w:rFonts w:hint="eastAsia" w:ascii="宋体" w:hAnsi="宋体" w:eastAsia="宋体" w:cs="宋体"/>
                <w:sz w:val="21"/>
                <w:szCs w:val="21"/>
                <w:highlight w:val="none"/>
              </w:rPr>
            </w:pPr>
          </w:p>
        </w:tc>
        <w:tc>
          <w:tcPr>
            <w:tcW w:w="725" w:type="dxa"/>
            <w:noWrap w:val="0"/>
            <w:vAlign w:val="top"/>
          </w:tcPr>
          <w:p w14:paraId="6513E8CC">
            <w:pPr>
              <w:rPr>
                <w:rFonts w:hint="eastAsia" w:ascii="宋体" w:hAnsi="宋体" w:eastAsia="宋体" w:cs="宋体"/>
                <w:sz w:val="21"/>
                <w:szCs w:val="21"/>
                <w:highlight w:val="none"/>
              </w:rPr>
            </w:pPr>
          </w:p>
        </w:tc>
        <w:tc>
          <w:tcPr>
            <w:tcW w:w="725" w:type="dxa"/>
            <w:noWrap w:val="0"/>
            <w:vAlign w:val="top"/>
          </w:tcPr>
          <w:p w14:paraId="5A1640D1">
            <w:pPr>
              <w:rPr>
                <w:rFonts w:hint="eastAsia" w:ascii="宋体" w:hAnsi="宋体" w:eastAsia="宋体" w:cs="宋体"/>
                <w:sz w:val="21"/>
                <w:szCs w:val="21"/>
                <w:highlight w:val="none"/>
              </w:rPr>
            </w:pPr>
          </w:p>
        </w:tc>
        <w:tc>
          <w:tcPr>
            <w:tcW w:w="1242" w:type="dxa"/>
            <w:noWrap w:val="0"/>
            <w:vAlign w:val="top"/>
          </w:tcPr>
          <w:p w14:paraId="47B0C562">
            <w:pPr>
              <w:rPr>
                <w:rFonts w:hint="eastAsia" w:ascii="宋体" w:hAnsi="宋体" w:eastAsia="宋体" w:cs="宋体"/>
                <w:sz w:val="21"/>
                <w:szCs w:val="21"/>
                <w:highlight w:val="none"/>
              </w:rPr>
            </w:pPr>
          </w:p>
        </w:tc>
        <w:tc>
          <w:tcPr>
            <w:tcW w:w="1087" w:type="dxa"/>
            <w:noWrap w:val="0"/>
            <w:vAlign w:val="top"/>
          </w:tcPr>
          <w:p w14:paraId="695591ED">
            <w:pPr>
              <w:rPr>
                <w:rFonts w:hint="eastAsia" w:ascii="宋体" w:hAnsi="宋体" w:eastAsia="宋体" w:cs="宋体"/>
                <w:sz w:val="21"/>
                <w:szCs w:val="21"/>
                <w:highlight w:val="none"/>
              </w:rPr>
            </w:pPr>
          </w:p>
        </w:tc>
        <w:tc>
          <w:tcPr>
            <w:tcW w:w="1087" w:type="dxa"/>
            <w:noWrap w:val="0"/>
            <w:vAlign w:val="top"/>
          </w:tcPr>
          <w:p w14:paraId="3FF8E549">
            <w:pPr>
              <w:rPr>
                <w:rFonts w:hint="eastAsia" w:ascii="宋体" w:hAnsi="宋体" w:eastAsia="宋体" w:cs="宋体"/>
                <w:sz w:val="21"/>
                <w:szCs w:val="21"/>
                <w:highlight w:val="none"/>
              </w:rPr>
            </w:pPr>
          </w:p>
        </w:tc>
        <w:tc>
          <w:tcPr>
            <w:tcW w:w="776" w:type="dxa"/>
            <w:noWrap w:val="0"/>
            <w:vAlign w:val="top"/>
          </w:tcPr>
          <w:p w14:paraId="4AA79D6D">
            <w:pPr>
              <w:rPr>
                <w:rFonts w:hint="eastAsia" w:ascii="宋体" w:hAnsi="宋体" w:eastAsia="宋体" w:cs="宋体"/>
                <w:sz w:val="21"/>
                <w:szCs w:val="21"/>
                <w:highlight w:val="none"/>
              </w:rPr>
            </w:pPr>
          </w:p>
        </w:tc>
      </w:tr>
      <w:tr w14:paraId="787E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1C913F16">
            <w:pPr>
              <w:rPr>
                <w:rFonts w:hint="eastAsia" w:ascii="宋体" w:hAnsi="宋体" w:eastAsia="宋体" w:cs="宋体"/>
                <w:sz w:val="21"/>
                <w:szCs w:val="21"/>
                <w:highlight w:val="none"/>
              </w:rPr>
            </w:pPr>
          </w:p>
        </w:tc>
        <w:tc>
          <w:tcPr>
            <w:tcW w:w="621" w:type="dxa"/>
            <w:noWrap w:val="0"/>
            <w:vAlign w:val="top"/>
          </w:tcPr>
          <w:p w14:paraId="362E99BF">
            <w:pPr>
              <w:rPr>
                <w:rFonts w:hint="eastAsia" w:ascii="宋体" w:hAnsi="宋体" w:eastAsia="宋体" w:cs="宋体"/>
                <w:sz w:val="21"/>
                <w:szCs w:val="21"/>
                <w:highlight w:val="none"/>
              </w:rPr>
            </w:pPr>
          </w:p>
        </w:tc>
        <w:tc>
          <w:tcPr>
            <w:tcW w:w="1087" w:type="dxa"/>
            <w:noWrap w:val="0"/>
            <w:vAlign w:val="top"/>
          </w:tcPr>
          <w:p w14:paraId="23F07192">
            <w:pPr>
              <w:rPr>
                <w:rFonts w:hint="eastAsia" w:ascii="宋体" w:hAnsi="宋体" w:eastAsia="宋体" w:cs="宋体"/>
                <w:sz w:val="21"/>
                <w:szCs w:val="21"/>
                <w:highlight w:val="none"/>
              </w:rPr>
            </w:pPr>
          </w:p>
        </w:tc>
        <w:tc>
          <w:tcPr>
            <w:tcW w:w="725" w:type="dxa"/>
            <w:noWrap w:val="0"/>
            <w:vAlign w:val="top"/>
          </w:tcPr>
          <w:p w14:paraId="67DE00B4">
            <w:pPr>
              <w:rPr>
                <w:rFonts w:hint="eastAsia" w:ascii="宋体" w:hAnsi="宋体" w:eastAsia="宋体" w:cs="宋体"/>
                <w:sz w:val="21"/>
                <w:szCs w:val="21"/>
                <w:highlight w:val="none"/>
              </w:rPr>
            </w:pPr>
          </w:p>
        </w:tc>
        <w:tc>
          <w:tcPr>
            <w:tcW w:w="725" w:type="dxa"/>
            <w:noWrap w:val="0"/>
            <w:vAlign w:val="top"/>
          </w:tcPr>
          <w:p w14:paraId="2B37215B">
            <w:pPr>
              <w:rPr>
                <w:rFonts w:hint="eastAsia" w:ascii="宋体" w:hAnsi="宋体" w:eastAsia="宋体" w:cs="宋体"/>
                <w:sz w:val="21"/>
                <w:szCs w:val="21"/>
                <w:highlight w:val="none"/>
              </w:rPr>
            </w:pPr>
          </w:p>
        </w:tc>
        <w:tc>
          <w:tcPr>
            <w:tcW w:w="725" w:type="dxa"/>
            <w:noWrap w:val="0"/>
            <w:vAlign w:val="top"/>
          </w:tcPr>
          <w:p w14:paraId="66F0883C">
            <w:pPr>
              <w:rPr>
                <w:rFonts w:hint="eastAsia" w:ascii="宋体" w:hAnsi="宋体" w:eastAsia="宋体" w:cs="宋体"/>
                <w:sz w:val="21"/>
                <w:szCs w:val="21"/>
                <w:highlight w:val="none"/>
              </w:rPr>
            </w:pPr>
          </w:p>
        </w:tc>
        <w:tc>
          <w:tcPr>
            <w:tcW w:w="1242" w:type="dxa"/>
            <w:noWrap w:val="0"/>
            <w:vAlign w:val="top"/>
          </w:tcPr>
          <w:p w14:paraId="43C77975">
            <w:pPr>
              <w:rPr>
                <w:rFonts w:hint="eastAsia" w:ascii="宋体" w:hAnsi="宋体" w:eastAsia="宋体" w:cs="宋体"/>
                <w:sz w:val="21"/>
                <w:szCs w:val="21"/>
                <w:highlight w:val="none"/>
              </w:rPr>
            </w:pPr>
          </w:p>
        </w:tc>
        <w:tc>
          <w:tcPr>
            <w:tcW w:w="1087" w:type="dxa"/>
            <w:noWrap w:val="0"/>
            <w:vAlign w:val="top"/>
          </w:tcPr>
          <w:p w14:paraId="4F01551F">
            <w:pPr>
              <w:rPr>
                <w:rFonts w:hint="eastAsia" w:ascii="宋体" w:hAnsi="宋体" w:eastAsia="宋体" w:cs="宋体"/>
                <w:sz w:val="21"/>
                <w:szCs w:val="21"/>
                <w:highlight w:val="none"/>
              </w:rPr>
            </w:pPr>
          </w:p>
        </w:tc>
        <w:tc>
          <w:tcPr>
            <w:tcW w:w="1087" w:type="dxa"/>
            <w:noWrap w:val="0"/>
            <w:vAlign w:val="top"/>
          </w:tcPr>
          <w:p w14:paraId="768CEECF">
            <w:pPr>
              <w:rPr>
                <w:rFonts w:hint="eastAsia" w:ascii="宋体" w:hAnsi="宋体" w:eastAsia="宋体" w:cs="宋体"/>
                <w:sz w:val="21"/>
                <w:szCs w:val="21"/>
                <w:highlight w:val="none"/>
              </w:rPr>
            </w:pPr>
          </w:p>
        </w:tc>
        <w:tc>
          <w:tcPr>
            <w:tcW w:w="776" w:type="dxa"/>
            <w:noWrap w:val="0"/>
            <w:vAlign w:val="top"/>
          </w:tcPr>
          <w:p w14:paraId="4E024E83">
            <w:pPr>
              <w:rPr>
                <w:rFonts w:hint="eastAsia" w:ascii="宋体" w:hAnsi="宋体" w:eastAsia="宋体" w:cs="宋体"/>
                <w:sz w:val="21"/>
                <w:szCs w:val="21"/>
                <w:highlight w:val="none"/>
              </w:rPr>
            </w:pPr>
          </w:p>
        </w:tc>
      </w:tr>
      <w:tr w14:paraId="155E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7F12A7B0">
            <w:pPr>
              <w:rPr>
                <w:rFonts w:hint="eastAsia" w:ascii="宋体" w:hAnsi="宋体" w:eastAsia="宋体" w:cs="宋体"/>
                <w:sz w:val="21"/>
                <w:szCs w:val="21"/>
                <w:highlight w:val="none"/>
              </w:rPr>
            </w:pPr>
          </w:p>
        </w:tc>
        <w:tc>
          <w:tcPr>
            <w:tcW w:w="621" w:type="dxa"/>
            <w:noWrap w:val="0"/>
            <w:vAlign w:val="top"/>
          </w:tcPr>
          <w:p w14:paraId="2D254D83">
            <w:pPr>
              <w:rPr>
                <w:rFonts w:hint="eastAsia" w:ascii="宋体" w:hAnsi="宋体" w:eastAsia="宋体" w:cs="宋体"/>
                <w:sz w:val="21"/>
                <w:szCs w:val="21"/>
                <w:highlight w:val="none"/>
              </w:rPr>
            </w:pPr>
          </w:p>
        </w:tc>
        <w:tc>
          <w:tcPr>
            <w:tcW w:w="1087" w:type="dxa"/>
            <w:noWrap w:val="0"/>
            <w:vAlign w:val="top"/>
          </w:tcPr>
          <w:p w14:paraId="1616D559">
            <w:pPr>
              <w:rPr>
                <w:rFonts w:hint="eastAsia" w:ascii="宋体" w:hAnsi="宋体" w:eastAsia="宋体" w:cs="宋体"/>
                <w:sz w:val="21"/>
                <w:szCs w:val="21"/>
                <w:highlight w:val="none"/>
              </w:rPr>
            </w:pPr>
          </w:p>
        </w:tc>
        <w:tc>
          <w:tcPr>
            <w:tcW w:w="725" w:type="dxa"/>
            <w:noWrap w:val="0"/>
            <w:vAlign w:val="top"/>
          </w:tcPr>
          <w:p w14:paraId="7BF64566">
            <w:pPr>
              <w:rPr>
                <w:rFonts w:hint="eastAsia" w:ascii="宋体" w:hAnsi="宋体" w:eastAsia="宋体" w:cs="宋体"/>
                <w:sz w:val="21"/>
                <w:szCs w:val="21"/>
                <w:highlight w:val="none"/>
              </w:rPr>
            </w:pPr>
          </w:p>
        </w:tc>
        <w:tc>
          <w:tcPr>
            <w:tcW w:w="725" w:type="dxa"/>
            <w:noWrap w:val="0"/>
            <w:vAlign w:val="top"/>
          </w:tcPr>
          <w:p w14:paraId="07745D3B">
            <w:pPr>
              <w:rPr>
                <w:rFonts w:hint="eastAsia" w:ascii="宋体" w:hAnsi="宋体" w:eastAsia="宋体" w:cs="宋体"/>
                <w:sz w:val="21"/>
                <w:szCs w:val="21"/>
                <w:highlight w:val="none"/>
              </w:rPr>
            </w:pPr>
          </w:p>
        </w:tc>
        <w:tc>
          <w:tcPr>
            <w:tcW w:w="725" w:type="dxa"/>
            <w:noWrap w:val="0"/>
            <w:vAlign w:val="top"/>
          </w:tcPr>
          <w:p w14:paraId="63F93958">
            <w:pPr>
              <w:rPr>
                <w:rFonts w:hint="eastAsia" w:ascii="宋体" w:hAnsi="宋体" w:eastAsia="宋体" w:cs="宋体"/>
                <w:sz w:val="21"/>
                <w:szCs w:val="21"/>
                <w:highlight w:val="none"/>
              </w:rPr>
            </w:pPr>
          </w:p>
        </w:tc>
        <w:tc>
          <w:tcPr>
            <w:tcW w:w="1242" w:type="dxa"/>
            <w:noWrap w:val="0"/>
            <w:vAlign w:val="top"/>
          </w:tcPr>
          <w:p w14:paraId="4890E1A0">
            <w:pPr>
              <w:rPr>
                <w:rFonts w:hint="eastAsia" w:ascii="宋体" w:hAnsi="宋体" w:eastAsia="宋体" w:cs="宋体"/>
                <w:sz w:val="21"/>
                <w:szCs w:val="21"/>
                <w:highlight w:val="none"/>
              </w:rPr>
            </w:pPr>
          </w:p>
        </w:tc>
        <w:tc>
          <w:tcPr>
            <w:tcW w:w="1087" w:type="dxa"/>
            <w:noWrap w:val="0"/>
            <w:vAlign w:val="top"/>
          </w:tcPr>
          <w:p w14:paraId="0FA4AC42">
            <w:pPr>
              <w:rPr>
                <w:rFonts w:hint="eastAsia" w:ascii="宋体" w:hAnsi="宋体" w:eastAsia="宋体" w:cs="宋体"/>
                <w:sz w:val="21"/>
                <w:szCs w:val="21"/>
                <w:highlight w:val="none"/>
              </w:rPr>
            </w:pPr>
          </w:p>
        </w:tc>
        <w:tc>
          <w:tcPr>
            <w:tcW w:w="1087" w:type="dxa"/>
            <w:noWrap w:val="0"/>
            <w:vAlign w:val="top"/>
          </w:tcPr>
          <w:p w14:paraId="6A5F3322">
            <w:pPr>
              <w:rPr>
                <w:rFonts w:hint="eastAsia" w:ascii="宋体" w:hAnsi="宋体" w:eastAsia="宋体" w:cs="宋体"/>
                <w:sz w:val="21"/>
                <w:szCs w:val="21"/>
                <w:highlight w:val="none"/>
              </w:rPr>
            </w:pPr>
          </w:p>
        </w:tc>
        <w:tc>
          <w:tcPr>
            <w:tcW w:w="776" w:type="dxa"/>
            <w:noWrap w:val="0"/>
            <w:vAlign w:val="top"/>
          </w:tcPr>
          <w:p w14:paraId="0B90E46D">
            <w:pPr>
              <w:rPr>
                <w:rFonts w:hint="eastAsia" w:ascii="宋体" w:hAnsi="宋体" w:eastAsia="宋体" w:cs="宋体"/>
                <w:sz w:val="21"/>
                <w:szCs w:val="21"/>
                <w:highlight w:val="none"/>
              </w:rPr>
            </w:pPr>
          </w:p>
        </w:tc>
      </w:tr>
      <w:tr w14:paraId="3F0F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5DB7A979">
            <w:pPr>
              <w:rPr>
                <w:rFonts w:hint="eastAsia" w:ascii="宋体" w:hAnsi="宋体" w:eastAsia="宋体" w:cs="宋体"/>
                <w:sz w:val="21"/>
                <w:szCs w:val="21"/>
                <w:highlight w:val="none"/>
              </w:rPr>
            </w:pPr>
          </w:p>
        </w:tc>
        <w:tc>
          <w:tcPr>
            <w:tcW w:w="621" w:type="dxa"/>
            <w:noWrap w:val="0"/>
            <w:vAlign w:val="top"/>
          </w:tcPr>
          <w:p w14:paraId="68630E70">
            <w:pPr>
              <w:rPr>
                <w:rFonts w:hint="eastAsia" w:ascii="宋体" w:hAnsi="宋体" w:eastAsia="宋体" w:cs="宋体"/>
                <w:sz w:val="21"/>
                <w:szCs w:val="21"/>
                <w:highlight w:val="none"/>
              </w:rPr>
            </w:pPr>
          </w:p>
        </w:tc>
        <w:tc>
          <w:tcPr>
            <w:tcW w:w="1087" w:type="dxa"/>
            <w:noWrap w:val="0"/>
            <w:vAlign w:val="top"/>
          </w:tcPr>
          <w:p w14:paraId="16E50B4C">
            <w:pPr>
              <w:rPr>
                <w:rFonts w:hint="eastAsia" w:ascii="宋体" w:hAnsi="宋体" w:eastAsia="宋体" w:cs="宋体"/>
                <w:sz w:val="21"/>
                <w:szCs w:val="21"/>
                <w:highlight w:val="none"/>
              </w:rPr>
            </w:pPr>
          </w:p>
        </w:tc>
        <w:tc>
          <w:tcPr>
            <w:tcW w:w="725" w:type="dxa"/>
            <w:noWrap w:val="0"/>
            <w:vAlign w:val="top"/>
          </w:tcPr>
          <w:p w14:paraId="55409F1B">
            <w:pPr>
              <w:rPr>
                <w:rFonts w:hint="eastAsia" w:ascii="宋体" w:hAnsi="宋体" w:eastAsia="宋体" w:cs="宋体"/>
                <w:sz w:val="21"/>
                <w:szCs w:val="21"/>
                <w:highlight w:val="none"/>
              </w:rPr>
            </w:pPr>
          </w:p>
        </w:tc>
        <w:tc>
          <w:tcPr>
            <w:tcW w:w="725" w:type="dxa"/>
            <w:noWrap w:val="0"/>
            <w:vAlign w:val="top"/>
          </w:tcPr>
          <w:p w14:paraId="3406624D">
            <w:pPr>
              <w:rPr>
                <w:rFonts w:hint="eastAsia" w:ascii="宋体" w:hAnsi="宋体" w:eastAsia="宋体" w:cs="宋体"/>
                <w:sz w:val="21"/>
                <w:szCs w:val="21"/>
                <w:highlight w:val="none"/>
              </w:rPr>
            </w:pPr>
          </w:p>
        </w:tc>
        <w:tc>
          <w:tcPr>
            <w:tcW w:w="725" w:type="dxa"/>
            <w:noWrap w:val="0"/>
            <w:vAlign w:val="top"/>
          </w:tcPr>
          <w:p w14:paraId="00E73C1F">
            <w:pPr>
              <w:rPr>
                <w:rFonts w:hint="eastAsia" w:ascii="宋体" w:hAnsi="宋体" w:eastAsia="宋体" w:cs="宋体"/>
                <w:sz w:val="21"/>
                <w:szCs w:val="21"/>
                <w:highlight w:val="none"/>
              </w:rPr>
            </w:pPr>
          </w:p>
        </w:tc>
        <w:tc>
          <w:tcPr>
            <w:tcW w:w="1242" w:type="dxa"/>
            <w:noWrap w:val="0"/>
            <w:vAlign w:val="top"/>
          </w:tcPr>
          <w:p w14:paraId="4D5A0EFB">
            <w:pPr>
              <w:rPr>
                <w:rFonts w:hint="eastAsia" w:ascii="宋体" w:hAnsi="宋体" w:eastAsia="宋体" w:cs="宋体"/>
                <w:sz w:val="21"/>
                <w:szCs w:val="21"/>
                <w:highlight w:val="none"/>
              </w:rPr>
            </w:pPr>
          </w:p>
        </w:tc>
        <w:tc>
          <w:tcPr>
            <w:tcW w:w="1087" w:type="dxa"/>
            <w:noWrap w:val="0"/>
            <w:vAlign w:val="top"/>
          </w:tcPr>
          <w:p w14:paraId="5BAF5319">
            <w:pPr>
              <w:rPr>
                <w:rFonts w:hint="eastAsia" w:ascii="宋体" w:hAnsi="宋体" w:eastAsia="宋体" w:cs="宋体"/>
                <w:sz w:val="21"/>
                <w:szCs w:val="21"/>
                <w:highlight w:val="none"/>
              </w:rPr>
            </w:pPr>
          </w:p>
        </w:tc>
        <w:tc>
          <w:tcPr>
            <w:tcW w:w="1087" w:type="dxa"/>
            <w:noWrap w:val="0"/>
            <w:vAlign w:val="top"/>
          </w:tcPr>
          <w:p w14:paraId="40F541ED">
            <w:pPr>
              <w:rPr>
                <w:rFonts w:hint="eastAsia" w:ascii="宋体" w:hAnsi="宋体" w:eastAsia="宋体" w:cs="宋体"/>
                <w:sz w:val="21"/>
                <w:szCs w:val="21"/>
                <w:highlight w:val="none"/>
              </w:rPr>
            </w:pPr>
          </w:p>
        </w:tc>
        <w:tc>
          <w:tcPr>
            <w:tcW w:w="776" w:type="dxa"/>
            <w:noWrap w:val="0"/>
            <w:vAlign w:val="top"/>
          </w:tcPr>
          <w:p w14:paraId="6DB5A0E7">
            <w:pPr>
              <w:rPr>
                <w:rFonts w:hint="eastAsia" w:ascii="宋体" w:hAnsi="宋体" w:eastAsia="宋体" w:cs="宋体"/>
                <w:sz w:val="21"/>
                <w:szCs w:val="21"/>
                <w:highlight w:val="none"/>
              </w:rPr>
            </w:pPr>
          </w:p>
        </w:tc>
      </w:tr>
      <w:tr w14:paraId="0533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0FE7242E">
            <w:pPr>
              <w:rPr>
                <w:rFonts w:hint="eastAsia" w:ascii="宋体" w:hAnsi="宋体" w:eastAsia="宋体" w:cs="宋体"/>
                <w:sz w:val="21"/>
                <w:szCs w:val="21"/>
                <w:highlight w:val="none"/>
              </w:rPr>
            </w:pPr>
          </w:p>
        </w:tc>
        <w:tc>
          <w:tcPr>
            <w:tcW w:w="621" w:type="dxa"/>
            <w:noWrap w:val="0"/>
            <w:vAlign w:val="top"/>
          </w:tcPr>
          <w:p w14:paraId="097F5599">
            <w:pPr>
              <w:rPr>
                <w:rFonts w:hint="eastAsia" w:ascii="宋体" w:hAnsi="宋体" w:eastAsia="宋体" w:cs="宋体"/>
                <w:sz w:val="21"/>
                <w:szCs w:val="21"/>
                <w:highlight w:val="none"/>
              </w:rPr>
            </w:pPr>
          </w:p>
        </w:tc>
        <w:tc>
          <w:tcPr>
            <w:tcW w:w="1087" w:type="dxa"/>
            <w:noWrap w:val="0"/>
            <w:vAlign w:val="top"/>
          </w:tcPr>
          <w:p w14:paraId="56112440">
            <w:pPr>
              <w:rPr>
                <w:rFonts w:hint="eastAsia" w:ascii="宋体" w:hAnsi="宋体" w:eastAsia="宋体" w:cs="宋体"/>
                <w:sz w:val="21"/>
                <w:szCs w:val="21"/>
                <w:highlight w:val="none"/>
              </w:rPr>
            </w:pPr>
          </w:p>
        </w:tc>
        <w:tc>
          <w:tcPr>
            <w:tcW w:w="725" w:type="dxa"/>
            <w:noWrap w:val="0"/>
            <w:vAlign w:val="top"/>
          </w:tcPr>
          <w:p w14:paraId="740811C6">
            <w:pPr>
              <w:rPr>
                <w:rFonts w:hint="eastAsia" w:ascii="宋体" w:hAnsi="宋体" w:eastAsia="宋体" w:cs="宋体"/>
                <w:sz w:val="21"/>
                <w:szCs w:val="21"/>
                <w:highlight w:val="none"/>
              </w:rPr>
            </w:pPr>
          </w:p>
        </w:tc>
        <w:tc>
          <w:tcPr>
            <w:tcW w:w="725" w:type="dxa"/>
            <w:noWrap w:val="0"/>
            <w:vAlign w:val="top"/>
          </w:tcPr>
          <w:p w14:paraId="0B65CF2A">
            <w:pPr>
              <w:rPr>
                <w:rFonts w:hint="eastAsia" w:ascii="宋体" w:hAnsi="宋体" w:eastAsia="宋体" w:cs="宋体"/>
                <w:sz w:val="21"/>
                <w:szCs w:val="21"/>
                <w:highlight w:val="none"/>
              </w:rPr>
            </w:pPr>
          </w:p>
        </w:tc>
        <w:tc>
          <w:tcPr>
            <w:tcW w:w="725" w:type="dxa"/>
            <w:noWrap w:val="0"/>
            <w:vAlign w:val="top"/>
          </w:tcPr>
          <w:p w14:paraId="1FFDAA33">
            <w:pPr>
              <w:rPr>
                <w:rFonts w:hint="eastAsia" w:ascii="宋体" w:hAnsi="宋体" w:eastAsia="宋体" w:cs="宋体"/>
                <w:sz w:val="21"/>
                <w:szCs w:val="21"/>
                <w:highlight w:val="none"/>
              </w:rPr>
            </w:pPr>
          </w:p>
        </w:tc>
        <w:tc>
          <w:tcPr>
            <w:tcW w:w="1242" w:type="dxa"/>
            <w:noWrap w:val="0"/>
            <w:vAlign w:val="top"/>
          </w:tcPr>
          <w:p w14:paraId="7A44DD9A">
            <w:pPr>
              <w:rPr>
                <w:rFonts w:hint="eastAsia" w:ascii="宋体" w:hAnsi="宋体" w:eastAsia="宋体" w:cs="宋体"/>
                <w:sz w:val="21"/>
                <w:szCs w:val="21"/>
                <w:highlight w:val="none"/>
              </w:rPr>
            </w:pPr>
          </w:p>
        </w:tc>
        <w:tc>
          <w:tcPr>
            <w:tcW w:w="1087" w:type="dxa"/>
            <w:noWrap w:val="0"/>
            <w:vAlign w:val="top"/>
          </w:tcPr>
          <w:p w14:paraId="38F1F9E0">
            <w:pPr>
              <w:rPr>
                <w:rFonts w:hint="eastAsia" w:ascii="宋体" w:hAnsi="宋体" w:eastAsia="宋体" w:cs="宋体"/>
                <w:sz w:val="21"/>
                <w:szCs w:val="21"/>
                <w:highlight w:val="none"/>
              </w:rPr>
            </w:pPr>
          </w:p>
        </w:tc>
        <w:tc>
          <w:tcPr>
            <w:tcW w:w="1087" w:type="dxa"/>
            <w:noWrap w:val="0"/>
            <w:vAlign w:val="top"/>
          </w:tcPr>
          <w:p w14:paraId="05FA16A8">
            <w:pPr>
              <w:rPr>
                <w:rFonts w:hint="eastAsia" w:ascii="宋体" w:hAnsi="宋体" w:eastAsia="宋体" w:cs="宋体"/>
                <w:sz w:val="21"/>
                <w:szCs w:val="21"/>
                <w:highlight w:val="none"/>
              </w:rPr>
            </w:pPr>
          </w:p>
        </w:tc>
        <w:tc>
          <w:tcPr>
            <w:tcW w:w="776" w:type="dxa"/>
            <w:noWrap w:val="0"/>
            <w:vAlign w:val="top"/>
          </w:tcPr>
          <w:p w14:paraId="2F1C7126">
            <w:pPr>
              <w:rPr>
                <w:rFonts w:hint="eastAsia" w:ascii="宋体" w:hAnsi="宋体" w:eastAsia="宋体" w:cs="宋体"/>
                <w:sz w:val="21"/>
                <w:szCs w:val="21"/>
                <w:highlight w:val="none"/>
              </w:rPr>
            </w:pPr>
          </w:p>
        </w:tc>
      </w:tr>
      <w:tr w14:paraId="26D9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01A50483">
            <w:pPr>
              <w:rPr>
                <w:rFonts w:hint="eastAsia" w:ascii="宋体" w:hAnsi="宋体" w:eastAsia="宋体" w:cs="宋体"/>
                <w:sz w:val="21"/>
                <w:szCs w:val="21"/>
                <w:highlight w:val="none"/>
              </w:rPr>
            </w:pPr>
          </w:p>
        </w:tc>
        <w:tc>
          <w:tcPr>
            <w:tcW w:w="621" w:type="dxa"/>
            <w:noWrap w:val="0"/>
            <w:vAlign w:val="top"/>
          </w:tcPr>
          <w:p w14:paraId="4C29B17D">
            <w:pPr>
              <w:rPr>
                <w:rFonts w:hint="eastAsia" w:ascii="宋体" w:hAnsi="宋体" w:eastAsia="宋体" w:cs="宋体"/>
                <w:sz w:val="21"/>
                <w:szCs w:val="21"/>
                <w:highlight w:val="none"/>
              </w:rPr>
            </w:pPr>
          </w:p>
        </w:tc>
        <w:tc>
          <w:tcPr>
            <w:tcW w:w="1087" w:type="dxa"/>
            <w:noWrap w:val="0"/>
            <w:vAlign w:val="top"/>
          </w:tcPr>
          <w:p w14:paraId="4C7C23D9">
            <w:pPr>
              <w:rPr>
                <w:rFonts w:hint="eastAsia" w:ascii="宋体" w:hAnsi="宋体" w:eastAsia="宋体" w:cs="宋体"/>
                <w:sz w:val="21"/>
                <w:szCs w:val="21"/>
                <w:highlight w:val="none"/>
              </w:rPr>
            </w:pPr>
          </w:p>
        </w:tc>
        <w:tc>
          <w:tcPr>
            <w:tcW w:w="725" w:type="dxa"/>
            <w:noWrap w:val="0"/>
            <w:vAlign w:val="top"/>
          </w:tcPr>
          <w:p w14:paraId="491AF0FB">
            <w:pPr>
              <w:rPr>
                <w:rFonts w:hint="eastAsia" w:ascii="宋体" w:hAnsi="宋体" w:eastAsia="宋体" w:cs="宋体"/>
                <w:sz w:val="21"/>
                <w:szCs w:val="21"/>
                <w:highlight w:val="none"/>
              </w:rPr>
            </w:pPr>
          </w:p>
        </w:tc>
        <w:tc>
          <w:tcPr>
            <w:tcW w:w="725" w:type="dxa"/>
            <w:noWrap w:val="0"/>
            <w:vAlign w:val="top"/>
          </w:tcPr>
          <w:p w14:paraId="374D7242">
            <w:pPr>
              <w:rPr>
                <w:rFonts w:hint="eastAsia" w:ascii="宋体" w:hAnsi="宋体" w:eastAsia="宋体" w:cs="宋体"/>
                <w:sz w:val="21"/>
                <w:szCs w:val="21"/>
                <w:highlight w:val="none"/>
              </w:rPr>
            </w:pPr>
          </w:p>
        </w:tc>
        <w:tc>
          <w:tcPr>
            <w:tcW w:w="725" w:type="dxa"/>
            <w:noWrap w:val="0"/>
            <w:vAlign w:val="top"/>
          </w:tcPr>
          <w:p w14:paraId="6C44B158">
            <w:pPr>
              <w:rPr>
                <w:rFonts w:hint="eastAsia" w:ascii="宋体" w:hAnsi="宋体" w:eastAsia="宋体" w:cs="宋体"/>
                <w:sz w:val="21"/>
                <w:szCs w:val="21"/>
                <w:highlight w:val="none"/>
              </w:rPr>
            </w:pPr>
          </w:p>
        </w:tc>
        <w:tc>
          <w:tcPr>
            <w:tcW w:w="1242" w:type="dxa"/>
            <w:noWrap w:val="0"/>
            <w:vAlign w:val="top"/>
          </w:tcPr>
          <w:p w14:paraId="3A175C93">
            <w:pPr>
              <w:rPr>
                <w:rFonts w:hint="eastAsia" w:ascii="宋体" w:hAnsi="宋体" w:eastAsia="宋体" w:cs="宋体"/>
                <w:sz w:val="21"/>
                <w:szCs w:val="21"/>
                <w:highlight w:val="none"/>
              </w:rPr>
            </w:pPr>
          </w:p>
        </w:tc>
        <w:tc>
          <w:tcPr>
            <w:tcW w:w="1087" w:type="dxa"/>
            <w:noWrap w:val="0"/>
            <w:vAlign w:val="top"/>
          </w:tcPr>
          <w:p w14:paraId="0DC66D11">
            <w:pPr>
              <w:rPr>
                <w:rFonts w:hint="eastAsia" w:ascii="宋体" w:hAnsi="宋体" w:eastAsia="宋体" w:cs="宋体"/>
                <w:sz w:val="21"/>
                <w:szCs w:val="21"/>
                <w:highlight w:val="none"/>
              </w:rPr>
            </w:pPr>
          </w:p>
        </w:tc>
        <w:tc>
          <w:tcPr>
            <w:tcW w:w="1087" w:type="dxa"/>
            <w:noWrap w:val="0"/>
            <w:vAlign w:val="top"/>
          </w:tcPr>
          <w:p w14:paraId="29B21681">
            <w:pPr>
              <w:rPr>
                <w:rFonts w:hint="eastAsia" w:ascii="宋体" w:hAnsi="宋体" w:eastAsia="宋体" w:cs="宋体"/>
                <w:sz w:val="21"/>
                <w:szCs w:val="21"/>
                <w:highlight w:val="none"/>
              </w:rPr>
            </w:pPr>
          </w:p>
        </w:tc>
        <w:tc>
          <w:tcPr>
            <w:tcW w:w="776" w:type="dxa"/>
            <w:noWrap w:val="0"/>
            <w:vAlign w:val="top"/>
          </w:tcPr>
          <w:p w14:paraId="0F4F39D4">
            <w:pPr>
              <w:rPr>
                <w:rFonts w:hint="eastAsia" w:ascii="宋体" w:hAnsi="宋体" w:eastAsia="宋体" w:cs="宋体"/>
                <w:sz w:val="21"/>
                <w:szCs w:val="21"/>
                <w:highlight w:val="none"/>
              </w:rPr>
            </w:pPr>
          </w:p>
        </w:tc>
      </w:tr>
      <w:tr w14:paraId="0A8C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1818B75C">
            <w:pPr>
              <w:rPr>
                <w:rFonts w:hint="eastAsia" w:ascii="宋体" w:hAnsi="宋体" w:eastAsia="宋体" w:cs="宋体"/>
                <w:sz w:val="21"/>
                <w:szCs w:val="21"/>
                <w:highlight w:val="none"/>
              </w:rPr>
            </w:pPr>
          </w:p>
        </w:tc>
        <w:tc>
          <w:tcPr>
            <w:tcW w:w="621" w:type="dxa"/>
            <w:noWrap w:val="0"/>
            <w:vAlign w:val="top"/>
          </w:tcPr>
          <w:p w14:paraId="29A1D581">
            <w:pPr>
              <w:rPr>
                <w:rFonts w:hint="eastAsia" w:ascii="宋体" w:hAnsi="宋体" w:eastAsia="宋体" w:cs="宋体"/>
                <w:sz w:val="21"/>
                <w:szCs w:val="21"/>
                <w:highlight w:val="none"/>
              </w:rPr>
            </w:pPr>
          </w:p>
        </w:tc>
        <w:tc>
          <w:tcPr>
            <w:tcW w:w="1087" w:type="dxa"/>
            <w:noWrap w:val="0"/>
            <w:vAlign w:val="top"/>
          </w:tcPr>
          <w:p w14:paraId="09C32042">
            <w:pPr>
              <w:rPr>
                <w:rFonts w:hint="eastAsia" w:ascii="宋体" w:hAnsi="宋体" w:eastAsia="宋体" w:cs="宋体"/>
                <w:sz w:val="21"/>
                <w:szCs w:val="21"/>
                <w:highlight w:val="none"/>
              </w:rPr>
            </w:pPr>
          </w:p>
        </w:tc>
        <w:tc>
          <w:tcPr>
            <w:tcW w:w="725" w:type="dxa"/>
            <w:noWrap w:val="0"/>
            <w:vAlign w:val="top"/>
          </w:tcPr>
          <w:p w14:paraId="74550BDB">
            <w:pPr>
              <w:rPr>
                <w:rFonts w:hint="eastAsia" w:ascii="宋体" w:hAnsi="宋体" w:eastAsia="宋体" w:cs="宋体"/>
                <w:sz w:val="21"/>
                <w:szCs w:val="21"/>
                <w:highlight w:val="none"/>
              </w:rPr>
            </w:pPr>
          </w:p>
        </w:tc>
        <w:tc>
          <w:tcPr>
            <w:tcW w:w="725" w:type="dxa"/>
            <w:noWrap w:val="0"/>
            <w:vAlign w:val="top"/>
          </w:tcPr>
          <w:p w14:paraId="6E1B107E">
            <w:pPr>
              <w:rPr>
                <w:rFonts w:hint="eastAsia" w:ascii="宋体" w:hAnsi="宋体" w:eastAsia="宋体" w:cs="宋体"/>
                <w:sz w:val="21"/>
                <w:szCs w:val="21"/>
                <w:highlight w:val="none"/>
              </w:rPr>
            </w:pPr>
          </w:p>
        </w:tc>
        <w:tc>
          <w:tcPr>
            <w:tcW w:w="725" w:type="dxa"/>
            <w:noWrap w:val="0"/>
            <w:vAlign w:val="top"/>
          </w:tcPr>
          <w:p w14:paraId="5BD693C7">
            <w:pPr>
              <w:rPr>
                <w:rFonts w:hint="eastAsia" w:ascii="宋体" w:hAnsi="宋体" w:eastAsia="宋体" w:cs="宋体"/>
                <w:sz w:val="21"/>
                <w:szCs w:val="21"/>
                <w:highlight w:val="none"/>
              </w:rPr>
            </w:pPr>
          </w:p>
        </w:tc>
        <w:tc>
          <w:tcPr>
            <w:tcW w:w="1242" w:type="dxa"/>
            <w:noWrap w:val="0"/>
            <w:vAlign w:val="top"/>
          </w:tcPr>
          <w:p w14:paraId="7D3811F1">
            <w:pPr>
              <w:rPr>
                <w:rFonts w:hint="eastAsia" w:ascii="宋体" w:hAnsi="宋体" w:eastAsia="宋体" w:cs="宋体"/>
                <w:sz w:val="21"/>
                <w:szCs w:val="21"/>
                <w:highlight w:val="none"/>
              </w:rPr>
            </w:pPr>
          </w:p>
        </w:tc>
        <w:tc>
          <w:tcPr>
            <w:tcW w:w="1087" w:type="dxa"/>
            <w:noWrap w:val="0"/>
            <w:vAlign w:val="top"/>
          </w:tcPr>
          <w:p w14:paraId="363E11A5">
            <w:pPr>
              <w:rPr>
                <w:rFonts w:hint="eastAsia" w:ascii="宋体" w:hAnsi="宋体" w:eastAsia="宋体" w:cs="宋体"/>
                <w:sz w:val="21"/>
                <w:szCs w:val="21"/>
                <w:highlight w:val="none"/>
              </w:rPr>
            </w:pPr>
          </w:p>
        </w:tc>
        <w:tc>
          <w:tcPr>
            <w:tcW w:w="1087" w:type="dxa"/>
            <w:noWrap w:val="0"/>
            <w:vAlign w:val="top"/>
          </w:tcPr>
          <w:p w14:paraId="6C29C51E">
            <w:pPr>
              <w:rPr>
                <w:rFonts w:hint="eastAsia" w:ascii="宋体" w:hAnsi="宋体" w:eastAsia="宋体" w:cs="宋体"/>
                <w:sz w:val="21"/>
                <w:szCs w:val="21"/>
                <w:highlight w:val="none"/>
              </w:rPr>
            </w:pPr>
          </w:p>
        </w:tc>
        <w:tc>
          <w:tcPr>
            <w:tcW w:w="776" w:type="dxa"/>
            <w:noWrap w:val="0"/>
            <w:vAlign w:val="top"/>
          </w:tcPr>
          <w:p w14:paraId="38521406">
            <w:pPr>
              <w:rPr>
                <w:rFonts w:hint="eastAsia" w:ascii="宋体" w:hAnsi="宋体" w:eastAsia="宋体" w:cs="宋体"/>
                <w:sz w:val="21"/>
                <w:szCs w:val="21"/>
                <w:highlight w:val="none"/>
              </w:rPr>
            </w:pPr>
          </w:p>
        </w:tc>
      </w:tr>
      <w:tr w14:paraId="6217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6DE47046">
            <w:pPr>
              <w:rPr>
                <w:rFonts w:hint="eastAsia" w:ascii="宋体" w:hAnsi="宋体" w:eastAsia="宋体" w:cs="宋体"/>
                <w:sz w:val="21"/>
                <w:szCs w:val="21"/>
                <w:highlight w:val="none"/>
              </w:rPr>
            </w:pPr>
          </w:p>
        </w:tc>
        <w:tc>
          <w:tcPr>
            <w:tcW w:w="621" w:type="dxa"/>
            <w:noWrap w:val="0"/>
            <w:vAlign w:val="top"/>
          </w:tcPr>
          <w:p w14:paraId="3A8DD142">
            <w:pPr>
              <w:rPr>
                <w:rFonts w:hint="eastAsia" w:ascii="宋体" w:hAnsi="宋体" w:eastAsia="宋体" w:cs="宋体"/>
                <w:sz w:val="21"/>
                <w:szCs w:val="21"/>
                <w:highlight w:val="none"/>
              </w:rPr>
            </w:pPr>
          </w:p>
        </w:tc>
        <w:tc>
          <w:tcPr>
            <w:tcW w:w="1087" w:type="dxa"/>
            <w:noWrap w:val="0"/>
            <w:vAlign w:val="top"/>
          </w:tcPr>
          <w:p w14:paraId="308FC846">
            <w:pPr>
              <w:rPr>
                <w:rFonts w:hint="eastAsia" w:ascii="宋体" w:hAnsi="宋体" w:eastAsia="宋体" w:cs="宋体"/>
                <w:sz w:val="21"/>
                <w:szCs w:val="21"/>
                <w:highlight w:val="none"/>
              </w:rPr>
            </w:pPr>
          </w:p>
        </w:tc>
        <w:tc>
          <w:tcPr>
            <w:tcW w:w="725" w:type="dxa"/>
            <w:noWrap w:val="0"/>
            <w:vAlign w:val="top"/>
          </w:tcPr>
          <w:p w14:paraId="7B2D61BA">
            <w:pPr>
              <w:rPr>
                <w:rFonts w:hint="eastAsia" w:ascii="宋体" w:hAnsi="宋体" w:eastAsia="宋体" w:cs="宋体"/>
                <w:sz w:val="21"/>
                <w:szCs w:val="21"/>
                <w:highlight w:val="none"/>
              </w:rPr>
            </w:pPr>
          </w:p>
        </w:tc>
        <w:tc>
          <w:tcPr>
            <w:tcW w:w="725" w:type="dxa"/>
            <w:noWrap w:val="0"/>
            <w:vAlign w:val="top"/>
          </w:tcPr>
          <w:p w14:paraId="2F0F1E4B">
            <w:pPr>
              <w:rPr>
                <w:rFonts w:hint="eastAsia" w:ascii="宋体" w:hAnsi="宋体" w:eastAsia="宋体" w:cs="宋体"/>
                <w:sz w:val="21"/>
                <w:szCs w:val="21"/>
                <w:highlight w:val="none"/>
              </w:rPr>
            </w:pPr>
          </w:p>
        </w:tc>
        <w:tc>
          <w:tcPr>
            <w:tcW w:w="725" w:type="dxa"/>
            <w:noWrap w:val="0"/>
            <w:vAlign w:val="top"/>
          </w:tcPr>
          <w:p w14:paraId="69A143ED">
            <w:pPr>
              <w:rPr>
                <w:rFonts w:hint="eastAsia" w:ascii="宋体" w:hAnsi="宋体" w:eastAsia="宋体" w:cs="宋体"/>
                <w:sz w:val="21"/>
                <w:szCs w:val="21"/>
                <w:highlight w:val="none"/>
              </w:rPr>
            </w:pPr>
          </w:p>
        </w:tc>
        <w:tc>
          <w:tcPr>
            <w:tcW w:w="1242" w:type="dxa"/>
            <w:noWrap w:val="0"/>
            <w:vAlign w:val="top"/>
          </w:tcPr>
          <w:p w14:paraId="790553EC">
            <w:pPr>
              <w:rPr>
                <w:rFonts w:hint="eastAsia" w:ascii="宋体" w:hAnsi="宋体" w:eastAsia="宋体" w:cs="宋体"/>
                <w:sz w:val="21"/>
                <w:szCs w:val="21"/>
                <w:highlight w:val="none"/>
              </w:rPr>
            </w:pPr>
          </w:p>
        </w:tc>
        <w:tc>
          <w:tcPr>
            <w:tcW w:w="1087" w:type="dxa"/>
            <w:noWrap w:val="0"/>
            <w:vAlign w:val="top"/>
          </w:tcPr>
          <w:p w14:paraId="3265509D">
            <w:pPr>
              <w:rPr>
                <w:rFonts w:hint="eastAsia" w:ascii="宋体" w:hAnsi="宋体" w:eastAsia="宋体" w:cs="宋体"/>
                <w:sz w:val="21"/>
                <w:szCs w:val="21"/>
                <w:highlight w:val="none"/>
              </w:rPr>
            </w:pPr>
          </w:p>
        </w:tc>
        <w:tc>
          <w:tcPr>
            <w:tcW w:w="1087" w:type="dxa"/>
            <w:noWrap w:val="0"/>
            <w:vAlign w:val="top"/>
          </w:tcPr>
          <w:p w14:paraId="7516712F">
            <w:pPr>
              <w:rPr>
                <w:rFonts w:hint="eastAsia" w:ascii="宋体" w:hAnsi="宋体" w:eastAsia="宋体" w:cs="宋体"/>
                <w:sz w:val="21"/>
                <w:szCs w:val="21"/>
                <w:highlight w:val="none"/>
              </w:rPr>
            </w:pPr>
          </w:p>
        </w:tc>
        <w:tc>
          <w:tcPr>
            <w:tcW w:w="776" w:type="dxa"/>
            <w:noWrap w:val="0"/>
            <w:vAlign w:val="top"/>
          </w:tcPr>
          <w:p w14:paraId="19A2B5A7">
            <w:pPr>
              <w:rPr>
                <w:rFonts w:hint="eastAsia" w:ascii="宋体" w:hAnsi="宋体" w:eastAsia="宋体" w:cs="宋体"/>
                <w:sz w:val="21"/>
                <w:szCs w:val="21"/>
                <w:highlight w:val="none"/>
              </w:rPr>
            </w:pPr>
          </w:p>
        </w:tc>
      </w:tr>
      <w:tr w14:paraId="53E6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22D1AB92">
            <w:pPr>
              <w:rPr>
                <w:rFonts w:hint="eastAsia" w:ascii="宋体" w:hAnsi="宋体" w:eastAsia="宋体" w:cs="宋体"/>
                <w:sz w:val="21"/>
                <w:szCs w:val="21"/>
                <w:highlight w:val="none"/>
              </w:rPr>
            </w:pPr>
          </w:p>
        </w:tc>
        <w:tc>
          <w:tcPr>
            <w:tcW w:w="621" w:type="dxa"/>
            <w:noWrap w:val="0"/>
            <w:vAlign w:val="top"/>
          </w:tcPr>
          <w:p w14:paraId="211C5BF8">
            <w:pPr>
              <w:rPr>
                <w:rFonts w:hint="eastAsia" w:ascii="宋体" w:hAnsi="宋体" w:eastAsia="宋体" w:cs="宋体"/>
                <w:sz w:val="21"/>
                <w:szCs w:val="21"/>
                <w:highlight w:val="none"/>
              </w:rPr>
            </w:pPr>
          </w:p>
        </w:tc>
        <w:tc>
          <w:tcPr>
            <w:tcW w:w="1087" w:type="dxa"/>
            <w:noWrap w:val="0"/>
            <w:vAlign w:val="top"/>
          </w:tcPr>
          <w:p w14:paraId="70466BD7">
            <w:pPr>
              <w:rPr>
                <w:rFonts w:hint="eastAsia" w:ascii="宋体" w:hAnsi="宋体" w:eastAsia="宋体" w:cs="宋体"/>
                <w:sz w:val="21"/>
                <w:szCs w:val="21"/>
                <w:highlight w:val="none"/>
              </w:rPr>
            </w:pPr>
          </w:p>
        </w:tc>
        <w:tc>
          <w:tcPr>
            <w:tcW w:w="725" w:type="dxa"/>
            <w:noWrap w:val="0"/>
            <w:vAlign w:val="top"/>
          </w:tcPr>
          <w:p w14:paraId="3E6C975E">
            <w:pPr>
              <w:rPr>
                <w:rFonts w:hint="eastAsia" w:ascii="宋体" w:hAnsi="宋体" w:eastAsia="宋体" w:cs="宋体"/>
                <w:sz w:val="21"/>
                <w:szCs w:val="21"/>
                <w:highlight w:val="none"/>
              </w:rPr>
            </w:pPr>
          </w:p>
        </w:tc>
        <w:tc>
          <w:tcPr>
            <w:tcW w:w="725" w:type="dxa"/>
            <w:noWrap w:val="0"/>
            <w:vAlign w:val="top"/>
          </w:tcPr>
          <w:p w14:paraId="3E7D14AC">
            <w:pPr>
              <w:rPr>
                <w:rFonts w:hint="eastAsia" w:ascii="宋体" w:hAnsi="宋体" w:eastAsia="宋体" w:cs="宋体"/>
                <w:sz w:val="21"/>
                <w:szCs w:val="21"/>
                <w:highlight w:val="none"/>
              </w:rPr>
            </w:pPr>
          </w:p>
        </w:tc>
        <w:tc>
          <w:tcPr>
            <w:tcW w:w="725" w:type="dxa"/>
            <w:noWrap w:val="0"/>
            <w:vAlign w:val="top"/>
          </w:tcPr>
          <w:p w14:paraId="23A868B7">
            <w:pPr>
              <w:rPr>
                <w:rFonts w:hint="eastAsia" w:ascii="宋体" w:hAnsi="宋体" w:eastAsia="宋体" w:cs="宋体"/>
                <w:sz w:val="21"/>
                <w:szCs w:val="21"/>
                <w:highlight w:val="none"/>
              </w:rPr>
            </w:pPr>
          </w:p>
        </w:tc>
        <w:tc>
          <w:tcPr>
            <w:tcW w:w="1242" w:type="dxa"/>
            <w:noWrap w:val="0"/>
            <w:vAlign w:val="top"/>
          </w:tcPr>
          <w:p w14:paraId="2D909CE0">
            <w:pPr>
              <w:rPr>
                <w:rFonts w:hint="eastAsia" w:ascii="宋体" w:hAnsi="宋体" w:eastAsia="宋体" w:cs="宋体"/>
                <w:sz w:val="21"/>
                <w:szCs w:val="21"/>
                <w:highlight w:val="none"/>
              </w:rPr>
            </w:pPr>
          </w:p>
        </w:tc>
        <w:tc>
          <w:tcPr>
            <w:tcW w:w="1087" w:type="dxa"/>
            <w:noWrap w:val="0"/>
            <w:vAlign w:val="top"/>
          </w:tcPr>
          <w:p w14:paraId="45DFC642">
            <w:pPr>
              <w:rPr>
                <w:rFonts w:hint="eastAsia" w:ascii="宋体" w:hAnsi="宋体" w:eastAsia="宋体" w:cs="宋体"/>
                <w:sz w:val="21"/>
                <w:szCs w:val="21"/>
                <w:highlight w:val="none"/>
              </w:rPr>
            </w:pPr>
          </w:p>
        </w:tc>
        <w:tc>
          <w:tcPr>
            <w:tcW w:w="1087" w:type="dxa"/>
            <w:noWrap w:val="0"/>
            <w:vAlign w:val="top"/>
          </w:tcPr>
          <w:p w14:paraId="2C306065">
            <w:pPr>
              <w:rPr>
                <w:rFonts w:hint="eastAsia" w:ascii="宋体" w:hAnsi="宋体" w:eastAsia="宋体" w:cs="宋体"/>
                <w:sz w:val="21"/>
                <w:szCs w:val="21"/>
                <w:highlight w:val="none"/>
              </w:rPr>
            </w:pPr>
          </w:p>
        </w:tc>
        <w:tc>
          <w:tcPr>
            <w:tcW w:w="776" w:type="dxa"/>
            <w:noWrap w:val="0"/>
            <w:vAlign w:val="top"/>
          </w:tcPr>
          <w:p w14:paraId="3FAE2A64">
            <w:pPr>
              <w:rPr>
                <w:rFonts w:hint="eastAsia" w:ascii="宋体" w:hAnsi="宋体" w:eastAsia="宋体" w:cs="宋体"/>
                <w:sz w:val="21"/>
                <w:szCs w:val="21"/>
                <w:highlight w:val="none"/>
              </w:rPr>
            </w:pPr>
          </w:p>
        </w:tc>
      </w:tr>
      <w:tr w14:paraId="3342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75C2DC56">
            <w:pPr>
              <w:rPr>
                <w:rFonts w:hint="eastAsia" w:ascii="宋体" w:hAnsi="宋体" w:eastAsia="宋体" w:cs="宋体"/>
                <w:sz w:val="21"/>
                <w:szCs w:val="21"/>
                <w:highlight w:val="none"/>
              </w:rPr>
            </w:pPr>
          </w:p>
        </w:tc>
        <w:tc>
          <w:tcPr>
            <w:tcW w:w="621" w:type="dxa"/>
            <w:noWrap w:val="0"/>
            <w:vAlign w:val="top"/>
          </w:tcPr>
          <w:p w14:paraId="6DAAF5CD">
            <w:pPr>
              <w:rPr>
                <w:rFonts w:hint="eastAsia" w:ascii="宋体" w:hAnsi="宋体" w:eastAsia="宋体" w:cs="宋体"/>
                <w:sz w:val="21"/>
                <w:szCs w:val="21"/>
                <w:highlight w:val="none"/>
              </w:rPr>
            </w:pPr>
          </w:p>
        </w:tc>
        <w:tc>
          <w:tcPr>
            <w:tcW w:w="1087" w:type="dxa"/>
            <w:noWrap w:val="0"/>
            <w:vAlign w:val="top"/>
          </w:tcPr>
          <w:p w14:paraId="67A552DE">
            <w:pPr>
              <w:rPr>
                <w:rFonts w:hint="eastAsia" w:ascii="宋体" w:hAnsi="宋体" w:eastAsia="宋体" w:cs="宋体"/>
                <w:sz w:val="21"/>
                <w:szCs w:val="21"/>
                <w:highlight w:val="none"/>
              </w:rPr>
            </w:pPr>
          </w:p>
        </w:tc>
        <w:tc>
          <w:tcPr>
            <w:tcW w:w="725" w:type="dxa"/>
            <w:noWrap w:val="0"/>
            <w:vAlign w:val="top"/>
          </w:tcPr>
          <w:p w14:paraId="58F071F3">
            <w:pPr>
              <w:rPr>
                <w:rFonts w:hint="eastAsia" w:ascii="宋体" w:hAnsi="宋体" w:eastAsia="宋体" w:cs="宋体"/>
                <w:sz w:val="21"/>
                <w:szCs w:val="21"/>
                <w:highlight w:val="none"/>
              </w:rPr>
            </w:pPr>
          </w:p>
        </w:tc>
        <w:tc>
          <w:tcPr>
            <w:tcW w:w="725" w:type="dxa"/>
            <w:noWrap w:val="0"/>
            <w:vAlign w:val="top"/>
          </w:tcPr>
          <w:p w14:paraId="3CE9B74C">
            <w:pPr>
              <w:rPr>
                <w:rFonts w:hint="eastAsia" w:ascii="宋体" w:hAnsi="宋体" w:eastAsia="宋体" w:cs="宋体"/>
                <w:sz w:val="21"/>
                <w:szCs w:val="21"/>
                <w:highlight w:val="none"/>
              </w:rPr>
            </w:pPr>
          </w:p>
        </w:tc>
        <w:tc>
          <w:tcPr>
            <w:tcW w:w="725" w:type="dxa"/>
            <w:noWrap w:val="0"/>
            <w:vAlign w:val="top"/>
          </w:tcPr>
          <w:p w14:paraId="08C6534F">
            <w:pPr>
              <w:rPr>
                <w:rFonts w:hint="eastAsia" w:ascii="宋体" w:hAnsi="宋体" w:eastAsia="宋体" w:cs="宋体"/>
                <w:sz w:val="21"/>
                <w:szCs w:val="21"/>
                <w:highlight w:val="none"/>
              </w:rPr>
            </w:pPr>
          </w:p>
        </w:tc>
        <w:tc>
          <w:tcPr>
            <w:tcW w:w="1242" w:type="dxa"/>
            <w:noWrap w:val="0"/>
            <w:vAlign w:val="top"/>
          </w:tcPr>
          <w:p w14:paraId="19028FA4">
            <w:pPr>
              <w:rPr>
                <w:rFonts w:hint="eastAsia" w:ascii="宋体" w:hAnsi="宋体" w:eastAsia="宋体" w:cs="宋体"/>
                <w:sz w:val="21"/>
                <w:szCs w:val="21"/>
                <w:highlight w:val="none"/>
              </w:rPr>
            </w:pPr>
          </w:p>
        </w:tc>
        <w:tc>
          <w:tcPr>
            <w:tcW w:w="1087" w:type="dxa"/>
            <w:noWrap w:val="0"/>
            <w:vAlign w:val="top"/>
          </w:tcPr>
          <w:p w14:paraId="70F4058F">
            <w:pPr>
              <w:rPr>
                <w:rFonts w:hint="eastAsia" w:ascii="宋体" w:hAnsi="宋体" w:eastAsia="宋体" w:cs="宋体"/>
                <w:sz w:val="21"/>
                <w:szCs w:val="21"/>
                <w:highlight w:val="none"/>
              </w:rPr>
            </w:pPr>
          </w:p>
        </w:tc>
        <w:tc>
          <w:tcPr>
            <w:tcW w:w="1087" w:type="dxa"/>
            <w:noWrap w:val="0"/>
            <w:vAlign w:val="top"/>
          </w:tcPr>
          <w:p w14:paraId="657FC3D0">
            <w:pPr>
              <w:rPr>
                <w:rFonts w:hint="eastAsia" w:ascii="宋体" w:hAnsi="宋体" w:eastAsia="宋体" w:cs="宋体"/>
                <w:sz w:val="21"/>
                <w:szCs w:val="21"/>
                <w:highlight w:val="none"/>
              </w:rPr>
            </w:pPr>
          </w:p>
        </w:tc>
        <w:tc>
          <w:tcPr>
            <w:tcW w:w="776" w:type="dxa"/>
            <w:noWrap w:val="0"/>
            <w:vAlign w:val="top"/>
          </w:tcPr>
          <w:p w14:paraId="2C827DCF">
            <w:pPr>
              <w:rPr>
                <w:rFonts w:hint="eastAsia" w:ascii="宋体" w:hAnsi="宋体" w:eastAsia="宋体" w:cs="宋体"/>
                <w:sz w:val="21"/>
                <w:szCs w:val="21"/>
                <w:highlight w:val="none"/>
              </w:rPr>
            </w:pPr>
          </w:p>
        </w:tc>
      </w:tr>
      <w:tr w14:paraId="30B2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3CCC7EA3">
            <w:pPr>
              <w:rPr>
                <w:rFonts w:hint="eastAsia" w:ascii="宋体" w:hAnsi="宋体" w:eastAsia="宋体" w:cs="宋体"/>
                <w:sz w:val="21"/>
                <w:szCs w:val="21"/>
                <w:highlight w:val="none"/>
              </w:rPr>
            </w:pPr>
          </w:p>
        </w:tc>
        <w:tc>
          <w:tcPr>
            <w:tcW w:w="621" w:type="dxa"/>
            <w:noWrap w:val="0"/>
            <w:vAlign w:val="top"/>
          </w:tcPr>
          <w:p w14:paraId="318F45D0">
            <w:pPr>
              <w:rPr>
                <w:rFonts w:hint="eastAsia" w:ascii="宋体" w:hAnsi="宋体" w:eastAsia="宋体" w:cs="宋体"/>
                <w:sz w:val="21"/>
                <w:szCs w:val="21"/>
                <w:highlight w:val="none"/>
              </w:rPr>
            </w:pPr>
          </w:p>
        </w:tc>
        <w:tc>
          <w:tcPr>
            <w:tcW w:w="1087" w:type="dxa"/>
            <w:noWrap w:val="0"/>
            <w:vAlign w:val="top"/>
          </w:tcPr>
          <w:p w14:paraId="58073FA4">
            <w:pPr>
              <w:rPr>
                <w:rFonts w:hint="eastAsia" w:ascii="宋体" w:hAnsi="宋体" w:eastAsia="宋体" w:cs="宋体"/>
                <w:sz w:val="21"/>
                <w:szCs w:val="21"/>
                <w:highlight w:val="none"/>
              </w:rPr>
            </w:pPr>
          </w:p>
        </w:tc>
        <w:tc>
          <w:tcPr>
            <w:tcW w:w="725" w:type="dxa"/>
            <w:noWrap w:val="0"/>
            <w:vAlign w:val="top"/>
          </w:tcPr>
          <w:p w14:paraId="7AD0096F">
            <w:pPr>
              <w:rPr>
                <w:rFonts w:hint="eastAsia" w:ascii="宋体" w:hAnsi="宋体" w:eastAsia="宋体" w:cs="宋体"/>
                <w:sz w:val="21"/>
                <w:szCs w:val="21"/>
                <w:highlight w:val="none"/>
              </w:rPr>
            </w:pPr>
          </w:p>
        </w:tc>
        <w:tc>
          <w:tcPr>
            <w:tcW w:w="725" w:type="dxa"/>
            <w:noWrap w:val="0"/>
            <w:vAlign w:val="top"/>
          </w:tcPr>
          <w:p w14:paraId="6212C567">
            <w:pPr>
              <w:rPr>
                <w:rFonts w:hint="eastAsia" w:ascii="宋体" w:hAnsi="宋体" w:eastAsia="宋体" w:cs="宋体"/>
                <w:sz w:val="21"/>
                <w:szCs w:val="21"/>
                <w:highlight w:val="none"/>
              </w:rPr>
            </w:pPr>
          </w:p>
        </w:tc>
        <w:tc>
          <w:tcPr>
            <w:tcW w:w="725" w:type="dxa"/>
            <w:noWrap w:val="0"/>
            <w:vAlign w:val="top"/>
          </w:tcPr>
          <w:p w14:paraId="27AF1144">
            <w:pPr>
              <w:rPr>
                <w:rFonts w:hint="eastAsia" w:ascii="宋体" w:hAnsi="宋体" w:eastAsia="宋体" w:cs="宋体"/>
                <w:sz w:val="21"/>
                <w:szCs w:val="21"/>
                <w:highlight w:val="none"/>
              </w:rPr>
            </w:pPr>
          </w:p>
        </w:tc>
        <w:tc>
          <w:tcPr>
            <w:tcW w:w="1242" w:type="dxa"/>
            <w:noWrap w:val="0"/>
            <w:vAlign w:val="top"/>
          </w:tcPr>
          <w:p w14:paraId="5F9CD0C6">
            <w:pPr>
              <w:rPr>
                <w:rFonts w:hint="eastAsia" w:ascii="宋体" w:hAnsi="宋体" w:eastAsia="宋体" w:cs="宋体"/>
                <w:sz w:val="21"/>
                <w:szCs w:val="21"/>
                <w:highlight w:val="none"/>
              </w:rPr>
            </w:pPr>
          </w:p>
        </w:tc>
        <w:tc>
          <w:tcPr>
            <w:tcW w:w="1087" w:type="dxa"/>
            <w:noWrap w:val="0"/>
            <w:vAlign w:val="top"/>
          </w:tcPr>
          <w:p w14:paraId="5B91855C">
            <w:pPr>
              <w:rPr>
                <w:rFonts w:hint="eastAsia" w:ascii="宋体" w:hAnsi="宋体" w:eastAsia="宋体" w:cs="宋体"/>
                <w:sz w:val="21"/>
                <w:szCs w:val="21"/>
                <w:highlight w:val="none"/>
              </w:rPr>
            </w:pPr>
          </w:p>
        </w:tc>
        <w:tc>
          <w:tcPr>
            <w:tcW w:w="1087" w:type="dxa"/>
            <w:noWrap w:val="0"/>
            <w:vAlign w:val="top"/>
          </w:tcPr>
          <w:p w14:paraId="1C2E54E6">
            <w:pPr>
              <w:rPr>
                <w:rFonts w:hint="eastAsia" w:ascii="宋体" w:hAnsi="宋体" w:eastAsia="宋体" w:cs="宋体"/>
                <w:sz w:val="21"/>
                <w:szCs w:val="21"/>
                <w:highlight w:val="none"/>
              </w:rPr>
            </w:pPr>
          </w:p>
        </w:tc>
        <w:tc>
          <w:tcPr>
            <w:tcW w:w="776" w:type="dxa"/>
            <w:noWrap w:val="0"/>
            <w:vAlign w:val="top"/>
          </w:tcPr>
          <w:p w14:paraId="23172D9B">
            <w:pPr>
              <w:rPr>
                <w:rFonts w:hint="eastAsia" w:ascii="宋体" w:hAnsi="宋体" w:eastAsia="宋体" w:cs="宋体"/>
                <w:sz w:val="21"/>
                <w:szCs w:val="21"/>
                <w:highlight w:val="none"/>
              </w:rPr>
            </w:pPr>
          </w:p>
        </w:tc>
      </w:tr>
      <w:tr w14:paraId="35F2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4D254511">
            <w:pPr>
              <w:rPr>
                <w:rFonts w:hint="eastAsia" w:ascii="宋体" w:hAnsi="宋体" w:eastAsia="宋体" w:cs="宋体"/>
                <w:sz w:val="21"/>
                <w:szCs w:val="21"/>
                <w:highlight w:val="none"/>
              </w:rPr>
            </w:pPr>
          </w:p>
        </w:tc>
        <w:tc>
          <w:tcPr>
            <w:tcW w:w="621" w:type="dxa"/>
            <w:noWrap w:val="0"/>
            <w:vAlign w:val="top"/>
          </w:tcPr>
          <w:p w14:paraId="4F17DCA5">
            <w:pPr>
              <w:rPr>
                <w:rFonts w:hint="eastAsia" w:ascii="宋体" w:hAnsi="宋体" w:eastAsia="宋体" w:cs="宋体"/>
                <w:sz w:val="21"/>
                <w:szCs w:val="21"/>
                <w:highlight w:val="none"/>
              </w:rPr>
            </w:pPr>
          </w:p>
        </w:tc>
        <w:tc>
          <w:tcPr>
            <w:tcW w:w="1087" w:type="dxa"/>
            <w:noWrap w:val="0"/>
            <w:vAlign w:val="top"/>
          </w:tcPr>
          <w:p w14:paraId="086B9B68">
            <w:pPr>
              <w:rPr>
                <w:rFonts w:hint="eastAsia" w:ascii="宋体" w:hAnsi="宋体" w:eastAsia="宋体" w:cs="宋体"/>
                <w:sz w:val="21"/>
                <w:szCs w:val="21"/>
                <w:highlight w:val="none"/>
              </w:rPr>
            </w:pPr>
          </w:p>
        </w:tc>
        <w:tc>
          <w:tcPr>
            <w:tcW w:w="725" w:type="dxa"/>
            <w:noWrap w:val="0"/>
            <w:vAlign w:val="top"/>
          </w:tcPr>
          <w:p w14:paraId="74229C30">
            <w:pPr>
              <w:rPr>
                <w:rFonts w:hint="eastAsia" w:ascii="宋体" w:hAnsi="宋体" w:eastAsia="宋体" w:cs="宋体"/>
                <w:sz w:val="21"/>
                <w:szCs w:val="21"/>
                <w:highlight w:val="none"/>
              </w:rPr>
            </w:pPr>
          </w:p>
        </w:tc>
        <w:tc>
          <w:tcPr>
            <w:tcW w:w="725" w:type="dxa"/>
            <w:noWrap w:val="0"/>
            <w:vAlign w:val="top"/>
          </w:tcPr>
          <w:p w14:paraId="154A7697">
            <w:pPr>
              <w:rPr>
                <w:rFonts w:hint="eastAsia" w:ascii="宋体" w:hAnsi="宋体" w:eastAsia="宋体" w:cs="宋体"/>
                <w:sz w:val="21"/>
                <w:szCs w:val="21"/>
                <w:highlight w:val="none"/>
              </w:rPr>
            </w:pPr>
          </w:p>
        </w:tc>
        <w:tc>
          <w:tcPr>
            <w:tcW w:w="725" w:type="dxa"/>
            <w:noWrap w:val="0"/>
            <w:vAlign w:val="top"/>
          </w:tcPr>
          <w:p w14:paraId="58BD6085">
            <w:pPr>
              <w:rPr>
                <w:rFonts w:hint="eastAsia" w:ascii="宋体" w:hAnsi="宋体" w:eastAsia="宋体" w:cs="宋体"/>
                <w:sz w:val="21"/>
                <w:szCs w:val="21"/>
                <w:highlight w:val="none"/>
              </w:rPr>
            </w:pPr>
          </w:p>
        </w:tc>
        <w:tc>
          <w:tcPr>
            <w:tcW w:w="1242" w:type="dxa"/>
            <w:noWrap w:val="0"/>
            <w:vAlign w:val="top"/>
          </w:tcPr>
          <w:p w14:paraId="0560FAF5">
            <w:pPr>
              <w:rPr>
                <w:rFonts w:hint="eastAsia" w:ascii="宋体" w:hAnsi="宋体" w:eastAsia="宋体" w:cs="宋体"/>
                <w:sz w:val="21"/>
                <w:szCs w:val="21"/>
                <w:highlight w:val="none"/>
              </w:rPr>
            </w:pPr>
          </w:p>
        </w:tc>
        <w:tc>
          <w:tcPr>
            <w:tcW w:w="1087" w:type="dxa"/>
            <w:noWrap w:val="0"/>
            <w:vAlign w:val="top"/>
          </w:tcPr>
          <w:p w14:paraId="1C274EB6">
            <w:pPr>
              <w:rPr>
                <w:rFonts w:hint="eastAsia" w:ascii="宋体" w:hAnsi="宋体" w:eastAsia="宋体" w:cs="宋体"/>
                <w:sz w:val="21"/>
                <w:szCs w:val="21"/>
                <w:highlight w:val="none"/>
              </w:rPr>
            </w:pPr>
          </w:p>
        </w:tc>
        <w:tc>
          <w:tcPr>
            <w:tcW w:w="1087" w:type="dxa"/>
            <w:noWrap w:val="0"/>
            <w:vAlign w:val="top"/>
          </w:tcPr>
          <w:p w14:paraId="210D9E8C">
            <w:pPr>
              <w:rPr>
                <w:rFonts w:hint="eastAsia" w:ascii="宋体" w:hAnsi="宋体" w:eastAsia="宋体" w:cs="宋体"/>
                <w:sz w:val="21"/>
                <w:szCs w:val="21"/>
                <w:highlight w:val="none"/>
              </w:rPr>
            </w:pPr>
          </w:p>
        </w:tc>
        <w:tc>
          <w:tcPr>
            <w:tcW w:w="776" w:type="dxa"/>
            <w:noWrap w:val="0"/>
            <w:vAlign w:val="top"/>
          </w:tcPr>
          <w:p w14:paraId="2193AF81">
            <w:pPr>
              <w:rPr>
                <w:rFonts w:hint="eastAsia" w:ascii="宋体" w:hAnsi="宋体" w:eastAsia="宋体" w:cs="宋体"/>
                <w:sz w:val="21"/>
                <w:szCs w:val="21"/>
                <w:highlight w:val="none"/>
              </w:rPr>
            </w:pPr>
          </w:p>
        </w:tc>
      </w:tr>
      <w:tr w14:paraId="6A73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2C7A1875">
            <w:pPr>
              <w:rPr>
                <w:rFonts w:hint="eastAsia" w:ascii="宋体" w:hAnsi="宋体" w:eastAsia="宋体" w:cs="宋体"/>
                <w:sz w:val="21"/>
                <w:szCs w:val="21"/>
                <w:highlight w:val="none"/>
              </w:rPr>
            </w:pPr>
          </w:p>
        </w:tc>
        <w:tc>
          <w:tcPr>
            <w:tcW w:w="621" w:type="dxa"/>
            <w:noWrap w:val="0"/>
            <w:vAlign w:val="top"/>
          </w:tcPr>
          <w:p w14:paraId="2C470347">
            <w:pPr>
              <w:rPr>
                <w:rFonts w:hint="eastAsia" w:ascii="宋体" w:hAnsi="宋体" w:eastAsia="宋体" w:cs="宋体"/>
                <w:sz w:val="21"/>
                <w:szCs w:val="21"/>
                <w:highlight w:val="none"/>
              </w:rPr>
            </w:pPr>
          </w:p>
        </w:tc>
        <w:tc>
          <w:tcPr>
            <w:tcW w:w="1087" w:type="dxa"/>
            <w:noWrap w:val="0"/>
            <w:vAlign w:val="top"/>
          </w:tcPr>
          <w:p w14:paraId="378CE166">
            <w:pPr>
              <w:rPr>
                <w:rFonts w:hint="eastAsia" w:ascii="宋体" w:hAnsi="宋体" w:eastAsia="宋体" w:cs="宋体"/>
                <w:sz w:val="21"/>
                <w:szCs w:val="21"/>
                <w:highlight w:val="none"/>
              </w:rPr>
            </w:pPr>
          </w:p>
        </w:tc>
        <w:tc>
          <w:tcPr>
            <w:tcW w:w="725" w:type="dxa"/>
            <w:noWrap w:val="0"/>
            <w:vAlign w:val="top"/>
          </w:tcPr>
          <w:p w14:paraId="7CCD31D6">
            <w:pPr>
              <w:rPr>
                <w:rFonts w:hint="eastAsia" w:ascii="宋体" w:hAnsi="宋体" w:eastAsia="宋体" w:cs="宋体"/>
                <w:sz w:val="21"/>
                <w:szCs w:val="21"/>
                <w:highlight w:val="none"/>
              </w:rPr>
            </w:pPr>
          </w:p>
        </w:tc>
        <w:tc>
          <w:tcPr>
            <w:tcW w:w="725" w:type="dxa"/>
            <w:noWrap w:val="0"/>
            <w:vAlign w:val="top"/>
          </w:tcPr>
          <w:p w14:paraId="14233954">
            <w:pPr>
              <w:rPr>
                <w:rFonts w:hint="eastAsia" w:ascii="宋体" w:hAnsi="宋体" w:eastAsia="宋体" w:cs="宋体"/>
                <w:sz w:val="21"/>
                <w:szCs w:val="21"/>
                <w:highlight w:val="none"/>
              </w:rPr>
            </w:pPr>
          </w:p>
        </w:tc>
        <w:tc>
          <w:tcPr>
            <w:tcW w:w="725" w:type="dxa"/>
            <w:noWrap w:val="0"/>
            <w:vAlign w:val="top"/>
          </w:tcPr>
          <w:p w14:paraId="6CAAB536">
            <w:pPr>
              <w:rPr>
                <w:rFonts w:hint="eastAsia" w:ascii="宋体" w:hAnsi="宋体" w:eastAsia="宋体" w:cs="宋体"/>
                <w:sz w:val="21"/>
                <w:szCs w:val="21"/>
                <w:highlight w:val="none"/>
              </w:rPr>
            </w:pPr>
          </w:p>
        </w:tc>
        <w:tc>
          <w:tcPr>
            <w:tcW w:w="1242" w:type="dxa"/>
            <w:noWrap w:val="0"/>
            <w:vAlign w:val="top"/>
          </w:tcPr>
          <w:p w14:paraId="101FC74F">
            <w:pPr>
              <w:rPr>
                <w:rFonts w:hint="eastAsia" w:ascii="宋体" w:hAnsi="宋体" w:eastAsia="宋体" w:cs="宋体"/>
                <w:sz w:val="21"/>
                <w:szCs w:val="21"/>
                <w:highlight w:val="none"/>
              </w:rPr>
            </w:pPr>
          </w:p>
        </w:tc>
        <w:tc>
          <w:tcPr>
            <w:tcW w:w="1087" w:type="dxa"/>
            <w:noWrap w:val="0"/>
            <w:vAlign w:val="top"/>
          </w:tcPr>
          <w:p w14:paraId="054BA119">
            <w:pPr>
              <w:rPr>
                <w:rFonts w:hint="eastAsia" w:ascii="宋体" w:hAnsi="宋体" w:eastAsia="宋体" w:cs="宋体"/>
                <w:sz w:val="21"/>
                <w:szCs w:val="21"/>
                <w:highlight w:val="none"/>
              </w:rPr>
            </w:pPr>
          </w:p>
        </w:tc>
        <w:tc>
          <w:tcPr>
            <w:tcW w:w="1087" w:type="dxa"/>
            <w:noWrap w:val="0"/>
            <w:vAlign w:val="top"/>
          </w:tcPr>
          <w:p w14:paraId="618DDC87">
            <w:pPr>
              <w:rPr>
                <w:rFonts w:hint="eastAsia" w:ascii="宋体" w:hAnsi="宋体" w:eastAsia="宋体" w:cs="宋体"/>
                <w:sz w:val="21"/>
                <w:szCs w:val="21"/>
                <w:highlight w:val="none"/>
              </w:rPr>
            </w:pPr>
          </w:p>
        </w:tc>
        <w:tc>
          <w:tcPr>
            <w:tcW w:w="776" w:type="dxa"/>
            <w:noWrap w:val="0"/>
            <w:vAlign w:val="top"/>
          </w:tcPr>
          <w:p w14:paraId="15B2933D">
            <w:pPr>
              <w:rPr>
                <w:rFonts w:hint="eastAsia" w:ascii="宋体" w:hAnsi="宋体" w:eastAsia="宋体" w:cs="宋体"/>
                <w:sz w:val="21"/>
                <w:szCs w:val="21"/>
                <w:highlight w:val="none"/>
              </w:rPr>
            </w:pPr>
          </w:p>
        </w:tc>
      </w:tr>
      <w:tr w14:paraId="3EAA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1" w:type="dxa"/>
            <w:noWrap w:val="0"/>
            <w:vAlign w:val="top"/>
          </w:tcPr>
          <w:p w14:paraId="62EF3296">
            <w:pPr>
              <w:rPr>
                <w:rFonts w:hint="eastAsia" w:ascii="宋体" w:hAnsi="宋体" w:eastAsia="宋体" w:cs="宋体"/>
                <w:sz w:val="21"/>
                <w:szCs w:val="21"/>
                <w:highlight w:val="none"/>
              </w:rPr>
            </w:pPr>
          </w:p>
        </w:tc>
        <w:tc>
          <w:tcPr>
            <w:tcW w:w="621" w:type="dxa"/>
            <w:noWrap w:val="0"/>
            <w:vAlign w:val="top"/>
          </w:tcPr>
          <w:p w14:paraId="4992B2D9">
            <w:pPr>
              <w:rPr>
                <w:rFonts w:hint="eastAsia" w:ascii="宋体" w:hAnsi="宋体" w:eastAsia="宋体" w:cs="宋体"/>
                <w:sz w:val="21"/>
                <w:szCs w:val="21"/>
                <w:highlight w:val="none"/>
              </w:rPr>
            </w:pPr>
          </w:p>
        </w:tc>
        <w:tc>
          <w:tcPr>
            <w:tcW w:w="1087" w:type="dxa"/>
            <w:noWrap w:val="0"/>
            <w:vAlign w:val="top"/>
          </w:tcPr>
          <w:p w14:paraId="0F66484C">
            <w:pPr>
              <w:rPr>
                <w:rFonts w:hint="eastAsia" w:ascii="宋体" w:hAnsi="宋体" w:eastAsia="宋体" w:cs="宋体"/>
                <w:sz w:val="21"/>
                <w:szCs w:val="21"/>
                <w:highlight w:val="none"/>
              </w:rPr>
            </w:pPr>
          </w:p>
        </w:tc>
        <w:tc>
          <w:tcPr>
            <w:tcW w:w="725" w:type="dxa"/>
            <w:noWrap w:val="0"/>
            <w:vAlign w:val="top"/>
          </w:tcPr>
          <w:p w14:paraId="194A4629">
            <w:pPr>
              <w:rPr>
                <w:rFonts w:hint="eastAsia" w:ascii="宋体" w:hAnsi="宋体" w:eastAsia="宋体" w:cs="宋体"/>
                <w:sz w:val="21"/>
                <w:szCs w:val="21"/>
                <w:highlight w:val="none"/>
              </w:rPr>
            </w:pPr>
          </w:p>
        </w:tc>
        <w:tc>
          <w:tcPr>
            <w:tcW w:w="725" w:type="dxa"/>
            <w:noWrap w:val="0"/>
            <w:vAlign w:val="top"/>
          </w:tcPr>
          <w:p w14:paraId="4542A4FE">
            <w:pPr>
              <w:rPr>
                <w:rFonts w:hint="eastAsia" w:ascii="宋体" w:hAnsi="宋体" w:eastAsia="宋体" w:cs="宋体"/>
                <w:sz w:val="21"/>
                <w:szCs w:val="21"/>
                <w:highlight w:val="none"/>
              </w:rPr>
            </w:pPr>
          </w:p>
        </w:tc>
        <w:tc>
          <w:tcPr>
            <w:tcW w:w="725" w:type="dxa"/>
            <w:noWrap w:val="0"/>
            <w:vAlign w:val="top"/>
          </w:tcPr>
          <w:p w14:paraId="70F4453A">
            <w:pPr>
              <w:rPr>
                <w:rFonts w:hint="eastAsia" w:ascii="宋体" w:hAnsi="宋体" w:eastAsia="宋体" w:cs="宋体"/>
                <w:sz w:val="21"/>
                <w:szCs w:val="21"/>
                <w:highlight w:val="none"/>
              </w:rPr>
            </w:pPr>
          </w:p>
        </w:tc>
        <w:tc>
          <w:tcPr>
            <w:tcW w:w="1242" w:type="dxa"/>
            <w:noWrap w:val="0"/>
            <w:vAlign w:val="top"/>
          </w:tcPr>
          <w:p w14:paraId="334A0A5A">
            <w:pPr>
              <w:rPr>
                <w:rFonts w:hint="eastAsia" w:ascii="宋体" w:hAnsi="宋体" w:eastAsia="宋体" w:cs="宋体"/>
                <w:sz w:val="21"/>
                <w:szCs w:val="21"/>
                <w:highlight w:val="none"/>
              </w:rPr>
            </w:pPr>
          </w:p>
        </w:tc>
        <w:tc>
          <w:tcPr>
            <w:tcW w:w="1087" w:type="dxa"/>
            <w:noWrap w:val="0"/>
            <w:vAlign w:val="top"/>
          </w:tcPr>
          <w:p w14:paraId="13481AD7">
            <w:pPr>
              <w:rPr>
                <w:rFonts w:hint="eastAsia" w:ascii="宋体" w:hAnsi="宋体" w:eastAsia="宋体" w:cs="宋体"/>
                <w:sz w:val="21"/>
                <w:szCs w:val="21"/>
                <w:highlight w:val="none"/>
              </w:rPr>
            </w:pPr>
          </w:p>
        </w:tc>
        <w:tc>
          <w:tcPr>
            <w:tcW w:w="1087" w:type="dxa"/>
            <w:noWrap w:val="0"/>
            <w:vAlign w:val="top"/>
          </w:tcPr>
          <w:p w14:paraId="04195561">
            <w:pPr>
              <w:rPr>
                <w:rFonts w:hint="eastAsia" w:ascii="宋体" w:hAnsi="宋体" w:eastAsia="宋体" w:cs="宋体"/>
                <w:sz w:val="21"/>
                <w:szCs w:val="21"/>
                <w:highlight w:val="none"/>
              </w:rPr>
            </w:pPr>
          </w:p>
        </w:tc>
        <w:tc>
          <w:tcPr>
            <w:tcW w:w="776" w:type="dxa"/>
            <w:noWrap w:val="0"/>
            <w:vAlign w:val="top"/>
          </w:tcPr>
          <w:p w14:paraId="64C57BCC">
            <w:pPr>
              <w:rPr>
                <w:rFonts w:hint="eastAsia" w:ascii="宋体" w:hAnsi="宋体" w:eastAsia="宋体" w:cs="宋体"/>
                <w:sz w:val="21"/>
                <w:szCs w:val="21"/>
                <w:highlight w:val="none"/>
              </w:rPr>
            </w:pPr>
          </w:p>
        </w:tc>
      </w:tr>
      <w:tr w14:paraId="1376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8696" w:type="dxa"/>
            <w:gridSpan w:val="10"/>
            <w:noWrap w:val="0"/>
            <w:vAlign w:val="top"/>
          </w:tcPr>
          <w:p w14:paraId="15CA1DEF">
            <w:pPr>
              <w:spacing w:line="360" w:lineRule="auto"/>
              <w:ind w:firstLine="440" w:firstLineChars="200"/>
              <w:rPr>
                <w:rFonts w:hint="eastAsia" w:ascii="宋体" w:hAnsi="宋体" w:eastAsia="宋体" w:cs="宋体"/>
                <w:sz w:val="21"/>
                <w:szCs w:val="21"/>
                <w:highlight w:val="none"/>
              </w:rPr>
            </w:pPr>
            <w:r>
              <w:rPr>
                <w:rFonts w:hint="eastAsia" w:ascii="宋体" w:hAnsi="宋体" w:eastAsia="宋体" w:cs="宋体"/>
                <w:sz w:val="22"/>
                <w:szCs w:val="22"/>
                <w:highlight w:val="none"/>
              </w:rPr>
              <w:t>一旦我单位中标，将实行项目负责人负责制，我方保证并配备上述</w:t>
            </w:r>
            <w:r>
              <w:rPr>
                <w:rFonts w:hint="eastAsia" w:ascii="宋体" w:hAnsi="宋体" w:eastAsia="宋体" w:cs="宋体"/>
                <w:sz w:val="22"/>
                <w:szCs w:val="22"/>
                <w:highlight w:val="none"/>
                <w:lang w:val="zh-CN"/>
              </w:rPr>
              <w:t>项目管理机构</w:t>
            </w:r>
            <w:r>
              <w:rPr>
                <w:rFonts w:hint="eastAsia" w:ascii="宋体" w:hAnsi="宋体" w:eastAsia="宋体" w:cs="宋体"/>
                <w:sz w:val="22"/>
                <w:szCs w:val="22"/>
                <w:highlight w:val="none"/>
              </w:rPr>
              <w:t xml:space="preserve">。上述填报内容真实，若不真实，愿按有关规定接受处理。 </w:t>
            </w:r>
          </w:p>
        </w:tc>
      </w:tr>
    </w:tbl>
    <w:p w14:paraId="23706642">
      <w:pPr>
        <w:spacing w:line="360" w:lineRule="auto"/>
        <w:jc w:val="center"/>
        <w:rPr>
          <w:rFonts w:hint="eastAsia" w:ascii="宋体" w:hAnsi="宋体" w:cs="宋体"/>
          <w:b/>
          <w:color w:val="auto"/>
          <w:sz w:val="32"/>
          <w:szCs w:val="32"/>
          <w:highlight w:val="none"/>
        </w:rPr>
      </w:pPr>
    </w:p>
    <w:p w14:paraId="1034ECE2">
      <w:pPr>
        <w:spacing w:line="360" w:lineRule="auto"/>
        <w:jc w:val="center"/>
        <w:rPr>
          <w:rFonts w:hint="eastAsia" w:ascii="宋体" w:hAnsi="宋体" w:cs="宋体"/>
          <w:b/>
          <w:color w:val="auto"/>
          <w:sz w:val="32"/>
          <w:szCs w:val="32"/>
          <w:highlight w:val="none"/>
        </w:rPr>
      </w:pPr>
    </w:p>
    <w:p w14:paraId="5741F1A6">
      <w:pPr>
        <w:jc w:val="both"/>
        <w:rPr>
          <w:rFonts w:hint="eastAsia" w:eastAsia="宋体" w:cs="Times New Roman"/>
          <w:b/>
          <w:bCs/>
          <w:highlight w:val="none"/>
          <w:lang w:val="zh-CN"/>
        </w:rPr>
      </w:pPr>
      <w:bookmarkStart w:id="102" w:name="_Toc330463689"/>
      <w:bookmarkStart w:id="103" w:name="_Toc201719201"/>
      <w:r>
        <w:rPr>
          <w:rFonts w:hint="eastAsia" w:eastAsia="宋体" w:cs="Times New Roman"/>
          <w:b/>
          <w:bCs/>
          <w:highlight w:val="none"/>
          <w:lang w:val="zh-CN"/>
        </w:rPr>
        <w:t>(二)人员简历表</w:t>
      </w:r>
      <w:bookmarkEnd w:id="102"/>
      <w:bookmarkEnd w:id="103"/>
    </w:p>
    <w:tbl>
      <w:tblPr>
        <w:tblStyle w:val="28"/>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9"/>
        <w:gridCol w:w="952"/>
        <w:gridCol w:w="693"/>
        <w:gridCol w:w="52"/>
        <w:gridCol w:w="1269"/>
        <w:gridCol w:w="324"/>
        <w:gridCol w:w="238"/>
        <w:gridCol w:w="1179"/>
        <w:gridCol w:w="228"/>
        <w:gridCol w:w="681"/>
        <w:gridCol w:w="371"/>
        <w:gridCol w:w="593"/>
        <w:gridCol w:w="1646"/>
      </w:tblGrid>
      <w:tr w14:paraId="1B29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61" w:type="dxa"/>
            <w:noWrap w:val="0"/>
            <w:vAlign w:val="center"/>
          </w:tcPr>
          <w:p w14:paraId="4A4C214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2306" w:type="dxa"/>
            <w:gridSpan w:val="4"/>
            <w:noWrap w:val="0"/>
            <w:vAlign w:val="center"/>
          </w:tcPr>
          <w:p w14:paraId="01949D70">
            <w:pPr>
              <w:jc w:val="center"/>
              <w:rPr>
                <w:rFonts w:hint="eastAsia" w:ascii="宋体" w:hAnsi="宋体" w:eastAsia="宋体" w:cs="宋体"/>
                <w:sz w:val="21"/>
                <w:szCs w:val="21"/>
                <w:highlight w:val="none"/>
              </w:rPr>
            </w:pPr>
          </w:p>
        </w:tc>
        <w:tc>
          <w:tcPr>
            <w:tcW w:w="1269" w:type="dxa"/>
            <w:noWrap w:val="0"/>
            <w:vAlign w:val="center"/>
          </w:tcPr>
          <w:p w14:paraId="7C908EB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1741" w:type="dxa"/>
            <w:gridSpan w:val="3"/>
            <w:noWrap w:val="0"/>
            <w:vAlign w:val="center"/>
          </w:tcPr>
          <w:p w14:paraId="26C675BB">
            <w:pPr>
              <w:jc w:val="center"/>
              <w:rPr>
                <w:rFonts w:hint="eastAsia" w:ascii="宋体" w:hAnsi="宋体" w:eastAsia="宋体" w:cs="宋体"/>
                <w:sz w:val="21"/>
                <w:szCs w:val="21"/>
                <w:highlight w:val="none"/>
              </w:rPr>
            </w:pPr>
          </w:p>
        </w:tc>
        <w:tc>
          <w:tcPr>
            <w:tcW w:w="1280" w:type="dxa"/>
            <w:gridSpan w:val="3"/>
            <w:noWrap w:val="0"/>
            <w:vAlign w:val="center"/>
          </w:tcPr>
          <w:p w14:paraId="7171481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2239" w:type="dxa"/>
            <w:gridSpan w:val="2"/>
            <w:noWrap w:val="0"/>
            <w:vAlign w:val="center"/>
          </w:tcPr>
          <w:p w14:paraId="10C0E3B1">
            <w:pPr>
              <w:jc w:val="center"/>
              <w:rPr>
                <w:rFonts w:hint="eastAsia" w:ascii="宋体" w:hAnsi="宋体" w:eastAsia="宋体" w:cs="宋体"/>
                <w:sz w:val="21"/>
                <w:szCs w:val="21"/>
                <w:highlight w:val="none"/>
              </w:rPr>
            </w:pPr>
          </w:p>
        </w:tc>
      </w:tr>
      <w:tr w14:paraId="28F5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61" w:type="dxa"/>
            <w:noWrap w:val="0"/>
            <w:vAlign w:val="center"/>
          </w:tcPr>
          <w:p w14:paraId="14A5E71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2306" w:type="dxa"/>
            <w:gridSpan w:val="4"/>
            <w:noWrap w:val="0"/>
            <w:vAlign w:val="center"/>
          </w:tcPr>
          <w:p w14:paraId="730D0560">
            <w:pPr>
              <w:jc w:val="center"/>
              <w:rPr>
                <w:rFonts w:hint="eastAsia" w:ascii="宋体" w:hAnsi="宋体" w:eastAsia="宋体" w:cs="宋体"/>
                <w:sz w:val="21"/>
                <w:szCs w:val="21"/>
                <w:highlight w:val="none"/>
              </w:rPr>
            </w:pPr>
          </w:p>
        </w:tc>
        <w:tc>
          <w:tcPr>
            <w:tcW w:w="1269" w:type="dxa"/>
            <w:noWrap w:val="0"/>
            <w:vAlign w:val="center"/>
          </w:tcPr>
          <w:p w14:paraId="0110AE3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1741" w:type="dxa"/>
            <w:gridSpan w:val="3"/>
            <w:noWrap w:val="0"/>
            <w:vAlign w:val="center"/>
          </w:tcPr>
          <w:p w14:paraId="78C85FA2">
            <w:pPr>
              <w:jc w:val="center"/>
              <w:rPr>
                <w:rFonts w:hint="eastAsia" w:ascii="宋体" w:hAnsi="宋体" w:eastAsia="宋体" w:cs="宋体"/>
                <w:sz w:val="21"/>
                <w:szCs w:val="21"/>
                <w:highlight w:val="none"/>
              </w:rPr>
            </w:pPr>
          </w:p>
        </w:tc>
        <w:tc>
          <w:tcPr>
            <w:tcW w:w="1280" w:type="dxa"/>
            <w:gridSpan w:val="3"/>
            <w:noWrap w:val="0"/>
            <w:vAlign w:val="center"/>
          </w:tcPr>
          <w:p w14:paraId="299E736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2239" w:type="dxa"/>
            <w:gridSpan w:val="2"/>
            <w:noWrap w:val="0"/>
            <w:vAlign w:val="center"/>
          </w:tcPr>
          <w:p w14:paraId="49C02EB8">
            <w:pPr>
              <w:jc w:val="center"/>
              <w:rPr>
                <w:rFonts w:hint="eastAsia" w:ascii="宋体" w:hAnsi="宋体" w:eastAsia="宋体" w:cs="宋体"/>
                <w:sz w:val="21"/>
                <w:szCs w:val="21"/>
                <w:highlight w:val="none"/>
              </w:rPr>
            </w:pPr>
          </w:p>
        </w:tc>
      </w:tr>
      <w:tr w14:paraId="7BBB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61" w:type="dxa"/>
            <w:noWrap w:val="0"/>
            <w:vAlign w:val="center"/>
          </w:tcPr>
          <w:p w14:paraId="21727FA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2306" w:type="dxa"/>
            <w:gridSpan w:val="4"/>
            <w:noWrap w:val="0"/>
            <w:vAlign w:val="center"/>
          </w:tcPr>
          <w:p w14:paraId="41AD8567">
            <w:pPr>
              <w:jc w:val="center"/>
              <w:rPr>
                <w:rFonts w:hint="eastAsia" w:ascii="宋体" w:hAnsi="宋体" w:eastAsia="宋体" w:cs="宋体"/>
                <w:sz w:val="21"/>
                <w:szCs w:val="21"/>
                <w:highlight w:val="none"/>
              </w:rPr>
            </w:pPr>
          </w:p>
        </w:tc>
        <w:tc>
          <w:tcPr>
            <w:tcW w:w="1269" w:type="dxa"/>
            <w:noWrap w:val="0"/>
            <w:vAlign w:val="center"/>
          </w:tcPr>
          <w:p w14:paraId="72D73CF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注册证书</w:t>
            </w:r>
          </w:p>
        </w:tc>
        <w:tc>
          <w:tcPr>
            <w:tcW w:w="1741" w:type="dxa"/>
            <w:gridSpan w:val="3"/>
            <w:noWrap w:val="0"/>
            <w:vAlign w:val="center"/>
          </w:tcPr>
          <w:p w14:paraId="7C673907">
            <w:pPr>
              <w:jc w:val="center"/>
              <w:rPr>
                <w:rFonts w:hint="eastAsia" w:ascii="宋体" w:hAnsi="宋体" w:eastAsia="宋体" w:cs="宋体"/>
                <w:sz w:val="21"/>
                <w:szCs w:val="21"/>
                <w:highlight w:val="none"/>
              </w:rPr>
            </w:pPr>
          </w:p>
        </w:tc>
        <w:tc>
          <w:tcPr>
            <w:tcW w:w="1280" w:type="dxa"/>
            <w:gridSpan w:val="3"/>
            <w:noWrap w:val="0"/>
            <w:vAlign w:val="center"/>
          </w:tcPr>
          <w:p w14:paraId="1C2D3E7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注册证号</w:t>
            </w:r>
          </w:p>
        </w:tc>
        <w:tc>
          <w:tcPr>
            <w:tcW w:w="2239" w:type="dxa"/>
            <w:gridSpan w:val="2"/>
            <w:noWrap w:val="0"/>
            <w:vAlign w:val="center"/>
          </w:tcPr>
          <w:p w14:paraId="007A2638">
            <w:pPr>
              <w:jc w:val="center"/>
              <w:rPr>
                <w:rFonts w:hint="eastAsia" w:ascii="宋体" w:hAnsi="宋体" w:eastAsia="宋体" w:cs="宋体"/>
                <w:sz w:val="21"/>
                <w:szCs w:val="21"/>
                <w:highlight w:val="none"/>
              </w:rPr>
            </w:pPr>
          </w:p>
        </w:tc>
      </w:tr>
      <w:tr w14:paraId="5898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22" w:type="dxa"/>
            <w:gridSpan w:val="3"/>
            <w:noWrap w:val="0"/>
            <w:vAlign w:val="center"/>
          </w:tcPr>
          <w:p w14:paraId="7780488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参加工作时间</w:t>
            </w:r>
          </w:p>
        </w:tc>
        <w:tc>
          <w:tcPr>
            <w:tcW w:w="2576" w:type="dxa"/>
            <w:gridSpan w:val="5"/>
            <w:noWrap w:val="0"/>
            <w:vAlign w:val="center"/>
          </w:tcPr>
          <w:p w14:paraId="751F2992">
            <w:pPr>
              <w:jc w:val="center"/>
              <w:rPr>
                <w:rFonts w:hint="eastAsia" w:ascii="宋体" w:hAnsi="宋体" w:eastAsia="宋体" w:cs="宋体"/>
                <w:sz w:val="21"/>
                <w:szCs w:val="21"/>
                <w:highlight w:val="none"/>
              </w:rPr>
            </w:pPr>
          </w:p>
        </w:tc>
        <w:tc>
          <w:tcPr>
            <w:tcW w:w="2088" w:type="dxa"/>
            <w:gridSpan w:val="3"/>
            <w:noWrap w:val="0"/>
            <w:vAlign w:val="center"/>
          </w:tcPr>
          <w:p w14:paraId="7BA0F57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任职年限</w:t>
            </w:r>
          </w:p>
        </w:tc>
        <w:tc>
          <w:tcPr>
            <w:tcW w:w="2610" w:type="dxa"/>
            <w:gridSpan w:val="3"/>
            <w:noWrap w:val="0"/>
            <w:vAlign w:val="center"/>
          </w:tcPr>
          <w:p w14:paraId="12B138F3">
            <w:pPr>
              <w:jc w:val="center"/>
              <w:rPr>
                <w:rFonts w:hint="eastAsia" w:ascii="宋体" w:hAnsi="宋体" w:eastAsia="宋体" w:cs="宋体"/>
                <w:sz w:val="21"/>
                <w:szCs w:val="21"/>
                <w:highlight w:val="none"/>
              </w:rPr>
            </w:pPr>
          </w:p>
        </w:tc>
      </w:tr>
      <w:tr w14:paraId="71C7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6" w:type="dxa"/>
            <w:gridSpan w:val="14"/>
            <w:noWrap w:val="0"/>
            <w:vAlign w:val="center"/>
          </w:tcPr>
          <w:p w14:paraId="0F0A61C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已</w:t>
            </w:r>
            <w:r>
              <w:rPr>
                <w:rFonts w:hint="eastAsia" w:ascii="宋体" w:hAnsi="宋体" w:eastAsia="宋体" w:cs="宋体"/>
                <w:sz w:val="21"/>
                <w:szCs w:val="21"/>
                <w:highlight w:val="none"/>
                <w:lang w:eastAsia="zh-CN"/>
              </w:rPr>
              <w:t>完成</w:t>
            </w:r>
            <w:r>
              <w:rPr>
                <w:rFonts w:hint="eastAsia" w:ascii="宋体" w:hAnsi="宋体" w:eastAsia="宋体" w:cs="宋体"/>
                <w:sz w:val="21"/>
                <w:szCs w:val="21"/>
                <w:highlight w:val="none"/>
              </w:rPr>
              <w:t>项目情况</w:t>
            </w:r>
          </w:p>
        </w:tc>
      </w:tr>
      <w:tr w14:paraId="1502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70" w:type="dxa"/>
            <w:gridSpan w:val="2"/>
            <w:noWrap w:val="0"/>
            <w:vAlign w:val="center"/>
          </w:tcPr>
          <w:p w14:paraId="1086221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645" w:type="dxa"/>
            <w:gridSpan w:val="2"/>
            <w:noWrap w:val="0"/>
            <w:vAlign w:val="center"/>
          </w:tcPr>
          <w:p w14:paraId="1ADDF48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645" w:type="dxa"/>
            <w:gridSpan w:val="3"/>
            <w:noWrap w:val="0"/>
            <w:vAlign w:val="center"/>
          </w:tcPr>
          <w:p w14:paraId="3B52F050">
            <w:pPr>
              <w:jc w:val="center"/>
              <w:rPr>
                <w:rFonts w:hint="eastAsia" w:ascii="宋体" w:hAnsi="宋体" w:eastAsia="宋体" w:cs="宋体"/>
                <w:sz w:val="21"/>
                <w:szCs w:val="21"/>
                <w:highlight w:val="none"/>
              </w:rPr>
            </w:pPr>
            <w:r>
              <w:rPr>
                <w:rFonts w:hint="eastAsia"/>
                <w:highlight w:val="none"/>
                <w:lang w:val="en-US" w:eastAsia="zh-CN"/>
              </w:rPr>
              <w:t>抽检任务下达部门</w:t>
            </w:r>
          </w:p>
        </w:tc>
        <w:tc>
          <w:tcPr>
            <w:tcW w:w="1645" w:type="dxa"/>
            <w:gridSpan w:val="3"/>
            <w:noWrap w:val="0"/>
            <w:vAlign w:val="center"/>
          </w:tcPr>
          <w:p w14:paraId="7CAC386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委托事项</w:t>
            </w:r>
          </w:p>
        </w:tc>
        <w:tc>
          <w:tcPr>
            <w:tcW w:w="1645" w:type="dxa"/>
            <w:gridSpan w:val="3"/>
            <w:noWrap w:val="0"/>
            <w:vAlign w:val="center"/>
          </w:tcPr>
          <w:p w14:paraId="2E041DC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tc>
        <w:tc>
          <w:tcPr>
            <w:tcW w:w="1646" w:type="dxa"/>
            <w:noWrap w:val="0"/>
            <w:vAlign w:val="center"/>
          </w:tcPr>
          <w:p w14:paraId="45AC221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164A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70" w:type="dxa"/>
            <w:gridSpan w:val="2"/>
            <w:noWrap w:val="0"/>
            <w:vAlign w:val="center"/>
          </w:tcPr>
          <w:p w14:paraId="62929E44">
            <w:pPr>
              <w:jc w:val="center"/>
              <w:rPr>
                <w:rFonts w:hint="eastAsia" w:ascii="宋体" w:hAnsi="宋体" w:eastAsia="宋体" w:cs="宋体"/>
                <w:sz w:val="21"/>
                <w:szCs w:val="21"/>
                <w:highlight w:val="none"/>
              </w:rPr>
            </w:pPr>
          </w:p>
        </w:tc>
        <w:tc>
          <w:tcPr>
            <w:tcW w:w="1645" w:type="dxa"/>
            <w:gridSpan w:val="2"/>
            <w:noWrap w:val="0"/>
            <w:vAlign w:val="center"/>
          </w:tcPr>
          <w:p w14:paraId="356C9BED">
            <w:pPr>
              <w:jc w:val="center"/>
              <w:rPr>
                <w:rFonts w:hint="eastAsia" w:ascii="宋体" w:hAnsi="宋体" w:eastAsia="宋体" w:cs="宋体"/>
                <w:sz w:val="21"/>
                <w:szCs w:val="21"/>
                <w:highlight w:val="none"/>
              </w:rPr>
            </w:pPr>
          </w:p>
        </w:tc>
        <w:tc>
          <w:tcPr>
            <w:tcW w:w="1645" w:type="dxa"/>
            <w:gridSpan w:val="3"/>
            <w:noWrap w:val="0"/>
            <w:vAlign w:val="center"/>
          </w:tcPr>
          <w:p w14:paraId="5003BC29">
            <w:pPr>
              <w:jc w:val="center"/>
              <w:rPr>
                <w:rFonts w:hint="eastAsia" w:ascii="宋体" w:hAnsi="宋体" w:eastAsia="宋体" w:cs="宋体"/>
                <w:sz w:val="21"/>
                <w:szCs w:val="21"/>
                <w:highlight w:val="none"/>
              </w:rPr>
            </w:pPr>
          </w:p>
        </w:tc>
        <w:tc>
          <w:tcPr>
            <w:tcW w:w="1645" w:type="dxa"/>
            <w:gridSpan w:val="3"/>
            <w:noWrap w:val="0"/>
            <w:vAlign w:val="center"/>
          </w:tcPr>
          <w:p w14:paraId="4BC65020">
            <w:pPr>
              <w:jc w:val="center"/>
              <w:rPr>
                <w:rFonts w:hint="eastAsia" w:ascii="宋体" w:hAnsi="宋体" w:eastAsia="宋体" w:cs="宋体"/>
                <w:sz w:val="21"/>
                <w:szCs w:val="21"/>
                <w:highlight w:val="none"/>
              </w:rPr>
            </w:pPr>
          </w:p>
        </w:tc>
        <w:tc>
          <w:tcPr>
            <w:tcW w:w="1645" w:type="dxa"/>
            <w:gridSpan w:val="3"/>
            <w:noWrap w:val="0"/>
            <w:vAlign w:val="center"/>
          </w:tcPr>
          <w:p w14:paraId="66DD9ADE">
            <w:pPr>
              <w:jc w:val="center"/>
              <w:rPr>
                <w:rFonts w:hint="eastAsia" w:ascii="宋体" w:hAnsi="宋体" w:eastAsia="宋体" w:cs="宋体"/>
                <w:sz w:val="21"/>
                <w:szCs w:val="21"/>
                <w:highlight w:val="none"/>
              </w:rPr>
            </w:pPr>
          </w:p>
        </w:tc>
        <w:tc>
          <w:tcPr>
            <w:tcW w:w="1646" w:type="dxa"/>
            <w:noWrap w:val="0"/>
            <w:vAlign w:val="center"/>
          </w:tcPr>
          <w:p w14:paraId="2CFEE0F4">
            <w:pPr>
              <w:jc w:val="center"/>
              <w:rPr>
                <w:rFonts w:hint="eastAsia" w:ascii="宋体" w:hAnsi="宋体" w:eastAsia="宋体" w:cs="宋体"/>
                <w:sz w:val="21"/>
                <w:szCs w:val="21"/>
                <w:highlight w:val="none"/>
              </w:rPr>
            </w:pPr>
          </w:p>
        </w:tc>
      </w:tr>
      <w:tr w14:paraId="7479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70" w:type="dxa"/>
            <w:gridSpan w:val="2"/>
            <w:noWrap w:val="0"/>
            <w:vAlign w:val="center"/>
          </w:tcPr>
          <w:p w14:paraId="54596A37">
            <w:pPr>
              <w:jc w:val="center"/>
              <w:rPr>
                <w:rFonts w:hint="eastAsia" w:ascii="宋体" w:hAnsi="宋体" w:eastAsia="宋体" w:cs="宋体"/>
                <w:sz w:val="21"/>
                <w:szCs w:val="21"/>
                <w:highlight w:val="none"/>
              </w:rPr>
            </w:pPr>
          </w:p>
        </w:tc>
        <w:tc>
          <w:tcPr>
            <w:tcW w:w="1645" w:type="dxa"/>
            <w:gridSpan w:val="2"/>
            <w:noWrap w:val="0"/>
            <w:vAlign w:val="center"/>
          </w:tcPr>
          <w:p w14:paraId="2A89E12D">
            <w:pPr>
              <w:jc w:val="center"/>
              <w:rPr>
                <w:rFonts w:hint="eastAsia" w:ascii="宋体" w:hAnsi="宋体" w:eastAsia="宋体" w:cs="宋体"/>
                <w:sz w:val="21"/>
                <w:szCs w:val="21"/>
                <w:highlight w:val="none"/>
              </w:rPr>
            </w:pPr>
          </w:p>
        </w:tc>
        <w:tc>
          <w:tcPr>
            <w:tcW w:w="1645" w:type="dxa"/>
            <w:gridSpan w:val="3"/>
            <w:noWrap w:val="0"/>
            <w:vAlign w:val="center"/>
          </w:tcPr>
          <w:p w14:paraId="3062CBBC">
            <w:pPr>
              <w:jc w:val="center"/>
              <w:rPr>
                <w:rFonts w:hint="eastAsia" w:ascii="宋体" w:hAnsi="宋体" w:eastAsia="宋体" w:cs="宋体"/>
                <w:sz w:val="21"/>
                <w:szCs w:val="21"/>
                <w:highlight w:val="none"/>
              </w:rPr>
            </w:pPr>
          </w:p>
        </w:tc>
        <w:tc>
          <w:tcPr>
            <w:tcW w:w="1645" w:type="dxa"/>
            <w:gridSpan w:val="3"/>
            <w:noWrap w:val="0"/>
            <w:vAlign w:val="center"/>
          </w:tcPr>
          <w:p w14:paraId="26DD3815">
            <w:pPr>
              <w:jc w:val="center"/>
              <w:rPr>
                <w:rFonts w:hint="eastAsia" w:ascii="宋体" w:hAnsi="宋体" w:eastAsia="宋体" w:cs="宋体"/>
                <w:sz w:val="21"/>
                <w:szCs w:val="21"/>
                <w:highlight w:val="none"/>
              </w:rPr>
            </w:pPr>
          </w:p>
        </w:tc>
        <w:tc>
          <w:tcPr>
            <w:tcW w:w="1645" w:type="dxa"/>
            <w:gridSpan w:val="3"/>
            <w:noWrap w:val="0"/>
            <w:vAlign w:val="center"/>
          </w:tcPr>
          <w:p w14:paraId="29C71E59">
            <w:pPr>
              <w:jc w:val="center"/>
              <w:rPr>
                <w:rFonts w:hint="eastAsia" w:ascii="宋体" w:hAnsi="宋体" w:eastAsia="宋体" w:cs="宋体"/>
                <w:sz w:val="21"/>
                <w:szCs w:val="21"/>
                <w:highlight w:val="none"/>
              </w:rPr>
            </w:pPr>
          </w:p>
        </w:tc>
        <w:tc>
          <w:tcPr>
            <w:tcW w:w="1646" w:type="dxa"/>
            <w:noWrap w:val="0"/>
            <w:vAlign w:val="center"/>
          </w:tcPr>
          <w:p w14:paraId="7716BC26">
            <w:pPr>
              <w:jc w:val="center"/>
              <w:rPr>
                <w:rFonts w:hint="eastAsia" w:ascii="宋体" w:hAnsi="宋体" w:eastAsia="宋体" w:cs="宋体"/>
                <w:sz w:val="21"/>
                <w:szCs w:val="21"/>
                <w:highlight w:val="none"/>
              </w:rPr>
            </w:pPr>
          </w:p>
        </w:tc>
      </w:tr>
      <w:tr w14:paraId="1B4D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70" w:type="dxa"/>
            <w:gridSpan w:val="2"/>
            <w:noWrap w:val="0"/>
            <w:vAlign w:val="center"/>
          </w:tcPr>
          <w:p w14:paraId="23488E63">
            <w:pPr>
              <w:jc w:val="center"/>
              <w:rPr>
                <w:rFonts w:hint="eastAsia" w:ascii="宋体" w:hAnsi="宋体" w:eastAsia="宋体" w:cs="宋体"/>
                <w:sz w:val="21"/>
                <w:szCs w:val="21"/>
                <w:highlight w:val="none"/>
              </w:rPr>
            </w:pPr>
          </w:p>
        </w:tc>
        <w:tc>
          <w:tcPr>
            <w:tcW w:w="1645" w:type="dxa"/>
            <w:gridSpan w:val="2"/>
            <w:noWrap w:val="0"/>
            <w:vAlign w:val="center"/>
          </w:tcPr>
          <w:p w14:paraId="7A22BB94">
            <w:pPr>
              <w:jc w:val="center"/>
              <w:rPr>
                <w:rFonts w:hint="eastAsia" w:ascii="宋体" w:hAnsi="宋体" w:eastAsia="宋体" w:cs="宋体"/>
                <w:sz w:val="21"/>
                <w:szCs w:val="21"/>
                <w:highlight w:val="none"/>
              </w:rPr>
            </w:pPr>
          </w:p>
        </w:tc>
        <w:tc>
          <w:tcPr>
            <w:tcW w:w="1645" w:type="dxa"/>
            <w:gridSpan w:val="3"/>
            <w:noWrap w:val="0"/>
            <w:vAlign w:val="center"/>
          </w:tcPr>
          <w:p w14:paraId="133D5364">
            <w:pPr>
              <w:jc w:val="center"/>
              <w:rPr>
                <w:rFonts w:hint="eastAsia" w:ascii="宋体" w:hAnsi="宋体" w:eastAsia="宋体" w:cs="宋体"/>
                <w:sz w:val="21"/>
                <w:szCs w:val="21"/>
                <w:highlight w:val="none"/>
              </w:rPr>
            </w:pPr>
          </w:p>
        </w:tc>
        <w:tc>
          <w:tcPr>
            <w:tcW w:w="1645" w:type="dxa"/>
            <w:gridSpan w:val="3"/>
            <w:noWrap w:val="0"/>
            <w:vAlign w:val="center"/>
          </w:tcPr>
          <w:p w14:paraId="77300B30">
            <w:pPr>
              <w:jc w:val="center"/>
              <w:rPr>
                <w:rFonts w:hint="eastAsia" w:ascii="宋体" w:hAnsi="宋体" w:eastAsia="宋体" w:cs="宋体"/>
                <w:sz w:val="21"/>
                <w:szCs w:val="21"/>
                <w:highlight w:val="none"/>
              </w:rPr>
            </w:pPr>
          </w:p>
        </w:tc>
        <w:tc>
          <w:tcPr>
            <w:tcW w:w="1645" w:type="dxa"/>
            <w:gridSpan w:val="3"/>
            <w:noWrap w:val="0"/>
            <w:vAlign w:val="center"/>
          </w:tcPr>
          <w:p w14:paraId="7857F825">
            <w:pPr>
              <w:jc w:val="center"/>
              <w:rPr>
                <w:rFonts w:hint="eastAsia" w:ascii="宋体" w:hAnsi="宋体" w:eastAsia="宋体" w:cs="宋体"/>
                <w:sz w:val="21"/>
                <w:szCs w:val="21"/>
                <w:highlight w:val="none"/>
              </w:rPr>
            </w:pPr>
          </w:p>
        </w:tc>
        <w:tc>
          <w:tcPr>
            <w:tcW w:w="1646" w:type="dxa"/>
            <w:noWrap w:val="0"/>
            <w:vAlign w:val="center"/>
          </w:tcPr>
          <w:p w14:paraId="57342071">
            <w:pPr>
              <w:jc w:val="center"/>
              <w:rPr>
                <w:rFonts w:hint="eastAsia" w:ascii="宋体" w:hAnsi="宋体" w:eastAsia="宋体" w:cs="宋体"/>
                <w:sz w:val="21"/>
                <w:szCs w:val="21"/>
                <w:highlight w:val="none"/>
              </w:rPr>
            </w:pPr>
          </w:p>
        </w:tc>
      </w:tr>
      <w:tr w14:paraId="7D8F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70" w:type="dxa"/>
            <w:gridSpan w:val="2"/>
            <w:noWrap w:val="0"/>
            <w:vAlign w:val="center"/>
          </w:tcPr>
          <w:p w14:paraId="6B0C5947">
            <w:pPr>
              <w:jc w:val="center"/>
              <w:rPr>
                <w:rFonts w:hint="eastAsia" w:ascii="宋体" w:hAnsi="宋体" w:eastAsia="宋体" w:cs="宋体"/>
                <w:sz w:val="21"/>
                <w:szCs w:val="21"/>
                <w:highlight w:val="none"/>
              </w:rPr>
            </w:pPr>
          </w:p>
        </w:tc>
        <w:tc>
          <w:tcPr>
            <w:tcW w:w="1645" w:type="dxa"/>
            <w:gridSpan w:val="2"/>
            <w:noWrap w:val="0"/>
            <w:vAlign w:val="center"/>
          </w:tcPr>
          <w:p w14:paraId="0DEC51B8">
            <w:pPr>
              <w:jc w:val="center"/>
              <w:rPr>
                <w:rFonts w:hint="eastAsia" w:ascii="宋体" w:hAnsi="宋体" w:eastAsia="宋体" w:cs="宋体"/>
                <w:sz w:val="21"/>
                <w:szCs w:val="21"/>
                <w:highlight w:val="none"/>
              </w:rPr>
            </w:pPr>
          </w:p>
        </w:tc>
        <w:tc>
          <w:tcPr>
            <w:tcW w:w="1645" w:type="dxa"/>
            <w:gridSpan w:val="3"/>
            <w:noWrap w:val="0"/>
            <w:vAlign w:val="center"/>
          </w:tcPr>
          <w:p w14:paraId="0FF2B16D">
            <w:pPr>
              <w:jc w:val="center"/>
              <w:rPr>
                <w:rFonts w:hint="eastAsia" w:ascii="宋体" w:hAnsi="宋体" w:eastAsia="宋体" w:cs="宋体"/>
                <w:sz w:val="21"/>
                <w:szCs w:val="21"/>
                <w:highlight w:val="none"/>
              </w:rPr>
            </w:pPr>
          </w:p>
        </w:tc>
        <w:tc>
          <w:tcPr>
            <w:tcW w:w="1645" w:type="dxa"/>
            <w:gridSpan w:val="3"/>
            <w:noWrap w:val="0"/>
            <w:vAlign w:val="center"/>
          </w:tcPr>
          <w:p w14:paraId="74874B83">
            <w:pPr>
              <w:jc w:val="center"/>
              <w:rPr>
                <w:rFonts w:hint="eastAsia" w:ascii="宋体" w:hAnsi="宋体" w:eastAsia="宋体" w:cs="宋体"/>
                <w:sz w:val="21"/>
                <w:szCs w:val="21"/>
                <w:highlight w:val="none"/>
              </w:rPr>
            </w:pPr>
          </w:p>
        </w:tc>
        <w:tc>
          <w:tcPr>
            <w:tcW w:w="1645" w:type="dxa"/>
            <w:gridSpan w:val="3"/>
            <w:noWrap w:val="0"/>
            <w:vAlign w:val="center"/>
          </w:tcPr>
          <w:p w14:paraId="748C6119">
            <w:pPr>
              <w:jc w:val="center"/>
              <w:rPr>
                <w:rFonts w:hint="eastAsia" w:ascii="宋体" w:hAnsi="宋体" w:eastAsia="宋体" w:cs="宋体"/>
                <w:sz w:val="21"/>
                <w:szCs w:val="21"/>
                <w:highlight w:val="none"/>
              </w:rPr>
            </w:pPr>
          </w:p>
        </w:tc>
        <w:tc>
          <w:tcPr>
            <w:tcW w:w="1646" w:type="dxa"/>
            <w:noWrap w:val="0"/>
            <w:vAlign w:val="center"/>
          </w:tcPr>
          <w:p w14:paraId="37A1C686">
            <w:pPr>
              <w:jc w:val="center"/>
              <w:rPr>
                <w:rFonts w:hint="eastAsia" w:ascii="宋体" w:hAnsi="宋体" w:eastAsia="宋体" w:cs="宋体"/>
                <w:sz w:val="21"/>
                <w:szCs w:val="21"/>
                <w:highlight w:val="none"/>
              </w:rPr>
            </w:pPr>
          </w:p>
        </w:tc>
      </w:tr>
      <w:tr w14:paraId="5F2C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70" w:type="dxa"/>
            <w:gridSpan w:val="2"/>
            <w:noWrap w:val="0"/>
            <w:vAlign w:val="center"/>
          </w:tcPr>
          <w:p w14:paraId="0A82A8AD">
            <w:pPr>
              <w:jc w:val="center"/>
              <w:rPr>
                <w:rFonts w:hint="eastAsia" w:ascii="宋体" w:hAnsi="宋体" w:eastAsia="宋体" w:cs="宋体"/>
                <w:sz w:val="21"/>
                <w:szCs w:val="21"/>
                <w:highlight w:val="none"/>
              </w:rPr>
            </w:pPr>
          </w:p>
        </w:tc>
        <w:tc>
          <w:tcPr>
            <w:tcW w:w="1645" w:type="dxa"/>
            <w:gridSpan w:val="2"/>
            <w:noWrap w:val="0"/>
            <w:vAlign w:val="center"/>
          </w:tcPr>
          <w:p w14:paraId="4BA8CB6E">
            <w:pPr>
              <w:jc w:val="center"/>
              <w:rPr>
                <w:rFonts w:hint="eastAsia" w:ascii="宋体" w:hAnsi="宋体" w:eastAsia="宋体" w:cs="宋体"/>
                <w:sz w:val="21"/>
                <w:szCs w:val="21"/>
                <w:highlight w:val="none"/>
              </w:rPr>
            </w:pPr>
          </w:p>
        </w:tc>
        <w:tc>
          <w:tcPr>
            <w:tcW w:w="1645" w:type="dxa"/>
            <w:gridSpan w:val="3"/>
            <w:noWrap w:val="0"/>
            <w:vAlign w:val="center"/>
          </w:tcPr>
          <w:p w14:paraId="02F1195F">
            <w:pPr>
              <w:jc w:val="center"/>
              <w:rPr>
                <w:rFonts w:hint="eastAsia" w:ascii="宋体" w:hAnsi="宋体" w:eastAsia="宋体" w:cs="宋体"/>
                <w:sz w:val="21"/>
                <w:szCs w:val="21"/>
                <w:highlight w:val="none"/>
              </w:rPr>
            </w:pPr>
          </w:p>
        </w:tc>
        <w:tc>
          <w:tcPr>
            <w:tcW w:w="1645" w:type="dxa"/>
            <w:gridSpan w:val="3"/>
            <w:noWrap w:val="0"/>
            <w:vAlign w:val="center"/>
          </w:tcPr>
          <w:p w14:paraId="337AE8EF">
            <w:pPr>
              <w:jc w:val="center"/>
              <w:rPr>
                <w:rFonts w:hint="eastAsia" w:ascii="宋体" w:hAnsi="宋体" w:eastAsia="宋体" w:cs="宋体"/>
                <w:sz w:val="21"/>
                <w:szCs w:val="21"/>
                <w:highlight w:val="none"/>
              </w:rPr>
            </w:pPr>
          </w:p>
        </w:tc>
        <w:tc>
          <w:tcPr>
            <w:tcW w:w="1645" w:type="dxa"/>
            <w:gridSpan w:val="3"/>
            <w:noWrap w:val="0"/>
            <w:vAlign w:val="center"/>
          </w:tcPr>
          <w:p w14:paraId="092F7138">
            <w:pPr>
              <w:jc w:val="center"/>
              <w:rPr>
                <w:rFonts w:hint="eastAsia" w:ascii="宋体" w:hAnsi="宋体" w:eastAsia="宋体" w:cs="宋体"/>
                <w:sz w:val="21"/>
                <w:szCs w:val="21"/>
                <w:highlight w:val="none"/>
              </w:rPr>
            </w:pPr>
          </w:p>
        </w:tc>
        <w:tc>
          <w:tcPr>
            <w:tcW w:w="1646" w:type="dxa"/>
            <w:noWrap w:val="0"/>
            <w:vAlign w:val="center"/>
          </w:tcPr>
          <w:p w14:paraId="1A307251">
            <w:pPr>
              <w:jc w:val="center"/>
              <w:rPr>
                <w:rFonts w:hint="eastAsia" w:ascii="宋体" w:hAnsi="宋体" w:eastAsia="宋体" w:cs="宋体"/>
                <w:sz w:val="21"/>
                <w:szCs w:val="21"/>
                <w:highlight w:val="none"/>
              </w:rPr>
            </w:pPr>
          </w:p>
        </w:tc>
      </w:tr>
      <w:tr w14:paraId="6694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70" w:type="dxa"/>
            <w:gridSpan w:val="2"/>
            <w:noWrap w:val="0"/>
            <w:vAlign w:val="center"/>
          </w:tcPr>
          <w:p w14:paraId="39EE6453">
            <w:pPr>
              <w:jc w:val="center"/>
              <w:rPr>
                <w:rFonts w:hint="eastAsia" w:ascii="宋体" w:hAnsi="宋体" w:eastAsia="宋体" w:cs="宋体"/>
                <w:sz w:val="21"/>
                <w:szCs w:val="21"/>
                <w:highlight w:val="none"/>
              </w:rPr>
            </w:pPr>
          </w:p>
        </w:tc>
        <w:tc>
          <w:tcPr>
            <w:tcW w:w="1645" w:type="dxa"/>
            <w:gridSpan w:val="2"/>
            <w:noWrap w:val="0"/>
            <w:vAlign w:val="center"/>
          </w:tcPr>
          <w:p w14:paraId="646DF802">
            <w:pPr>
              <w:jc w:val="center"/>
              <w:rPr>
                <w:rFonts w:hint="eastAsia" w:ascii="宋体" w:hAnsi="宋体" w:eastAsia="宋体" w:cs="宋体"/>
                <w:sz w:val="21"/>
                <w:szCs w:val="21"/>
                <w:highlight w:val="none"/>
              </w:rPr>
            </w:pPr>
          </w:p>
        </w:tc>
        <w:tc>
          <w:tcPr>
            <w:tcW w:w="1645" w:type="dxa"/>
            <w:gridSpan w:val="3"/>
            <w:noWrap w:val="0"/>
            <w:vAlign w:val="center"/>
          </w:tcPr>
          <w:p w14:paraId="59E5DE8C">
            <w:pPr>
              <w:jc w:val="center"/>
              <w:rPr>
                <w:rFonts w:hint="eastAsia" w:ascii="宋体" w:hAnsi="宋体" w:eastAsia="宋体" w:cs="宋体"/>
                <w:sz w:val="21"/>
                <w:szCs w:val="21"/>
                <w:highlight w:val="none"/>
              </w:rPr>
            </w:pPr>
          </w:p>
        </w:tc>
        <w:tc>
          <w:tcPr>
            <w:tcW w:w="1645" w:type="dxa"/>
            <w:gridSpan w:val="3"/>
            <w:noWrap w:val="0"/>
            <w:vAlign w:val="center"/>
          </w:tcPr>
          <w:p w14:paraId="1CAAD651">
            <w:pPr>
              <w:jc w:val="center"/>
              <w:rPr>
                <w:rFonts w:hint="eastAsia" w:ascii="宋体" w:hAnsi="宋体" w:eastAsia="宋体" w:cs="宋体"/>
                <w:sz w:val="21"/>
                <w:szCs w:val="21"/>
                <w:highlight w:val="none"/>
              </w:rPr>
            </w:pPr>
          </w:p>
        </w:tc>
        <w:tc>
          <w:tcPr>
            <w:tcW w:w="1645" w:type="dxa"/>
            <w:gridSpan w:val="3"/>
            <w:noWrap w:val="0"/>
            <w:vAlign w:val="center"/>
          </w:tcPr>
          <w:p w14:paraId="2C8DB723">
            <w:pPr>
              <w:jc w:val="center"/>
              <w:rPr>
                <w:rFonts w:hint="eastAsia" w:ascii="宋体" w:hAnsi="宋体" w:eastAsia="宋体" w:cs="宋体"/>
                <w:sz w:val="21"/>
                <w:szCs w:val="21"/>
                <w:highlight w:val="none"/>
              </w:rPr>
            </w:pPr>
          </w:p>
        </w:tc>
        <w:tc>
          <w:tcPr>
            <w:tcW w:w="1646" w:type="dxa"/>
            <w:noWrap w:val="0"/>
            <w:vAlign w:val="center"/>
          </w:tcPr>
          <w:p w14:paraId="0999F8F6">
            <w:pPr>
              <w:jc w:val="center"/>
              <w:rPr>
                <w:rFonts w:hint="eastAsia" w:ascii="宋体" w:hAnsi="宋体" w:eastAsia="宋体" w:cs="宋体"/>
                <w:sz w:val="21"/>
                <w:szCs w:val="21"/>
                <w:highlight w:val="none"/>
              </w:rPr>
            </w:pPr>
          </w:p>
        </w:tc>
      </w:tr>
      <w:tr w14:paraId="4ED2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70" w:type="dxa"/>
            <w:gridSpan w:val="2"/>
            <w:noWrap w:val="0"/>
            <w:vAlign w:val="center"/>
          </w:tcPr>
          <w:p w14:paraId="4AF65B49">
            <w:pPr>
              <w:jc w:val="center"/>
              <w:rPr>
                <w:rFonts w:hint="eastAsia" w:ascii="宋体" w:hAnsi="宋体" w:eastAsia="宋体" w:cs="宋体"/>
                <w:sz w:val="21"/>
                <w:szCs w:val="21"/>
                <w:highlight w:val="none"/>
              </w:rPr>
            </w:pPr>
          </w:p>
        </w:tc>
        <w:tc>
          <w:tcPr>
            <w:tcW w:w="1645" w:type="dxa"/>
            <w:gridSpan w:val="2"/>
            <w:noWrap w:val="0"/>
            <w:vAlign w:val="center"/>
          </w:tcPr>
          <w:p w14:paraId="57F296CE">
            <w:pPr>
              <w:jc w:val="center"/>
              <w:rPr>
                <w:rFonts w:hint="eastAsia" w:ascii="宋体" w:hAnsi="宋体" w:eastAsia="宋体" w:cs="宋体"/>
                <w:sz w:val="21"/>
                <w:szCs w:val="21"/>
                <w:highlight w:val="none"/>
              </w:rPr>
            </w:pPr>
          </w:p>
        </w:tc>
        <w:tc>
          <w:tcPr>
            <w:tcW w:w="1645" w:type="dxa"/>
            <w:gridSpan w:val="3"/>
            <w:noWrap w:val="0"/>
            <w:vAlign w:val="center"/>
          </w:tcPr>
          <w:p w14:paraId="07F47E1A">
            <w:pPr>
              <w:jc w:val="center"/>
              <w:rPr>
                <w:rFonts w:hint="eastAsia" w:ascii="宋体" w:hAnsi="宋体" w:eastAsia="宋体" w:cs="宋体"/>
                <w:sz w:val="21"/>
                <w:szCs w:val="21"/>
                <w:highlight w:val="none"/>
              </w:rPr>
            </w:pPr>
          </w:p>
        </w:tc>
        <w:tc>
          <w:tcPr>
            <w:tcW w:w="1645" w:type="dxa"/>
            <w:gridSpan w:val="3"/>
            <w:noWrap w:val="0"/>
            <w:vAlign w:val="center"/>
          </w:tcPr>
          <w:p w14:paraId="09D788CE">
            <w:pPr>
              <w:jc w:val="center"/>
              <w:rPr>
                <w:rFonts w:hint="eastAsia" w:ascii="宋体" w:hAnsi="宋体" w:eastAsia="宋体" w:cs="宋体"/>
                <w:sz w:val="21"/>
                <w:szCs w:val="21"/>
                <w:highlight w:val="none"/>
              </w:rPr>
            </w:pPr>
          </w:p>
        </w:tc>
        <w:tc>
          <w:tcPr>
            <w:tcW w:w="1645" w:type="dxa"/>
            <w:gridSpan w:val="3"/>
            <w:noWrap w:val="0"/>
            <w:vAlign w:val="center"/>
          </w:tcPr>
          <w:p w14:paraId="46087B5A">
            <w:pPr>
              <w:jc w:val="center"/>
              <w:rPr>
                <w:rFonts w:hint="eastAsia" w:ascii="宋体" w:hAnsi="宋体" w:eastAsia="宋体" w:cs="宋体"/>
                <w:sz w:val="21"/>
                <w:szCs w:val="21"/>
                <w:highlight w:val="none"/>
              </w:rPr>
            </w:pPr>
          </w:p>
        </w:tc>
        <w:tc>
          <w:tcPr>
            <w:tcW w:w="1646" w:type="dxa"/>
            <w:noWrap w:val="0"/>
            <w:vAlign w:val="center"/>
          </w:tcPr>
          <w:p w14:paraId="73AC7747">
            <w:pPr>
              <w:jc w:val="center"/>
              <w:rPr>
                <w:rFonts w:hint="eastAsia" w:ascii="宋体" w:hAnsi="宋体" w:eastAsia="宋体" w:cs="宋体"/>
                <w:sz w:val="21"/>
                <w:szCs w:val="21"/>
                <w:highlight w:val="none"/>
              </w:rPr>
            </w:pPr>
          </w:p>
        </w:tc>
      </w:tr>
      <w:tr w14:paraId="75C9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70" w:type="dxa"/>
            <w:gridSpan w:val="2"/>
            <w:noWrap w:val="0"/>
            <w:vAlign w:val="center"/>
          </w:tcPr>
          <w:p w14:paraId="61A1B2B6">
            <w:pPr>
              <w:jc w:val="center"/>
              <w:rPr>
                <w:rFonts w:hint="eastAsia" w:ascii="宋体" w:hAnsi="宋体" w:eastAsia="宋体" w:cs="宋体"/>
                <w:sz w:val="21"/>
                <w:szCs w:val="21"/>
                <w:highlight w:val="none"/>
              </w:rPr>
            </w:pPr>
          </w:p>
        </w:tc>
        <w:tc>
          <w:tcPr>
            <w:tcW w:w="1645" w:type="dxa"/>
            <w:gridSpan w:val="2"/>
            <w:noWrap w:val="0"/>
            <w:vAlign w:val="center"/>
          </w:tcPr>
          <w:p w14:paraId="163C59DE">
            <w:pPr>
              <w:jc w:val="center"/>
              <w:rPr>
                <w:rFonts w:hint="eastAsia" w:ascii="宋体" w:hAnsi="宋体" w:eastAsia="宋体" w:cs="宋体"/>
                <w:sz w:val="21"/>
                <w:szCs w:val="21"/>
                <w:highlight w:val="none"/>
              </w:rPr>
            </w:pPr>
          </w:p>
        </w:tc>
        <w:tc>
          <w:tcPr>
            <w:tcW w:w="1645" w:type="dxa"/>
            <w:gridSpan w:val="3"/>
            <w:noWrap w:val="0"/>
            <w:vAlign w:val="center"/>
          </w:tcPr>
          <w:p w14:paraId="48FB9B91">
            <w:pPr>
              <w:jc w:val="center"/>
              <w:rPr>
                <w:rFonts w:hint="eastAsia" w:ascii="宋体" w:hAnsi="宋体" w:eastAsia="宋体" w:cs="宋体"/>
                <w:sz w:val="21"/>
                <w:szCs w:val="21"/>
                <w:highlight w:val="none"/>
              </w:rPr>
            </w:pPr>
          </w:p>
        </w:tc>
        <w:tc>
          <w:tcPr>
            <w:tcW w:w="1645" w:type="dxa"/>
            <w:gridSpan w:val="3"/>
            <w:noWrap w:val="0"/>
            <w:vAlign w:val="center"/>
          </w:tcPr>
          <w:p w14:paraId="6ECDD0ED">
            <w:pPr>
              <w:jc w:val="center"/>
              <w:rPr>
                <w:rFonts w:hint="eastAsia" w:ascii="宋体" w:hAnsi="宋体" w:eastAsia="宋体" w:cs="宋体"/>
                <w:sz w:val="21"/>
                <w:szCs w:val="21"/>
                <w:highlight w:val="none"/>
              </w:rPr>
            </w:pPr>
          </w:p>
        </w:tc>
        <w:tc>
          <w:tcPr>
            <w:tcW w:w="1645" w:type="dxa"/>
            <w:gridSpan w:val="3"/>
            <w:noWrap w:val="0"/>
            <w:vAlign w:val="center"/>
          </w:tcPr>
          <w:p w14:paraId="5D721BA8">
            <w:pPr>
              <w:jc w:val="center"/>
              <w:rPr>
                <w:rFonts w:hint="eastAsia" w:ascii="宋体" w:hAnsi="宋体" w:eastAsia="宋体" w:cs="宋体"/>
                <w:sz w:val="21"/>
                <w:szCs w:val="21"/>
                <w:highlight w:val="none"/>
              </w:rPr>
            </w:pPr>
          </w:p>
        </w:tc>
        <w:tc>
          <w:tcPr>
            <w:tcW w:w="1646" w:type="dxa"/>
            <w:noWrap w:val="0"/>
            <w:vAlign w:val="center"/>
          </w:tcPr>
          <w:p w14:paraId="5B795858">
            <w:pPr>
              <w:jc w:val="center"/>
              <w:rPr>
                <w:rFonts w:hint="eastAsia" w:ascii="宋体" w:hAnsi="宋体" w:eastAsia="宋体" w:cs="宋体"/>
                <w:sz w:val="21"/>
                <w:szCs w:val="21"/>
                <w:highlight w:val="none"/>
              </w:rPr>
            </w:pPr>
          </w:p>
        </w:tc>
      </w:tr>
    </w:tbl>
    <w:p w14:paraId="725C414C">
      <w:pPr>
        <w:spacing w:line="360" w:lineRule="auto"/>
        <w:jc w:val="center"/>
        <w:rPr>
          <w:rFonts w:hint="eastAsia" w:ascii="宋体" w:hAnsi="宋体" w:cs="宋体"/>
          <w:b/>
          <w:color w:val="auto"/>
          <w:sz w:val="32"/>
          <w:szCs w:val="32"/>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rPr>
        <w:t>相应人员证书</w:t>
      </w:r>
      <w:r>
        <w:rPr>
          <w:rFonts w:hint="eastAsia" w:ascii="宋体" w:hAnsi="宋体"/>
          <w:sz w:val="24"/>
          <w:szCs w:val="24"/>
          <w:highlight w:val="none"/>
          <w:lang w:eastAsia="zh-CN"/>
        </w:rPr>
        <w:t>或</w:t>
      </w:r>
      <w:r>
        <w:rPr>
          <w:rFonts w:hint="eastAsia" w:ascii="宋体" w:hAnsi="宋体"/>
          <w:sz w:val="24"/>
          <w:szCs w:val="24"/>
          <w:highlight w:val="none"/>
        </w:rPr>
        <w:t>从业资格证书</w:t>
      </w:r>
      <w:r>
        <w:rPr>
          <w:rFonts w:hint="eastAsia" w:ascii="宋体" w:hAnsi="宋体"/>
          <w:sz w:val="24"/>
          <w:szCs w:val="24"/>
          <w:highlight w:val="none"/>
          <w:lang w:val="en-US" w:eastAsia="zh-CN"/>
        </w:rPr>
        <w:t>及社保证明</w:t>
      </w:r>
      <w:r>
        <w:rPr>
          <w:rFonts w:hint="eastAsia" w:ascii="宋体" w:hAnsi="宋体"/>
          <w:sz w:val="24"/>
          <w:szCs w:val="24"/>
          <w:highlight w:val="none"/>
        </w:rPr>
        <w:t>的复印件加盖公章。</w:t>
      </w:r>
      <w:r>
        <w:rPr>
          <w:rFonts w:hint="eastAsia" w:ascii="宋体" w:hAnsi="宋体" w:cs="宋体"/>
          <w:sz w:val="21"/>
          <w:szCs w:val="21"/>
          <w:highlight w:val="none"/>
        </w:rPr>
        <w:br w:type="page"/>
      </w:r>
    </w:p>
    <w:p w14:paraId="0651283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9、供应商类似项目业绩一览表</w:t>
      </w:r>
    </w:p>
    <w:p w14:paraId="5E7CB258">
      <w:pPr>
        <w:pStyle w:val="10"/>
        <w:rPr>
          <w:color w:val="auto"/>
          <w:highlight w:val="none"/>
        </w:rPr>
      </w:pPr>
    </w:p>
    <w:tbl>
      <w:tblPr>
        <w:tblStyle w:val="29"/>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13"/>
        <w:gridCol w:w="1630"/>
        <w:gridCol w:w="1564"/>
        <w:gridCol w:w="1339"/>
        <w:gridCol w:w="1564"/>
        <w:gridCol w:w="1009"/>
      </w:tblGrid>
      <w:tr w14:paraId="3D7C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96" w:type="dxa"/>
          </w:tcPr>
          <w:p w14:paraId="15FC62C8">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13" w:type="dxa"/>
          </w:tcPr>
          <w:p w14:paraId="70D85286">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630" w:type="dxa"/>
          </w:tcPr>
          <w:p w14:paraId="27F07E59">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564" w:type="dxa"/>
          </w:tcPr>
          <w:p w14:paraId="6F64DA85">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339" w:type="dxa"/>
          </w:tcPr>
          <w:p w14:paraId="55DBA7AF">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项目金额</w:t>
            </w:r>
          </w:p>
        </w:tc>
        <w:tc>
          <w:tcPr>
            <w:tcW w:w="1564" w:type="dxa"/>
          </w:tcPr>
          <w:p w14:paraId="40A21A95">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完成时间</w:t>
            </w:r>
          </w:p>
        </w:tc>
        <w:tc>
          <w:tcPr>
            <w:tcW w:w="1009" w:type="dxa"/>
          </w:tcPr>
          <w:p w14:paraId="1EDA823D">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4994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56EC831">
            <w:pPr>
              <w:pStyle w:val="10"/>
              <w:rPr>
                <w:rFonts w:ascii="宋体" w:hAnsi="宋体" w:eastAsia="宋体" w:cs="宋体"/>
                <w:color w:val="auto"/>
                <w:highlight w:val="none"/>
              </w:rPr>
            </w:pPr>
          </w:p>
        </w:tc>
        <w:tc>
          <w:tcPr>
            <w:tcW w:w="1613" w:type="dxa"/>
          </w:tcPr>
          <w:p w14:paraId="168A23AB">
            <w:pPr>
              <w:pStyle w:val="10"/>
              <w:rPr>
                <w:rFonts w:ascii="宋体" w:hAnsi="宋体" w:eastAsia="宋体" w:cs="宋体"/>
                <w:color w:val="auto"/>
                <w:highlight w:val="none"/>
              </w:rPr>
            </w:pPr>
          </w:p>
        </w:tc>
        <w:tc>
          <w:tcPr>
            <w:tcW w:w="1630" w:type="dxa"/>
          </w:tcPr>
          <w:p w14:paraId="2A7A54B4">
            <w:pPr>
              <w:pStyle w:val="10"/>
              <w:rPr>
                <w:rFonts w:ascii="宋体" w:hAnsi="宋体" w:eastAsia="宋体" w:cs="宋体"/>
                <w:color w:val="auto"/>
                <w:highlight w:val="none"/>
              </w:rPr>
            </w:pPr>
          </w:p>
        </w:tc>
        <w:tc>
          <w:tcPr>
            <w:tcW w:w="1564" w:type="dxa"/>
          </w:tcPr>
          <w:p w14:paraId="0068561B">
            <w:pPr>
              <w:pStyle w:val="10"/>
              <w:rPr>
                <w:rFonts w:ascii="宋体" w:hAnsi="宋体" w:eastAsia="宋体" w:cs="宋体"/>
                <w:color w:val="auto"/>
                <w:highlight w:val="none"/>
              </w:rPr>
            </w:pPr>
          </w:p>
        </w:tc>
        <w:tc>
          <w:tcPr>
            <w:tcW w:w="1339" w:type="dxa"/>
          </w:tcPr>
          <w:p w14:paraId="7D8BDD49">
            <w:pPr>
              <w:pStyle w:val="10"/>
              <w:rPr>
                <w:rFonts w:ascii="宋体" w:hAnsi="宋体" w:eastAsia="宋体" w:cs="宋体"/>
                <w:color w:val="auto"/>
                <w:highlight w:val="none"/>
              </w:rPr>
            </w:pPr>
          </w:p>
        </w:tc>
        <w:tc>
          <w:tcPr>
            <w:tcW w:w="1564" w:type="dxa"/>
          </w:tcPr>
          <w:p w14:paraId="3E2EEF62">
            <w:pPr>
              <w:pStyle w:val="10"/>
              <w:rPr>
                <w:rFonts w:ascii="宋体" w:hAnsi="宋体" w:eastAsia="宋体" w:cs="宋体"/>
                <w:color w:val="auto"/>
                <w:highlight w:val="none"/>
              </w:rPr>
            </w:pPr>
          </w:p>
        </w:tc>
        <w:tc>
          <w:tcPr>
            <w:tcW w:w="1009" w:type="dxa"/>
          </w:tcPr>
          <w:p w14:paraId="1860CFE3">
            <w:pPr>
              <w:pStyle w:val="10"/>
              <w:rPr>
                <w:rFonts w:ascii="宋体" w:hAnsi="宋体" w:eastAsia="宋体" w:cs="宋体"/>
                <w:color w:val="auto"/>
                <w:highlight w:val="none"/>
              </w:rPr>
            </w:pPr>
          </w:p>
        </w:tc>
      </w:tr>
      <w:tr w14:paraId="7C51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6EF91A9">
            <w:pPr>
              <w:pStyle w:val="10"/>
              <w:rPr>
                <w:rFonts w:ascii="宋体" w:hAnsi="宋体" w:eastAsia="宋体" w:cs="宋体"/>
                <w:color w:val="auto"/>
                <w:highlight w:val="none"/>
              </w:rPr>
            </w:pPr>
          </w:p>
        </w:tc>
        <w:tc>
          <w:tcPr>
            <w:tcW w:w="1613" w:type="dxa"/>
          </w:tcPr>
          <w:p w14:paraId="367960A2">
            <w:pPr>
              <w:pStyle w:val="10"/>
              <w:rPr>
                <w:rFonts w:ascii="宋体" w:hAnsi="宋体" w:eastAsia="宋体" w:cs="宋体"/>
                <w:color w:val="auto"/>
                <w:highlight w:val="none"/>
              </w:rPr>
            </w:pPr>
          </w:p>
        </w:tc>
        <w:tc>
          <w:tcPr>
            <w:tcW w:w="1630" w:type="dxa"/>
          </w:tcPr>
          <w:p w14:paraId="7A08E889">
            <w:pPr>
              <w:pStyle w:val="10"/>
              <w:rPr>
                <w:rFonts w:ascii="宋体" w:hAnsi="宋体" w:eastAsia="宋体" w:cs="宋体"/>
                <w:color w:val="auto"/>
                <w:highlight w:val="none"/>
              </w:rPr>
            </w:pPr>
          </w:p>
        </w:tc>
        <w:tc>
          <w:tcPr>
            <w:tcW w:w="1564" w:type="dxa"/>
          </w:tcPr>
          <w:p w14:paraId="6BB7F59C">
            <w:pPr>
              <w:pStyle w:val="10"/>
              <w:rPr>
                <w:rFonts w:ascii="宋体" w:hAnsi="宋体" w:eastAsia="宋体" w:cs="宋体"/>
                <w:color w:val="auto"/>
                <w:highlight w:val="none"/>
              </w:rPr>
            </w:pPr>
          </w:p>
        </w:tc>
        <w:tc>
          <w:tcPr>
            <w:tcW w:w="1339" w:type="dxa"/>
          </w:tcPr>
          <w:p w14:paraId="30FAAA05">
            <w:pPr>
              <w:pStyle w:val="10"/>
              <w:rPr>
                <w:rFonts w:ascii="宋体" w:hAnsi="宋体" w:eastAsia="宋体" w:cs="宋体"/>
                <w:color w:val="auto"/>
                <w:highlight w:val="none"/>
              </w:rPr>
            </w:pPr>
          </w:p>
        </w:tc>
        <w:tc>
          <w:tcPr>
            <w:tcW w:w="1564" w:type="dxa"/>
          </w:tcPr>
          <w:p w14:paraId="63B7CF24">
            <w:pPr>
              <w:pStyle w:val="10"/>
              <w:rPr>
                <w:rFonts w:ascii="宋体" w:hAnsi="宋体" w:eastAsia="宋体" w:cs="宋体"/>
                <w:color w:val="auto"/>
                <w:highlight w:val="none"/>
              </w:rPr>
            </w:pPr>
          </w:p>
        </w:tc>
        <w:tc>
          <w:tcPr>
            <w:tcW w:w="1009" w:type="dxa"/>
          </w:tcPr>
          <w:p w14:paraId="6CFD2921">
            <w:pPr>
              <w:pStyle w:val="10"/>
              <w:rPr>
                <w:rFonts w:ascii="宋体" w:hAnsi="宋体" w:eastAsia="宋体" w:cs="宋体"/>
                <w:color w:val="auto"/>
                <w:highlight w:val="none"/>
              </w:rPr>
            </w:pPr>
          </w:p>
        </w:tc>
      </w:tr>
      <w:tr w14:paraId="25E7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76242A1F">
            <w:pPr>
              <w:pStyle w:val="10"/>
              <w:rPr>
                <w:rFonts w:ascii="宋体" w:hAnsi="宋体" w:eastAsia="宋体" w:cs="宋体"/>
                <w:color w:val="auto"/>
                <w:highlight w:val="none"/>
              </w:rPr>
            </w:pPr>
          </w:p>
        </w:tc>
        <w:tc>
          <w:tcPr>
            <w:tcW w:w="1613" w:type="dxa"/>
          </w:tcPr>
          <w:p w14:paraId="51D7EFD7">
            <w:pPr>
              <w:pStyle w:val="10"/>
              <w:rPr>
                <w:rFonts w:ascii="宋体" w:hAnsi="宋体" w:eastAsia="宋体" w:cs="宋体"/>
                <w:color w:val="auto"/>
                <w:highlight w:val="none"/>
              </w:rPr>
            </w:pPr>
          </w:p>
        </w:tc>
        <w:tc>
          <w:tcPr>
            <w:tcW w:w="1630" w:type="dxa"/>
          </w:tcPr>
          <w:p w14:paraId="43A4E88F">
            <w:pPr>
              <w:pStyle w:val="10"/>
              <w:rPr>
                <w:rFonts w:ascii="宋体" w:hAnsi="宋体" w:eastAsia="宋体" w:cs="宋体"/>
                <w:color w:val="auto"/>
                <w:highlight w:val="none"/>
              </w:rPr>
            </w:pPr>
          </w:p>
        </w:tc>
        <w:tc>
          <w:tcPr>
            <w:tcW w:w="1564" w:type="dxa"/>
          </w:tcPr>
          <w:p w14:paraId="19D12DCD">
            <w:pPr>
              <w:pStyle w:val="10"/>
              <w:rPr>
                <w:rFonts w:ascii="宋体" w:hAnsi="宋体" w:eastAsia="宋体" w:cs="宋体"/>
                <w:color w:val="auto"/>
                <w:highlight w:val="none"/>
              </w:rPr>
            </w:pPr>
          </w:p>
        </w:tc>
        <w:tc>
          <w:tcPr>
            <w:tcW w:w="1339" w:type="dxa"/>
          </w:tcPr>
          <w:p w14:paraId="1E24011B">
            <w:pPr>
              <w:pStyle w:val="10"/>
              <w:rPr>
                <w:rFonts w:ascii="宋体" w:hAnsi="宋体" w:eastAsia="宋体" w:cs="宋体"/>
                <w:color w:val="auto"/>
                <w:highlight w:val="none"/>
              </w:rPr>
            </w:pPr>
          </w:p>
        </w:tc>
        <w:tc>
          <w:tcPr>
            <w:tcW w:w="1564" w:type="dxa"/>
          </w:tcPr>
          <w:p w14:paraId="6743AC64">
            <w:pPr>
              <w:pStyle w:val="10"/>
              <w:rPr>
                <w:rFonts w:ascii="宋体" w:hAnsi="宋体" w:eastAsia="宋体" w:cs="宋体"/>
                <w:color w:val="auto"/>
                <w:highlight w:val="none"/>
              </w:rPr>
            </w:pPr>
          </w:p>
        </w:tc>
        <w:tc>
          <w:tcPr>
            <w:tcW w:w="1009" w:type="dxa"/>
          </w:tcPr>
          <w:p w14:paraId="421EE7A4">
            <w:pPr>
              <w:pStyle w:val="10"/>
              <w:rPr>
                <w:rFonts w:ascii="宋体" w:hAnsi="宋体" w:eastAsia="宋体" w:cs="宋体"/>
                <w:color w:val="auto"/>
                <w:highlight w:val="none"/>
              </w:rPr>
            </w:pPr>
          </w:p>
        </w:tc>
      </w:tr>
      <w:tr w14:paraId="0FE1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36653699">
            <w:pPr>
              <w:pStyle w:val="10"/>
              <w:rPr>
                <w:rFonts w:ascii="宋体" w:hAnsi="宋体" w:eastAsia="宋体" w:cs="宋体"/>
                <w:color w:val="auto"/>
                <w:highlight w:val="none"/>
              </w:rPr>
            </w:pPr>
          </w:p>
        </w:tc>
        <w:tc>
          <w:tcPr>
            <w:tcW w:w="1613" w:type="dxa"/>
          </w:tcPr>
          <w:p w14:paraId="756F5C09">
            <w:pPr>
              <w:pStyle w:val="10"/>
              <w:rPr>
                <w:rFonts w:ascii="宋体" w:hAnsi="宋体" w:eastAsia="宋体" w:cs="宋体"/>
                <w:color w:val="auto"/>
                <w:highlight w:val="none"/>
              </w:rPr>
            </w:pPr>
          </w:p>
        </w:tc>
        <w:tc>
          <w:tcPr>
            <w:tcW w:w="1630" w:type="dxa"/>
          </w:tcPr>
          <w:p w14:paraId="542323BC">
            <w:pPr>
              <w:pStyle w:val="10"/>
              <w:rPr>
                <w:rFonts w:ascii="宋体" w:hAnsi="宋体" w:eastAsia="宋体" w:cs="宋体"/>
                <w:color w:val="auto"/>
                <w:highlight w:val="none"/>
              </w:rPr>
            </w:pPr>
          </w:p>
        </w:tc>
        <w:tc>
          <w:tcPr>
            <w:tcW w:w="1564" w:type="dxa"/>
          </w:tcPr>
          <w:p w14:paraId="736CBE25">
            <w:pPr>
              <w:pStyle w:val="10"/>
              <w:rPr>
                <w:rFonts w:ascii="宋体" w:hAnsi="宋体" w:eastAsia="宋体" w:cs="宋体"/>
                <w:color w:val="auto"/>
                <w:highlight w:val="none"/>
              </w:rPr>
            </w:pPr>
          </w:p>
        </w:tc>
        <w:tc>
          <w:tcPr>
            <w:tcW w:w="1339" w:type="dxa"/>
          </w:tcPr>
          <w:p w14:paraId="75028CFC">
            <w:pPr>
              <w:pStyle w:val="10"/>
              <w:rPr>
                <w:rFonts w:ascii="宋体" w:hAnsi="宋体" w:eastAsia="宋体" w:cs="宋体"/>
                <w:color w:val="auto"/>
                <w:highlight w:val="none"/>
              </w:rPr>
            </w:pPr>
          </w:p>
        </w:tc>
        <w:tc>
          <w:tcPr>
            <w:tcW w:w="1564" w:type="dxa"/>
          </w:tcPr>
          <w:p w14:paraId="6770D91F">
            <w:pPr>
              <w:pStyle w:val="10"/>
              <w:rPr>
                <w:rFonts w:ascii="宋体" w:hAnsi="宋体" w:eastAsia="宋体" w:cs="宋体"/>
                <w:color w:val="auto"/>
                <w:highlight w:val="none"/>
              </w:rPr>
            </w:pPr>
          </w:p>
        </w:tc>
        <w:tc>
          <w:tcPr>
            <w:tcW w:w="1009" w:type="dxa"/>
          </w:tcPr>
          <w:p w14:paraId="5F32530F">
            <w:pPr>
              <w:pStyle w:val="10"/>
              <w:rPr>
                <w:rFonts w:ascii="宋体" w:hAnsi="宋体" w:eastAsia="宋体" w:cs="宋体"/>
                <w:color w:val="auto"/>
                <w:highlight w:val="none"/>
              </w:rPr>
            </w:pPr>
          </w:p>
        </w:tc>
      </w:tr>
      <w:tr w14:paraId="1125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10F63606">
            <w:pPr>
              <w:pStyle w:val="10"/>
              <w:rPr>
                <w:rFonts w:ascii="宋体" w:hAnsi="宋体" w:eastAsia="宋体" w:cs="宋体"/>
                <w:color w:val="auto"/>
                <w:highlight w:val="none"/>
              </w:rPr>
            </w:pPr>
          </w:p>
        </w:tc>
        <w:tc>
          <w:tcPr>
            <w:tcW w:w="1613" w:type="dxa"/>
          </w:tcPr>
          <w:p w14:paraId="7621C5E6">
            <w:pPr>
              <w:pStyle w:val="10"/>
              <w:rPr>
                <w:rFonts w:ascii="宋体" w:hAnsi="宋体" w:eastAsia="宋体" w:cs="宋体"/>
                <w:color w:val="auto"/>
                <w:highlight w:val="none"/>
              </w:rPr>
            </w:pPr>
          </w:p>
        </w:tc>
        <w:tc>
          <w:tcPr>
            <w:tcW w:w="1630" w:type="dxa"/>
          </w:tcPr>
          <w:p w14:paraId="7CCA90B0">
            <w:pPr>
              <w:pStyle w:val="10"/>
              <w:rPr>
                <w:rFonts w:ascii="宋体" w:hAnsi="宋体" w:eastAsia="宋体" w:cs="宋体"/>
                <w:color w:val="auto"/>
                <w:highlight w:val="none"/>
              </w:rPr>
            </w:pPr>
          </w:p>
        </w:tc>
        <w:tc>
          <w:tcPr>
            <w:tcW w:w="1564" w:type="dxa"/>
          </w:tcPr>
          <w:p w14:paraId="331E8748">
            <w:pPr>
              <w:pStyle w:val="10"/>
              <w:rPr>
                <w:rFonts w:ascii="宋体" w:hAnsi="宋体" w:eastAsia="宋体" w:cs="宋体"/>
                <w:color w:val="auto"/>
                <w:highlight w:val="none"/>
              </w:rPr>
            </w:pPr>
          </w:p>
        </w:tc>
        <w:tc>
          <w:tcPr>
            <w:tcW w:w="1339" w:type="dxa"/>
          </w:tcPr>
          <w:p w14:paraId="232BA262">
            <w:pPr>
              <w:pStyle w:val="10"/>
              <w:rPr>
                <w:rFonts w:ascii="宋体" w:hAnsi="宋体" w:eastAsia="宋体" w:cs="宋体"/>
                <w:color w:val="auto"/>
                <w:highlight w:val="none"/>
              </w:rPr>
            </w:pPr>
          </w:p>
        </w:tc>
        <w:tc>
          <w:tcPr>
            <w:tcW w:w="1564" w:type="dxa"/>
          </w:tcPr>
          <w:p w14:paraId="182AB848">
            <w:pPr>
              <w:pStyle w:val="10"/>
              <w:rPr>
                <w:rFonts w:ascii="宋体" w:hAnsi="宋体" w:eastAsia="宋体" w:cs="宋体"/>
                <w:color w:val="auto"/>
                <w:highlight w:val="none"/>
              </w:rPr>
            </w:pPr>
          </w:p>
        </w:tc>
        <w:tc>
          <w:tcPr>
            <w:tcW w:w="1009" w:type="dxa"/>
          </w:tcPr>
          <w:p w14:paraId="536F5B55">
            <w:pPr>
              <w:pStyle w:val="10"/>
              <w:rPr>
                <w:rFonts w:ascii="宋体" w:hAnsi="宋体" w:eastAsia="宋体" w:cs="宋体"/>
                <w:color w:val="auto"/>
                <w:highlight w:val="none"/>
              </w:rPr>
            </w:pPr>
          </w:p>
        </w:tc>
      </w:tr>
      <w:tr w14:paraId="7643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96" w:type="dxa"/>
          </w:tcPr>
          <w:p w14:paraId="2A7B6DB9">
            <w:pPr>
              <w:pStyle w:val="10"/>
              <w:rPr>
                <w:rFonts w:ascii="宋体" w:hAnsi="宋体" w:eastAsia="宋体" w:cs="宋体"/>
                <w:color w:val="auto"/>
                <w:highlight w:val="none"/>
              </w:rPr>
            </w:pPr>
          </w:p>
        </w:tc>
        <w:tc>
          <w:tcPr>
            <w:tcW w:w="1613" w:type="dxa"/>
          </w:tcPr>
          <w:p w14:paraId="12AEAD4C">
            <w:pPr>
              <w:pStyle w:val="10"/>
              <w:rPr>
                <w:rFonts w:ascii="宋体" w:hAnsi="宋体" w:eastAsia="宋体" w:cs="宋体"/>
                <w:color w:val="auto"/>
                <w:highlight w:val="none"/>
              </w:rPr>
            </w:pPr>
          </w:p>
        </w:tc>
        <w:tc>
          <w:tcPr>
            <w:tcW w:w="1630" w:type="dxa"/>
          </w:tcPr>
          <w:p w14:paraId="523B1ABB">
            <w:pPr>
              <w:pStyle w:val="10"/>
              <w:rPr>
                <w:rFonts w:ascii="宋体" w:hAnsi="宋体" w:eastAsia="宋体" w:cs="宋体"/>
                <w:color w:val="auto"/>
                <w:highlight w:val="none"/>
              </w:rPr>
            </w:pPr>
          </w:p>
        </w:tc>
        <w:tc>
          <w:tcPr>
            <w:tcW w:w="1564" w:type="dxa"/>
          </w:tcPr>
          <w:p w14:paraId="3F75DEEE">
            <w:pPr>
              <w:pStyle w:val="10"/>
              <w:rPr>
                <w:rFonts w:ascii="宋体" w:hAnsi="宋体" w:eastAsia="宋体" w:cs="宋体"/>
                <w:color w:val="auto"/>
                <w:highlight w:val="none"/>
              </w:rPr>
            </w:pPr>
          </w:p>
        </w:tc>
        <w:tc>
          <w:tcPr>
            <w:tcW w:w="1339" w:type="dxa"/>
          </w:tcPr>
          <w:p w14:paraId="57178B77">
            <w:pPr>
              <w:pStyle w:val="10"/>
              <w:rPr>
                <w:rFonts w:ascii="宋体" w:hAnsi="宋体" w:eastAsia="宋体" w:cs="宋体"/>
                <w:color w:val="auto"/>
                <w:highlight w:val="none"/>
              </w:rPr>
            </w:pPr>
          </w:p>
        </w:tc>
        <w:tc>
          <w:tcPr>
            <w:tcW w:w="1564" w:type="dxa"/>
          </w:tcPr>
          <w:p w14:paraId="7B168CE7">
            <w:pPr>
              <w:pStyle w:val="10"/>
              <w:rPr>
                <w:rFonts w:ascii="宋体" w:hAnsi="宋体" w:eastAsia="宋体" w:cs="宋体"/>
                <w:color w:val="auto"/>
                <w:highlight w:val="none"/>
              </w:rPr>
            </w:pPr>
          </w:p>
        </w:tc>
        <w:tc>
          <w:tcPr>
            <w:tcW w:w="1009" w:type="dxa"/>
          </w:tcPr>
          <w:p w14:paraId="798F4220">
            <w:pPr>
              <w:pStyle w:val="10"/>
              <w:rPr>
                <w:rFonts w:ascii="宋体" w:hAnsi="宋体" w:eastAsia="宋体" w:cs="宋体"/>
                <w:color w:val="auto"/>
                <w:highlight w:val="none"/>
              </w:rPr>
            </w:pPr>
          </w:p>
        </w:tc>
      </w:tr>
    </w:tbl>
    <w:p w14:paraId="12047971">
      <w:pPr>
        <w:pStyle w:val="1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注：本表后附授权委托书及中标通知书或授权委托书及合同等证明文件加盖企业公章。</w:t>
      </w:r>
    </w:p>
    <w:p w14:paraId="1A6053BB">
      <w:pPr>
        <w:rPr>
          <w:rFonts w:ascii="宋体" w:hAnsi="宋体" w:cs="宋体"/>
          <w:b/>
          <w:color w:val="auto"/>
          <w:sz w:val="32"/>
          <w:szCs w:val="32"/>
          <w:highlight w:val="none"/>
        </w:rPr>
      </w:pPr>
    </w:p>
    <w:p w14:paraId="77E95976">
      <w:pPr>
        <w:rPr>
          <w:rFonts w:ascii="宋体" w:hAnsi="宋体" w:cs="宋体"/>
          <w:b/>
          <w:color w:val="auto"/>
          <w:sz w:val="32"/>
          <w:szCs w:val="32"/>
          <w:highlight w:val="none"/>
        </w:rPr>
      </w:pPr>
    </w:p>
    <w:p w14:paraId="641E3F54">
      <w:pPr>
        <w:rPr>
          <w:rFonts w:ascii="宋体" w:hAnsi="宋体" w:cs="宋体"/>
          <w:b/>
          <w:color w:val="auto"/>
          <w:sz w:val="32"/>
          <w:szCs w:val="32"/>
          <w:highlight w:val="none"/>
        </w:rPr>
      </w:pPr>
    </w:p>
    <w:p w14:paraId="64D4F6FD">
      <w:pPr>
        <w:rPr>
          <w:rFonts w:ascii="宋体" w:hAnsi="宋体" w:cs="宋体"/>
          <w:b/>
          <w:color w:val="auto"/>
          <w:sz w:val="32"/>
          <w:szCs w:val="32"/>
          <w:highlight w:val="none"/>
        </w:rPr>
      </w:pPr>
    </w:p>
    <w:p w14:paraId="3424EE1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1</w:t>
      </w:r>
      <w:r>
        <w:rPr>
          <w:rFonts w:hint="eastAsia" w:ascii="宋体" w:hAnsi="宋体" w:cs="宋体"/>
          <w:b/>
          <w:color w:val="auto"/>
          <w:sz w:val="32"/>
          <w:szCs w:val="32"/>
          <w:highlight w:val="none"/>
          <w:lang w:val="en-US" w:eastAsia="zh-CN"/>
        </w:rPr>
        <w:t>0</w:t>
      </w:r>
      <w:r>
        <w:rPr>
          <w:rFonts w:hint="eastAsia" w:ascii="宋体" w:hAnsi="宋体" w:cs="宋体"/>
          <w:b/>
          <w:color w:val="auto"/>
          <w:sz w:val="32"/>
          <w:szCs w:val="32"/>
          <w:highlight w:val="none"/>
        </w:rPr>
        <w:t>、磋商保证金</w:t>
      </w:r>
    </w:p>
    <w:p w14:paraId="135C90E0">
      <w:pPr>
        <w:spacing w:line="48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35B52668">
      <w:pPr>
        <w:spacing w:line="48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（以下称“供应商”）于</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递交了</w:t>
      </w:r>
    </w:p>
    <w:p w14:paraId="4D442115">
      <w:pPr>
        <w:spacing w:line="480" w:lineRule="auto"/>
        <w:rPr>
          <w:rFonts w:ascii="宋体" w:hAnsi="宋体" w:cs="宋体"/>
          <w:color w:val="auto"/>
          <w:sz w:val="24"/>
          <w:highlight w:val="none"/>
        </w:rPr>
      </w:pPr>
      <w:r>
        <w:rPr>
          <w:rFonts w:hint="eastAsia" w:ascii="宋体" w:hAnsi="宋体" w:cs="宋体"/>
          <w:color w:val="auto"/>
          <w:sz w:val="24"/>
          <w:highlight w:val="none"/>
          <w:u w:val="single"/>
        </w:rPr>
        <w:t xml:space="preserve">    （项目名称、项目编号）    </w:t>
      </w:r>
      <w:r>
        <w:rPr>
          <w:rFonts w:hint="eastAsia" w:ascii="宋体" w:hAnsi="宋体" w:cs="宋体"/>
          <w:color w:val="auto"/>
          <w:sz w:val="24"/>
          <w:highlight w:val="none"/>
        </w:rPr>
        <w:t>的磋商保证金人民币元；</w:t>
      </w:r>
    </w:p>
    <w:p w14:paraId="3C50CFBE">
      <w:pPr>
        <w:spacing w:line="48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如果我方在磋商有效期内收到你方的成交通知书后</w:t>
      </w:r>
    </w:p>
    <w:p w14:paraId="0D3D6C25">
      <w:pPr>
        <w:spacing w:line="48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1、不能或拒绝按供应商须知的要求签署合同协议书；</w:t>
      </w:r>
    </w:p>
    <w:p w14:paraId="469D190A">
      <w:pPr>
        <w:spacing w:line="48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2、在磋商有效期内撤回</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14:paraId="28992173">
      <w:pPr>
        <w:spacing w:line="48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否则你方有权没收我方的磋商保证金。</w:t>
      </w:r>
    </w:p>
    <w:p w14:paraId="46D80847">
      <w:pPr>
        <w:spacing w:line="48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我方同意竞争性磋商文件有关磋商保证金规定，并对我方有约束力。</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0DD9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tcPr>
          <w:p w14:paraId="37714A99">
            <w:pPr>
              <w:rPr>
                <w:rFonts w:ascii="宋体" w:hAnsi="宋体" w:cs="宋体"/>
                <w:b/>
                <w:color w:val="auto"/>
                <w:sz w:val="24"/>
                <w:highlight w:val="none"/>
              </w:rPr>
            </w:pPr>
          </w:p>
          <w:p w14:paraId="7E883DC9">
            <w:pPr>
              <w:ind w:firstLine="361" w:firstLineChars="150"/>
              <w:rPr>
                <w:rFonts w:ascii="宋体" w:hAnsi="宋体" w:cs="宋体"/>
                <w:b/>
                <w:color w:val="auto"/>
                <w:sz w:val="24"/>
                <w:highlight w:val="none"/>
              </w:rPr>
            </w:pPr>
            <w:r>
              <w:rPr>
                <w:rFonts w:hint="eastAsia" w:ascii="宋体" w:hAnsi="宋体" w:cs="宋体"/>
                <w:b/>
                <w:color w:val="auto"/>
                <w:sz w:val="24"/>
                <w:highlight w:val="none"/>
              </w:rPr>
              <w:t>附:银行进账回单</w:t>
            </w:r>
          </w:p>
          <w:p w14:paraId="156D345F">
            <w:pPr>
              <w:ind w:firstLine="361" w:firstLineChars="150"/>
              <w:rPr>
                <w:rFonts w:ascii="宋体" w:hAnsi="宋体" w:cs="宋体"/>
                <w:b/>
                <w:color w:val="auto"/>
                <w:sz w:val="24"/>
                <w:highlight w:val="none"/>
              </w:rPr>
            </w:pPr>
          </w:p>
          <w:p w14:paraId="05147CFC">
            <w:pPr>
              <w:ind w:firstLine="361" w:firstLineChars="150"/>
              <w:rPr>
                <w:rFonts w:ascii="宋体" w:hAnsi="宋体" w:cs="宋体"/>
                <w:b/>
                <w:color w:val="auto"/>
                <w:sz w:val="24"/>
                <w:highlight w:val="none"/>
              </w:rPr>
            </w:pPr>
          </w:p>
          <w:p w14:paraId="67D9DC63">
            <w:pPr>
              <w:ind w:firstLine="361" w:firstLineChars="150"/>
              <w:rPr>
                <w:rFonts w:ascii="宋体" w:hAnsi="宋体" w:cs="宋体"/>
                <w:b/>
                <w:color w:val="auto"/>
                <w:sz w:val="24"/>
                <w:highlight w:val="none"/>
              </w:rPr>
            </w:pPr>
          </w:p>
          <w:p w14:paraId="20F3F4D5">
            <w:pPr>
              <w:rPr>
                <w:rFonts w:ascii="宋体" w:hAnsi="宋体" w:cs="宋体"/>
                <w:color w:val="auto"/>
                <w:sz w:val="24"/>
                <w:highlight w:val="none"/>
              </w:rPr>
            </w:pPr>
          </w:p>
          <w:p w14:paraId="5FADE4C1">
            <w:pPr>
              <w:rPr>
                <w:rFonts w:ascii="宋体" w:hAnsi="宋体" w:cs="宋体"/>
                <w:color w:val="auto"/>
                <w:sz w:val="24"/>
                <w:highlight w:val="none"/>
              </w:rPr>
            </w:pPr>
          </w:p>
          <w:p w14:paraId="43C2E8BA">
            <w:pPr>
              <w:rPr>
                <w:rFonts w:ascii="宋体" w:hAnsi="宋体" w:cs="宋体"/>
                <w:color w:val="auto"/>
                <w:sz w:val="24"/>
                <w:highlight w:val="none"/>
              </w:rPr>
            </w:pPr>
          </w:p>
        </w:tc>
      </w:tr>
    </w:tbl>
    <w:p w14:paraId="7D79A830">
      <w:pPr>
        <w:rPr>
          <w:rFonts w:ascii="宋体" w:hAnsi="宋体" w:cs="宋体"/>
          <w:color w:val="auto"/>
          <w:sz w:val="24"/>
          <w:highlight w:val="none"/>
        </w:rPr>
      </w:pPr>
    </w:p>
    <w:p w14:paraId="7AA030E1">
      <w:pPr>
        <w:rPr>
          <w:rFonts w:ascii="宋体" w:hAnsi="宋体" w:cs="宋体"/>
          <w:color w:val="auto"/>
          <w:sz w:val="24"/>
          <w:highlight w:val="none"/>
        </w:rPr>
      </w:pPr>
    </w:p>
    <w:p w14:paraId="38DF4184">
      <w:pPr>
        <w:autoSpaceDE w:val="0"/>
        <w:autoSpaceDN w:val="0"/>
        <w:adjustRightInd w:val="0"/>
        <w:spacing w:line="360" w:lineRule="auto"/>
        <w:ind w:right="480" w:firstLine="6120" w:firstLineChars="2550"/>
        <w:rPr>
          <w:rFonts w:ascii="宋体" w:hAnsi="宋体" w:cs="宋体"/>
          <w:color w:val="auto"/>
          <w:sz w:val="24"/>
          <w:highlight w:val="none"/>
          <w:lang w:val="zh-CN"/>
        </w:rPr>
      </w:pPr>
      <w:r>
        <w:rPr>
          <w:rFonts w:hint="eastAsia" w:ascii="宋体" w:hAnsi="宋体" w:cs="宋体"/>
          <w:color w:val="auto"/>
          <w:sz w:val="24"/>
          <w:highlight w:val="none"/>
          <w:lang w:val="zh-CN"/>
        </w:rPr>
        <w:t>供应商名称（盖章）：</w:t>
      </w:r>
    </w:p>
    <w:p w14:paraId="13F2F3D3">
      <w:pPr>
        <w:autoSpaceDE w:val="0"/>
        <w:autoSpaceDN w:val="0"/>
        <w:adjustRightInd w:val="0"/>
        <w:spacing w:line="360" w:lineRule="auto"/>
        <w:ind w:right="480" w:firstLine="4920" w:firstLineChars="2050"/>
        <w:rPr>
          <w:rFonts w:ascii="宋体" w:hAnsi="宋体" w:cs="宋体"/>
          <w:color w:val="auto"/>
          <w:sz w:val="24"/>
          <w:highlight w:val="none"/>
          <w:lang w:val="zh-CN"/>
        </w:rPr>
      </w:pPr>
    </w:p>
    <w:p w14:paraId="1EF03B9F">
      <w:pPr>
        <w:autoSpaceDE w:val="0"/>
        <w:autoSpaceDN w:val="0"/>
        <w:adjustRightInd w:val="0"/>
        <w:spacing w:line="360" w:lineRule="auto"/>
        <w:ind w:firstLine="480"/>
        <w:jc w:val="right"/>
        <w:rPr>
          <w:rFonts w:ascii="宋体" w:hAnsi="宋体" w:cs="宋体"/>
          <w:color w:val="auto"/>
          <w:sz w:val="24"/>
          <w:highlight w:val="none"/>
          <w:lang w:val="zh-CN"/>
        </w:rPr>
      </w:pPr>
      <w:r>
        <w:rPr>
          <w:rFonts w:hint="eastAsia" w:ascii="宋体" w:hAnsi="宋体" w:cs="宋体"/>
          <w:color w:val="auto"/>
          <w:sz w:val="24"/>
          <w:highlight w:val="none"/>
          <w:lang w:val="zh-CN"/>
        </w:rPr>
        <w:t>法定代表人或其委托代理人（签字）：</w:t>
      </w:r>
    </w:p>
    <w:p w14:paraId="0584B845">
      <w:pPr>
        <w:autoSpaceDE w:val="0"/>
        <w:autoSpaceDN w:val="0"/>
        <w:adjustRightInd w:val="0"/>
        <w:spacing w:line="360" w:lineRule="auto"/>
        <w:ind w:firstLine="480"/>
        <w:jc w:val="right"/>
        <w:rPr>
          <w:rFonts w:ascii="宋体" w:hAnsi="宋体" w:cs="宋体"/>
          <w:color w:val="auto"/>
          <w:sz w:val="24"/>
          <w:highlight w:val="none"/>
          <w:lang w:val="zh-CN"/>
        </w:rPr>
      </w:pPr>
    </w:p>
    <w:p w14:paraId="4932C29C">
      <w:pPr>
        <w:autoSpaceDE w:val="0"/>
        <w:autoSpaceDN w:val="0"/>
        <w:adjustRightInd w:val="0"/>
        <w:ind w:right="480"/>
        <w:jc w:val="right"/>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p w14:paraId="41390119">
      <w:pPr>
        <w:rPr>
          <w:rFonts w:ascii="宋体" w:hAnsi="宋体" w:cs="宋体"/>
          <w:color w:val="auto"/>
          <w:sz w:val="24"/>
          <w:highlight w:val="none"/>
          <w:lang w:val="zh-CN"/>
        </w:rPr>
      </w:pPr>
    </w:p>
    <w:p w14:paraId="06F2C87A">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p w14:paraId="36A0B35D">
      <w:pPr>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05963EA">
      <w:pPr>
        <w:spacing w:line="360" w:lineRule="auto"/>
        <w:jc w:val="center"/>
        <w:rPr>
          <w:rFonts w:ascii="宋体" w:hAnsi="宋体" w:cs="宋体"/>
          <w:b/>
          <w:color w:val="auto"/>
          <w:sz w:val="24"/>
          <w:highlight w:val="none"/>
        </w:rPr>
        <w:sectPr>
          <w:footerReference r:id="rId7" w:type="first"/>
          <w:footerReference r:id="rId6" w:type="default"/>
          <w:pgSz w:w="11905" w:h="16838"/>
          <w:pgMar w:top="1440" w:right="1191" w:bottom="1440" w:left="1191" w:header="851" w:footer="573" w:gutter="0"/>
          <w:pgNumType w:fmt="decimal"/>
          <w:cols w:space="0" w:num="1"/>
          <w:titlePg/>
          <w:rtlGutter w:val="0"/>
          <w:docGrid w:type="lines" w:linePitch="322" w:charSpace="0"/>
        </w:sectPr>
      </w:pPr>
    </w:p>
    <w:p w14:paraId="69F73C1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11、</w:t>
      </w:r>
      <w:r>
        <w:rPr>
          <w:rFonts w:hint="eastAsia" w:ascii="宋体" w:hAnsi="宋体" w:eastAsia="宋体" w:cs="宋体"/>
          <w:b/>
          <w:color w:val="auto"/>
          <w:sz w:val="32"/>
          <w:szCs w:val="32"/>
          <w:highlight w:val="none"/>
          <w:lang w:val="zh-CN"/>
        </w:rPr>
        <w:t>其他材料</w:t>
      </w:r>
    </w:p>
    <w:p w14:paraId="19C559AB">
      <w:pPr>
        <w:tabs>
          <w:tab w:val="left" w:pos="0"/>
        </w:tabs>
        <w:spacing w:line="360" w:lineRule="auto"/>
        <w:ind w:left="360" w:hanging="360" w:hangingChars="150"/>
        <w:jc w:val="center"/>
        <w:rPr>
          <w:rFonts w:ascii="宋体" w:hAnsi="宋体" w:cs="宋体"/>
          <w:color w:val="auto"/>
          <w:sz w:val="24"/>
          <w:highlight w:val="none"/>
        </w:rPr>
      </w:pPr>
    </w:p>
    <w:p w14:paraId="57EA8020">
      <w:pPr>
        <w:tabs>
          <w:tab w:val="left" w:pos="0"/>
        </w:tabs>
        <w:spacing w:line="360" w:lineRule="auto"/>
        <w:ind w:left="360" w:hanging="360" w:hangingChars="150"/>
        <w:jc w:val="center"/>
        <w:rPr>
          <w:rFonts w:ascii="宋体" w:hAnsi="宋体" w:cs="宋体"/>
          <w:color w:val="auto"/>
          <w:sz w:val="24"/>
          <w:highlight w:val="none"/>
        </w:rPr>
      </w:pPr>
    </w:p>
    <w:p w14:paraId="4E5F8D26">
      <w:pPr>
        <w:spacing w:line="360" w:lineRule="auto"/>
        <w:jc w:val="center"/>
        <w:rPr>
          <w:rFonts w:ascii="宋体" w:hAnsi="宋体" w:cs="宋体"/>
          <w:b/>
          <w:color w:val="auto"/>
          <w:sz w:val="32"/>
          <w:szCs w:val="32"/>
          <w:highlight w:val="none"/>
        </w:rPr>
      </w:pPr>
      <w:r>
        <w:rPr>
          <w:rFonts w:hint="eastAsia"/>
          <w:b/>
          <w:bCs/>
          <w:highlight w:val="none"/>
          <w:lang w:val="en-US" w:eastAsia="zh-CN"/>
        </w:rPr>
        <w:t>竞争性磋商文件中</w:t>
      </w:r>
      <w:r>
        <w:rPr>
          <w:rFonts w:hint="eastAsia"/>
          <w:b/>
          <w:bCs/>
          <w:highlight w:val="none"/>
          <w:lang w:val="zh-CN"/>
        </w:rPr>
        <w:t>要求的其他证明材料</w:t>
      </w:r>
    </w:p>
    <w:p w14:paraId="20762A36">
      <w:pPr>
        <w:spacing w:line="360" w:lineRule="auto"/>
        <w:rPr>
          <w:rFonts w:ascii="宋体" w:hAnsi="宋体" w:cs="宋体"/>
          <w:b/>
          <w:color w:val="auto"/>
          <w:sz w:val="32"/>
          <w:szCs w:val="32"/>
          <w:highlight w:val="none"/>
        </w:rPr>
      </w:pPr>
    </w:p>
    <w:p w14:paraId="4B339ECF">
      <w:pPr>
        <w:spacing w:line="360" w:lineRule="auto"/>
        <w:rPr>
          <w:rFonts w:ascii="宋体" w:hAnsi="宋体" w:cs="宋体"/>
          <w:b/>
          <w:color w:val="auto"/>
          <w:sz w:val="32"/>
          <w:szCs w:val="32"/>
          <w:highlight w:val="none"/>
        </w:rPr>
      </w:pPr>
    </w:p>
    <w:p w14:paraId="3D289C39">
      <w:pPr>
        <w:spacing w:line="360" w:lineRule="auto"/>
        <w:rPr>
          <w:rFonts w:ascii="宋体" w:hAnsi="宋体" w:cs="宋体"/>
          <w:b/>
          <w:color w:val="auto"/>
          <w:sz w:val="32"/>
          <w:szCs w:val="32"/>
          <w:highlight w:val="none"/>
        </w:rPr>
      </w:pPr>
    </w:p>
    <w:p w14:paraId="21943624">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4F04E3B">
      <w:pPr>
        <w:pStyle w:val="2"/>
        <w:jc w:val="left"/>
        <w:rPr>
          <w:color w:val="auto"/>
          <w:sz w:val="36"/>
          <w:szCs w:val="21"/>
          <w:highlight w:val="none"/>
        </w:rPr>
      </w:pPr>
      <w:bookmarkStart w:id="104" w:name="_Toc13385"/>
      <w:r>
        <w:rPr>
          <w:rFonts w:hint="eastAsia"/>
          <w:color w:val="auto"/>
          <w:sz w:val="36"/>
          <w:szCs w:val="21"/>
          <w:highlight w:val="none"/>
          <w:lang w:val="zh-CN"/>
        </w:rPr>
        <w:t>附件：</w:t>
      </w:r>
      <w:bookmarkEnd w:id="104"/>
    </w:p>
    <w:p w14:paraId="6C89EFC5">
      <w:pPr>
        <w:pStyle w:val="3"/>
        <w:jc w:val="center"/>
        <w:rPr>
          <w:rFonts w:hint="default" w:ascii="宋体" w:hAnsi="宋体" w:eastAsia="宋体" w:cs="宋体"/>
          <w:color w:val="auto"/>
          <w:highlight w:val="none"/>
        </w:rPr>
      </w:pPr>
      <w:r>
        <w:rPr>
          <w:rFonts w:ascii="宋体" w:hAnsi="宋体" w:eastAsia="宋体" w:cs="宋体"/>
          <w:color w:val="auto"/>
          <w:highlight w:val="none"/>
        </w:rPr>
        <w:t>中小企业声明函(工程、服务)</w:t>
      </w:r>
    </w:p>
    <w:p w14:paraId="3E8D8093">
      <w:pPr>
        <w:spacing w:line="500" w:lineRule="exact"/>
        <w:ind w:firstLine="420" w:firstLineChars="200"/>
        <w:jc w:val="left"/>
        <w:rPr>
          <w:rFonts w:ascii="宋体" w:hAnsi="宋体" w:cs="宋体"/>
          <w:color w:val="auto"/>
          <w:szCs w:val="21"/>
          <w:highlight w:val="none"/>
        </w:rPr>
      </w:pPr>
    </w:p>
    <w:p w14:paraId="37EA0014">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w:t>
      </w:r>
      <w:r>
        <w:rPr>
          <w:rFonts w:hint="eastAsia" w:ascii="宋体" w:hAnsi="宋体" w:cs="宋体"/>
          <w:color w:val="auto"/>
          <w:sz w:val="24"/>
          <w:highlight w:val="none"/>
          <w:lang w:val="en-US" w:eastAsia="zh-CN"/>
        </w:rPr>
        <w:t>46</w:t>
      </w:r>
      <w:r>
        <w:rPr>
          <w:rFonts w:hint="eastAsia" w:ascii="宋体" w:hAnsi="宋体" w:cs="宋体"/>
          <w:color w:val="auto"/>
          <w:sz w:val="24"/>
          <w:highlight w:val="none"/>
        </w:rPr>
        <w:t>号）的规定，本公司（联合体）参加</w:t>
      </w:r>
      <w:r>
        <w:rPr>
          <w:rFonts w:hint="eastAsia" w:ascii="宋体" w:hAnsi="宋体" w:cs="宋体"/>
          <w:color w:val="auto"/>
          <w:sz w:val="24"/>
          <w:highlight w:val="none"/>
          <w:u w:val="single"/>
        </w:rPr>
        <w:t>（单位名称）的（项目名称）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664909B">
      <w:pPr>
        <w:numPr>
          <w:ilvl w:val="0"/>
          <w:numId w:val="7"/>
        </w:num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（采购文件内明确的所属行业）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人</w:t>
      </w:r>
      <w:r>
        <w:rPr>
          <w:rFonts w:hint="eastAsia" w:ascii="宋体" w:hAnsi="宋体" w:cs="宋体"/>
          <w:color w:val="auto"/>
          <w:sz w:val="24"/>
          <w:highlight w:val="none"/>
        </w:rPr>
        <w:t>，营业收入为万元，资产总额为万元，属于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116B1DE3">
      <w:pPr>
        <w:numPr>
          <w:ilvl w:val="0"/>
          <w:numId w:val="7"/>
        </w:num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（采购文件内明确的所属行业）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人</w:t>
      </w:r>
      <w:r>
        <w:rPr>
          <w:rFonts w:hint="eastAsia" w:ascii="宋体" w:hAnsi="宋体" w:cs="宋体"/>
          <w:color w:val="auto"/>
          <w:sz w:val="24"/>
          <w:highlight w:val="none"/>
        </w:rPr>
        <w:t>，营业收入为万元，资产总额为万元，属于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38701257">
      <w:pPr>
        <w:spacing w:line="500" w:lineRule="exact"/>
        <w:ind w:left="420" w:leftChars="200"/>
        <w:jc w:val="left"/>
        <w:rPr>
          <w:rFonts w:ascii="宋体" w:hAnsi="宋体" w:cs="宋体"/>
          <w:color w:val="auto"/>
          <w:sz w:val="24"/>
          <w:highlight w:val="none"/>
        </w:rPr>
      </w:pPr>
      <w:r>
        <w:rPr>
          <w:rFonts w:hint="eastAsia" w:ascii="宋体" w:hAnsi="宋体" w:cs="宋体"/>
          <w:color w:val="auto"/>
          <w:sz w:val="24"/>
          <w:highlight w:val="none"/>
        </w:rPr>
        <w:t>......</w:t>
      </w:r>
    </w:p>
    <w:p w14:paraId="0F9906E1">
      <w:pPr>
        <w:spacing w:line="50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以上企业不属于大企业的分支机构，不存在控股股东为大企业的情形，也不存在与大企业责任人为同一人的情形。</w:t>
      </w:r>
    </w:p>
    <w:p w14:paraId="3F178489">
      <w:pPr>
        <w:spacing w:line="50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192ED4">
      <w:pPr>
        <w:spacing w:line="500" w:lineRule="exact"/>
        <w:ind w:firstLine="360" w:firstLineChars="150"/>
        <w:jc w:val="left"/>
        <w:rPr>
          <w:rFonts w:ascii="宋体" w:hAnsi="宋体" w:cs="宋体"/>
          <w:color w:val="auto"/>
          <w:sz w:val="24"/>
          <w:highlight w:val="none"/>
        </w:rPr>
      </w:pPr>
    </w:p>
    <w:p w14:paraId="32E0A8D2">
      <w:pPr>
        <w:spacing w:line="50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企业名称（加盖公章）：</w:t>
      </w:r>
    </w:p>
    <w:p w14:paraId="0FE560F0">
      <w:pPr>
        <w:spacing w:line="50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日  期：   </w:t>
      </w:r>
    </w:p>
    <w:p w14:paraId="2A90D82F">
      <w:pPr>
        <w:rPr>
          <w:rFonts w:ascii="宋体" w:hAnsi="宋体" w:cs="宋体"/>
          <w:color w:val="auto"/>
          <w:sz w:val="28"/>
          <w:szCs w:val="28"/>
          <w:highlight w:val="none"/>
        </w:rPr>
      </w:pPr>
    </w:p>
    <w:p w14:paraId="52DD6F16">
      <w:pPr>
        <w:spacing w:line="500" w:lineRule="exact"/>
        <w:ind w:firstLine="316" w:firstLineChars="150"/>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44992CA5">
      <w:pPr>
        <w:spacing w:line="500" w:lineRule="exact"/>
        <w:ind w:firstLine="316" w:firstLineChars="150"/>
        <w:jc w:val="left"/>
        <w:rPr>
          <w:rFonts w:ascii="宋体" w:hAnsi="宋体" w:cs="宋体"/>
          <w:b/>
          <w:bCs/>
          <w:color w:val="auto"/>
          <w:szCs w:val="21"/>
          <w:highlight w:val="none"/>
        </w:rPr>
      </w:pPr>
      <w:r>
        <w:rPr>
          <w:rFonts w:hint="eastAsia" w:ascii="宋体" w:hAnsi="宋体" w:cs="宋体"/>
          <w:b/>
          <w:bCs/>
          <w:color w:val="auto"/>
          <w:szCs w:val="21"/>
          <w:highlight w:val="none"/>
        </w:rPr>
        <w:t xml:space="preserve">1、从业人员、营业收入、资产总额填报上一年度数据，无上一年度数据的新成立企业可不填报。 </w:t>
      </w:r>
    </w:p>
    <w:p w14:paraId="7BE3919D">
      <w:pPr>
        <w:spacing w:line="500" w:lineRule="exact"/>
        <w:ind w:firstLine="316" w:firstLineChars="150"/>
        <w:jc w:val="left"/>
        <w:rPr>
          <w:rFonts w:ascii="宋体" w:hAnsi="宋体" w:cs="宋体"/>
          <w:b/>
          <w:bCs/>
          <w:color w:val="auto"/>
          <w:szCs w:val="21"/>
          <w:highlight w:val="none"/>
        </w:rPr>
      </w:pPr>
      <w:r>
        <w:rPr>
          <w:rFonts w:hint="eastAsia" w:ascii="宋体" w:hAnsi="宋体" w:cs="宋体"/>
          <w:b/>
          <w:bCs/>
          <w:color w:val="auto"/>
          <w:szCs w:val="21"/>
          <w:highlight w:val="none"/>
        </w:rPr>
        <w:t xml:space="preserve">2、填写前请认真阅读《关于印发中小企业划型标准规定的通知》（工信部联企业[2011]300 号）和《关于 印发＜政府采购促进中小企业发展管理办法＞的通知》 (财库﹝2020﹞46 号)相关规定。 </w:t>
      </w:r>
    </w:p>
    <w:p w14:paraId="12DAF62B">
      <w:pPr>
        <w:spacing w:line="500" w:lineRule="exact"/>
        <w:ind w:firstLine="316" w:firstLineChars="150"/>
        <w:jc w:val="left"/>
        <w:rPr>
          <w:rFonts w:ascii="宋体" w:hAnsi="宋体" w:cs="宋体"/>
          <w:b/>
          <w:bCs/>
          <w:color w:val="auto"/>
          <w:szCs w:val="21"/>
          <w:highlight w:val="none"/>
        </w:rPr>
      </w:pPr>
      <w:r>
        <w:rPr>
          <w:rFonts w:hint="eastAsia" w:ascii="宋体" w:hAnsi="宋体" w:cs="宋体"/>
          <w:b/>
          <w:bCs/>
          <w:color w:val="auto"/>
          <w:szCs w:val="21"/>
          <w:highlight w:val="none"/>
        </w:rPr>
        <w:t>3、未按上述要求提供、填写的，评审时不予以考虑。</w:t>
      </w:r>
    </w:p>
    <w:p w14:paraId="41A06AC8">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DF1590E">
      <w:p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 xml:space="preserve">残疾人福利性单位声明函（如是） </w:t>
      </w:r>
    </w:p>
    <w:p w14:paraId="012DC6E7">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（采购项目名称）    </w:t>
      </w:r>
      <w:r>
        <w:rPr>
          <w:rFonts w:hint="eastAsia" w:ascii="宋体" w:hAnsi="宋体" w:cs="宋体"/>
          <w:color w:val="auto"/>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6A63482C">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本单位对上述声明的真实性负责。如有虚假，将依法承担相应责任。 </w:t>
      </w:r>
    </w:p>
    <w:p w14:paraId="38F2A970">
      <w:pPr>
        <w:spacing w:line="500" w:lineRule="exact"/>
        <w:ind w:firstLine="480" w:firstLineChars="200"/>
        <w:jc w:val="right"/>
        <w:rPr>
          <w:rFonts w:ascii="宋体" w:hAnsi="宋体" w:cs="宋体"/>
          <w:color w:val="auto"/>
          <w:sz w:val="24"/>
          <w:highlight w:val="none"/>
        </w:rPr>
      </w:pPr>
    </w:p>
    <w:p w14:paraId="67FD6241">
      <w:pPr>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单位名称（盖章）： </w:t>
      </w:r>
    </w:p>
    <w:p w14:paraId="259151E3">
      <w:pPr>
        <w:spacing w:line="5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日期</w:t>
      </w:r>
    </w:p>
    <w:p w14:paraId="76AFA3AF">
      <w:pPr>
        <w:pStyle w:val="10"/>
        <w:rPr>
          <w:rFonts w:ascii="宋体" w:hAnsi="宋体" w:eastAsia="宋体" w:cs="宋体"/>
          <w:color w:val="auto"/>
          <w:highlight w:val="none"/>
        </w:rPr>
      </w:pPr>
    </w:p>
    <w:p w14:paraId="13CB274F">
      <w:pPr>
        <w:spacing w:line="360" w:lineRule="auto"/>
        <w:jc w:val="left"/>
        <w:rPr>
          <w:rFonts w:ascii="宋体" w:hAnsi="宋体" w:cs="宋体"/>
          <w:color w:val="auto"/>
          <w:sz w:val="28"/>
          <w:szCs w:val="28"/>
          <w:highlight w:val="none"/>
        </w:rPr>
      </w:pPr>
    </w:p>
    <w:p w14:paraId="57CB5D96">
      <w:pPr>
        <w:spacing w:line="360" w:lineRule="auto"/>
        <w:jc w:val="left"/>
        <w:rPr>
          <w:rFonts w:ascii="宋体" w:hAnsi="宋体" w:cs="宋体"/>
          <w:color w:val="auto"/>
          <w:sz w:val="24"/>
          <w:highlight w:val="none"/>
        </w:rPr>
      </w:pPr>
    </w:p>
    <w:p w14:paraId="0AE04995">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157B27C7">
      <w:pPr>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1、残疾人福利性单位视同小型、微型企业，享受预留份额、评审中价格扣除等促进中小企业发展的政府采购政策。残疾人福利性单位属于小型、微型企业的，不重复享受政策。</w:t>
      </w:r>
    </w:p>
    <w:p w14:paraId="34D41A94">
      <w:pPr>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2、供应商为非残疾人福利性单位的，可不提供此声明。</w:t>
      </w:r>
    </w:p>
    <w:p w14:paraId="31DB07F6">
      <w:pPr>
        <w:rPr>
          <w:rFonts w:ascii="宋体" w:hAnsi="宋体" w:cs="宋体"/>
          <w:b/>
          <w:bCs/>
          <w:color w:val="auto"/>
          <w:szCs w:val="21"/>
          <w:highlight w:val="none"/>
        </w:rPr>
      </w:pPr>
      <w:r>
        <w:rPr>
          <w:rFonts w:hint="eastAsia" w:ascii="宋体" w:hAnsi="宋体" w:cs="宋体"/>
          <w:b/>
          <w:bCs/>
          <w:color w:val="auto"/>
          <w:szCs w:val="21"/>
          <w:highlight w:val="none"/>
        </w:rPr>
        <w:br w:type="page"/>
      </w:r>
    </w:p>
    <w:p w14:paraId="6038DB0F">
      <w:p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监狱企业证明文件（如是）</w:t>
      </w:r>
    </w:p>
    <w:p w14:paraId="5507213B">
      <w:pPr>
        <w:widowControl/>
        <w:jc w:val="left"/>
        <w:rPr>
          <w:rFonts w:ascii="宋体" w:hAnsi="宋体" w:cs="宋体"/>
          <w:color w:val="auto"/>
          <w:kern w:val="0"/>
          <w:sz w:val="24"/>
          <w:highlight w:val="none"/>
        </w:rPr>
      </w:pPr>
    </w:p>
    <w:p w14:paraId="036125FC">
      <w:pPr>
        <w:widowControl/>
        <w:jc w:val="left"/>
        <w:rPr>
          <w:rFonts w:ascii="宋体" w:hAnsi="宋体" w:cs="宋体"/>
          <w:color w:val="auto"/>
          <w:kern w:val="0"/>
          <w:sz w:val="24"/>
          <w:highlight w:val="none"/>
        </w:rPr>
      </w:pPr>
    </w:p>
    <w:p w14:paraId="0904DA5B">
      <w:pPr>
        <w:widowControl/>
        <w:jc w:val="left"/>
        <w:rPr>
          <w:rFonts w:ascii="宋体" w:hAnsi="宋体" w:cs="宋体"/>
          <w:color w:val="auto"/>
          <w:kern w:val="0"/>
          <w:sz w:val="24"/>
          <w:highlight w:val="none"/>
        </w:rPr>
      </w:pPr>
    </w:p>
    <w:p w14:paraId="18F5CE4E">
      <w:pPr>
        <w:widowControl/>
        <w:jc w:val="left"/>
        <w:rPr>
          <w:color w:val="auto"/>
          <w:highlight w:val="none"/>
        </w:rPr>
      </w:pPr>
      <w:r>
        <w:rPr>
          <w:rFonts w:hint="eastAsia" w:ascii="宋体" w:hAnsi="宋体" w:cs="宋体"/>
          <w:color w:val="auto"/>
          <w:kern w:val="0"/>
          <w:sz w:val="24"/>
          <w:highlight w:val="none"/>
        </w:rPr>
        <w:t xml:space="preserve">省级以上监狱管理局、戒毒管理局（含新疆生产建设兵团）出具的属于监狱企业的证明文件。 </w:t>
      </w:r>
    </w:p>
    <w:p w14:paraId="2156C0C5">
      <w:pPr>
        <w:rPr>
          <w:rFonts w:ascii="宋体" w:hAnsi="宋体" w:cs="宋体"/>
          <w:b/>
          <w:color w:val="auto"/>
          <w:szCs w:val="21"/>
          <w:highlight w:val="none"/>
        </w:rPr>
      </w:pPr>
    </w:p>
    <w:p w14:paraId="4ABBE5AF">
      <w:pPr>
        <w:rPr>
          <w:rFonts w:ascii="宋体" w:hAnsi="宋体" w:cs="宋体"/>
          <w:b/>
          <w:color w:val="auto"/>
          <w:szCs w:val="21"/>
          <w:highlight w:val="none"/>
        </w:rPr>
      </w:pPr>
    </w:p>
    <w:p w14:paraId="2DB18056">
      <w:pPr>
        <w:rPr>
          <w:rFonts w:ascii="宋体" w:hAnsi="宋体" w:cs="宋体"/>
          <w:b/>
          <w:color w:val="auto"/>
          <w:szCs w:val="21"/>
          <w:highlight w:val="none"/>
        </w:rPr>
      </w:pPr>
    </w:p>
    <w:p w14:paraId="3497180E">
      <w:pPr>
        <w:spacing w:line="360" w:lineRule="auto"/>
        <w:jc w:val="left"/>
        <w:rPr>
          <w:rFonts w:ascii="宋体" w:hAnsi="宋体" w:cs="宋体"/>
          <w:color w:val="auto"/>
          <w:sz w:val="24"/>
          <w:highlight w:val="none"/>
        </w:rPr>
      </w:pPr>
    </w:p>
    <w:p w14:paraId="4A5EB550">
      <w:pPr>
        <w:spacing w:line="360" w:lineRule="auto"/>
        <w:jc w:val="left"/>
        <w:rPr>
          <w:rFonts w:ascii="宋体" w:hAnsi="宋体" w:cs="宋体"/>
          <w:color w:val="auto"/>
          <w:sz w:val="24"/>
          <w:highlight w:val="none"/>
        </w:rPr>
      </w:pPr>
    </w:p>
    <w:p w14:paraId="282A9A9E">
      <w:pPr>
        <w:spacing w:line="360" w:lineRule="auto"/>
        <w:jc w:val="left"/>
        <w:rPr>
          <w:rFonts w:ascii="宋体" w:hAnsi="宋体" w:cs="宋体"/>
          <w:color w:val="auto"/>
          <w:sz w:val="24"/>
          <w:highlight w:val="none"/>
        </w:rPr>
      </w:pPr>
    </w:p>
    <w:p w14:paraId="30ED02DD">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73D6F552">
      <w:pPr>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1、监狱企业视同小型、微型企业，享受预留份额、评审中价格扣除等促进中小企业发展的政府采购政策。监狱企业属于小型、微型企业的，不重复享受政策。</w:t>
      </w:r>
    </w:p>
    <w:p w14:paraId="7EE76BF4">
      <w:pPr>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2、供应商为非监狱企业的，可不提供此证明。</w:t>
      </w:r>
    </w:p>
    <w:p w14:paraId="4274A37D">
      <w:pPr>
        <w:rPr>
          <w:rFonts w:ascii="宋体" w:hAnsi="宋体" w:cs="宋体"/>
          <w:b/>
          <w:bCs/>
          <w:color w:val="auto"/>
          <w:szCs w:val="21"/>
          <w:highlight w:val="none"/>
        </w:rPr>
      </w:pPr>
      <w:r>
        <w:rPr>
          <w:rFonts w:hint="eastAsia" w:ascii="宋体" w:hAnsi="宋体" w:cs="宋体"/>
          <w:b/>
          <w:bCs/>
          <w:color w:val="auto"/>
          <w:szCs w:val="21"/>
          <w:highlight w:val="none"/>
        </w:rPr>
        <w:br w:type="page"/>
      </w:r>
    </w:p>
    <w:p w14:paraId="1E607F3A">
      <w:pPr>
        <w:spacing w:line="312" w:lineRule="auto"/>
        <w:jc w:val="center"/>
        <w:rPr>
          <w:rFonts w:ascii="宋体" w:hAnsi="宋体" w:cs="宋体"/>
          <w:color w:val="auto"/>
          <w:sz w:val="24"/>
          <w:highlight w:val="none"/>
        </w:rPr>
      </w:pPr>
      <w:r>
        <w:rPr>
          <w:rFonts w:hint="eastAsia" w:ascii="宋体" w:hAnsi="宋体" w:cs="宋体"/>
          <w:color w:val="auto"/>
          <w:sz w:val="24"/>
          <w:highlight w:val="none"/>
        </w:rPr>
        <w:t>政府采购促进中小企业发展管理办法</w:t>
      </w:r>
    </w:p>
    <w:p w14:paraId="65F53E26">
      <w:pPr>
        <w:spacing w:line="312" w:lineRule="auto"/>
        <w:rPr>
          <w:rFonts w:ascii="宋体" w:hAnsi="宋体" w:cs="宋体"/>
          <w:color w:val="auto"/>
          <w:sz w:val="24"/>
          <w:highlight w:val="none"/>
        </w:rPr>
      </w:pPr>
    </w:p>
    <w:p w14:paraId="67D50A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第一条　为了发挥政府采购的政策功能，促进中小企业健康发展，根据《中华人民共和国政府采购法》、《中华人民共和国中小企业促进法》等有关法律法规，制定本办法。</w:t>
      </w:r>
    </w:p>
    <w:p w14:paraId="6C2CA5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44F8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957A2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第三条　采购人在政府采购活动中应当通过加强采购需求管理，落实预留采购份额、价格评审优惠、优先采购等措施，提高中小企业在政府采购中的份额，支持中小企业发展。</w:t>
      </w:r>
    </w:p>
    <w:p w14:paraId="22BBC8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第四条　在政府采购活动中，供应商提供的货物、工程或者服务符合下列情形的，享受本办法规定的中小企业扶持政策：</w:t>
      </w:r>
    </w:p>
    <w:p w14:paraId="0999F2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597BD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3D795D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（三）在服务采购项目中，服务由中小企业承接，即提供服务的人员为中小企业依照《中华人民共和国劳动</w:t>
      </w:r>
      <w:r>
        <w:rPr>
          <w:rFonts w:hint="eastAsia" w:ascii="宋体" w:hAnsi="宋体" w:cs="宋体"/>
          <w:color w:val="auto"/>
          <w:sz w:val="24"/>
          <w:highlight w:val="none"/>
          <w:lang w:val="en-US" w:eastAsia="zh-CN"/>
        </w:rPr>
        <w:t>合同法</w:t>
      </w:r>
      <w:r>
        <w:rPr>
          <w:rFonts w:hint="eastAsia" w:ascii="宋体" w:hAnsi="宋体" w:cs="宋体"/>
          <w:color w:val="auto"/>
          <w:sz w:val="24"/>
          <w:highlight w:val="none"/>
        </w:rPr>
        <w:t>》订立劳动合同的从业人员。</w:t>
      </w:r>
    </w:p>
    <w:p w14:paraId="22F905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在货物采购项目中，供应商提供的货物既有中小企业制造货物，也有大型企业制造货物的，不享受本办法规定的中小企业扶持政策。</w:t>
      </w:r>
    </w:p>
    <w:p w14:paraId="5266B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36027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151CE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F7B6D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符合下列情形之一的，可不专门面向中小企业预留采购份额：</w:t>
      </w:r>
    </w:p>
    <w:p w14:paraId="5B9959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（一）法律法规和国家有关政策明确规定优先或者应当面向事业单位、社会组织等非企业主体采购的；</w:t>
      </w:r>
    </w:p>
    <w:p w14:paraId="09B555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（二）因确需使用不可替代的专利、专有技术，基础设施限制，或者提供特定公共服务等原因，只能从中小企业之外的供应商处采购的；</w:t>
      </w:r>
    </w:p>
    <w:p w14:paraId="6C2FDE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（三）按照本办法规定预留采购份额无法确保充分供应、充分竞争，或者存在可能影响政府采购目标实现的情形；</w:t>
      </w:r>
    </w:p>
    <w:p w14:paraId="36BA48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（四）框架协议采购项目；</w:t>
      </w:r>
    </w:p>
    <w:p w14:paraId="786CE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（五）省级以上人民政府财政部门规定的其他情形。</w:t>
      </w:r>
    </w:p>
    <w:p w14:paraId="0B0353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除上述情形外，其他均为适宜由中小企业提供的情形。</w:t>
      </w:r>
    </w:p>
    <w:p w14:paraId="22CF67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第七条　采购限额标准以上，200万元以下的货物和服务采购项目、400万元以下的工程采购项目，适宜由中小企业提供的，采购人应当专门面向中小企业采购。</w:t>
      </w:r>
    </w:p>
    <w:p w14:paraId="3A2DEE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A1A5D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（一）将采购项目整体或者设置采购包专门面向中小企业采购；</w:t>
      </w:r>
    </w:p>
    <w:p w14:paraId="5F0F22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（二）要求供应商以联合体形式参加采购活动，且联合体中中小企业承担的部分达到一定比例；</w:t>
      </w:r>
    </w:p>
    <w:p w14:paraId="3F2E9F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（三）要求获得采购合同的供应商将采购项目中的一定比例分包给一家或者多家中小企业。</w:t>
      </w:r>
    </w:p>
    <w:p w14:paraId="392AD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组成联合体或者接受分包合同的中小企业与联合体内其他企业、分包企业之间不得存在直接控股、管理关系。</w:t>
      </w:r>
    </w:p>
    <w:p w14:paraId="4FF05E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B8C16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1BC64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3B32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5E52E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4C61C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第十二条　采购项目涉及中小企业采购的，竞争性磋商文件应当明确以下内容：</w:t>
      </w:r>
    </w:p>
    <w:p w14:paraId="5B3670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（一）预留份额的采购项目或者采购包，明确该项目或相关采购包专门面向中小企业采购，以及相关标的及预算金额；</w:t>
      </w:r>
    </w:p>
    <w:p w14:paraId="1F6770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（二）要求以联合体形式参加或者合同分包的，明确联合协议或者分包意向协议中中小企业合同金额应当达到的比例，并作为供应商资格条件；</w:t>
      </w:r>
    </w:p>
    <w:p w14:paraId="777B0F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（三）非预留份额的采购项目或者采购包，明确有关价格扣除比例或者价格分加分比例；</w:t>
      </w:r>
    </w:p>
    <w:p w14:paraId="6952E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（四）规定依据本办法规定享受扶持政策获得政府采购合同的，小微企业不得将合同分包给大中型企业，中型企业不得将合同分包给大型企业；</w:t>
      </w:r>
    </w:p>
    <w:p w14:paraId="39C355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（五）采购人认为具备相关条件的，明确对中小企业在资金支付期限、预付款比例等方面的优惠措施；</w:t>
      </w:r>
    </w:p>
    <w:p w14:paraId="4545DD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（六）明确采购标的对应的中小企业划分标准所属行业；</w:t>
      </w:r>
    </w:p>
    <w:p w14:paraId="32D2D5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（七）法律法规和省级以上人民政府财政部门规定的其他事项。</w:t>
      </w:r>
    </w:p>
    <w:p w14:paraId="66703A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第十三条　中标、成交供应商享受本办法规定的中小企业扶持政策的，采购人、采购代理机构应当随中标、成交结果公开中标、成交供应商的《中小企业声明函》。</w:t>
      </w:r>
    </w:p>
    <w:p w14:paraId="011E35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适用招标投标法的政府采购工程建设项目，应当在公示中标候选人时公开中标候选人的《中小企业声明函》。</w:t>
      </w:r>
    </w:p>
    <w:p w14:paraId="10CAAD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003C6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3D23A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第十六条　政府采购监督检查、投诉处理及政府采购行政处罚中对中小企业的认定，由货物制造商或者工程、服务供应商注册登记所在地的县级以上人民政府中小企业主管部门负责。</w:t>
      </w:r>
    </w:p>
    <w:p w14:paraId="05CA07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中小企业主管部门应当在收到财政部门或者有关招标投标行政监督部门关于协助开展中小企业认定函后10个工作日内做出书面答复。</w:t>
      </w:r>
    </w:p>
    <w:p w14:paraId="24727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537DA5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D41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5C1ED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第二十条　供应商按照本办法规定提供声明函内容不实的，属于提供虚假材料谋取中标、成交，依照《中华人民共和国政府采购法》等国家有关规定追究相应责任。</w:t>
      </w:r>
    </w:p>
    <w:p w14:paraId="3A833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适用招标投标法的政府采购工程建设项目，供应商按照本办法规定提供声明函内容不实的，属于弄虚作假骗取中标，依照《中华人民共和国招标投标法》等国家有关规定追究相应责任。</w:t>
      </w:r>
    </w:p>
    <w:p w14:paraId="78B0CF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425EE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第二十二条　对外援助项目、国家相关资格或者资质管理制度另有规定的项目，不适用本办法。</w:t>
      </w:r>
    </w:p>
    <w:p w14:paraId="7ECE1C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第二十三条　关于视同中小企业的其他主体的政府采购扶持政策，由财政部会同有关部门另行规定。</w:t>
      </w:r>
    </w:p>
    <w:p w14:paraId="548001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第二十四条　省级财政部门可以会同中小企业主管部门根据本办法的规定制定具体实施办法。</w:t>
      </w:r>
    </w:p>
    <w:p w14:paraId="6BC914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第二十五条　本办法自2021年1月1日起施行。《财政部工业和信息化部关于印发〈政府采购促进中小企业发展暂行办法〉的通知》（财库﹝2011﹞181号）同时废止。</w:t>
      </w:r>
    </w:p>
    <w:p w14:paraId="3695F3ED">
      <w:pPr>
        <w:spacing w:line="312" w:lineRule="auto"/>
        <w:rPr>
          <w:rFonts w:ascii="宋体" w:hAnsi="宋体" w:cs="宋体"/>
          <w:color w:val="auto"/>
          <w:sz w:val="24"/>
          <w:highlight w:val="none"/>
        </w:rPr>
      </w:pPr>
    </w:p>
    <w:p w14:paraId="367FE521">
      <w:pPr>
        <w:rPr>
          <w:rFonts w:ascii="宋体" w:hAnsi="宋体" w:cs="宋体"/>
          <w:color w:val="auto"/>
          <w:sz w:val="24"/>
          <w:highlight w:val="none"/>
        </w:rPr>
      </w:pPr>
    </w:p>
    <w:p w14:paraId="2C24916B">
      <w:pPr>
        <w:rPr>
          <w:rFonts w:hint="eastAsia" w:ascii="宋体" w:hAnsi="宋体" w:cs="宋体"/>
          <w:color w:val="auto"/>
          <w:sz w:val="24"/>
          <w:highlight w:val="none"/>
        </w:rPr>
      </w:pPr>
      <w:r>
        <w:rPr>
          <w:rFonts w:hint="eastAsia" w:ascii="宋体" w:hAnsi="宋体" w:cs="宋体"/>
          <w:color w:val="auto"/>
          <w:sz w:val="24"/>
          <w:highlight w:val="none"/>
        </w:rPr>
        <w:br w:type="page"/>
      </w:r>
    </w:p>
    <w:p w14:paraId="24633ED4">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关于进一步加大政府采购支持中小企业力度的通知</w:t>
      </w:r>
    </w:p>
    <w:p w14:paraId="1D424B55">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财库〔2022〕19号</w:t>
      </w:r>
    </w:p>
    <w:p w14:paraId="21EB1BC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各中央预算单位，各省、自治区、直辖市、计划单列市财政厅（局），新疆生产建设兵团财政局：</w:t>
      </w:r>
    </w:p>
    <w:p w14:paraId="25A142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45A60D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F4234F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438AFD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A963AF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四、认真做好组织实施。各地区、各部门应当加强组织领导，明确工作责任，细化执行要求，强化监督检查，确保国务院部署落实到位，对通知执行中出现的问题要及时向财政部报告。</w:t>
      </w:r>
    </w:p>
    <w:p w14:paraId="1129C6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本通知自2022年7月1日起执行。</w:t>
      </w:r>
    </w:p>
    <w:p w14:paraId="7C143862">
      <w:pPr>
        <w:pStyle w:val="10"/>
        <w:rPr>
          <w:rFonts w:hint="eastAsia" w:ascii="宋体" w:hAnsi="宋体" w:cs="宋体"/>
          <w:color w:val="auto"/>
          <w:sz w:val="24"/>
          <w:highlight w:val="none"/>
        </w:rPr>
      </w:pPr>
    </w:p>
    <w:p w14:paraId="5AF5DAEA">
      <w:pPr>
        <w:pStyle w:val="11"/>
        <w:rPr>
          <w:rFonts w:hint="eastAsia" w:ascii="宋体" w:hAnsi="宋体" w:cs="宋体"/>
          <w:color w:val="auto"/>
          <w:sz w:val="24"/>
          <w:highlight w:val="none"/>
        </w:rPr>
      </w:pPr>
    </w:p>
    <w:p w14:paraId="786D5265">
      <w:pPr>
        <w:rPr>
          <w:rFonts w:hint="eastAsia" w:ascii="宋体" w:hAnsi="宋体" w:cs="宋体"/>
          <w:color w:val="auto"/>
          <w:sz w:val="24"/>
          <w:highlight w:val="none"/>
        </w:rPr>
      </w:pPr>
    </w:p>
    <w:p w14:paraId="1D62CCF4">
      <w:pPr>
        <w:pStyle w:val="10"/>
        <w:rPr>
          <w:rFonts w:hint="eastAsia" w:ascii="宋体" w:hAnsi="宋体" w:cs="宋体"/>
          <w:color w:val="auto"/>
          <w:sz w:val="24"/>
          <w:highlight w:val="none"/>
        </w:rPr>
      </w:pPr>
    </w:p>
    <w:p w14:paraId="7E44F8EF">
      <w:pPr>
        <w:pStyle w:val="11"/>
        <w:rPr>
          <w:rFonts w:hint="eastAsia" w:ascii="宋体" w:hAnsi="宋体" w:cs="宋体"/>
          <w:color w:val="auto"/>
          <w:sz w:val="24"/>
          <w:highlight w:val="none"/>
        </w:rPr>
      </w:pPr>
    </w:p>
    <w:p w14:paraId="33410FC3">
      <w:pPr>
        <w:rPr>
          <w:rFonts w:hint="eastAsia" w:ascii="宋体" w:hAnsi="宋体" w:cs="宋体"/>
          <w:color w:val="auto"/>
          <w:sz w:val="24"/>
          <w:highlight w:val="none"/>
        </w:rPr>
      </w:pPr>
    </w:p>
    <w:p w14:paraId="58D44827">
      <w:pPr>
        <w:pStyle w:val="10"/>
        <w:rPr>
          <w:rFonts w:hint="eastAsia" w:ascii="宋体" w:hAnsi="宋体" w:cs="宋体"/>
          <w:color w:val="auto"/>
          <w:sz w:val="24"/>
          <w:highlight w:val="none"/>
        </w:rPr>
      </w:pPr>
    </w:p>
    <w:p w14:paraId="42ACB240">
      <w:pPr>
        <w:pStyle w:val="11"/>
        <w:rPr>
          <w:rFonts w:hint="eastAsia" w:ascii="宋体" w:hAnsi="宋体" w:cs="宋体"/>
          <w:color w:val="auto"/>
          <w:sz w:val="24"/>
          <w:highlight w:val="none"/>
        </w:rPr>
      </w:pPr>
    </w:p>
    <w:p w14:paraId="7D1BC4E2">
      <w:pPr>
        <w:rPr>
          <w:rFonts w:hint="eastAsia" w:ascii="宋体" w:hAnsi="宋体" w:cs="宋体"/>
          <w:color w:val="auto"/>
          <w:sz w:val="24"/>
          <w:highlight w:val="none"/>
        </w:rPr>
      </w:pPr>
    </w:p>
    <w:p w14:paraId="40408001">
      <w:pPr>
        <w:pStyle w:val="10"/>
        <w:rPr>
          <w:rFonts w:hint="eastAsia" w:ascii="宋体" w:hAnsi="宋体" w:cs="宋体"/>
          <w:color w:val="auto"/>
          <w:sz w:val="24"/>
          <w:highlight w:val="none"/>
        </w:rPr>
      </w:pPr>
    </w:p>
    <w:p w14:paraId="24767C0F">
      <w:pPr>
        <w:pStyle w:val="11"/>
        <w:rPr>
          <w:rFonts w:hint="eastAsia" w:ascii="宋体" w:hAnsi="宋体" w:cs="宋体"/>
          <w:color w:val="auto"/>
          <w:sz w:val="24"/>
          <w:highlight w:val="none"/>
        </w:rPr>
      </w:pPr>
    </w:p>
    <w:p w14:paraId="38F6EEE2">
      <w:pPr>
        <w:rPr>
          <w:rFonts w:hint="eastAsia" w:ascii="宋体" w:hAnsi="宋体" w:cs="宋体"/>
          <w:color w:val="auto"/>
          <w:sz w:val="24"/>
          <w:highlight w:val="none"/>
        </w:rPr>
      </w:pPr>
    </w:p>
    <w:p w14:paraId="4E862BEB">
      <w:pPr>
        <w:pStyle w:val="10"/>
        <w:rPr>
          <w:rFonts w:hint="eastAsia" w:ascii="宋体" w:hAnsi="宋体" w:cs="宋体"/>
          <w:color w:val="auto"/>
          <w:sz w:val="24"/>
          <w:highlight w:val="none"/>
        </w:rPr>
      </w:pPr>
    </w:p>
    <w:p w14:paraId="29BAADC4">
      <w:pPr>
        <w:pStyle w:val="11"/>
        <w:rPr>
          <w:rFonts w:hint="eastAsia" w:ascii="宋体" w:hAnsi="宋体" w:cs="宋体"/>
          <w:color w:val="auto"/>
          <w:sz w:val="24"/>
          <w:highlight w:val="none"/>
        </w:rPr>
      </w:pPr>
    </w:p>
    <w:p w14:paraId="64B65735">
      <w:pPr>
        <w:rPr>
          <w:rFonts w:hint="eastAsia" w:ascii="宋体" w:hAnsi="宋体" w:cs="宋体"/>
          <w:color w:val="auto"/>
          <w:sz w:val="24"/>
          <w:highlight w:val="none"/>
        </w:rPr>
      </w:pPr>
    </w:p>
    <w:p w14:paraId="2B56A622">
      <w:pPr>
        <w:pStyle w:val="10"/>
        <w:rPr>
          <w:rFonts w:hint="eastAsia" w:ascii="宋体" w:hAnsi="宋体" w:cs="宋体"/>
          <w:color w:val="auto"/>
          <w:sz w:val="24"/>
          <w:highlight w:val="none"/>
        </w:rPr>
      </w:pPr>
    </w:p>
    <w:p w14:paraId="2F6765E2">
      <w:pPr>
        <w:pStyle w:val="11"/>
        <w:rPr>
          <w:rFonts w:hint="eastAsia" w:ascii="宋体" w:hAnsi="宋体" w:cs="宋体"/>
          <w:color w:val="auto"/>
          <w:sz w:val="24"/>
          <w:highlight w:val="none"/>
        </w:rPr>
      </w:pPr>
    </w:p>
    <w:p w14:paraId="363067E6">
      <w:pPr>
        <w:rPr>
          <w:rFonts w:hint="eastAsia" w:ascii="宋体" w:hAnsi="宋体" w:cs="宋体"/>
          <w:color w:val="auto"/>
          <w:sz w:val="24"/>
          <w:highlight w:val="none"/>
        </w:rPr>
      </w:pPr>
    </w:p>
    <w:p w14:paraId="39BC4D67">
      <w:pPr>
        <w:pStyle w:val="10"/>
        <w:rPr>
          <w:rFonts w:hint="eastAsia" w:ascii="宋体" w:hAnsi="宋体" w:cs="宋体"/>
          <w:color w:val="auto"/>
          <w:sz w:val="24"/>
          <w:highlight w:val="none"/>
        </w:rPr>
      </w:pPr>
    </w:p>
    <w:p w14:paraId="56C3CF89">
      <w:pPr>
        <w:pStyle w:val="11"/>
        <w:rPr>
          <w:rFonts w:hint="eastAsia" w:ascii="宋体" w:hAnsi="宋体" w:cs="宋体"/>
          <w:color w:val="auto"/>
          <w:sz w:val="24"/>
          <w:highlight w:val="none"/>
        </w:rPr>
      </w:pPr>
    </w:p>
    <w:p w14:paraId="77465385">
      <w:pPr>
        <w:rPr>
          <w:rFonts w:hint="eastAsia" w:ascii="宋体" w:hAnsi="宋体" w:cs="宋体"/>
          <w:color w:val="auto"/>
          <w:sz w:val="24"/>
          <w:highlight w:val="none"/>
        </w:rPr>
      </w:pPr>
    </w:p>
    <w:p w14:paraId="19B2D32D">
      <w:pPr>
        <w:pStyle w:val="10"/>
        <w:rPr>
          <w:rFonts w:hint="eastAsia" w:ascii="宋体" w:hAnsi="宋体" w:cs="宋体"/>
          <w:color w:val="auto"/>
          <w:sz w:val="24"/>
          <w:highlight w:val="none"/>
        </w:rPr>
      </w:pPr>
    </w:p>
    <w:p w14:paraId="678C229B">
      <w:pPr>
        <w:pStyle w:val="11"/>
        <w:rPr>
          <w:rFonts w:hint="eastAsia" w:ascii="宋体" w:hAnsi="宋体" w:cs="宋体"/>
          <w:color w:val="auto"/>
          <w:sz w:val="24"/>
          <w:highlight w:val="none"/>
        </w:rPr>
      </w:pPr>
    </w:p>
    <w:p w14:paraId="27AC1B1F">
      <w:pPr>
        <w:rPr>
          <w:rFonts w:hint="eastAsia" w:ascii="宋体" w:hAnsi="宋体" w:cs="宋体"/>
          <w:color w:val="auto"/>
          <w:sz w:val="24"/>
          <w:highlight w:val="none"/>
        </w:rPr>
      </w:pPr>
    </w:p>
    <w:p w14:paraId="2302BBB8">
      <w:pPr>
        <w:pStyle w:val="10"/>
        <w:rPr>
          <w:rFonts w:hint="eastAsia" w:ascii="宋体" w:hAnsi="宋体" w:cs="宋体"/>
          <w:color w:val="auto"/>
          <w:sz w:val="24"/>
          <w:highlight w:val="none"/>
        </w:rPr>
      </w:pPr>
    </w:p>
    <w:p w14:paraId="76BD0816">
      <w:pPr>
        <w:pStyle w:val="11"/>
        <w:rPr>
          <w:rFonts w:hint="eastAsia" w:ascii="宋体" w:hAnsi="宋体" w:cs="宋体"/>
          <w:color w:val="auto"/>
          <w:sz w:val="24"/>
          <w:highlight w:val="none"/>
        </w:rPr>
      </w:pPr>
    </w:p>
    <w:p w14:paraId="150286A5">
      <w:pPr>
        <w:rPr>
          <w:rFonts w:hint="eastAsia" w:ascii="宋体" w:hAnsi="宋体" w:cs="宋体"/>
          <w:color w:val="auto"/>
          <w:sz w:val="24"/>
          <w:highlight w:val="none"/>
        </w:rPr>
      </w:pPr>
    </w:p>
    <w:p w14:paraId="2E8DF230">
      <w:pPr>
        <w:pStyle w:val="10"/>
        <w:rPr>
          <w:rFonts w:hint="eastAsia" w:ascii="宋体" w:hAnsi="宋体" w:cs="宋体"/>
          <w:color w:val="auto"/>
          <w:sz w:val="24"/>
          <w:highlight w:val="none"/>
        </w:rPr>
      </w:pPr>
    </w:p>
    <w:p w14:paraId="0AD9CD27">
      <w:pPr>
        <w:pStyle w:val="11"/>
        <w:rPr>
          <w:rFonts w:hint="eastAsia" w:ascii="宋体" w:hAnsi="宋体" w:cs="宋体"/>
          <w:color w:val="auto"/>
          <w:sz w:val="24"/>
          <w:highlight w:val="none"/>
        </w:rPr>
      </w:pPr>
    </w:p>
    <w:p w14:paraId="3C599176">
      <w:pPr>
        <w:rPr>
          <w:rFonts w:hint="eastAsia" w:ascii="宋体" w:hAnsi="宋体" w:cs="宋体"/>
          <w:color w:val="auto"/>
          <w:sz w:val="24"/>
          <w:highlight w:val="none"/>
        </w:rPr>
      </w:pPr>
    </w:p>
    <w:p w14:paraId="7F515EFB">
      <w:pPr>
        <w:pStyle w:val="10"/>
        <w:rPr>
          <w:rFonts w:hint="eastAsia" w:ascii="宋体" w:hAnsi="宋体" w:cs="宋体"/>
          <w:color w:val="auto"/>
          <w:sz w:val="24"/>
          <w:highlight w:val="none"/>
        </w:rPr>
      </w:pPr>
    </w:p>
    <w:p w14:paraId="3A157927">
      <w:pPr>
        <w:pStyle w:val="11"/>
        <w:rPr>
          <w:rFonts w:hint="eastAsia" w:ascii="宋体" w:hAnsi="宋体" w:cs="宋体"/>
          <w:color w:val="auto"/>
          <w:sz w:val="24"/>
          <w:highlight w:val="none"/>
        </w:rPr>
      </w:pPr>
    </w:p>
    <w:p w14:paraId="479D40CE">
      <w:pPr>
        <w:rPr>
          <w:rFonts w:hint="eastAsia" w:ascii="宋体" w:hAnsi="宋体" w:cs="宋体"/>
          <w:color w:val="auto"/>
          <w:sz w:val="24"/>
          <w:highlight w:val="none"/>
        </w:rPr>
      </w:pPr>
    </w:p>
    <w:p w14:paraId="380EFEA6">
      <w:pPr>
        <w:pStyle w:val="10"/>
        <w:rPr>
          <w:rFonts w:hint="eastAsia" w:ascii="宋体" w:hAnsi="宋体" w:cs="宋体"/>
          <w:color w:val="auto"/>
          <w:sz w:val="24"/>
          <w:highlight w:val="none"/>
        </w:rPr>
      </w:pPr>
    </w:p>
    <w:p w14:paraId="50A05F4B">
      <w:pPr>
        <w:pStyle w:val="11"/>
        <w:rPr>
          <w:rFonts w:hint="eastAsia" w:ascii="宋体" w:hAnsi="宋体" w:cs="宋体"/>
          <w:color w:val="auto"/>
          <w:sz w:val="24"/>
          <w:highlight w:val="none"/>
        </w:rPr>
      </w:pPr>
    </w:p>
    <w:p w14:paraId="72B43359">
      <w:pPr>
        <w:rPr>
          <w:rFonts w:hint="eastAsia"/>
        </w:rPr>
      </w:pPr>
    </w:p>
    <w:p w14:paraId="20F15716">
      <w:pPr>
        <w:pStyle w:val="11"/>
        <w:rPr>
          <w:rFonts w:hint="eastAsia" w:ascii="宋体" w:hAnsi="宋体" w:cs="宋体"/>
          <w:color w:val="auto"/>
          <w:sz w:val="24"/>
          <w:highlight w:val="none"/>
        </w:rPr>
      </w:pPr>
    </w:p>
    <w:p w14:paraId="0BBEE341">
      <w:pPr>
        <w:rPr>
          <w:rFonts w:hint="eastAsia" w:ascii="宋体" w:hAnsi="宋体" w:cs="宋体"/>
          <w:color w:val="auto"/>
          <w:sz w:val="24"/>
          <w:highlight w:val="none"/>
        </w:rPr>
      </w:pPr>
    </w:p>
    <w:p w14:paraId="710035EA">
      <w:pPr>
        <w:pStyle w:val="10"/>
      </w:pPr>
    </w:p>
    <w:p w14:paraId="27D807CD">
      <w:pPr>
        <w:jc w:val="center"/>
        <w:rPr>
          <w:rFonts w:ascii="宋体" w:hAnsi="宋体" w:cs="宋体"/>
          <w:color w:val="auto"/>
          <w:sz w:val="24"/>
          <w:highlight w:val="none"/>
        </w:rPr>
      </w:pPr>
      <w:r>
        <w:rPr>
          <w:rFonts w:hint="eastAsia" w:ascii="宋体" w:hAnsi="宋体" w:cs="宋体"/>
          <w:color w:val="auto"/>
          <w:sz w:val="24"/>
          <w:highlight w:val="none"/>
        </w:rPr>
        <w:t>国家统计局关于印发《统计上大中小微型企业划分办法（2017）》的通知</w:t>
      </w:r>
    </w:p>
    <w:p w14:paraId="05607706">
      <w:pPr>
        <w:pStyle w:val="27"/>
        <w:rPr>
          <w:rFonts w:ascii="宋体" w:hAnsi="宋体" w:eastAsia="宋体" w:cs="宋体"/>
          <w:color w:val="auto"/>
          <w:highlight w:val="none"/>
        </w:rPr>
      </w:pPr>
    </w:p>
    <w:p w14:paraId="7FA62DE4">
      <w:pPr>
        <w:rPr>
          <w:rFonts w:ascii="宋体" w:hAnsi="宋体" w:cs="宋体"/>
          <w:color w:val="auto"/>
          <w:sz w:val="24"/>
          <w:highlight w:val="none"/>
        </w:rPr>
      </w:pPr>
      <w:r>
        <w:rPr>
          <w:rFonts w:hint="eastAsia" w:ascii="宋体" w:hAnsi="宋体" w:cs="宋体"/>
          <w:color w:val="auto"/>
          <w:sz w:val="24"/>
          <w:highlight w:val="none"/>
        </w:rPr>
        <w:t>各省、自治区、直辖市统计局，新疆生产建设兵团统计局，国务院各有关部门，国家统计局</w:t>
      </w:r>
    </w:p>
    <w:p w14:paraId="33C94DC7">
      <w:pPr>
        <w:rPr>
          <w:rFonts w:ascii="宋体" w:hAnsi="宋体" w:cs="宋体"/>
          <w:color w:val="auto"/>
          <w:sz w:val="24"/>
          <w:highlight w:val="none"/>
        </w:rPr>
      </w:pPr>
      <w:r>
        <w:rPr>
          <w:rFonts w:hint="eastAsia" w:ascii="宋体" w:hAnsi="宋体" w:cs="宋体"/>
          <w:color w:val="auto"/>
          <w:sz w:val="24"/>
          <w:highlight w:val="none"/>
        </w:rPr>
        <w:t xml:space="preserve">各调查总队： </w:t>
      </w:r>
    </w:p>
    <w:p w14:paraId="6A1882FF">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3BD489A9">
      <w:pPr>
        <w:rPr>
          <w:rFonts w:ascii="宋体" w:hAnsi="宋体" w:cs="宋体"/>
          <w:color w:val="auto"/>
          <w:sz w:val="24"/>
          <w:highlight w:val="none"/>
        </w:rPr>
      </w:pPr>
    </w:p>
    <w:p w14:paraId="368DFE03">
      <w:pPr>
        <w:jc w:val="center"/>
        <w:rPr>
          <w:rFonts w:ascii="宋体" w:hAnsi="宋体" w:cs="宋体"/>
          <w:color w:val="auto"/>
          <w:sz w:val="24"/>
          <w:highlight w:val="none"/>
        </w:rPr>
      </w:pPr>
      <w:r>
        <w:rPr>
          <w:rFonts w:hint="eastAsia" w:ascii="宋体" w:hAnsi="宋体" w:cs="宋体"/>
          <w:color w:val="auto"/>
          <w:sz w:val="24"/>
          <w:highlight w:val="none"/>
        </w:rPr>
        <w:t>统计上大中小微型企业划分办法（2017）</w:t>
      </w:r>
    </w:p>
    <w:p w14:paraId="6C7BF0DC">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5D3EA88E">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二、本办法适用对象为在中华人民共和国境内依法设立的各种组织形式的法人企业或单位。个体工商户参照本办法进行划分。 </w:t>
      </w:r>
    </w:p>
    <w:p w14:paraId="6B2D89BF">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7D4FA97B">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四、本办法按照行业门类、大类、中类和组合类别，依据从业人员、营业收入、资产总额等指标或替代指标，将我国的企业划分为大型、中型、小型、微型等四种类型。具体划分标准见附表。 </w:t>
      </w:r>
    </w:p>
    <w:p w14:paraId="0C58E0DD">
      <w:pPr>
        <w:ind w:firstLine="480" w:firstLineChars="200"/>
        <w:rPr>
          <w:rFonts w:ascii="宋体" w:hAnsi="宋体" w:cs="宋体"/>
          <w:color w:val="auto"/>
          <w:sz w:val="24"/>
          <w:highlight w:val="none"/>
        </w:rPr>
      </w:pPr>
      <w:r>
        <w:rPr>
          <w:rFonts w:hint="eastAsia" w:ascii="宋体" w:hAnsi="宋体" w:cs="宋体"/>
          <w:color w:val="auto"/>
          <w:sz w:val="24"/>
          <w:highlight w:val="none"/>
        </w:rPr>
        <w:t>五、企业划分由政府综合统计部门根据统计年报每年确定一次，定报统计原则上不进行调整。</w:t>
      </w:r>
    </w:p>
    <w:p w14:paraId="5E406636">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六、本办法自印发之日起执行，国家统计局 2011 年印发的《统计上大中小微型企业划分办法》（国统字〔2011〕75 号）同时废止。 </w:t>
      </w:r>
    </w:p>
    <w:p w14:paraId="02248E69">
      <w:pPr>
        <w:rPr>
          <w:rFonts w:ascii="宋体" w:hAnsi="宋体" w:cs="宋体"/>
          <w:color w:val="auto"/>
          <w:sz w:val="24"/>
          <w:highlight w:val="none"/>
        </w:rPr>
      </w:pPr>
      <w:r>
        <w:rPr>
          <w:rFonts w:hint="eastAsia" w:ascii="宋体" w:hAnsi="宋体" w:cs="宋体"/>
          <w:color w:val="auto"/>
          <w:sz w:val="24"/>
          <w:highlight w:val="none"/>
        </w:rPr>
        <w:t xml:space="preserve">附表：统计上大中小微型企业划分标准 </w:t>
      </w:r>
    </w:p>
    <w:p w14:paraId="199BEE6E">
      <w:pPr>
        <w:widowControl/>
        <w:spacing w:line="330" w:lineRule="atLeast"/>
        <w:jc w:val="center"/>
        <w:rPr>
          <w:rFonts w:ascii="宋体" w:hAnsi="宋体" w:cs="宋体"/>
          <w:color w:val="auto"/>
          <w:sz w:val="24"/>
          <w:highlight w:val="none"/>
        </w:rPr>
      </w:pPr>
      <w:r>
        <w:rPr>
          <w:rFonts w:hint="eastAsia" w:ascii="宋体" w:hAnsi="宋体" w:cs="宋体"/>
          <w:color w:val="auto"/>
          <w:sz w:val="24"/>
          <w:highlight w:val="none"/>
        </w:rPr>
        <w:t>统计上大中小微型企业划分标准</w:t>
      </w:r>
    </w:p>
    <w:tbl>
      <w:tblPr>
        <w:tblStyle w:val="28"/>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33701CD">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127C550E">
            <w:pPr>
              <w:widowControl/>
              <w:spacing w:line="240" w:lineRule="exact"/>
              <w:jc w:val="center"/>
              <w:rPr>
                <w:rFonts w:ascii="宋体" w:hAnsi="宋体" w:cs="宋体"/>
                <w:b/>
                <w:bCs/>
                <w:color w:val="auto"/>
                <w:sz w:val="24"/>
                <w:highlight w:val="none"/>
              </w:rPr>
            </w:pPr>
            <w:r>
              <w:rPr>
                <w:rFonts w:hint="eastAsia" w:ascii="宋体" w:hAnsi="宋体" w:cs="宋体"/>
                <w:b/>
                <w:bCs/>
                <w:color w:val="auto"/>
                <w:sz w:val="24"/>
                <w:highlight w:val="none"/>
              </w:rPr>
              <w:t>行业名称</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ADC524D">
            <w:pPr>
              <w:widowControl/>
              <w:jc w:val="center"/>
              <w:rPr>
                <w:rFonts w:ascii="宋体" w:hAnsi="宋体" w:cs="宋体"/>
                <w:b/>
                <w:bCs/>
                <w:color w:val="auto"/>
                <w:sz w:val="24"/>
                <w:highlight w:val="none"/>
              </w:rPr>
            </w:pPr>
            <w:r>
              <w:rPr>
                <w:rFonts w:hint="eastAsia" w:ascii="宋体" w:hAnsi="宋体" w:cs="宋体"/>
                <w:b/>
                <w:bCs/>
                <w:color w:val="auto"/>
                <w:sz w:val="24"/>
                <w:highlight w:val="none"/>
              </w:rPr>
              <w:t>指标名称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FE8A39">
            <w:pPr>
              <w:widowControl/>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计量</w:t>
            </w:r>
          </w:p>
          <w:p w14:paraId="54A3BF2F">
            <w:pPr>
              <w:widowControl/>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93D7139">
            <w:pPr>
              <w:widowControl/>
              <w:jc w:val="center"/>
              <w:rPr>
                <w:rFonts w:ascii="宋体" w:hAnsi="宋体" w:cs="宋体"/>
                <w:b/>
                <w:bCs/>
                <w:color w:val="auto"/>
                <w:sz w:val="24"/>
                <w:highlight w:val="none"/>
              </w:rPr>
            </w:pPr>
            <w:r>
              <w:rPr>
                <w:rFonts w:hint="eastAsia" w:ascii="宋体" w:hAnsi="宋体" w:cs="宋体"/>
                <w:b/>
                <w:bCs/>
                <w:color w:val="auto"/>
                <w:sz w:val="24"/>
                <w:highlight w:val="none"/>
              </w:rPr>
              <w:t>大型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E0A65E9">
            <w:pPr>
              <w:widowControl/>
              <w:jc w:val="center"/>
              <w:rPr>
                <w:rFonts w:ascii="宋体" w:hAnsi="宋体" w:cs="宋体"/>
                <w:b/>
                <w:bCs/>
                <w:color w:val="auto"/>
                <w:sz w:val="24"/>
                <w:highlight w:val="none"/>
              </w:rPr>
            </w:pPr>
            <w:r>
              <w:rPr>
                <w:rFonts w:hint="eastAsia" w:ascii="宋体" w:hAnsi="宋体" w:cs="宋体"/>
                <w:b/>
                <w:bCs/>
                <w:color w:val="auto"/>
                <w:sz w:val="24"/>
                <w:highlight w:val="none"/>
              </w:rPr>
              <w:t>中型</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2F754623">
            <w:pPr>
              <w:widowControl/>
              <w:jc w:val="center"/>
              <w:rPr>
                <w:rFonts w:ascii="宋体" w:hAnsi="宋体" w:cs="宋体"/>
                <w:b/>
                <w:bCs/>
                <w:color w:val="auto"/>
                <w:sz w:val="24"/>
                <w:highlight w:val="none"/>
              </w:rPr>
            </w:pPr>
            <w:r>
              <w:rPr>
                <w:rFonts w:hint="eastAsia" w:ascii="宋体" w:hAnsi="宋体" w:cs="宋体"/>
                <w:b/>
                <w:bCs/>
                <w:color w:val="auto"/>
                <w:sz w:val="24"/>
                <w:highlight w:val="none"/>
              </w:rPr>
              <w:t>小型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B1EB84">
            <w:pPr>
              <w:widowControl/>
              <w:jc w:val="center"/>
              <w:rPr>
                <w:rFonts w:ascii="宋体" w:hAnsi="宋体" w:cs="宋体"/>
                <w:b/>
                <w:bCs/>
                <w:color w:val="auto"/>
                <w:sz w:val="24"/>
                <w:highlight w:val="none"/>
              </w:rPr>
            </w:pPr>
            <w:r>
              <w:rPr>
                <w:rFonts w:hint="eastAsia" w:ascii="宋体" w:hAnsi="宋体" w:cs="宋体"/>
                <w:b/>
                <w:bCs/>
                <w:color w:val="auto"/>
                <w:sz w:val="24"/>
                <w:highlight w:val="none"/>
              </w:rPr>
              <w:t>微型</w:t>
            </w:r>
          </w:p>
        </w:tc>
      </w:tr>
      <w:tr w14:paraId="14128DFA">
        <w:tblPrEx>
          <w:tblCellMar>
            <w:top w:w="0" w:type="dxa"/>
            <w:left w:w="108" w:type="dxa"/>
            <w:bottom w:w="0" w:type="dxa"/>
            <w:right w:w="108" w:type="dxa"/>
          </w:tblCellMar>
        </w:tblPrEx>
        <w:trPr>
          <w:trHeight w:val="740" w:hRule="exact"/>
          <w:jc w:val="center"/>
        </w:trPr>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4769DA03">
            <w:pPr>
              <w:widowControl/>
              <w:spacing w:line="240" w:lineRule="exact"/>
              <w:rPr>
                <w:rFonts w:ascii="宋体" w:hAnsi="宋体" w:cs="宋体"/>
                <w:color w:val="auto"/>
                <w:sz w:val="24"/>
                <w:highlight w:val="none"/>
              </w:rPr>
            </w:pPr>
            <w:r>
              <w:rPr>
                <w:rFonts w:hint="eastAsia" w:ascii="宋体" w:hAnsi="宋体" w:cs="宋体"/>
                <w:color w:val="auto"/>
                <w:sz w:val="24"/>
                <w:highlight w:val="none"/>
              </w:rPr>
              <w:t>农、林、牧、渔业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1121230">
            <w:pPr>
              <w:widowControl/>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0D8591">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E79AF2B">
            <w:pPr>
              <w:widowControl/>
              <w:jc w:val="center"/>
              <w:rPr>
                <w:rFonts w:ascii="宋体" w:hAnsi="宋体" w:cs="宋体"/>
                <w:color w:val="auto"/>
                <w:sz w:val="24"/>
                <w:highlight w:val="none"/>
              </w:rPr>
            </w:pPr>
            <w:r>
              <w:rPr>
                <w:rFonts w:hint="eastAsia" w:ascii="宋体" w:hAnsi="宋体" w:cs="宋体"/>
                <w:color w:val="auto"/>
                <w:sz w:val="24"/>
                <w:highlight w:val="none"/>
              </w:rPr>
              <w:t>Y≥20000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8E27679">
            <w:pPr>
              <w:widowControl/>
              <w:jc w:val="center"/>
              <w:rPr>
                <w:rFonts w:ascii="宋体" w:hAnsi="宋体" w:cs="宋体"/>
                <w:color w:val="auto"/>
                <w:sz w:val="24"/>
                <w:highlight w:val="none"/>
              </w:rPr>
            </w:pPr>
            <w:r>
              <w:rPr>
                <w:rFonts w:hint="eastAsia" w:ascii="宋体" w:hAnsi="宋体" w:cs="宋体"/>
                <w:color w:val="auto"/>
                <w:sz w:val="24"/>
                <w:highlight w:val="none"/>
              </w:rPr>
              <w:t xml:space="preserve"> 500≤Y＜20000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A4875DA">
            <w:pPr>
              <w:widowControl/>
              <w:jc w:val="center"/>
              <w:rPr>
                <w:rFonts w:ascii="宋体" w:hAnsi="宋体" w:cs="宋体"/>
                <w:color w:val="auto"/>
                <w:sz w:val="24"/>
                <w:highlight w:val="none"/>
              </w:rPr>
            </w:pPr>
            <w:r>
              <w:rPr>
                <w:rFonts w:hint="eastAsia" w:ascii="宋体" w:hAnsi="宋体" w:cs="宋体"/>
                <w:color w:val="auto"/>
                <w:sz w:val="24"/>
                <w:highlight w:val="none"/>
              </w:rPr>
              <w:t xml:space="preserve"> 50≤Y＜500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E30F79">
            <w:pPr>
              <w:widowControl/>
              <w:jc w:val="center"/>
              <w:rPr>
                <w:rFonts w:ascii="宋体" w:hAnsi="宋体" w:cs="宋体"/>
                <w:color w:val="auto"/>
                <w:sz w:val="24"/>
                <w:highlight w:val="none"/>
              </w:rPr>
            </w:pPr>
            <w:r>
              <w:rPr>
                <w:rFonts w:hint="eastAsia" w:ascii="宋体" w:hAnsi="宋体" w:cs="宋体"/>
                <w:color w:val="auto"/>
                <w:sz w:val="24"/>
                <w:highlight w:val="none"/>
              </w:rPr>
              <w:t>Y＜50</w:t>
            </w:r>
          </w:p>
        </w:tc>
      </w:tr>
      <w:tr w14:paraId="59264C62">
        <w:tblPrEx>
          <w:tblCellMar>
            <w:top w:w="0" w:type="dxa"/>
            <w:left w:w="108" w:type="dxa"/>
            <w:bottom w:w="0" w:type="dxa"/>
            <w:right w:w="108" w:type="dxa"/>
          </w:tblCellMar>
        </w:tblPrEx>
        <w:trPr>
          <w:trHeight w:val="63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672701">
            <w:pPr>
              <w:widowControl/>
              <w:spacing w:line="240" w:lineRule="exact"/>
              <w:rPr>
                <w:rFonts w:ascii="宋体" w:hAnsi="宋体" w:cs="宋体"/>
                <w:color w:val="auto"/>
                <w:sz w:val="24"/>
                <w:highlight w:val="none"/>
              </w:rPr>
            </w:pPr>
            <w:r>
              <w:rPr>
                <w:rFonts w:hint="eastAsia" w:ascii="宋体" w:hAnsi="宋体" w:cs="宋体"/>
                <w:color w:val="auto"/>
                <w:sz w:val="24"/>
                <w:highlight w:val="none"/>
              </w:rPr>
              <w:t xml:space="preserve">工业 </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18500F3">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26C0B2">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E87F8F0">
            <w:pPr>
              <w:widowControl/>
              <w:jc w:val="center"/>
              <w:rPr>
                <w:rFonts w:ascii="宋体" w:hAnsi="宋体" w:cs="宋体"/>
                <w:color w:val="auto"/>
                <w:sz w:val="24"/>
                <w:highlight w:val="none"/>
              </w:rPr>
            </w:pPr>
            <w:r>
              <w:rPr>
                <w:rFonts w:hint="eastAsia" w:ascii="宋体" w:hAnsi="宋体" w:cs="宋体"/>
                <w:color w:val="auto"/>
                <w:sz w:val="24"/>
                <w:highlight w:val="none"/>
              </w:rPr>
              <w:t>X≥1000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22A9508">
            <w:pPr>
              <w:widowControl/>
              <w:jc w:val="center"/>
              <w:rPr>
                <w:rFonts w:ascii="宋体" w:hAnsi="宋体" w:cs="宋体"/>
                <w:color w:val="auto"/>
                <w:sz w:val="24"/>
                <w:highlight w:val="none"/>
              </w:rPr>
            </w:pPr>
            <w:r>
              <w:rPr>
                <w:rFonts w:hint="eastAsia" w:ascii="宋体" w:hAnsi="宋体" w:cs="宋体"/>
                <w:color w:val="auto"/>
                <w:sz w:val="24"/>
                <w:highlight w:val="none"/>
              </w:rPr>
              <w:t>300≤X＜1000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1740634B">
            <w:pPr>
              <w:widowControl/>
              <w:jc w:val="center"/>
              <w:rPr>
                <w:rFonts w:ascii="宋体" w:hAnsi="宋体" w:cs="宋体"/>
                <w:color w:val="auto"/>
                <w:sz w:val="24"/>
                <w:highlight w:val="none"/>
              </w:rPr>
            </w:pPr>
            <w:r>
              <w:rPr>
                <w:rFonts w:hint="eastAsia" w:ascii="宋体" w:hAnsi="宋体" w:cs="宋体"/>
                <w:color w:val="auto"/>
                <w:sz w:val="24"/>
                <w:highlight w:val="none"/>
              </w:rPr>
              <w:t xml:space="preserve"> 20≤X＜300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208464">
            <w:pPr>
              <w:widowControl/>
              <w:jc w:val="center"/>
              <w:rPr>
                <w:rFonts w:ascii="宋体" w:hAnsi="宋体" w:cs="宋体"/>
                <w:color w:val="auto"/>
                <w:sz w:val="24"/>
                <w:highlight w:val="none"/>
              </w:rPr>
            </w:pPr>
            <w:r>
              <w:rPr>
                <w:rFonts w:hint="eastAsia" w:ascii="宋体" w:hAnsi="宋体" w:cs="宋体"/>
                <w:color w:val="auto"/>
                <w:sz w:val="24"/>
                <w:highlight w:val="none"/>
              </w:rPr>
              <w:t>X＜20</w:t>
            </w:r>
          </w:p>
        </w:tc>
      </w:tr>
      <w:tr w14:paraId="13DAE3F9">
        <w:tblPrEx>
          <w:tblCellMar>
            <w:top w:w="0" w:type="dxa"/>
            <w:left w:w="108" w:type="dxa"/>
            <w:bottom w:w="0" w:type="dxa"/>
            <w:right w:w="108" w:type="dxa"/>
          </w:tblCellMar>
        </w:tblPrEx>
        <w:trPr>
          <w:trHeight w:val="63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1B7DD9C6">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6301653">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19DE54">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6E567077">
            <w:pPr>
              <w:widowControl/>
              <w:jc w:val="center"/>
              <w:rPr>
                <w:rFonts w:ascii="宋体" w:hAnsi="宋体" w:cs="宋体"/>
                <w:color w:val="auto"/>
                <w:sz w:val="24"/>
                <w:highlight w:val="none"/>
              </w:rPr>
            </w:pPr>
            <w:r>
              <w:rPr>
                <w:rFonts w:hint="eastAsia" w:ascii="宋体" w:hAnsi="宋体" w:cs="宋体"/>
                <w:color w:val="auto"/>
                <w:sz w:val="24"/>
                <w:highlight w:val="none"/>
              </w:rPr>
              <w:t>Y≥40000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B3D4995">
            <w:pPr>
              <w:widowControl/>
              <w:jc w:val="center"/>
              <w:rPr>
                <w:rFonts w:ascii="宋体" w:hAnsi="宋体" w:cs="宋体"/>
                <w:color w:val="auto"/>
                <w:sz w:val="24"/>
                <w:highlight w:val="none"/>
              </w:rPr>
            </w:pPr>
            <w:r>
              <w:rPr>
                <w:rFonts w:hint="eastAsia" w:ascii="宋体" w:hAnsi="宋体" w:cs="宋体"/>
                <w:color w:val="auto"/>
                <w:sz w:val="24"/>
                <w:highlight w:val="none"/>
              </w:rPr>
              <w:t>2000≤Y＜40000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E1683B2">
            <w:pPr>
              <w:widowControl/>
              <w:jc w:val="center"/>
              <w:rPr>
                <w:rFonts w:ascii="宋体" w:hAnsi="宋体" w:cs="宋体"/>
                <w:color w:val="auto"/>
                <w:sz w:val="24"/>
                <w:highlight w:val="none"/>
              </w:rPr>
            </w:pPr>
            <w:r>
              <w:rPr>
                <w:rFonts w:hint="eastAsia" w:ascii="宋体" w:hAnsi="宋体" w:cs="宋体"/>
                <w:color w:val="auto"/>
                <w:sz w:val="24"/>
                <w:highlight w:val="none"/>
              </w:rPr>
              <w:t xml:space="preserve"> 300≤Y＜2000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8624D3">
            <w:pPr>
              <w:widowControl/>
              <w:jc w:val="center"/>
              <w:rPr>
                <w:rFonts w:ascii="宋体" w:hAnsi="宋体" w:cs="宋体"/>
                <w:color w:val="auto"/>
                <w:sz w:val="24"/>
                <w:highlight w:val="none"/>
              </w:rPr>
            </w:pPr>
            <w:r>
              <w:rPr>
                <w:rFonts w:hint="eastAsia" w:ascii="宋体" w:hAnsi="宋体" w:cs="宋体"/>
                <w:color w:val="auto"/>
                <w:sz w:val="24"/>
                <w:highlight w:val="none"/>
              </w:rPr>
              <w:t>Y＜300</w:t>
            </w:r>
          </w:p>
        </w:tc>
      </w:tr>
      <w:tr w14:paraId="0106F139">
        <w:tblPrEx>
          <w:tblCellMar>
            <w:top w:w="0" w:type="dxa"/>
            <w:left w:w="108" w:type="dxa"/>
            <w:bottom w:w="0" w:type="dxa"/>
            <w:right w:w="108" w:type="dxa"/>
          </w:tblCellMar>
        </w:tblPrEx>
        <w:trPr>
          <w:trHeight w:val="68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18303C">
            <w:pPr>
              <w:widowControl/>
              <w:spacing w:line="240" w:lineRule="exact"/>
              <w:rPr>
                <w:rFonts w:ascii="宋体" w:hAnsi="宋体" w:cs="宋体"/>
                <w:color w:val="auto"/>
                <w:sz w:val="24"/>
                <w:highlight w:val="none"/>
              </w:rPr>
            </w:pPr>
            <w:r>
              <w:rPr>
                <w:rFonts w:hint="eastAsia" w:ascii="宋体" w:hAnsi="宋体" w:cs="宋体"/>
                <w:color w:val="auto"/>
                <w:sz w:val="24"/>
                <w:highlight w:val="none"/>
              </w:rPr>
              <w:t>建筑业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7E5124D">
            <w:pPr>
              <w:widowControl/>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F18FCB">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5A7E4187">
            <w:pPr>
              <w:widowControl/>
              <w:jc w:val="center"/>
              <w:rPr>
                <w:rFonts w:ascii="宋体" w:hAnsi="宋体" w:cs="宋体"/>
                <w:color w:val="auto"/>
                <w:sz w:val="24"/>
                <w:highlight w:val="none"/>
              </w:rPr>
            </w:pPr>
            <w:r>
              <w:rPr>
                <w:rFonts w:hint="eastAsia" w:ascii="宋体" w:hAnsi="宋体" w:cs="宋体"/>
                <w:color w:val="auto"/>
                <w:sz w:val="24"/>
                <w:highlight w:val="none"/>
              </w:rPr>
              <w:t>Y≥80000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50F5AA4">
            <w:pPr>
              <w:widowControl/>
              <w:jc w:val="center"/>
              <w:rPr>
                <w:rFonts w:ascii="宋体" w:hAnsi="宋体" w:cs="宋体"/>
                <w:color w:val="auto"/>
                <w:sz w:val="24"/>
                <w:highlight w:val="none"/>
              </w:rPr>
            </w:pPr>
            <w:r>
              <w:rPr>
                <w:rFonts w:hint="eastAsia" w:ascii="宋体" w:hAnsi="宋体" w:cs="宋体"/>
                <w:color w:val="auto"/>
                <w:sz w:val="24"/>
                <w:highlight w:val="none"/>
              </w:rPr>
              <w:t>6000≤Y＜80000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53019DE">
            <w:pPr>
              <w:widowControl/>
              <w:jc w:val="center"/>
              <w:rPr>
                <w:rFonts w:ascii="宋体" w:hAnsi="宋体" w:cs="宋体"/>
                <w:color w:val="auto"/>
                <w:sz w:val="24"/>
                <w:highlight w:val="none"/>
              </w:rPr>
            </w:pPr>
            <w:r>
              <w:rPr>
                <w:rFonts w:hint="eastAsia" w:ascii="宋体" w:hAnsi="宋体" w:cs="宋体"/>
                <w:color w:val="auto"/>
                <w:sz w:val="24"/>
                <w:highlight w:val="none"/>
              </w:rPr>
              <w:t xml:space="preserve"> 300≤Y＜6000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68B76B">
            <w:pPr>
              <w:widowControl/>
              <w:jc w:val="center"/>
              <w:rPr>
                <w:rFonts w:ascii="宋体" w:hAnsi="宋体" w:cs="宋体"/>
                <w:color w:val="auto"/>
                <w:sz w:val="24"/>
                <w:highlight w:val="none"/>
              </w:rPr>
            </w:pPr>
            <w:r>
              <w:rPr>
                <w:rFonts w:hint="eastAsia" w:ascii="宋体" w:hAnsi="宋体" w:cs="宋体"/>
                <w:color w:val="auto"/>
                <w:sz w:val="24"/>
                <w:highlight w:val="none"/>
              </w:rPr>
              <w:t>Y＜300</w:t>
            </w:r>
          </w:p>
        </w:tc>
      </w:tr>
      <w:tr w14:paraId="5B5BB310">
        <w:tblPrEx>
          <w:tblCellMar>
            <w:top w:w="0" w:type="dxa"/>
            <w:left w:w="108" w:type="dxa"/>
            <w:bottom w:w="0" w:type="dxa"/>
            <w:right w:w="108" w:type="dxa"/>
          </w:tblCellMar>
        </w:tblPrEx>
        <w:trPr>
          <w:trHeight w:val="604"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1ECFD46D">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2F27098">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资产总额(Z)</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E05E98">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5510A9D0">
            <w:pPr>
              <w:widowControl/>
              <w:jc w:val="center"/>
              <w:rPr>
                <w:rFonts w:ascii="宋体" w:hAnsi="宋体" w:cs="宋体"/>
                <w:color w:val="auto"/>
                <w:sz w:val="24"/>
                <w:highlight w:val="none"/>
              </w:rPr>
            </w:pPr>
            <w:r>
              <w:rPr>
                <w:rFonts w:hint="eastAsia" w:ascii="宋体" w:hAnsi="宋体" w:cs="宋体"/>
                <w:color w:val="auto"/>
                <w:sz w:val="24"/>
                <w:highlight w:val="none"/>
              </w:rPr>
              <w:t>Z≥80000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7FF9D22">
            <w:pPr>
              <w:widowControl/>
              <w:jc w:val="center"/>
              <w:rPr>
                <w:rFonts w:ascii="宋体" w:hAnsi="宋体" w:cs="宋体"/>
                <w:color w:val="auto"/>
                <w:sz w:val="24"/>
                <w:highlight w:val="none"/>
              </w:rPr>
            </w:pPr>
            <w:r>
              <w:rPr>
                <w:rFonts w:hint="eastAsia" w:ascii="宋体" w:hAnsi="宋体" w:cs="宋体"/>
                <w:color w:val="auto"/>
                <w:sz w:val="24"/>
                <w:highlight w:val="none"/>
              </w:rPr>
              <w:t>5000≤Z＜80000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4809BFC">
            <w:pPr>
              <w:widowControl/>
              <w:jc w:val="center"/>
              <w:rPr>
                <w:rFonts w:ascii="宋体" w:hAnsi="宋体" w:cs="宋体"/>
                <w:color w:val="auto"/>
                <w:sz w:val="24"/>
                <w:highlight w:val="none"/>
              </w:rPr>
            </w:pPr>
            <w:r>
              <w:rPr>
                <w:rFonts w:hint="eastAsia" w:ascii="宋体" w:hAnsi="宋体" w:cs="宋体"/>
                <w:color w:val="auto"/>
                <w:sz w:val="24"/>
                <w:highlight w:val="none"/>
              </w:rPr>
              <w:t xml:space="preserve"> 300≤Z＜5000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07DB43">
            <w:pPr>
              <w:widowControl/>
              <w:jc w:val="center"/>
              <w:rPr>
                <w:rFonts w:ascii="宋体" w:hAnsi="宋体" w:cs="宋体"/>
                <w:color w:val="auto"/>
                <w:sz w:val="24"/>
                <w:highlight w:val="none"/>
              </w:rPr>
            </w:pPr>
            <w:r>
              <w:rPr>
                <w:rFonts w:hint="eastAsia" w:ascii="宋体" w:hAnsi="宋体" w:cs="宋体"/>
                <w:color w:val="auto"/>
                <w:sz w:val="24"/>
                <w:highlight w:val="none"/>
              </w:rPr>
              <w:t>Z＜300</w:t>
            </w:r>
          </w:p>
        </w:tc>
      </w:tr>
      <w:tr w14:paraId="0C5C53FC">
        <w:tblPrEx>
          <w:tblCellMar>
            <w:top w:w="0" w:type="dxa"/>
            <w:left w:w="108" w:type="dxa"/>
            <w:bottom w:w="0" w:type="dxa"/>
            <w:right w:w="108" w:type="dxa"/>
          </w:tblCellMar>
        </w:tblPrEx>
        <w:trPr>
          <w:trHeight w:val="663"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C1D830">
            <w:pPr>
              <w:widowControl/>
              <w:spacing w:line="240" w:lineRule="exact"/>
              <w:rPr>
                <w:rFonts w:ascii="宋体" w:hAnsi="宋体" w:cs="宋体"/>
                <w:color w:val="auto"/>
                <w:sz w:val="24"/>
                <w:highlight w:val="none"/>
              </w:rPr>
            </w:pPr>
            <w:r>
              <w:rPr>
                <w:rFonts w:hint="eastAsia" w:ascii="宋体" w:hAnsi="宋体" w:cs="宋体"/>
                <w:color w:val="auto"/>
                <w:sz w:val="24"/>
                <w:highlight w:val="none"/>
              </w:rPr>
              <w:t>批发业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F8FDE09">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9DBF93">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5DC121AC">
            <w:pPr>
              <w:widowControl/>
              <w:jc w:val="center"/>
              <w:rPr>
                <w:rFonts w:ascii="宋体" w:hAnsi="宋体" w:cs="宋体"/>
                <w:color w:val="auto"/>
                <w:sz w:val="24"/>
                <w:highlight w:val="none"/>
              </w:rPr>
            </w:pPr>
            <w:r>
              <w:rPr>
                <w:rFonts w:hint="eastAsia" w:ascii="宋体" w:hAnsi="宋体" w:cs="宋体"/>
                <w:color w:val="auto"/>
                <w:sz w:val="24"/>
                <w:highlight w:val="none"/>
              </w:rPr>
              <w:t>X≥200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E79A373">
            <w:pPr>
              <w:widowControl/>
              <w:jc w:val="center"/>
              <w:rPr>
                <w:rFonts w:ascii="宋体" w:hAnsi="宋体" w:cs="宋体"/>
                <w:color w:val="auto"/>
                <w:sz w:val="24"/>
                <w:highlight w:val="none"/>
              </w:rPr>
            </w:pPr>
            <w:r>
              <w:rPr>
                <w:rFonts w:hint="eastAsia" w:ascii="宋体" w:hAnsi="宋体" w:cs="宋体"/>
                <w:color w:val="auto"/>
                <w:sz w:val="24"/>
                <w:highlight w:val="none"/>
              </w:rPr>
              <w:t>20≤X＜200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2C68C18">
            <w:pPr>
              <w:widowControl/>
              <w:jc w:val="center"/>
              <w:rPr>
                <w:rFonts w:ascii="宋体" w:hAnsi="宋体" w:cs="宋体"/>
                <w:color w:val="auto"/>
                <w:sz w:val="24"/>
                <w:highlight w:val="none"/>
              </w:rPr>
            </w:pPr>
            <w:r>
              <w:rPr>
                <w:rFonts w:hint="eastAsia" w:ascii="宋体" w:hAnsi="宋体" w:cs="宋体"/>
                <w:color w:val="auto"/>
                <w:sz w:val="24"/>
                <w:highlight w:val="none"/>
              </w:rPr>
              <w:t xml:space="preserve"> 5≤X＜20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1BDC39">
            <w:pPr>
              <w:widowControl/>
              <w:jc w:val="center"/>
              <w:rPr>
                <w:rFonts w:ascii="宋体" w:hAnsi="宋体" w:cs="宋体"/>
                <w:color w:val="auto"/>
                <w:sz w:val="24"/>
                <w:highlight w:val="none"/>
              </w:rPr>
            </w:pPr>
            <w:r>
              <w:rPr>
                <w:rFonts w:hint="eastAsia" w:ascii="宋体" w:hAnsi="宋体" w:cs="宋体"/>
                <w:color w:val="auto"/>
                <w:sz w:val="24"/>
                <w:highlight w:val="none"/>
              </w:rPr>
              <w:t>X＜5</w:t>
            </w:r>
          </w:p>
        </w:tc>
      </w:tr>
      <w:tr w14:paraId="2399A508">
        <w:tblPrEx>
          <w:tblCellMar>
            <w:top w:w="0" w:type="dxa"/>
            <w:left w:w="108" w:type="dxa"/>
            <w:bottom w:w="0" w:type="dxa"/>
            <w:right w:w="108" w:type="dxa"/>
          </w:tblCellMar>
        </w:tblPrEx>
        <w:trPr>
          <w:trHeight w:val="643"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792CB511">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125A33C">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0CEE9B0">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73156FD">
            <w:pPr>
              <w:widowControl/>
              <w:jc w:val="center"/>
              <w:rPr>
                <w:rFonts w:ascii="宋体" w:hAnsi="宋体" w:cs="宋体"/>
                <w:color w:val="auto"/>
                <w:sz w:val="24"/>
                <w:highlight w:val="none"/>
              </w:rPr>
            </w:pPr>
            <w:r>
              <w:rPr>
                <w:rFonts w:hint="eastAsia" w:ascii="宋体" w:hAnsi="宋体" w:cs="宋体"/>
                <w:color w:val="auto"/>
                <w:sz w:val="24"/>
                <w:highlight w:val="none"/>
              </w:rPr>
              <w:t>Y≥40000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B12D752">
            <w:pPr>
              <w:widowControl/>
              <w:jc w:val="center"/>
              <w:rPr>
                <w:rFonts w:ascii="宋体" w:hAnsi="宋体" w:cs="宋体"/>
                <w:color w:val="auto"/>
                <w:sz w:val="24"/>
                <w:highlight w:val="none"/>
              </w:rPr>
            </w:pPr>
            <w:r>
              <w:rPr>
                <w:rFonts w:hint="eastAsia" w:ascii="宋体" w:hAnsi="宋体" w:cs="宋体"/>
                <w:color w:val="auto"/>
                <w:sz w:val="24"/>
                <w:highlight w:val="none"/>
              </w:rPr>
              <w:t>5000≤Y＜40000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1894E12">
            <w:pPr>
              <w:widowControl/>
              <w:ind w:left="-1" w:leftChars="-1" w:hanging="1"/>
              <w:jc w:val="center"/>
              <w:rPr>
                <w:rFonts w:ascii="宋体" w:hAnsi="宋体" w:cs="宋体"/>
                <w:color w:val="auto"/>
                <w:sz w:val="24"/>
                <w:highlight w:val="none"/>
              </w:rPr>
            </w:pPr>
            <w:r>
              <w:rPr>
                <w:rFonts w:hint="eastAsia" w:ascii="宋体" w:hAnsi="宋体" w:cs="宋体"/>
                <w:color w:val="auto"/>
                <w:sz w:val="24"/>
                <w:highlight w:val="none"/>
              </w:rPr>
              <w:t>1000≤Y＜5000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369E23">
            <w:pPr>
              <w:widowControl/>
              <w:jc w:val="center"/>
              <w:rPr>
                <w:rFonts w:ascii="宋体" w:hAnsi="宋体" w:cs="宋体"/>
                <w:color w:val="auto"/>
                <w:sz w:val="24"/>
                <w:highlight w:val="none"/>
              </w:rPr>
            </w:pPr>
            <w:r>
              <w:rPr>
                <w:rFonts w:hint="eastAsia" w:ascii="宋体" w:hAnsi="宋体" w:cs="宋体"/>
                <w:color w:val="auto"/>
                <w:sz w:val="24"/>
                <w:highlight w:val="none"/>
              </w:rPr>
              <w:t>Y＜1000</w:t>
            </w:r>
          </w:p>
        </w:tc>
      </w:tr>
      <w:tr w14:paraId="24DD8E0E">
        <w:tblPrEx>
          <w:tblCellMar>
            <w:top w:w="0" w:type="dxa"/>
            <w:left w:w="108" w:type="dxa"/>
            <w:bottom w:w="0" w:type="dxa"/>
            <w:right w:w="108" w:type="dxa"/>
          </w:tblCellMar>
        </w:tblPrEx>
        <w:trPr>
          <w:trHeight w:val="73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1D9AD8">
            <w:pPr>
              <w:widowControl/>
              <w:spacing w:line="240" w:lineRule="exact"/>
              <w:rPr>
                <w:rFonts w:ascii="宋体" w:hAnsi="宋体" w:cs="宋体"/>
                <w:color w:val="auto"/>
                <w:sz w:val="24"/>
                <w:highlight w:val="none"/>
              </w:rPr>
            </w:pPr>
            <w:r>
              <w:rPr>
                <w:rFonts w:hint="eastAsia" w:ascii="宋体" w:hAnsi="宋体" w:cs="宋体"/>
                <w:color w:val="auto"/>
                <w:sz w:val="24"/>
                <w:highlight w:val="none"/>
              </w:rPr>
              <w:t>零售业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688F7B8">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822572">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9E3D46A">
            <w:pPr>
              <w:widowControl/>
              <w:jc w:val="center"/>
              <w:rPr>
                <w:rFonts w:ascii="宋体" w:hAnsi="宋体" w:cs="宋体"/>
                <w:color w:val="auto"/>
                <w:sz w:val="24"/>
                <w:highlight w:val="none"/>
              </w:rPr>
            </w:pPr>
            <w:r>
              <w:rPr>
                <w:rFonts w:hint="eastAsia" w:ascii="宋体" w:hAnsi="宋体" w:cs="宋体"/>
                <w:color w:val="auto"/>
                <w:sz w:val="24"/>
                <w:highlight w:val="none"/>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1AB200C">
            <w:pPr>
              <w:widowControl/>
              <w:jc w:val="center"/>
              <w:rPr>
                <w:rFonts w:ascii="宋体" w:hAnsi="宋体" w:cs="宋体"/>
                <w:color w:val="auto"/>
                <w:sz w:val="24"/>
                <w:highlight w:val="none"/>
              </w:rPr>
            </w:pPr>
            <w:r>
              <w:rPr>
                <w:rFonts w:hint="eastAsia" w:ascii="宋体" w:hAnsi="宋体" w:cs="宋体"/>
                <w:color w:val="auto"/>
                <w:sz w:val="24"/>
                <w:highlight w:val="none"/>
              </w:rPr>
              <w:t>50≤X＜300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A946E50">
            <w:pPr>
              <w:widowControl/>
              <w:ind w:left="-1" w:leftChars="-1" w:hanging="1"/>
              <w:jc w:val="center"/>
              <w:rPr>
                <w:rFonts w:ascii="宋体" w:hAnsi="宋体" w:cs="宋体"/>
                <w:color w:val="auto"/>
                <w:sz w:val="24"/>
                <w:highlight w:val="none"/>
              </w:rPr>
            </w:pPr>
            <w:r>
              <w:rPr>
                <w:rFonts w:hint="eastAsia" w:ascii="宋体" w:hAnsi="宋体" w:cs="宋体"/>
                <w:color w:val="auto"/>
                <w:sz w:val="24"/>
                <w:highlight w:val="none"/>
              </w:rPr>
              <w:t xml:space="preserve">10≤X＜50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9963E4">
            <w:pPr>
              <w:widowControl/>
              <w:jc w:val="center"/>
              <w:rPr>
                <w:rFonts w:ascii="宋体" w:hAnsi="宋体" w:cs="宋体"/>
                <w:color w:val="auto"/>
                <w:sz w:val="24"/>
                <w:highlight w:val="none"/>
              </w:rPr>
            </w:pPr>
            <w:r>
              <w:rPr>
                <w:rFonts w:hint="eastAsia" w:ascii="宋体" w:hAnsi="宋体" w:cs="宋体"/>
                <w:color w:val="auto"/>
                <w:sz w:val="24"/>
                <w:highlight w:val="none"/>
              </w:rPr>
              <w:t>X＜10</w:t>
            </w:r>
          </w:p>
        </w:tc>
      </w:tr>
      <w:tr w14:paraId="0D46DF55">
        <w:tblPrEx>
          <w:tblCellMar>
            <w:top w:w="0" w:type="dxa"/>
            <w:left w:w="108" w:type="dxa"/>
            <w:bottom w:w="0" w:type="dxa"/>
            <w:right w:w="108" w:type="dxa"/>
          </w:tblCellMar>
        </w:tblPrEx>
        <w:trPr>
          <w:trHeight w:val="753"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7A4F7173">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3C084B6">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1F6A70">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2173C7F">
            <w:pPr>
              <w:widowControl/>
              <w:jc w:val="center"/>
              <w:rPr>
                <w:rFonts w:ascii="宋体" w:hAnsi="宋体" w:cs="宋体"/>
                <w:color w:val="auto"/>
                <w:sz w:val="24"/>
                <w:highlight w:val="none"/>
              </w:rPr>
            </w:pPr>
            <w:r>
              <w:rPr>
                <w:rFonts w:hint="eastAsia" w:ascii="宋体" w:hAnsi="宋体" w:cs="宋体"/>
                <w:color w:val="auto"/>
                <w:sz w:val="24"/>
                <w:highlight w:val="none"/>
              </w:rPr>
              <w:t>Y≥20000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7780C6E">
            <w:pPr>
              <w:widowControl/>
              <w:jc w:val="center"/>
              <w:rPr>
                <w:rFonts w:ascii="宋体" w:hAnsi="宋体" w:cs="宋体"/>
                <w:color w:val="auto"/>
                <w:sz w:val="24"/>
                <w:highlight w:val="none"/>
              </w:rPr>
            </w:pPr>
            <w:r>
              <w:rPr>
                <w:rFonts w:hint="eastAsia" w:ascii="宋体" w:hAnsi="宋体" w:cs="宋体"/>
                <w:color w:val="auto"/>
                <w:sz w:val="24"/>
                <w:highlight w:val="none"/>
              </w:rPr>
              <w:t xml:space="preserve"> 500≤Y＜20000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C7E7DC9">
            <w:pPr>
              <w:widowControl/>
              <w:ind w:left="-1" w:leftChars="-1" w:hanging="1"/>
              <w:jc w:val="center"/>
              <w:rPr>
                <w:rFonts w:ascii="宋体" w:hAnsi="宋体" w:cs="宋体"/>
                <w:color w:val="auto"/>
                <w:sz w:val="24"/>
                <w:highlight w:val="none"/>
              </w:rPr>
            </w:pPr>
            <w:r>
              <w:rPr>
                <w:rFonts w:hint="eastAsia" w:ascii="宋体" w:hAnsi="宋体" w:cs="宋体"/>
                <w:color w:val="auto"/>
                <w:sz w:val="24"/>
                <w:highlight w:val="none"/>
              </w:rPr>
              <w:t xml:space="preserve">100≤Y＜500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F40FB6A">
            <w:pPr>
              <w:widowControl/>
              <w:jc w:val="center"/>
              <w:rPr>
                <w:rFonts w:ascii="宋体" w:hAnsi="宋体" w:cs="宋体"/>
                <w:color w:val="auto"/>
                <w:sz w:val="24"/>
                <w:highlight w:val="none"/>
              </w:rPr>
            </w:pPr>
            <w:r>
              <w:rPr>
                <w:rFonts w:hint="eastAsia" w:ascii="宋体" w:hAnsi="宋体" w:cs="宋体"/>
                <w:color w:val="auto"/>
                <w:sz w:val="24"/>
                <w:highlight w:val="none"/>
              </w:rPr>
              <w:t>Y＜100</w:t>
            </w:r>
          </w:p>
        </w:tc>
      </w:tr>
      <w:tr w14:paraId="52655598">
        <w:tblPrEx>
          <w:tblCellMar>
            <w:top w:w="0" w:type="dxa"/>
            <w:left w:w="108" w:type="dxa"/>
            <w:bottom w:w="0" w:type="dxa"/>
            <w:right w:w="108" w:type="dxa"/>
          </w:tblCellMar>
        </w:tblPrEx>
        <w:trPr>
          <w:trHeight w:val="6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5F2BD0">
            <w:pPr>
              <w:widowControl/>
              <w:spacing w:line="240" w:lineRule="exact"/>
              <w:rPr>
                <w:rFonts w:ascii="宋体" w:hAnsi="宋体" w:cs="宋体"/>
                <w:color w:val="auto"/>
                <w:sz w:val="24"/>
                <w:highlight w:val="none"/>
              </w:rPr>
            </w:pPr>
            <w:r>
              <w:rPr>
                <w:rFonts w:hint="eastAsia" w:ascii="宋体" w:hAnsi="宋体" w:cs="宋体"/>
                <w:color w:val="auto"/>
                <w:sz w:val="24"/>
                <w:highlight w:val="none"/>
              </w:rPr>
              <w:t>交通运输业 *</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585E0BF">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C6478E">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269A14D">
            <w:pPr>
              <w:widowControl/>
              <w:jc w:val="center"/>
              <w:rPr>
                <w:rFonts w:ascii="宋体" w:hAnsi="宋体" w:cs="宋体"/>
                <w:color w:val="auto"/>
                <w:sz w:val="24"/>
                <w:highlight w:val="none"/>
              </w:rPr>
            </w:pPr>
            <w:r>
              <w:rPr>
                <w:rFonts w:hint="eastAsia" w:ascii="宋体" w:hAnsi="宋体" w:cs="宋体"/>
                <w:color w:val="auto"/>
                <w:sz w:val="24"/>
                <w:highlight w:val="none"/>
              </w:rPr>
              <w:t>X≥1000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57ED052">
            <w:pPr>
              <w:widowControl/>
              <w:jc w:val="center"/>
              <w:rPr>
                <w:rFonts w:ascii="宋体" w:hAnsi="宋体" w:cs="宋体"/>
                <w:color w:val="auto"/>
                <w:sz w:val="24"/>
                <w:highlight w:val="none"/>
              </w:rPr>
            </w:pPr>
            <w:r>
              <w:rPr>
                <w:rFonts w:hint="eastAsia" w:ascii="宋体" w:hAnsi="宋体" w:cs="宋体"/>
                <w:color w:val="auto"/>
                <w:sz w:val="24"/>
                <w:highlight w:val="none"/>
              </w:rPr>
              <w:t>300≤X＜1000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C074878">
            <w:pPr>
              <w:widowControl/>
              <w:jc w:val="center"/>
              <w:rPr>
                <w:rFonts w:ascii="宋体" w:hAnsi="宋体" w:cs="宋体"/>
                <w:color w:val="auto"/>
                <w:sz w:val="24"/>
                <w:highlight w:val="none"/>
              </w:rPr>
            </w:pPr>
            <w:r>
              <w:rPr>
                <w:rFonts w:hint="eastAsia" w:ascii="宋体" w:hAnsi="宋体" w:cs="宋体"/>
                <w:color w:val="auto"/>
                <w:sz w:val="24"/>
                <w:highlight w:val="none"/>
              </w:rPr>
              <w:t xml:space="preserve"> 20≤X＜300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F554D7">
            <w:pPr>
              <w:widowControl/>
              <w:jc w:val="center"/>
              <w:rPr>
                <w:rFonts w:ascii="宋体" w:hAnsi="宋体" w:cs="宋体"/>
                <w:color w:val="auto"/>
                <w:sz w:val="24"/>
                <w:highlight w:val="none"/>
              </w:rPr>
            </w:pPr>
            <w:r>
              <w:rPr>
                <w:rFonts w:hint="eastAsia" w:ascii="宋体" w:hAnsi="宋体" w:cs="宋体"/>
                <w:color w:val="auto"/>
                <w:sz w:val="24"/>
                <w:highlight w:val="none"/>
              </w:rPr>
              <w:t>X＜20</w:t>
            </w:r>
          </w:p>
        </w:tc>
      </w:tr>
      <w:tr w14:paraId="04E2822D">
        <w:tblPrEx>
          <w:tblCellMar>
            <w:top w:w="0" w:type="dxa"/>
            <w:left w:w="108" w:type="dxa"/>
            <w:bottom w:w="0" w:type="dxa"/>
            <w:right w:w="108" w:type="dxa"/>
          </w:tblCellMar>
        </w:tblPrEx>
        <w:trPr>
          <w:trHeight w:val="721"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2717416A">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F36F41D">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5F5720">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35D84510">
            <w:pPr>
              <w:widowControl/>
              <w:jc w:val="center"/>
              <w:rPr>
                <w:rFonts w:ascii="宋体" w:hAnsi="宋体" w:cs="宋体"/>
                <w:color w:val="auto"/>
                <w:sz w:val="24"/>
                <w:highlight w:val="none"/>
              </w:rPr>
            </w:pPr>
            <w:r>
              <w:rPr>
                <w:rFonts w:hint="eastAsia" w:ascii="宋体" w:hAnsi="宋体" w:cs="宋体"/>
                <w:color w:val="auto"/>
                <w:sz w:val="24"/>
                <w:highlight w:val="none"/>
              </w:rPr>
              <w:t>Y≥30000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26D43D8">
            <w:pPr>
              <w:widowControl/>
              <w:jc w:val="center"/>
              <w:rPr>
                <w:rFonts w:ascii="宋体" w:hAnsi="宋体" w:cs="宋体"/>
                <w:color w:val="auto"/>
                <w:sz w:val="24"/>
                <w:highlight w:val="none"/>
              </w:rPr>
            </w:pPr>
            <w:r>
              <w:rPr>
                <w:rFonts w:hint="eastAsia" w:ascii="宋体" w:hAnsi="宋体" w:cs="宋体"/>
                <w:color w:val="auto"/>
                <w:sz w:val="24"/>
                <w:highlight w:val="none"/>
              </w:rPr>
              <w:t>3000≤Y＜30000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15E6E0AC">
            <w:pPr>
              <w:widowControl/>
              <w:jc w:val="center"/>
              <w:rPr>
                <w:rFonts w:ascii="宋体" w:hAnsi="宋体" w:cs="宋体"/>
                <w:color w:val="auto"/>
                <w:sz w:val="24"/>
                <w:highlight w:val="none"/>
              </w:rPr>
            </w:pPr>
            <w:r>
              <w:rPr>
                <w:rFonts w:hint="eastAsia" w:ascii="宋体" w:hAnsi="宋体" w:cs="宋体"/>
                <w:color w:val="auto"/>
                <w:sz w:val="24"/>
                <w:highlight w:val="none"/>
              </w:rPr>
              <w:t xml:space="preserve"> 200≤Y＜3000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BD75DC">
            <w:pPr>
              <w:widowControl/>
              <w:jc w:val="center"/>
              <w:rPr>
                <w:rFonts w:ascii="宋体" w:hAnsi="宋体" w:cs="宋体"/>
                <w:color w:val="auto"/>
                <w:sz w:val="24"/>
                <w:highlight w:val="none"/>
              </w:rPr>
            </w:pPr>
            <w:r>
              <w:rPr>
                <w:rFonts w:hint="eastAsia" w:ascii="宋体" w:hAnsi="宋体" w:cs="宋体"/>
                <w:color w:val="auto"/>
                <w:sz w:val="24"/>
                <w:highlight w:val="none"/>
              </w:rPr>
              <w:t>Y＜200</w:t>
            </w:r>
          </w:p>
        </w:tc>
      </w:tr>
      <w:tr w14:paraId="4F5B0737">
        <w:tblPrEx>
          <w:tblCellMar>
            <w:top w:w="0" w:type="dxa"/>
            <w:left w:w="108" w:type="dxa"/>
            <w:bottom w:w="0" w:type="dxa"/>
            <w:right w:w="108" w:type="dxa"/>
          </w:tblCellMar>
        </w:tblPrEx>
        <w:trPr>
          <w:trHeight w:val="63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2637CB">
            <w:pPr>
              <w:widowControl/>
              <w:spacing w:line="240" w:lineRule="exact"/>
              <w:rPr>
                <w:rFonts w:ascii="宋体" w:hAnsi="宋体" w:cs="宋体"/>
                <w:color w:val="auto"/>
                <w:sz w:val="24"/>
                <w:highlight w:val="none"/>
              </w:rPr>
            </w:pPr>
            <w:r>
              <w:rPr>
                <w:rFonts w:hint="eastAsia" w:ascii="宋体" w:hAnsi="宋体" w:cs="宋体"/>
                <w:color w:val="auto"/>
                <w:sz w:val="24"/>
                <w:highlight w:val="none"/>
              </w:rPr>
              <w:t>仓储业*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DD231F2">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2A670A">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6E69378C">
            <w:pPr>
              <w:widowControl/>
              <w:jc w:val="center"/>
              <w:rPr>
                <w:rFonts w:ascii="宋体" w:hAnsi="宋体" w:cs="宋体"/>
                <w:color w:val="auto"/>
                <w:sz w:val="24"/>
                <w:highlight w:val="none"/>
              </w:rPr>
            </w:pPr>
            <w:r>
              <w:rPr>
                <w:rFonts w:hint="eastAsia" w:ascii="宋体" w:hAnsi="宋体" w:cs="宋体"/>
                <w:color w:val="auto"/>
                <w:sz w:val="24"/>
                <w:highlight w:val="none"/>
              </w:rPr>
              <w:t>X≥200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B84D569">
            <w:pPr>
              <w:widowControl/>
              <w:ind w:left="37" w:leftChars="-51" w:hanging="144" w:hangingChars="60"/>
              <w:jc w:val="center"/>
              <w:rPr>
                <w:rFonts w:ascii="宋体" w:hAnsi="宋体" w:cs="宋体"/>
                <w:color w:val="auto"/>
                <w:sz w:val="24"/>
                <w:highlight w:val="none"/>
              </w:rPr>
            </w:pPr>
            <w:r>
              <w:rPr>
                <w:rFonts w:hint="eastAsia" w:ascii="宋体" w:hAnsi="宋体" w:cs="宋体"/>
                <w:color w:val="auto"/>
                <w:sz w:val="24"/>
                <w:highlight w:val="none"/>
              </w:rPr>
              <w:t>100≤X＜200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0F76D7B1">
            <w:pPr>
              <w:widowControl/>
              <w:jc w:val="center"/>
              <w:rPr>
                <w:rFonts w:ascii="宋体" w:hAnsi="宋体" w:cs="宋体"/>
                <w:color w:val="auto"/>
                <w:sz w:val="24"/>
                <w:highlight w:val="none"/>
              </w:rPr>
            </w:pPr>
            <w:r>
              <w:rPr>
                <w:rFonts w:hint="eastAsia" w:ascii="宋体" w:hAnsi="宋体" w:cs="宋体"/>
                <w:color w:val="auto"/>
                <w:sz w:val="24"/>
                <w:highlight w:val="none"/>
              </w:rPr>
              <w:t xml:space="preserve"> 20≤X＜100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9A20C3">
            <w:pPr>
              <w:widowControl/>
              <w:jc w:val="center"/>
              <w:rPr>
                <w:rFonts w:ascii="宋体" w:hAnsi="宋体" w:cs="宋体"/>
                <w:color w:val="auto"/>
                <w:sz w:val="24"/>
                <w:highlight w:val="none"/>
              </w:rPr>
            </w:pPr>
            <w:r>
              <w:rPr>
                <w:rFonts w:hint="eastAsia" w:ascii="宋体" w:hAnsi="宋体" w:cs="宋体"/>
                <w:color w:val="auto"/>
                <w:sz w:val="24"/>
                <w:highlight w:val="none"/>
              </w:rPr>
              <w:t>X＜20</w:t>
            </w:r>
          </w:p>
        </w:tc>
      </w:tr>
      <w:tr w14:paraId="4FF6C352">
        <w:tblPrEx>
          <w:tblCellMar>
            <w:top w:w="0" w:type="dxa"/>
            <w:left w:w="108" w:type="dxa"/>
            <w:bottom w:w="0" w:type="dxa"/>
            <w:right w:w="108" w:type="dxa"/>
          </w:tblCellMar>
        </w:tblPrEx>
        <w:trPr>
          <w:trHeight w:val="704"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53BF226F">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F351674">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20E80FA">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3F4CC288">
            <w:pPr>
              <w:widowControl/>
              <w:jc w:val="center"/>
              <w:rPr>
                <w:rFonts w:ascii="宋体" w:hAnsi="宋体" w:cs="宋体"/>
                <w:color w:val="auto"/>
                <w:sz w:val="24"/>
                <w:highlight w:val="none"/>
              </w:rPr>
            </w:pPr>
            <w:r>
              <w:rPr>
                <w:rFonts w:hint="eastAsia" w:ascii="宋体" w:hAnsi="宋体" w:cs="宋体"/>
                <w:color w:val="auto"/>
                <w:sz w:val="24"/>
                <w:highlight w:val="none"/>
              </w:rPr>
              <w:t>Y≥30000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D994005">
            <w:pPr>
              <w:widowControl/>
              <w:jc w:val="center"/>
              <w:rPr>
                <w:rFonts w:ascii="宋体" w:hAnsi="宋体" w:cs="宋体"/>
                <w:color w:val="auto"/>
                <w:sz w:val="24"/>
                <w:highlight w:val="none"/>
              </w:rPr>
            </w:pPr>
            <w:r>
              <w:rPr>
                <w:rFonts w:hint="eastAsia" w:ascii="宋体" w:hAnsi="宋体" w:cs="宋体"/>
                <w:color w:val="auto"/>
                <w:sz w:val="24"/>
                <w:highlight w:val="none"/>
              </w:rPr>
              <w:t>1000≤Y＜30000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AE64D15">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8AC69F">
            <w:pPr>
              <w:widowControl/>
              <w:jc w:val="center"/>
              <w:rPr>
                <w:rFonts w:ascii="宋体" w:hAnsi="宋体" w:cs="宋体"/>
                <w:color w:val="auto"/>
                <w:sz w:val="24"/>
                <w:highlight w:val="none"/>
              </w:rPr>
            </w:pPr>
            <w:r>
              <w:rPr>
                <w:rFonts w:hint="eastAsia" w:ascii="宋体" w:hAnsi="宋体" w:cs="宋体"/>
                <w:color w:val="auto"/>
                <w:sz w:val="24"/>
                <w:highlight w:val="none"/>
              </w:rPr>
              <w:t>Y＜100</w:t>
            </w:r>
          </w:p>
        </w:tc>
      </w:tr>
      <w:tr w14:paraId="123086B9">
        <w:tblPrEx>
          <w:tblCellMar>
            <w:top w:w="0" w:type="dxa"/>
            <w:left w:w="108" w:type="dxa"/>
            <w:bottom w:w="0" w:type="dxa"/>
            <w:right w:w="108" w:type="dxa"/>
          </w:tblCellMar>
        </w:tblPrEx>
        <w:trPr>
          <w:trHeight w:val="713"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C3FE53">
            <w:pPr>
              <w:widowControl/>
              <w:spacing w:line="240" w:lineRule="exact"/>
              <w:rPr>
                <w:rFonts w:ascii="宋体" w:hAnsi="宋体" w:cs="宋体"/>
                <w:color w:val="auto"/>
                <w:sz w:val="24"/>
                <w:highlight w:val="none"/>
              </w:rPr>
            </w:pPr>
            <w:r>
              <w:rPr>
                <w:rFonts w:hint="eastAsia" w:ascii="宋体" w:hAnsi="宋体" w:cs="宋体"/>
                <w:color w:val="auto"/>
                <w:sz w:val="24"/>
                <w:highlight w:val="none"/>
              </w:rPr>
              <w:t>邮政业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40EC62F">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FDC9E9">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6D6EFAF7">
            <w:pPr>
              <w:widowControl/>
              <w:jc w:val="center"/>
              <w:rPr>
                <w:rFonts w:ascii="宋体" w:hAnsi="宋体" w:cs="宋体"/>
                <w:color w:val="auto"/>
                <w:sz w:val="24"/>
                <w:highlight w:val="none"/>
              </w:rPr>
            </w:pPr>
            <w:r>
              <w:rPr>
                <w:rFonts w:hint="eastAsia" w:ascii="宋体" w:hAnsi="宋体" w:cs="宋体"/>
                <w:color w:val="auto"/>
                <w:sz w:val="24"/>
                <w:highlight w:val="none"/>
              </w:rPr>
              <w:t>X≥1000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6A08A9E">
            <w:pPr>
              <w:widowControl/>
              <w:jc w:val="center"/>
              <w:rPr>
                <w:rFonts w:ascii="宋体" w:hAnsi="宋体" w:cs="宋体"/>
                <w:color w:val="auto"/>
                <w:sz w:val="24"/>
                <w:highlight w:val="none"/>
              </w:rPr>
            </w:pPr>
            <w:r>
              <w:rPr>
                <w:rFonts w:hint="eastAsia" w:ascii="宋体" w:hAnsi="宋体" w:cs="宋体"/>
                <w:color w:val="auto"/>
                <w:sz w:val="24"/>
                <w:highlight w:val="none"/>
              </w:rPr>
              <w:t>300≤X＜1000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D4E5792">
            <w:pPr>
              <w:widowControl/>
              <w:jc w:val="center"/>
              <w:rPr>
                <w:rFonts w:ascii="宋体" w:hAnsi="宋体" w:cs="宋体"/>
                <w:color w:val="auto"/>
                <w:sz w:val="24"/>
                <w:highlight w:val="none"/>
              </w:rPr>
            </w:pPr>
            <w:r>
              <w:rPr>
                <w:rFonts w:hint="eastAsia" w:ascii="宋体" w:hAnsi="宋体" w:cs="宋体"/>
                <w:color w:val="auto"/>
                <w:sz w:val="24"/>
                <w:highlight w:val="none"/>
              </w:rPr>
              <w:t xml:space="preserve"> 20≤X＜300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540906">
            <w:pPr>
              <w:widowControl/>
              <w:jc w:val="center"/>
              <w:rPr>
                <w:rFonts w:ascii="宋体" w:hAnsi="宋体" w:cs="宋体"/>
                <w:color w:val="auto"/>
                <w:sz w:val="24"/>
                <w:highlight w:val="none"/>
              </w:rPr>
            </w:pPr>
            <w:r>
              <w:rPr>
                <w:rFonts w:hint="eastAsia" w:ascii="宋体" w:hAnsi="宋体" w:cs="宋体"/>
                <w:color w:val="auto"/>
                <w:sz w:val="24"/>
                <w:highlight w:val="none"/>
              </w:rPr>
              <w:t>X＜20</w:t>
            </w:r>
          </w:p>
        </w:tc>
      </w:tr>
      <w:tr w14:paraId="09BDB3E9">
        <w:tblPrEx>
          <w:tblCellMar>
            <w:top w:w="0" w:type="dxa"/>
            <w:left w:w="108" w:type="dxa"/>
            <w:bottom w:w="0" w:type="dxa"/>
            <w:right w:w="108" w:type="dxa"/>
          </w:tblCellMar>
        </w:tblPrEx>
        <w:trPr>
          <w:trHeight w:val="63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6AB50A24">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463C730">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6445361">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6EBB75B5">
            <w:pPr>
              <w:widowControl/>
              <w:jc w:val="center"/>
              <w:rPr>
                <w:rFonts w:ascii="宋体" w:hAnsi="宋体" w:cs="宋体"/>
                <w:color w:val="auto"/>
                <w:sz w:val="24"/>
                <w:highlight w:val="none"/>
              </w:rPr>
            </w:pPr>
            <w:r>
              <w:rPr>
                <w:rFonts w:hint="eastAsia" w:ascii="宋体" w:hAnsi="宋体" w:cs="宋体"/>
                <w:color w:val="auto"/>
                <w:sz w:val="24"/>
                <w:highlight w:val="none"/>
              </w:rPr>
              <w:t>Y≥30000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6923A43">
            <w:pPr>
              <w:widowControl/>
              <w:jc w:val="center"/>
              <w:rPr>
                <w:rFonts w:ascii="宋体" w:hAnsi="宋体" w:cs="宋体"/>
                <w:color w:val="auto"/>
                <w:sz w:val="24"/>
                <w:highlight w:val="none"/>
              </w:rPr>
            </w:pPr>
            <w:r>
              <w:rPr>
                <w:rFonts w:hint="eastAsia" w:ascii="宋体" w:hAnsi="宋体" w:cs="宋体"/>
                <w:color w:val="auto"/>
                <w:sz w:val="24"/>
                <w:highlight w:val="none"/>
              </w:rPr>
              <w:t>2000≤Y＜30000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17F1A81">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100≤Y＜2000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6E06CB0">
            <w:pPr>
              <w:widowControl/>
              <w:jc w:val="center"/>
              <w:rPr>
                <w:rFonts w:ascii="宋体" w:hAnsi="宋体" w:cs="宋体"/>
                <w:color w:val="auto"/>
                <w:sz w:val="24"/>
                <w:highlight w:val="none"/>
              </w:rPr>
            </w:pPr>
            <w:r>
              <w:rPr>
                <w:rFonts w:hint="eastAsia" w:ascii="宋体" w:hAnsi="宋体" w:cs="宋体"/>
                <w:color w:val="auto"/>
                <w:sz w:val="24"/>
                <w:highlight w:val="none"/>
              </w:rPr>
              <w:t>Y＜100</w:t>
            </w:r>
          </w:p>
        </w:tc>
      </w:tr>
      <w:tr w14:paraId="2C02B826">
        <w:tblPrEx>
          <w:tblCellMar>
            <w:top w:w="0" w:type="dxa"/>
            <w:left w:w="108" w:type="dxa"/>
            <w:bottom w:w="0" w:type="dxa"/>
            <w:right w:w="108" w:type="dxa"/>
          </w:tblCellMar>
        </w:tblPrEx>
        <w:trPr>
          <w:trHeight w:val="58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D06974">
            <w:pPr>
              <w:widowControl/>
              <w:spacing w:line="240" w:lineRule="exact"/>
              <w:rPr>
                <w:rFonts w:ascii="宋体" w:hAnsi="宋体" w:cs="宋体"/>
                <w:color w:val="auto"/>
                <w:sz w:val="24"/>
                <w:highlight w:val="none"/>
              </w:rPr>
            </w:pPr>
            <w:r>
              <w:rPr>
                <w:rFonts w:hint="eastAsia" w:ascii="宋体" w:hAnsi="宋体" w:cs="宋体"/>
                <w:color w:val="auto"/>
                <w:sz w:val="24"/>
                <w:highlight w:val="none"/>
              </w:rPr>
              <w:t>住宿业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9EEF0A4">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362012">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70AD854">
            <w:pPr>
              <w:widowControl/>
              <w:jc w:val="center"/>
              <w:rPr>
                <w:rFonts w:ascii="宋体" w:hAnsi="宋体" w:cs="宋体"/>
                <w:color w:val="auto"/>
                <w:sz w:val="24"/>
                <w:highlight w:val="none"/>
              </w:rPr>
            </w:pPr>
            <w:r>
              <w:rPr>
                <w:rFonts w:hint="eastAsia" w:ascii="宋体" w:hAnsi="宋体" w:cs="宋体"/>
                <w:color w:val="auto"/>
                <w:sz w:val="24"/>
                <w:highlight w:val="none"/>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4211F3B">
            <w:pPr>
              <w:widowControl/>
              <w:ind w:left="37" w:leftChars="-51" w:hanging="144" w:hangingChars="60"/>
              <w:jc w:val="center"/>
              <w:rPr>
                <w:rFonts w:ascii="宋体" w:hAnsi="宋体" w:cs="宋体"/>
                <w:color w:val="auto"/>
                <w:sz w:val="24"/>
                <w:highlight w:val="none"/>
              </w:rPr>
            </w:pPr>
            <w:r>
              <w:rPr>
                <w:rFonts w:hint="eastAsia" w:ascii="宋体" w:hAnsi="宋体" w:cs="宋体"/>
                <w:color w:val="auto"/>
                <w:sz w:val="24"/>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14A36D0">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DA87975">
            <w:pPr>
              <w:widowControl/>
              <w:jc w:val="center"/>
              <w:rPr>
                <w:rFonts w:ascii="宋体" w:hAnsi="宋体" w:cs="宋体"/>
                <w:color w:val="auto"/>
                <w:sz w:val="24"/>
                <w:highlight w:val="none"/>
              </w:rPr>
            </w:pPr>
            <w:r>
              <w:rPr>
                <w:rFonts w:hint="eastAsia" w:ascii="宋体" w:hAnsi="宋体" w:cs="宋体"/>
                <w:color w:val="auto"/>
                <w:sz w:val="24"/>
                <w:highlight w:val="none"/>
              </w:rPr>
              <w:t>X＜10</w:t>
            </w:r>
          </w:p>
        </w:tc>
      </w:tr>
      <w:tr w14:paraId="2135FC47">
        <w:tblPrEx>
          <w:tblCellMar>
            <w:top w:w="0" w:type="dxa"/>
            <w:left w:w="108" w:type="dxa"/>
            <w:bottom w:w="0" w:type="dxa"/>
            <w:right w:w="108" w:type="dxa"/>
          </w:tblCellMar>
        </w:tblPrEx>
        <w:trPr>
          <w:trHeight w:val="671"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32DFE4E8">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28A4C2A">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0D31371">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42FE7F6">
            <w:pPr>
              <w:widowControl/>
              <w:jc w:val="center"/>
              <w:rPr>
                <w:rFonts w:ascii="宋体" w:hAnsi="宋体" w:cs="宋体"/>
                <w:color w:val="auto"/>
                <w:sz w:val="24"/>
                <w:highlight w:val="none"/>
              </w:rPr>
            </w:pPr>
            <w:r>
              <w:rPr>
                <w:rFonts w:hint="eastAsia" w:ascii="宋体" w:hAnsi="宋体" w:cs="宋体"/>
                <w:color w:val="auto"/>
                <w:sz w:val="24"/>
                <w:highlight w:val="none"/>
              </w:rPr>
              <w:t>Y≥10000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6728104">
            <w:pPr>
              <w:widowControl/>
              <w:jc w:val="center"/>
              <w:rPr>
                <w:rFonts w:ascii="宋体" w:hAnsi="宋体" w:cs="宋体"/>
                <w:color w:val="auto"/>
                <w:sz w:val="24"/>
                <w:highlight w:val="none"/>
              </w:rPr>
            </w:pPr>
            <w:r>
              <w:rPr>
                <w:rFonts w:hint="eastAsia" w:ascii="宋体" w:hAnsi="宋体" w:cs="宋体"/>
                <w:color w:val="auto"/>
                <w:sz w:val="24"/>
                <w:highlight w:val="none"/>
              </w:rPr>
              <w:t>2000≤Y＜10000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5149B51F">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100≤Y＜2000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37D7FC5">
            <w:pPr>
              <w:widowControl/>
              <w:jc w:val="center"/>
              <w:rPr>
                <w:rFonts w:ascii="宋体" w:hAnsi="宋体" w:cs="宋体"/>
                <w:color w:val="auto"/>
                <w:sz w:val="24"/>
                <w:highlight w:val="none"/>
              </w:rPr>
            </w:pPr>
            <w:r>
              <w:rPr>
                <w:rFonts w:hint="eastAsia" w:ascii="宋体" w:hAnsi="宋体" w:cs="宋体"/>
                <w:color w:val="auto"/>
                <w:sz w:val="24"/>
                <w:highlight w:val="none"/>
              </w:rPr>
              <w:t>Y＜100</w:t>
            </w:r>
          </w:p>
        </w:tc>
      </w:tr>
      <w:tr w14:paraId="354AF19C">
        <w:tblPrEx>
          <w:tblCellMar>
            <w:top w:w="0" w:type="dxa"/>
            <w:left w:w="108" w:type="dxa"/>
            <w:bottom w:w="0" w:type="dxa"/>
            <w:right w:w="108" w:type="dxa"/>
          </w:tblCellMar>
        </w:tblPrEx>
        <w:trPr>
          <w:trHeight w:val="581"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75FF4B">
            <w:pPr>
              <w:widowControl/>
              <w:spacing w:line="240" w:lineRule="exact"/>
              <w:rPr>
                <w:rFonts w:ascii="宋体" w:hAnsi="宋体" w:cs="宋体"/>
                <w:color w:val="auto"/>
                <w:sz w:val="24"/>
                <w:highlight w:val="none"/>
              </w:rPr>
            </w:pPr>
            <w:r>
              <w:rPr>
                <w:rFonts w:hint="eastAsia" w:ascii="宋体" w:hAnsi="宋体" w:cs="宋体"/>
                <w:color w:val="auto"/>
                <w:sz w:val="24"/>
                <w:highlight w:val="none"/>
              </w:rPr>
              <w:t>餐饮业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69D48B6D">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8578E6">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83A0574">
            <w:pPr>
              <w:widowControl/>
              <w:jc w:val="center"/>
              <w:rPr>
                <w:rFonts w:ascii="宋体" w:hAnsi="宋体" w:cs="宋体"/>
                <w:color w:val="auto"/>
                <w:sz w:val="24"/>
                <w:highlight w:val="none"/>
              </w:rPr>
            </w:pPr>
            <w:r>
              <w:rPr>
                <w:rFonts w:hint="eastAsia" w:ascii="宋体" w:hAnsi="宋体" w:cs="宋体"/>
                <w:color w:val="auto"/>
                <w:sz w:val="24"/>
                <w:highlight w:val="none"/>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A7EEF57">
            <w:pPr>
              <w:widowControl/>
              <w:ind w:left="37" w:leftChars="-51" w:hanging="144" w:hangingChars="60"/>
              <w:jc w:val="center"/>
              <w:rPr>
                <w:rFonts w:ascii="宋体" w:hAnsi="宋体" w:cs="宋体"/>
                <w:color w:val="auto"/>
                <w:sz w:val="24"/>
                <w:highlight w:val="none"/>
              </w:rPr>
            </w:pPr>
            <w:r>
              <w:rPr>
                <w:rFonts w:hint="eastAsia" w:ascii="宋体" w:hAnsi="宋体" w:cs="宋体"/>
                <w:color w:val="auto"/>
                <w:sz w:val="24"/>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12FBEF4E">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CFA5CA">
            <w:pPr>
              <w:widowControl/>
              <w:jc w:val="center"/>
              <w:rPr>
                <w:rFonts w:ascii="宋体" w:hAnsi="宋体" w:cs="宋体"/>
                <w:color w:val="auto"/>
                <w:sz w:val="24"/>
                <w:highlight w:val="none"/>
              </w:rPr>
            </w:pPr>
            <w:r>
              <w:rPr>
                <w:rFonts w:hint="eastAsia" w:ascii="宋体" w:hAnsi="宋体" w:cs="宋体"/>
                <w:color w:val="auto"/>
                <w:sz w:val="24"/>
                <w:highlight w:val="none"/>
              </w:rPr>
              <w:t>X＜10</w:t>
            </w:r>
          </w:p>
        </w:tc>
      </w:tr>
      <w:tr w14:paraId="7CA59B2B">
        <w:tblPrEx>
          <w:tblCellMar>
            <w:top w:w="0" w:type="dxa"/>
            <w:left w:w="108" w:type="dxa"/>
            <w:bottom w:w="0" w:type="dxa"/>
            <w:right w:w="108" w:type="dxa"/>
          </w:tblCellMar>
        </w:tblPrEx>
        <w:trPr>
          <w:trHeight w:val="603"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57B05071">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A929CCF">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781920">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3BEA573F">
            <w:pPr>
              <w:widowControl/>
              <w:jc w:val="center"/>
              <w:rPr>
                <w:rFonts w:ascii="宋体" w:hAnsi="宋体" w:cs="宋体"/>
                <w:color w:val="auto"/>
                <w:sz w:val="24"/>
                <w:highlight w:val="none"/>
              </w:rPr>
            </w:pPr>
            <w:r>
              <w:rPr>
                <w:rFonts w:hint="eastAsia" w:ascii="宋体" w:hAnsi="宋体" w:cs="宋体"/>
                <w:color w:val="auto"/>
                <w:sz w:val="24"/>
                <w:highlight w:val="none"/>
              </w:rPr>
              <w:t>Y≥10000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2A6F35D">
            <w:pPr>
              <w:widowControl/>
              <w:jc w:val="center"/>
              <w:rPr>
                <w:rFonts w:ascii="宋体" w:hAnsi="宋体" w:cs="宋体"/>
                <w:color w:val="auto"/>
                <w:sz w:val="24"/>
                <w:highlight w:val="none"/>
              </w:rPr>
            </w:pPr>
            <w:r>
              <w:rPr>
                <w:rFonts w:hint="eastAsia" w:ascii="宋体" w:hAnsi="宋体" w:cs="宋体"/>
                <w:color w:val="auto"/>
                <w:sz w:val="24"/>
                <w:highlight w:val="none"/>
              </w:rPr>
              <w:t>2000≤Y＜10000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5043714">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100≤Y＜2000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56C5D42">
            <w:pPr>
              <w:widowControl/>
              <w:jc w:val="center"/>
              <w:rPr>
                <w:rFonts w:ascii="宋体" w:hAnsi="宋体" w:cs="宋体"/>
                <w:color w:val="auto"/>
                <w:sz w:val="24"/>
                <w:highlight w:val="none"/>
              </w:rPr>
            </w:pPr>
            <w:r>
              <w:rPr>
                <w:rFonts w:hint="eastAsia" w:ascii="宋体" w:hAnsi="宋体" w:cs="宋体"/>
                <w:color w:val="auto"/>
                <w:sz w:val="24"/>
                <w:highlight w:val="none"/>
              </w:rPr>
              <w:t>Y＜100</w:t>
            </w:r>
          </w:p>
        </w:tc>
      </w:tr>
      <w:tr w14:paraId="7E5BBBF1">
        <w:tblPrEx>
          <w:tblCellMar>
            <w:top w:w="0" w:type="dxa"/>
            <w:left w:w="108" w:type="dxa"/>
            <w:bottom w:w="0" w:type="dxa"/>
            <w:right w:w="108" w:type="dxa"/>
          </w:tblCellMar>
        </w:tblPrEx>
        <w:trPr>
          <w:trHeight w:val="714"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C1EC1D">
            <w:pPr>
              <w:widowControl/>
              <w:spacing w:line="240" w:lineRule="exact"/>
              <w:rPr>
                <w:rFonts w:ascii="宋体" w:hAnsi="宋体" w:cs="宋体"/>
                <w:color w:val="auto"/>
                <w:sz w:val="24"/>
                <w:highlight w:val="none"/>
              </w:rPr>
            </w:pPr>
            <w:r>
              <w:rPr>
                <w:rFonts w:hint="eastAsia" w:ascii="宋体" w:hAnsi="宋体" w:cs="宋体"/>
                <w:color w:val="auto"/>
                <w:sz w:val="24"/>
                <w:highlight w:val="none"/>
              </w:rPr>
              <w:t>信息传输业 *</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9006F6E">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718C27">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5A6C24A5">
            <w:pPr>
              <w:widowControl/>
              <w:jc w:val="center"/>
              <w:rPr>
                <w:rFonts w:ascii="宋体" w:hAnsi="宋体" w:cs="宋体"/>
                <w:color w:val="auto"/>
                <w:sz w:val="24"/>
                <w:highlight w:val="none"/>
              </w:rPr>
            </w:pPr>
            <w:r>
              <w:rPr>
                <w:rFonts w:hint="eastAsia" w:ascii="宋体" w:hAnsi="宋体" w:cs="宋体"/>
                <w:color w:val="auto"/>
                <w:sz w:val="24"/>
                <w:highlight w:val="none"/>
              </w:rPr>
              <w:t>X≥2000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E5A1EA8">
            <w:pPr>
              <w:widowControl/>
              <w:jc w:val="center"/>
              <w:rPr>
                <w:rFonts w:ascii="宋体" w:hAnsi="宋体" w:cs="宋体"/>
                <w:color w:val="auto"/>
                <w:sz w:val="24"/>
                <w:highlight w:val="none"/>
              </w:rPr>
            </w:pPr>
            <w:r>
              <w:rPr>
                <w:rFonts w:hint="eastAsia" w:ascii="宋体" w:hAnsi="宋体" w:cs="宋体"/>
                <w:color w:val="auto"/>
                <w:sz w:val="24"/>
                <w:highlight w:val="none"/>
              </w:rPr>
              <w:t>100≤X＜2000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232BDE1">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F74E93">
            <w:pPr>
              <w:widowControl/>
              <w:jc w:val="center"/>
              <w:rPr>
                <w:rFonts w:ascii="宋体" w:hAnsi="宋体" w:cs="宋体"/>
                <w:color w:val="auto"/>
                <w:sz w:val="24"/>
                <w:highlight w:val="none"/>
              </w:rPr>
            </w:pPr>
            <w:r>
              <w:rPr>
                <w:rFonts w:hint="eastAsia" w:ascii="宋体" w:hAnsi="宋体" w:cs="宋体"/>
                <w:color w:val="auto"/>
                <w:sz w:val="24"/>
                <w:highlight w:val="none"/>
              </w:rPr>
              <w:t>X＜10</w:t>
            </w:r>
          </w:p>
        </w:tc>
      </w:tr>
      <w:tr w14:paraId="6C08D166">
        <w:tblPrEx>
          <w:tblCellMar>
            <w:top w:w="0" w:type="dxa"/>
            <w:left w:w="108" w:type="dxa"/>
            <w:bottom w:w="0" w:type="dxa"/>
            <w:right w:w="108" w:type="dxa"/>
          </w:tblCellMar>
        </w:tblPrEx>
        <w:trPr>
          <w:trHeight w:val="67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7C789CEF">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B00D83F">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FAF821">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320D6748">
            <w:pPr>
              <w:widowControl/>
              <w:jc w:val="center"/>
              <w:rPr>
                <w:rFonts w:ascii="宋体" w:hAnsi="宋体" w:cs="宋体"/>
                <w:color w:val="auto"/>
                <w:sz w:val="24"/>
                <w:highlight w:val="none"/>
              </w:rPr>
            </w:pPr>
            <w:r>
              <w:rPr>
                <w:rFonts w:hint="eastAsia" w:ascii="宋体" w:hAnsi="宋体" w:cs="宋体"/>
                <w:color w:val="auto"/>
                <w:sz w:val="24"/>
                <w:highlight w:val="none"/>
              </w:rPr>
              <w:t>Y≥100000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791303D">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1000≤Y＜100000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52E18787">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60DAA41">
            <w:pPr>
              <w:widowControl/>
              <w:jc w:val="center"/>
              <w:rPr>
                <w:rFonts w:ascii="宋体" w:hAnsi="宋体" w:cs="宋体"/>
                <w:color w:val="auto"/>
                <w:sz w:val="24"/>
                <w:highlight w:val="none"/>
              </w:rPr>
            </w:pPr>
            <w:r>
              <w:rPr>
                <w:rFonts w:hint="eastAsia" w:ascii="宋体" w:hAnsi="宋体" w:cs="宋体"/>
                <w:color w:val="auto"/>
                <w:sz w:val="24"/>
                <w:highlight w:val="none"/>
              </w:rPr>
              <w:t>Y＜100</w:t>
            </w:r>
          </w:p>
        </w:tc>
      </w:tr>
      <w:tr w14:paraId="650697EA">
        <w:tblPrEx>
          <w:tblCellMar>
            <w:top w:w="0" w:type="dxa"/>
            <w:left w:w="108" w:type="dxa"/>
            <w:bottom w:w="0" w:type="dxa"/>
            <w:right w:w="108" w:type="dxa"/>
          </w:tblCellMar>
        </w:tblPrEx>
        <w:trPr>
          <w:trHeight w:val="673"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1F8EB8">
            <w:pPr>
              <w:widowControl/>
              <w:spacing w:line="240" w:lineRule="exact"/>
              <w:rPr>
                <w:rFonts w:ascii="宋体" w:hAnsi="宋体" w:cs="宋体"/>
                <w:color w:val="auto"/>
                <w:spacing w:val="-12"/>
                <w:sz w:val="24"/>
                <w:highlight w:val="none"/>
              </w:rPr>
            </w:pPr>
            <w:r>
              <w:rPr>
                <w:rFonts w:hint="eastAsia" w:ascii="宋体" w:hAnsi="宋体" w:cs="宋体"/>
                <w:color w:val="auto"/>
                <w:spacing w:val="-12"/>
                <w:sz w:val="24"/>
                <w:highlight w:val="none"/>
              </w:rPr>
              <w:t>软件和信息技术服</w:t>
            </w:r>
            <w:r>
              <w:rPr>
                <w:rFonts w:hint="eastAsia" w:ascii="宋体" w:hAnsi="宋体" w:cs="宋体"/>
                <w:color w:val="auto"/>
                <w:sz w:val="24"/>
                <w:highlight w:val="none"/>
              </w:rPr>
              <w:t>务业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294096A">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FB2B63">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8F8C849">
            <w:pPr>
              <w:widowControl/>
              <w:jc w:val="center"/>
              <w:rPr>
                <w:rFonts w:ascii="宋体" w:hAnsi="宋体" w:cs="宋体"/>
                <w:color w:val="auto"/>
                <w:sz w:val="24"/>
                <w:highlight w:val="none"/>
              </w:rPr>
            </w:pPr>
            <w:r>
              <w:rPr>
                <w:rFonts w:hint="eastAsia" w:ascii="宋体" w:hAnsi="宋体" w:cs="宋体"/>
                <w:color w:val="auto"/>
                <w:sz w:val="24"/>
                <w:highlight w:val="none"/>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FC83F5B">
            <w:pPr>
              <w:widowControl/>
              <w:ind w:left="37" w:leftChars="-51" w:hanging="144" w:hangingChars="60"/>
              <w:jc w:val="center"/>
              <w:rPr>
                <w:rFonts w:ascii="宋体" w:hAnsi="宋体" w:cs="宋体"/>
                <w:color w:val="auto"/>
                <w:sz w:val="24"/>
                <w:highlight w:val="none"/>
              </w:rPr>
            </w:pPr>
            <w:r>
              <w:rPr>
                <w:rFonts w:hint="eastAsia" w:ascii="宋体" w:hAnsi="宋体" w:cs="宋体"/>
                <w:color w:val="auto"/>
                <w:sz w:val="24"/>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C8B12BD">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B62F032">
            <w:pPr>
              <w:widowControl/>
              <w:jc w:val="center"/>
              <w:rPr>
                <w:rFonts w:ascii="宋体" w:hAnsi="宋体" w:cs="宋体"/>
                <w:color w:val="auto"/>
                <w:sz w:val="24"/>
                <w:highlight w:val="none"/>
              </w:rPr>
            </w:pPr>
            <w:r>
              <w:rPr>
                <w:rFonts w:hint="eastAsia" w:ascii="宋体" w:hAnsi="宋体" w:cs="宋体"/>
                <w:color w:val="auto"/>
                <w:sz w:val="24"/>
                <w:highlight w:val="none"/>
              </w:rPr>
              <w:t>X＜10</w:t>
            </w:r>
          </w:p>
        </w:tc>
      </w:tr>
      <w:tr w14:paraId="593E794D">
        <w:tblPrEx>
          <w:tblCellMar>
            <w:top w:w="0" w:type="dxa"/>
            <w:left w:w="108" w:type="dxa"/>
            <w:bottom w:w="0" w:type="dxa"/>
            <w:right w:w="108" w:type="dxa"/>
          </w:tblCellMar>
        </w:tblPrEx>
        <w:trPr>
          <w:trHeight w:val="680"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38A29621">
            <w:pPr>
              <w:widowControl/>
              <w:rPr>
                <w:rFonts w:ascii="宋体" w:hAnsi="宋体" w:cs="宋体"/>
                <w:color w:val="auto"/>
                <w:spacing w:val="-12"/>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6FD64A5C">
            <w:pPr>
              <w:widowControl/>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232BB62">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4C2D7A00">
            <w:pPr>
              <w:widowControl/>
              <w:jc w:val="center"/>
              <w:rPr>
                <w:rFonts w:ascii="宋体" w:hAnsi="宋体" w:cs="宋体"/>
                <w:color w:val="auto"/>
                <w:sz w:val="24"/>
                <w:highlight w:val="none"/>
              </w:rPr>
            </w:pPr>
            <w:r>
              <w:rPr>
                <w:rFonts w:hint="eastAsia" w:ascii="宋体" w:hAnsi="宋体" w:cs="宋体"/>
                <w:color w:val="auto"/>
                <w:sz w:val="24"/>
                <w:highlight w:val="none"/>
              </w:rPr>
              <w:t>Y≥10000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2C96E48">
            <w:pPr>
              <w:widowControl/>
              <w:jc w:val="center"/>
              <w:rPr>
                <w:rFonts w:ascii="宋体" w:hAnsi="宋体" w:cs="宋体"/>
                <w:color w:val="auto"/>
                <w:sz w:val="24"/>
                <w:highlight w:val="none"/>
              </w:rPr>
            </w:pPr>
            <w:r>
              <w:rPr>
                <w:rFonts w:hint="eastAsia" w:ascii="宋体" w:hAnsi="宋体" w:cs="宋体"/>
                <w:color w:val="auto"/>
                <w:sz w:val="24"/>
                <w:highlight w:val="none"/>
              </w:rPr>
              <w:t>1000≤Y＜10000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1E46D4FF">
            <w:pPr>
              <w:widowControl/>
              <w:jc w:val="center"/>
              <w:rPr>
                <w:rFonts w:ascii="宋体" w:hAnsi="宋体" w:cs="宋体"/>
                <w:color w:val="auto"/>
                <w:sz w:val="24"/>
                <w:highlight w:val="none"/>
              </w:rPr>
            </w:pPr>
            <w:r>
              <w:rPr>
                <w:rFonts w:hint="eastAsia" w:ascii="宋体" w:hAnsi="宋体" w:cs="宋体"/>
                <w:color w:val="auto"/>
                <w:sz w:val="24"/>
                <w:highlight w:val="none"/>
              </w:rPr>
              <w:t xml:space="preserve">  50≤Y＜1000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3A42B4F">
            <w:pPr>
              <w:widowControl/>
              <w:jc w:val="center"/>
              <w:rPr>
                <w:rFonts w:ascii="宋体" w:hAnsi="宋体" w:cs="宋体"/>
                <w:color w:val="auto"/>
                <w:sz w:val="24"/>
                <w:highlight w:val="none"/>
              </w:rPr>
            </w:pPr>
            <w:r>
              <w:rPr>
                <w:rFonts w:hint="eastAsia" w:ascii="宋体" w:hAnsi="宋体" w:cs="宋体"/>
                <w:color w:val="auto"/>
                <w:sz w:val="24"/>
                <w:highlight w:val="none"/>
              </w:rPr>
              <w:t>Y＜50</w:t>
            </w:r>
          </w:p>
        </w:tc>
      </w:tr>
      <w:tr w14:paraId="7A09E1FC">
        <w:tblPrEx>
          <w:tblCellMar>
            <w:top w:w="0" w:type="dxa"/>
            <w:left w:w="108" w:type="dxa"/>
            <w:bottom w:w="0" w:type="dxa"/>
            <w:right w:w="108" w:type="dxa"/>
          </w:tblCellMar>
        </w:tblPrEx>
        <w:trPr>
          <w:trHeight w:val="773"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5D9D9A">
            <w:pPr>
              <w:widowControl/>
              <w:spacing w:line="240" w:lineRule="exact"/>
              <w:rPr>
                <w:rFonts w:ascii="宋体" w:hAnsi="宋体" w:cs="宋体"/>
                <w:color w:val="auto"/>
                <w:sz w:val="24"/>
                <w:highlight w:val="none"/>
              </w:rPr>
            </w:pPr>
            <w:r>
              <w:rPr>
                <w:rFonts w:hint="eastAsia" w:ascii="宋体" w:hAnsi="宋体" w:cs="宋体"/>
                <w:color w:val="auto"/>
                <w:sz w:val="24"/>
                <w:highlight w:val="none"/>
              </w:rPr>
              <w:t>房地产开发经营</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A02E9B6">
            <w:pPr>
              <w:widowControl/>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B9896F">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6B12679D">
            <w:pPr>
              <w:widowControl/>
              <w:jc w:val="center"/>
              <w:rPr>
                <w:rFonts w:ascii="宋体" w:hAnsi="宋体" w:cs="宋体"/>
                <w:color w:val="auto"/>
                <w:sz w:val="24"/>
                <w:highlight w:val="none"/>
              </w:rPr>
            </w:pPr>
            <w:r>
              <w:rPr>
                <w:rFonts w:hint="eastAsia" w:ascii="宋体" w:hAnsi="宋体" w:cs="宋体"/>
                <w:color w:val="auto"/>
                <w:sz w:val="24"/>
                <w:highlight w:val="none"/>
              </w:rPr>
              <w:t>Y≥200000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07ACF96">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1000≤Y＜200000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5B1058EB">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9F2A42">
            <w:pPr>
              <w:widowControl/>
              <w:jc w:val="center"/>
              <w:rPr>
                <w:rFonts w:ascii="宋体" w:hAnsi="宋体" w:cs="宋体"/>
                <w:color w:val="auto"/>
                <w:sz w:val="24"/>
                <w:highlight w:val="none"/>
              </w:rPr>
            </w:pPr>
            <w:r>
              <w:rPr>
                <w:rFonts w:hint="eastAsia" w:ascii="宋体" w:hAnsi="宋体" w:cs="宋体"/>
                <w:color w:val="auto"/>
                <w:sz w:val="24"/>
                <w:highlight w:val="none"/>
              </w:rPr>
              <w:t>Y＜100</w:t>
            </w:r>
          </w:p>
        </w:tc>
      </w:tr>
      <w:tr w14:paraId="77ABB480">
        <w:tblPrEx>
          <w:tblCellMar>
            <w:top w:w="0" w:type="dxa"/>
            <w:left w:w="108" w:type="dxa"/>
            <w:bottom w:w="0" w:type="dxa"/>
            <w:right w:w="108" w:type="dxa"/>
          </w:tblCellMar>
        </w:tblPrEx>
        <w:trPr>
          <w:trHeight w:val="770"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3A9F44E2">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317E714">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资产总额(Z)</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A5DB22">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9182258">
            <w:pPr>
              <w:widowControl/>
              <w:jc w:val="center"/>
              <w:rPr>
                <w:rFonts w:ascii="宋体" w:hAnsi="宋体" w:cs="宋体"/>
                <w:color w:val="auto"/>
                <w:sz w:val="24"/>
                <w:highlight w:val="none"/>
              </w:rPr>
            </w:pPr>
            <w:r>
              <w:rPr>
                <w:rFonts w:hint="eastAsia" w:ascii="宋体" w:hAnsi="宋体" w:cs="宋体"/>
                <w:color w:val="auto"/>
                <w:sz w:val="24"/>
                <w:highlight w:val="none"/>
              </w:rPr>
              <w:t>Z≥10000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61CD8BB">
            <w:pPr>
              <w:widowControl/>
              <w:jc w:val="center"/>
              <w:rPr>
                <w:rFonts w:ascii="宋体" w:hAnsi="宋体" w:cs="宋体"/>
                <w:color w:val="auto"/>
                <w:sz w:val="24"/>
                <w:highlight w:val="none"/>
              </w:rPr>
            </w:pPr>
            <w:r>
              <w:rPr>
                <w:rFonts w:hint="eastAsia" w:ascii="宋体" w:hAnsi="宋体" w:cs="宋体"/>
                <w:color w:val="auto"/>
                <w:sz w:val="24"/>
                <w:highlight w:val="none"/>
              </w:rPr>
              <w:t>5000≤Z＜10000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214B14A">
            <w:pPr>
              <w:widowControl/>
              <w:jc w:val="center"/>
              <w:rPr>
                <w:rFonts w:ascii="宋体" w:hAnsi="宋体" w:cs="宋体"/>
                <w:color w:val="auto"/>
                <w:sz w:val="24"/>
                <w:highlight w:val="none"/>
              </w:rPr>
            </w:pPr>
            <w:r>
              <w:rPr>
                <w:rFonts w:hint="eastAsia" w:ascii="宋体" w:hAnsi="宋体" w:cs="宋体"/>
                <w:color w:val="auto"/>
                <w:sz w:val="24"/>
                <w:highlight w:val="none"/>
              </w:rPr>
              <w:t xml:space="preserve">2000≤Z＜5000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7A182EF">
            <w:pPr>
              <w:widowControl/>
              <w:jc w:val="center"/>
              <w:rPr>
                <w:rFonts w:ascii="宋体" w:hAnsi="宋体" w:cs="宋体"/>
                <w:color w:val="auto"/>
                <w:sz w:val="24"/>
                <w:highlight w:val="none"/>
              </w:rPr>
            </w:pPr>
            <w:r>
              <w:rPr>
                <w:rFonts w:hint="eastAsia" w:ascii="宋体" w:hAnsi="宋体" w:cs="宋体"/>
                <w:color w:val="auto"/>
                <w:sz w:val="24"/>
                <w:highlight w:val="none"/>
              </w:rPr>
              <w:t>Z＜2000</w:t>
            </w:r>
          </w:p>
        </w:tc>
      </w:tr>
      <w:tr w14:paraId="1650D7B5">
        <w:tblPrEx>
          <w:tblCellMar>
            <w:top w:w="0" w:type="dxa"/>
            <w:left w:w="108" w:type="dxa"/>
            <w:bottom w:w="0" w:type="dxa"/>
            <w:right w:w="108" w:type="dxa"/>
          </w:tblCellMar>
        </w:tblPrEx>
        <w:trPr>
          <w:trHeight w:val="64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A01C7B">
            <w:pPr>
              <w:widowControl/>
              <w:spacing w:line="240" w:lineRule="exact"/>
              <w:rPr>
                <w:rFonts w:ascii="宋体" w:hAnsi="宋体" w:cs="宋体"/>
                <w:color w:val="auto"/>
                <w:sz w:val="24"/>
                <w:highlight w:val="none"/>
              </w:rPr>
            </w:pPr>
            <w:r>
              <w:rPr>
                <w:rFonts w:hint="eastAsia" w:ascii="宋体" w:hAnsi="宋体" w:cs="宋体"/>
                <w:color w:val="auto"/>
                <w:sz w:val="24"/>
                <w:highlight w:val="none"/>
              </w:rPr>
              <w:t>物业管理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05EF996">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EE8ADF">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79B0E53">
            <w:pPr>
              <w:widowControl/>
              <w:jc w:val="center"/>
              <w:rPr>
                <w:rFonts w:ascii="宋体" w:hAnsi="宋体" w:cs="宋体"/>
                <w:color w:val="auto"/>
                <w:sz w:val="24"/>
                <w:highlight w:val="none"/>
              </w:rPr>
            </w:pPr>
            <w:r>
              <w:rPr>
                <w:rFonts w:hint="eastAsia" w:ascii="宋体" w:hAnsi="宋体" w:cs="宋体"/>
                <w:color w:val="auto"/>
                <w:sz w:val="24"/>
                <w:highlight w:val="none"/>
              </w:rPr>
              <w:t>X≥1000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0588F89">
            <w:pPr>
              <w:widowControl/>
              <w:jc w:val="center"/>
              <w:rPr>
                <w:rFonts w:ascii="宋体" w:hAnsi="宋体" w:cs="宋体"/>
                <w:color w:val="auto"/>
                <w:sz w:val="24"/>
                <w:highlight w:val="none"/>
              </w:rPr>
            </w:pPr>
            <w:r>
              <w:rPr>
                <w:rFonts w:hint="eastAsia" w:ascii="宋体" w:hAnsi="宋体" w:cs="宋体"/>
                <w:color w:val="auto"/>
                <w:sz w:val="24"/>
                <w:highlight w:val="none"/>
              </w:rPr>
              <w:t>300≤X＜1000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507C9DB7">
            <w:pPr>
              <w:widowControl/>
              <w:jc w:val="center"/>
              <w:rPr>
                <w:rFonts w:ascii="宋体" w:hAnsi="宋体" w:cs="宋体"/>
                <w:color w:val="auto"/>
                <w:sz w:val="24"/>
                <w:highlight w:val="none"/>
              </w:rPr>
            </w:pPr>
            <w:r>
              <w:rPr>
                <w:rFonts w:hint="eastAsia" w:ascii="宋体" w:hAnsi="宋体" w:cs="宋体"/>
                <w:color w:val="auto"/>
                <w:sz w:val="24"/>
                <w:highlight w:val="none"/>
              </w:rPr>
              <w:t xml:space="preserve">100≤X＜300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1F186C">
            <w:pPr>
              <w:widowControl/>
              <w:jc w:val="center"/>
              <w:rPr>
                <w:rFonts w:ascii="宋体" w:hAnsi="宋体" w:cs="宋体"/>
                <w:color w:val="auto"/>
                <w:sz w:val="24"/>
                <w:highlight w:val="none"/>
              </w:rPr>
            </w:pPr>
            <w:r>
              <w:rPr>
                <w:rFonts w:hint="eastAsia" w:ascii="宋体" w:hAnsi="宋体" w:cs="宋体"/>
                <w:color w:val="auto"/>
                <w:sz w:val="24"/>
                <w:highlight w:val="none"/>
              </w:rPr>
              <w:t>X＜100</w:t>
            </w:r>
          </w:p>
        </w:tc>
      </w:tr>
      <w:tr w14:paraId="20C5B076">
        <w:tblPrEx>
          <w:tblCellMar>
            <w:top w:w="0" w:type="dxa"/>
            <w:left w:w="108" w:type="dxa"/>
            <w:bottom w:w="0" w:type="dxa"/>
            <w:right w:w="108" w:type="dxa"/>
          </w:tblCellMar>
        </w:tblPrEx>
        <w:trPr>
          <w:trHeight w:val="5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36D3DC92">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6DDEE6E">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A03C12">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590AD69">
            <w:pPr>
              <w:widowControl/>
              <w:jc w:val="center"/>
              <w:rPr>
                <w:rFonts w:ascii="宋体" w:hAnsi="宋体" w:cs="宋体"/>
                <w:color w:val="auto"/>
                <w:sz w:val="24"/>
                <w:highlight w:val="none"/>
              </w:rPr>
            </w:pPr>
            <w:r>
              <w:rPr>
                <w:rFonts w:hint="eastAsia" w:ascii="宋体" w:hAnsi="宋体" w:cs="宋体"/>
                <w:color w:val="auto"/>
                <w:sz w:val="24"/>
                <w:highlight w:val="none"/>
              </w:rPr>
              <w:t>Y≥5000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999CCCD">
            <w:pPr>
              <w:widowControl/>
              <w:ind w:left="37" w:leftChars="-51" w:hanging="144" w:hangingChars="60"/>
              <w:jc w:val="center"/>
              <w:rPr>
                <w:rFonts w:ascii="宋体" w:hAnsi="宋体" w:cs="宋体"/>
                <w:color w:val="auto"/>
                <w:sz w:val="24"/>
                <w:highlight w:val="none"/>
              </w:rPr>
            </w:pPr>
            <w:r>
              <w:rPr>
                <w:rFonts w:hint="eastAsia" w:ascii="宋体" w:hAnsi="宋体" w:cs="宋体"/>
                <w:color w:val="auto"/>
                <w:sz w:val="24"/>
                <w:highlight w:val="none"/>
              </w:rPr>
              <w:t xml:space="preserve">1000≤Y＜5000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17E4F45F">
            <w:pPr>
              <w:widowControl/>
              <w:jc w:val="center"/>
              <w:rPr>
                <w:rFonts w:ascii="宋体" w:hAnsi="宋体" w:cs="宋体"/>
                <w:color w:val="auto"/>
                <w:sz w:val="24"/>
                <w:highlight w:val="none"/>
              </w:rPr>
            </w:pPr>
            <w:r>
              <w:rPr>
                <w:rFonts w:hint="eastAsia" w:ascii="宋体" w:hAnsi="宋体" w:cs="宋体"/>
                <w:color w:val="auto"/>
                <w:sz w:val="24"/>
                <w:highlight w:val="none"/>
              </w:rPr>
              <w:t xml:space="preserve"> 500≤Y＜1000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6A5ADD">
            <w:pPr>
              <w:widowControl/>
              <w:jc w:val="center"/>
              <w:rPr>
                <w:rFonts w:ascii="宋体" w:hAnsi="宋体" w:cs="宋体"/>
                <w:color w:val="auto"/>
                <w:sz w:val="24"/>
                <w:highlight w:val="none"/>
              </w:rPr>
            </w:pPr>
            <w:r>
              <w:rPr>
                <w:rFonts w:hint="eastAsia" w:ascii="宋体" w:hAnsi="宋体" w:cs="宋体"/>
                <w:color w:val="auto"/>
                <w:sz w:val="24"/>
                <w:highlight w:val="none"/>
              </w:rPr>
              <w:t>Y＜500</w:t>
            </w:r>
          </w:p>
        </w:tc>
      </w:tr>
      <w:tr w14:paraId="6484D528">
        <w:tblPrEx>
          <w:tblCellMar>
            <w:top w:w="0" w:type="dxa"/>
            <w:left w:w="108" w:type="dxa"/>
            <w:bottom w:w="0" w:type="dxa"/>
            <w:right w:w="108" w:type="dxa"/>
          </w:tblCellMar>
        </w:tblPrEx>
        <w:trPr>
          <w:trHeight w:val="624"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FB2496">
            <w:pPr>
              <w:widowControl/>
              <w:spacing w:line="240" w:lineRule="exact"/>
              <w:rPr>
                <w:rFonts w:ascii="宋体" w:hAnsi="宋体" w:cs="宋体"/>
                <w:color w:val="auto"/>
                <w:sz w:val="24"/>
                <w:highlight w:val="none"/>
              </w:rPr>
            </w:pPr>
            <w:r>
              <w:rPr>
                <w:rFonts w:hint="eastAsia" w:ascii="宋体" w:hAnsi="宋体" w:cs="宋体"/>
                <w:color w:val="auto"/>
                <w:sz w:val="24"/>
                <w:highlight w:val="none"/>
              </w:rPr>
              <w:t>租赁和商务服务业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5BC045F">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B3AF15">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3498D035">
            <w:pPr>
              <w:widowControl/>
              <w:jc w:val="center"/>
              <w:rPr>
                <w:rFonts w:ascii="宋体" w:hAnsi="宋体" w:cs="宋体"/>
                <w:color w:val="auto"/>
                <w:sz w:val="24"/>
                <w:highlight w:val="none"/>
              </w:rPr>
            </w:pPr>
            <w:r>
              <w:rPr>
                <w:rFonts w:hint="eastAsia" w:ascii="宋体" w:hAnsi="宋体" w:cs="宋体"/>
                <w:color w:val="auto"/>
                <w:sz w:val="24"/>
                <w:highlight w:val="none"/>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C04AFF3">
            <w:pPr>
              <w:widowControl/>
              <w:ind w:left="37" w:leftChars="-51" w:hanging="144" w:hangingChars="60"/>
              <w:jc w:val="center"/>
              <w:rPr>
                <w:rFonts w:ascii="宋体" w:hAnsi="宋体" w:cs="宋体"/>
                <w:color w:val="auto"/>
                <w:sz w:val="24"/>
                <w:highlight w:val="none"/>
              </w:rPr>
            </w:pPr>
            <w:r>
              <w:rPr>
                <w:rFonts w:hint="eastAsia" w:ascii="宋体" w:hAnsi="宋体" w:cs="宋体"/>
                <w:color w:val="auto"/>
                <w:sz w:val="24"/>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22B95056">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DB2FB2">
            <w:pPr>
              <w:widowControl/>
              <w:jc w:val="center"/>
              <w:rPr>
                <w:rFonts w:ascii="宋体" w:hAnsi="宋体" w:cs="宋体"/>
                <w:color w:val="auto"/>
                <w:sz w:val="24"/>
                <w:highlight w:val="none"/>
              </w:rPr>
            </w:pPr>
            <w:r>
              <w:rPr>
                <w:rFonts w:hint="eastAsia" w:ascii="宋体" w:hAnsi="宋体" w:cs="宋体"/>
                <w:color w:val="auto"/>
                <w:sz w:val="24"/>
                <w:highlight w:val="none"/>
              </w:rPr>
              <w:t>X＜10</w:t>
            </w:r>
          </w:p>
        </w:tc>
      </w:tr>
      <w:tr w14:paraId="45EAA003">
        <w:tblPrEx>
          <w:tblCellMar>
            <w:top w:w="0" w:type="dxa"/>
            <w:left w:w="108" w:type="dxa"/>
            <w:bottom w:w="0" w:type="dxa"/>
            <w:right w:w="108" w:type="dxa"/>
          </w:tblCellMar>
        </w:tblPrEx>
        <w:trPr>
          <w:trHeight w:val="614"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6244EDE5">
            <w:pPr>
              <w:widowControl/>
              <w:rPr>
                <w:rFonts w:ascii="宋体" w:hAnsi="宋体" w:cs="宋体"/>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2442753">
            <w:pPr>
              <w:widowControl/>
              <w:spacing w:line="240" w:lineRule="exact"/>
              <w:jc w:val="center"/>
              <w:rPr>
                <w:rFonts w:ascii="宋体" w:hAnsi="宋体" w:cs="宋体"/>
                <w:color w:val="auto"/>
                <w:sz w:val="24"/>
                <w:highlight w:val="none"/>
              </w:rPr>
            </w:pPr>
            <w:r>
              <w:rPr>
                <w:rFonts w:hint="eastAsia" w:ascii="宋体" w:hAnsi="宋体" w:cs="宋体"/>
                <w:color w:val="auto"/>
                <w:sz w:val="24"/>
                <w:highlight w:val="none"/>
              </w:rPr>
              <w:t>资产总额(Z)</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00AAB7">
            <w:pPr>
              <w:widowControl/>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E271512">
            <w:pPr>
              <w:widowControl/>
              <w:jc w:val="center"/>
              <w:rPr>
                <w:rFonts w:ascii="宋体" w:hAnsi="宋体" w:cs="宋体"/>
                <w:color w:val="auto"/>
                <w:sz w:val="24"/>
                <w:highlight w:val="none"/>
              </w:rPr>
            </w:pPr>
            <w:r>
              <w:rPr>
                <w:rFonts w:hint="eastAsia" w:ascii="宋体" w:hAnsi="宋体" w:cs="宋体"/>
                <w:color w:val="auto"/>
                <w:sz w:val="24"/>
                <w:highlight w:val="none"/>
              </w:rPr>
              <w:t>Z≥120000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54975B1">
            <w:pPr>
              <w:widowControl/>
              <w:jc w:val="center"/>
              <w:rPr>
                <w:rFonts w:ascii="宋体" w:hAnsi="宋体" w:cs="宋体"/>
                <w:color w:val="auto"/>
                <w:sz w:val="24"/>
                <w:highlight w:val="none"/>
              </w:rPr>
            </w:pPr>
            <w:r>
              <w:rPr>
                <w:rFonts w:hint="eastAsia" w:ascii="宋体" w:hAnsi="宋体" w:cs="宋体"/>
                <w:color w:val="auto"/>
                <w:sz w:val="24"/>
                <w:highlight w:val="none"/>
              </w:rPr>
              <w:t xml:space="preserve"> 8000≤Z＜120000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1D5FD3D">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100≤Z＜8000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07CB58">
            <w:pPr>
              <w:widowControl/>
              <w:jc w:val="center"/>
              <w:rPr>
                <w:rFonts w:ascii="宋体" w:hAnsi="宋体" w:cs="宋体"/>
                <w:color w:val="auto"/>
                <w:sz w:val="24"/>
                <w:highlight w:val="none"/>
              </w:rPr>
            </w:pPr>
            <w:r>
              <w:rPr>
                <w:rFonts w:hint="eastAsia" w:ascii="宋体" w:hAnsi="宋体" w:cs="宋体"/>
                <w:color w:val="auto"/>
                <w:sz w:val="24"/>
                <w:highlight w:val="none"/>
              </w:rPr>
              <w:t>Z＜100</w:t>
            </w:r>
          </w:p>
        </w:tc>
      </w:tr>
      <w:tr w14:paraId="12758D84">
        <w:tblPrEx>
          <w:tblCellMar>
            <w:top w:w="0" w:type="dxa"/>
            <w:left w:w="108" w:type="dxa"/>
            <w:bottom w:w="0" w:type="dxa"/>
            <w:right w:w="108" w:type="dxa"/>
          </w:tblCellMar>
        </w:tblPrEx>
        <w:trPr>
          <w:trHeight w:val="697" w:hRule="exact"/>
          <w:jc w:val="center"/>
        </w:trPr>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178DC3FD">
            <w:pPr>
              <w:widowControl/>
              <w:spacing w:line="240" w:lineRule="exact"/>
              <w:rPr>
                <w:rFonts w:ascii="宋体" w:hAnsi="宋体" w:cs="宋体"/>
                <w:color w:val="auto"/>
                <w:sz w:val="24"/>
                <w:highlight w:val="none"/>
              </w:rPr>
            </w:pPr>
            <w:r>
              <w:rPr>
                <w:rFonts w:hint="eastAsia" w:ascii="宋体" w:hAnsi="宋体" w:cs="宋体"/>
                <w:color w:val="auto"/>
                <w:sz w:val="24"/>
                <w:highlight w:val="none"/>
              </w:rPr>
              <w:t>其他未列明行业 *</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3D8D4ED">
            <w:pPr>
              <w:widowControl/>
              <w:jc w:val="center"/>
              <w:rPr>
                <w:rFonts w:ascii="宋体" w:hAnsi="宋体" w:cs="宋体"/>
                <w:color w:val="auto"/>
                <w:sz w:val="24"/>
                <w:highlight w:val="none"/>
              </w:rPr>
            </w:pPr>
            <w:r>
              <w:rPr>
                <w:rFonts w:hint="eastAsia" w:ascii="宋体" w:hAnsi="宋体" w:cs="宋体"/>
                <w:color w:val="auto"/>
                <w:sz w:val="24"/>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61AB23">
            <w:pPr>
              <w:widowControl/>
              <w:jc w:val="center"/>
              <w:rPr>
                <w:rFonts w:ascii="宋体" w:hAnsi="宋体" w:cs="宋体"/>
                <w:color w:val="auto"/>
                <w:sz w:val="24"/>
                <w:highlight w:val="none"/>
              </w:rPr>
            </w:pPr>
            <w:r>
              <w:rPr>
                <w:rFonts w:hint="eastAsia" w:ascii="宋体" w:hAnsi="宋体" w:cs="宋体"/>
                <w:color w:val="auto"/>
                <w:sz w:val="24"/>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5622412D">
            <w:pPr>
              <w:widowControl/>
              <w:jc w:val="center"/>
              <w:rPr>
                <w:rFonts w:ascii="宋体" w:hAnsi="宋体" w:cs="宋体"/>
                <w:color w:val="auto"/>
                <w:sz w:val="24"/>
                <w:highlight w:val="none"/>
              </w:rPr>
            </w:pPr>
            <w:r>
              <w:rPr>
                <w:rFonts w:hint="eastAsia" w:ascii="宋体" w:hAnsi="宋体" w:cs="宋体"/>
                <w:color w:val="auto"/>
                <w:sz w:val="24"/>
                <w:highlight w:val="none"/>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97FAAC6">
            <w:pPr>
              <w:widowControl/>
              <w:ind w:left="37" w:leftChars="-51" w:hanging="144" w:hangingChars="60"/>
              <w:jc w:val="center"/>
              <w:rPr>
                <w:rFonts w:ascii="宋体" w:hAnsi="宋体" w:cs="宋体"/>
                <w:color w:val="auto"/>
                <w:sz w:val="24"/>
                <w:highlight w:val="none"/>
              </w:rPr>
            </w:pPr>
            <w:r>
              <w:rPr>
                <w:rFonts w:hint="eastAsia" w:ascii="宋体" w:hAnsi="宋体" w:cs="宋体"/>
                <w:color w:val="auto"/>
                <w:sz w:val="24"/>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0A8B3FD7">
            <w:pPr>
              <w:widowControl/>
              <w:jc w:val="center"/>
              <w:rPr>
                <w:rFonts w:ascii="宋体" w:hAnsi="宋体" w:cs="宋体"/>
                <w:color w:val="auto"/>
                <w:sz w:val="24"/>
                <w:highlight w:val="none"/>
              </w:rPr>
            </w:pPr>
            <w:r>
              <w:rPr>
                <w:rFonts w:hint="eastAsia" w:ascii="宋体" w:hAnsi="宋体" w:cs="宋体"/>
                <w:color w:val="auto"/>
                <w:sz w:val="24"/>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F106392">
            <w:pPr>
              <w:widowControl/>
              <w:jc w:val="center"/>
              <w:rPr>
                <w:rFonts w:ascii="宋体" w:hAnsi="宋体" w:cs="宋体"/>
                <w:color w:val="auto"/>
                <w:sz w:val="24"/>
                <w:highlight w:val="none"/>
              </w:rPr>
            </w:pPr>
            <w:r>
              <w:rPr>
                <w:rFonts w:hint="eastAsia" w:ascii="宋体" w:hAnsi="宋体" w:cs="宋体"/>
                <w:color w:val="auto"/>
                <w:sz w:val="24"/>
                <w:highlight w:val="none"/>
              </w:rPr>
              <w:t>X＜10</w:t>
            </w:r>
          </w:p>
        </w:tc>
      </w:tr>
    </w:tbl>
    <w:p w14:paraId="282D3A66">
      <w:pPr>
        <w:rPr>
          <w:rFonts w:ascii="宋体" w:hAnsi="宋体" w:cs="宋体"/>
          <w:color w:val="auto"/>
          <w:sz w:val="24"/>
          <w:highlight w:val="none"/>
        </w:rPr>
      </w:pPr>
      <w:r>
        <w:rPr>
          <w:rFonts w:hint="eastAsia" w:ascii="宋体" w:hAnsi="宋体" w:cs="宋体"/>
          <w:color w:val="auto"/>
          <w:sz w:val="24"/>
          <w:highlight w:val="none"/>
        </w:rPr>
        <w:t>说明：</w:t>
      </w:r>
    </w:p>
    <w:p w14:paraId="6613F877">
      <w:pPr>
        <w:rPr>
          <w:rFonts w:ascii="宋体" w:hAnsi="宋体" w:cs="宋体"/>
          <w:color w:val="auto"/>
          <w:sz w:val="24"/>
          <w:highlight w:val="none"/>
        </w:rPr>
      </w:pPr>
      <w:r>
        <w:rPr>
          <w:rFonts w:hint="eastAsia" w:ascii="宋体" w:hAnsi="宋体" w:cs="宋体"/>
          <w:color w:val="auto"/>
          <w:sz w:val="24"/>
          <w:highlight w:val="none"/>
        </w:rPr>
        <w:t>　　1.大型、中型和小型企业须同时满足所列指标的下限，否则下划一档；微型企业只须满足所列指标中的一项即可。</w:t>
      </w:r>
    </w:p>
    <w:p w14:paraId="6A1645D6">
      <w:pPr>
        <w:rPr>
          <w:rFonts w:ascii="宋体" w:hAnsi="宋体" w:cs="宋体"/>
          <w:color w:val="auto"/>
          <w:sz w:val="24"/>
          <w:highlight w:val="none"/>
        </w:rPr>
      </w:pPr>
      <w:r>
        <w:rPr>
          <w:rFonts w:hint="eastAsia" w:ascii="宋体" w:hAnsi="宋体" w:cs="宋体"/>
          <w:color w:val="auto"/>
          <w:sz w:val="24"/>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BD499C">
      <w:pPr>
        <w:rPr>
          <w:rFonts w:ascii="宋体" w:hAnsi="宋体" w:cs="宋体"/>
          <w:color w:val="auto"/>
          <w:sz w:val="24"/>
          <w:highlight w:val="none"/>
        </w:rPr>
      </w:pPr>
      <w:r>
        <w:rPr>
          <w:rFonts w:hint="eastAsia" w:ascii="宋体" w:hAnsi="宋体" w:cs="宋体"/>
          <w:color w:val="auto"/>
          <w:sz w:val="24"/>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3A111FE">
      <w:pPr>
        <w:widowControl/>
        <w:rPr>
          <w:rFonts w:ascii="宋体" w:hAnsi="宋体" w:cs="宋体"/>
          <w:color w:val="auto"/>
          <w:sz w:val="24"/>
          <w:highlight w:val="none"/>
        </w:rPr>
      </w:pPr>
      <w:r>
        <w:rPr>
          <w:rFonts w:hint="eastAsia" w:ascii="宋体" w:hAnsi="宋体" w:cs="宋体"/>
          <w:color w:val="auto"/>
          <w:sz w:val="24"/>
          <w:highlight w:val="none"/>
        </w:rPr>
        <w:br w:type="page"/>
      </w:r>
    </w:p>
    <w:p w14:paraId="0A470237">
      <w:pPr>
        <w:jc w:val="center"/>
        <w:rPr>
          <w:rFonts w:ascii="宋体" w:hAnsi="宋体" w:cs="宋体"/>
          <w:color w:val="auto"/>
          <w:sz w:val="24"/>
          <w:highlight w:val="none"/>
        </w:rPr>
      </w:pPr>
      <w:r>
        <w:rPr>
          <w:rFonts w:hint="eastAsia" w:ascii="宋体" w:hAnsi="宋体" w:cs="宋体"/>
          <w:color w:val="auto"/>
          <w:sz w:val="24"/>
          <w:highlight w:val="none"/>
        </w:rPr>
        <w:t>《统计上大中小微型企业划分办法（2017）》修订说明</w:t>
      </w:r>
    </w:p>
    <w:p w14:paraId="15CF547C">
      <w:pPr>
        <w:rPr>
          <w:rFonts w:ascii="宋体" w:hAnsi="宋体" w:cs="宋体"/>
          <w:color w:val="auto"/>
          <w:sz w:val="24"/>
          <w:highlight w:val="none"/>
        </w:rPr>
      </w:pPr>
    </w:p>
    <w:p w14:paraId="08A46097">
      <w:pPr>
        <w:rPr>
          <w:rFonts w:ascii="宋体" w:hAnsi="宋体" w:cs="宋体"/>
          <w:color w:val="auto"/>
          <w:sz w:val="24"/>
          <w:highlight w:val="none"/>
        </w:rPr>
      </w:pPr>
      <w:r>
        <w:rPr>
          <w:rFonts w:hint="eastAsia" w:ascii="宋体" w:hAnsi="宋体" w:cs="宋体"/>
          <w:color w:val="auto"/>
          <w:sz w:val="24"/>
          <w:highlight w:val="none"/>
        </w:rPr>
        <w:t>一、修订背景</w:t>
      </w:r>
    </w:p>
    <w:p w14:paraId="5367855B">
      <w:pPr>
        <w:ind w:firstLine="480" w:firstLineChars="200"/>
        <w:rPr>
          <w:rFonts w:ascii="宋体" w:hAnsi="宋体" w:cs="宋体"/>
          <w:color w:val="auto"/>
          <w:sz w:val="24"/>
          <w:highlight w:val="none"/>
        </w:rPr>
      </w:pPr>
      <w:r>
        <w:rPr>
          <w:rFonts w:hint="eastAsia" w:ascii="宋体" w:hAnsi="宋体" w:cs="宋体"/>
          <w:color w:val="auto"/>
          <w:sz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2545F03">
      <w:pPr>
        <w:ind w:firstLine="480" w:firstLineChars="200"/>
        <w:rPr>
          <w:rFonts w:ascii="宋体" w:hAnsi="宋体" w:cs="宋体"/>
          <w:color w:val="auto"/>
          <w:sz w:val="24"/>
          <w:highlight w:val="none"/>
        </w:rPr>
      </w:pPr>
      <w:r>
        <w:rPr>
          <w:rFonts w:hint="eastAsia" w:ascii="宋体" w:hAnsi="宋体" w:cs="宋体"/>
          <w:color w:val="auto"/>
          <w:sz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53B5018">
      <w:pPr>
        <w:rPr>
          <w:rFonts w:ascii="宋体" w:hAnsi="宋体" w:cs="宋体"/>
          <w:color w:val="auto"/>
          <w:sz w:val="24"/>
          <w:highlight w:val="none"/>
        </w:rPr>
      </w:pPr>
      <w:r>
        <w:rPr>
          <w:rFonts w:hint="eastAsia" w:ascii="宋体" w:hAnsi="宋体" w:cs="宋体"/>
          <w:color w:val="auto"/>
          <w:sz w:val="24"/>
          <w:highlight w:val="none"/>
        </w:rPr>
        <w:t>二、修订主要内容</w:t>
      </w:r>
    </w:p>
    <w:p w14:paraId="243C7A71">
      <w:pPr>
        <w:ind w:firstLine="480" w:firstLineChars="200"/>
        <w:rPr>
          <w:rFonts w:ascii="宋体" w:hAnsi="宋体" w:cs="宋体"/>
          <w:color w:val="auto"/>
          <w:sz w:val="24"/>
          <w:highlight w:val="none"/>
        </w:rPr>
      </w:pPr>
      <w:r>
        <w:rPr>
          <w:rFonts w:hint="eastAsia" w:ascii="宋体" w:hAnsi="宋体" w:cs="宋体"/>
          <w:color w:val="auto"/>
          <w:sz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8B4F4B6">
      <w:pPr>
        <w:ind w:firstLine="480" w:firstLineChars="200"/>
        <w:rPr>
          <w:rFonts w:ascii="宋体" w:hAnsi="宋体" w:cs="宋体"/>
          <w:color w:val="auto"/>
          <w:sz w:val="24"/>
          <w:highlight w:val="none"/>
        </w:rPr>
      </w:pPr>
      <w:r>
        <w:rPr>
          <w:rFonts w:hint="eastAsia" w:ascii="宋体" w:hAnsi="宋体" w:cs="宋体"/>
          <w:color w:val="auto"/>
          <w:sz w:val="24"/>
          <w:highlight w:val="none"/>
        </w:rPr>
        <w:t>将交通运输业中包括的“装卸搬运和运输代理业”修改为“多式联运和运输代理业、装卸搬运”。</w:t>
      </w:r>
    </w:p>
    <w:p w14:paraId="5F9FB566">
      <w:pPr>
        <w:ind w:firstLine="480" w:firstLineChars="200"/>
        <w:rPr>
          <w:rFonts w:ascii="宋体" w:hAnsi="宋体" w:cs="宋体"/>
          <w:color w:val="auto"/>
          <w:sz w:val="24"/>
          <w:highlight w:val="none"/>
        </w:rPr>
      </w:pPr>
      <w:r>
        <w:rPr>
          <w:rFonts w:hint="eastAsia" w:ascii="宋体" w:hAnsi="宋体" w:cs="宋体"/>
          <w:color w:val="auto"/>
          <w:sz w:val="24"/>
          <w:highlight w:val="none"/>
        </w:rPr>
        <w:t>仓储业所包括的行业中类，根据《国民经济行业分类》（GB/T 4754—2017）调整为“通用仓储，低温仓储，危险品仓储，谷物、棉花等农产品仓储，中药材仓储和其他仓储业”。</w:t>
      </w:r>
    </w:p>
    <w:p w14:paraId="77499B90">
      <w:pPr>
        <w:widowControl/>
        <w:rPr>
          <w:rFonts w:ascii="宋体" w:hAnsi="宋体" w:cs="宋体"/>
          <w:color w:val="auto"/>
          <w:highlight w:val="none"/>
        </w:rPr>
      </w:pPr>
    </w:p>
    <w:sectPr>
      <w:pgSz w:w="11905" w:h="16838"/>
      <w:pgMar w:top="1440" w:right="1191" w:bottom="1440" w:left="1191"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4BD01">
    <w:pPr>
      <w:pStyle w:val="18"/>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3E5B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F3E5B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048F">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4CBA4">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74CBA4">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kern w:val="0"/>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F2E2">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5353D">
                          <w:pPr>
                            <w:pStyle w:val="1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C5353D">
                    <w:pPr>
                      <w:pStyle w:val="1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C8F4">
    <w:pPr>
      <w:pStyle w:val="18"/>
      <w:jc w:val="center"/>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7440D">
                          <w:pPr>
                            <w:pStyle w:val="1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47440D">
                    <w:pPr>
                      <w:pStyle w:val="18"/>
                    </w:pPr>
                    <w:r>
                      <w:fldChar w:fldCharType="begin"/>
                    </w:r>
                    <w:r>
                      <w:instrText xml:space="preserve"> PAGE  \* MERGEFORMAT </w:instrText>
                    </w:r>
                    <w:r>
                      <w:fldChar w:fldCharType="separate"/>
                    </w:r>
                    <w:r>
                      <w:t>32</w:t>
                    </w:r>
                    <w:r>
                      <w:fldChar w:fldCharType="end"/>
                    </w:r>
                  </w:p>
                </w:txbxContent>
              </v:textbox>
            </v:shape>
          </w:pict>
        </mc:Fallback>
      </mc:AlternateContent>
    </w:r>
  </w:p>
  <w:p w14:paraId="2D6C77A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6DBE">
    <w:pPr>
      <w:pStyle w:val="18"/>
      <w:rPr>
        <w:rFonts w:hint="default"/>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BBFDF">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81BBFDF">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B8C8C4CE"/>
    <w:multiLevelType w:val="singleLevel"/>
    <w:tmpl w:val="B8C8C4CE"/>
    <w:lvl w:ilvl="0" w:tentative="0">
      <w:start w:val="6"/>
      <w:numFmt w:val="decimal"/>
      <w:suff w:val="nothing"/>
      <w:lvlText w:val="%1、"/>
      <w:lvlJc w:val="left"/>
    </w:lvl>
  </w:abstractNum>
  <w:abstractNum w:abstractNumId="2">
    <w:nsid w:val="0000000E"/>
    <w:multiLevelType w:val="multilevel"/>
    <w:tmpl w:val="0000000E"/>
    <w:lvl w:ilvl="0" w:tentative="0">
      <w:start w:val="1"/>
      <w:numFmt w:val="bullet"/>
      <w:pStyle w:val="6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24A878B6"/>
    <w:multiLevelType w:val="singleLevel"/>
    <w:tmpl w:val="24A878B6"/>
    <w:lvl w:ilvl="0" w:tentative="0">
      <w:start w:val="1"/>
      <w:numFmt w:val="decimal"/>
      <w:suff w:val="nothing"/>
      <w:lvlText w:val="%1、"/>
      <w:lvlJc w:val="left"/>
    </w:lvl>
  </w:abstractNum>
  <w:abstractNum w:abstractNumId="4">
    <w:nsid w:val="33C551F5"/>
    <w:multiLevelType w:val="singleLevel"/>
    <w:tmpl w:val="33C551F5"/>
    <w:lvl w:ilvl="0" w:tentative="0">
      <w:start w:val="1"/>
      <w:numFmt w:val="chineseCounting"/>
      <w:suff w:val="nothing"/>
      <w:lvlText w:val="（%1）"/>
      <w:lvlJc w:val="left"/>
      <w:rPr>
        <w:rFonts w:hint="eastAsia"/>
      </w:rPr>
    </w:lvl>
  </w:abstractNum>
  <w:abstractNum w:abstractNumId="5">
    <w:nsid w:val="49B3430B"/>
    <w:multiLevelType w:val="singleLevel"/>
    <w:tmpl w:val="49B3430B"/>
    <w:lvl w:ilvl="0" w:tentative="0">
      <w:start w:val="4"/>
      <w:numFmt w:val="chineseCounting"/>
      <w:suff w:val="space"/>
      <w:lvlText w:val="第%1章"/>
      <w:lvlJc w:val="left"/>
      <w:rPr>
        <w:rFonts w:hint="eastAsia"/>
      </w:rPr>
    </w:lvl>
  </w:abstractNum>
  <w:abstractNum w:abstractNumId="6">
    <w:nsid w:val="59E98370"/>
    <w:multiLevelType w:val="singleLevel"/>
    <w:tmpl w:val="59E98370"/>
    <w:lvl w:ilvl="0" w:tentative="0">
      <w:start w:val="4"/>
      <w:numFmt w:val="chineseCounting"/>
      <w:suff w:val="nothing"/>
      <w:lvlText w:val="（%1）"/>
      <w:lvlJc w:val="left"/>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Y2FiNjZiMmEwYWIwMjUwYjM1NjUzOTMxNjM3YmYifQ=="/>
  </w:docVars>
  <w:rsids>
    <w:rsidRoot w:val="3B493B43"/>
    <w:rsid w:val="000013E1"/>
    <w:rsid w:val="000A799E"/>
    <w:rsid w:val="000C1F89"/>
    <w:rsid w:val="00116993"/>
    <w:rsid w:val="00134B5B"/>
    <w:rsid w:val="001431BE"/>
    <w:rsid w:val="00192C91"/>
    <w:rsid w:val="00206BE8"/>
    <w:rsid w:val="00215CF8"/>
    <w:rsid w:val="002D2C00"/>
    <w:rsid w:val="002F4EDD"/>
    <w:rsid w:val="0039123F"/>
    <w:rsid w:val="00396C06"/>
    <w:rsid w:val="00414146"/>
    <w:rsid w:val="0050682F"/>
    <w:rsid w:val="005202A1"/>
    <w:rsid w:val="0053103E"/>
    <w:rsid w:val="00562213"/>
    <w:rsid w:val="005B56AB"/>
    <w:rsid w:val="006233B6"/>
    <w:rsid w:val="006501D1"/>
    <w:rsid w:val="00670097"/>
    <w:rsid w:val="006B6F0D"/>
    <w:rsid w:val="007012D7"/>
    <w:rsid w:val="007F2688"/>
    <w:rsid w:val="008016FF"/>
    <w:rsid w:val="00820787"/>
    <w:rsid w:val="009215DC"/>
    <w:rsid w:val="00921631"/>
    <w:rsid w:val="00A15B49"/>
    <w:rsid w:val="00A251AA"/>
    <w:rsid w:val="00A4768C"/>
    <w:rsid w:val="00AD291C"/>
    <w:rsid w:val="00C00849"/>
    <w:rsid w:val="00C330FF"/>
    <w:rsid w:val="00C765C4"/>
    <w:rsid w:val="00CC3664"/>
    <w:rsid w:val="00D808D1"/>
    <w:rsid w:val="00E11814"/>
    <w:rsid w:val="00E83D4C"/>
    <w:rsid w:val="00EA0FF5"/>
    <w:rsid w:val="00EE38DC"/>
    <w:rsid w:val="00F52946"/>
    <w:rsid w:val="00F86C56"/>
    <w:rsid w:val="011314A0"/>
    <w:rsid w:val="01556707"/>
    <w:rsid w:val="01A67F71"/>
    <w:rsid w:val="01D36A9E"/>
    <w:rsid w:val="01DD18AB"/>
    <w:rsid w:val="02087F13"/>
    <w:rsid w:val="023E077F"/>
    <w:rsid w:val="02F7224D"/>
    <w:rsid w:val="03313E50"/>
    <w:rsid w:val="033E63D4"/>
    <w:rsid w:val="044334F0"/>
    <w:rsid w:val="044A1B54"/>
    <w:rsid w:val="04566D25"/>
    <w:rsid w:val="04C72C73"/>
    <w:rsid w:val="058A44A6"/>
    <w:rsid w:val="059E04D1"/>
    <w:rsid w:val="05A5085F"/>
    <w:rsid w:val="069B15B3"/>
    <w:rsid w:val="06A24D1A"/>
    <w:rsid w:val="06B54DDA"/>
    <w:rsid w:val="06B867FC"/>
    <w:rsid w:val="06F56A26"/>
    <w:rsid w:val="072D7579"/>
    <w:rsid w:val="08040E6D"/>
    <w:rsid w:val="082F2FEB"/>
    <w:rsid w:val="0876734F"/>
    <w:rsid w:val="0AC675FF"/>
    <w:rsid w:val="0AC706ED"/>
    <w:rsid w:val="0AF938ED"/>
    <w:rsid w:val="0B107548"/>
    <w:rsid w:val="0B4B60CB"/>
    <w:rsid w:val="0B985F07"/>
    <w:rsid w:val="0D194D57"/>
    <w:rsid w:val="0D5C768C"/>
    <w:rsid w:val="0D6D14B8"/>
    <w:rsid w:val="0EA47688"/>
    <w:rsid w:val="0EEE4384"/>
    <w:rsid w:val="0F73174D"/>
    <w:rsid w:val="0FCC52D0"/>
    <w:rsid w:val="0FF356DB"/>
    <w:rsid w:val="10353E5A"/>
    <w:rsid w:val="10A2678D"/>
    <w:rsid w:val="117E525F"/>
    <w:rsid w:val="128966A0"/>
    <w:rsid w:val="12D90922"/>
    <w:rsid w:val="12F01ABA"/>
    <w:rsid w:val="130B34BC"/>
    <w:rsid w:val="13756762"/>
    <w:rsid w:val="14186A56"/>
    <w:rsid w:val="14656DB0"/>
    <w:rsid w:val="14A34312"/>
    <w:rsid w:val="1551535E"/>
    <w:rsid w:val="15850EEE"/>
    <w:rsid w:val="15EF1084"/>
    <w:rsid w:val="16D024B6"/>
    <w:rsid w:val="16E216EC"/>
    <w:rsid w:val="16E34851"/>
    <w:rsid w:val="17150D91"/>
    <w:rsid w:val="176C2994"/>
    <w:rsid w:val="17C060F1"/>
    <w:rsid w:val="18097DA0"/>
    <w:rsid w:val="184164AA"/>
    <w:rsid w:val="186C22DE"/>
    <w:rsid w:val="196558BB"/>
    <w:rsid w:val="197F6420"/>
    <w:rsid w:val="19F73994"/>
    <w:rsid w:val="1A7767C6"/>
    <w:rsid w:val="1A797DC7"/>
    <w:rsid w:val="1A9C5498"/>
    <w:rsid w:val="1ADC6D27"/>
    <w:rsid w:val="1B421363"/>
    <w:rsid w:val="1B6A1339"/>
    <w:rsid w:val="1BAE3E64"/>
    <w:rsid w:val="1BB34570"/>
    <w:rsid w:val="1C1831CF"/>
    <w:rsid w:val="1C337CBA"/>
    <w:rsid w:val="1C541538"/>
    <w:rsid w:val="1D134744"/>
    <w:rsid w:val="1D17417A"/>
    <w:rsid w:val="1D7703A0"/>
    <w:rsid w:val="1D847BCC"/>
    <w:rsid w:val="1D9556DD"/>
    <w:rsid w:val="1DC9452D"/>
    <w:rsid w:val="1E1953EA"/>
    <w:rsid w:val="1E5769C6"/>
    <w:rsid w:val="1E917D81"/>
    <w:rsid w:val="1ED73609"/>
    <w:rsid w:val="1EEA4995"/>
    <w:rsid w:val="1F353096"/>
    <w:rsid w:val="1F3E4B9C"/>
    <w:rsid w:val="1F5F5EEF"/>
    <w:rsid w:val="20EF09AB"/>
    <w:rsid w:val="21A603C4"/>
    <w:rsid w:val="226C3022"/>
    <w:rsid w:val="227F5DC2"/>
    <w:rsid w:val="22B62047"/>
    <w:rsid w:val="22F86BC4"/>
    <w:rsid w:val="23430D5C"/>
    <w:rsid w:val="23840D73"/>
    <w:rsid w:val="23882E49"/>
    <w:rsid w:val="23C35F87"/>
    <w:rsid w:val="240341F6"/>
    <w:rsid w:val="24155071"/>
    <w:rsid w:val="27210A8B"/>
    <w:rsid w:val="27941FBD"/>
    <w:rsid w:val="27F11132"/>
    <w:rsid w:val="280B1C80"/>
    <w:rsid w:val="28225767"/>
    <w:rsid w:val="2938387C"/>
    <w:rsid w:val="29791674"/>
    <w:rsid w:val="2A1165CC"/>
    <w:rsid w:val="2A173C8B"/>
    <w:rsid w:val="2A23560F"/>
    <w:rsid w:val="2A6552D4"/>
    <w:rsid w:val="2ACA0960"/>
    <w:rsid w:val="2B0B4F06"/>
    <w:rsid w:val="2B4B4A1E"/>
    <w:rsid w:val="2B81400C"/>
    <w:rsid w:val="2CA5514B"/>
    <w:rsid w:val="2CB51CD9"/>
    <w:rsid w:val="2D225A23"/>
    <w:rsid w:val="2D2C38F7"/>
    <w:rsid w:val="2D5E7D0C"/>
    <w:rsid w:val="2D9D235F"/>
    <w:rsid w:val="2E227ED8"/>
    <w:rsid w:val="2E365291"/>
    <w:rsid w:val="3052436B"/>
    <w:rsid w:val="309A2088"/>
    <w:rsid w:val="310F0395"/>
    <w:rsid w:val="313F3A86"/>
    <w:rsid w:val="31E064EE"/>
    <w:rsid w:val="31E22A3B"/>
    <w:rsid w:val="31EE0D24"/>
    <w:rsid w:val="321E77E6"/>
    <w:rsid w:val="324D41ED"/>
    <w:rsid w:val="32FE1D6F"/>
    <w:rsid w:val="33B0099B"/>
    <w:rsid w:val="33B420B5"/>
    <w:rsid w:val="3569103A"/>
    <w:rsid w:val="3598722E"/>
    <w:rsid w:val="35BD52B7"/>
    <w:rsid w:val="35DD0B1A"/>
    <w:rsid w:val="361C7AAC"/>
    <w:rsid w:val="361F2517"/>
    <w:rsid w:val="372A0E1A"/>
    <w:rsid w:val="374A285A"/>
    <w:rsid w:val="37ED4490"/>
    <w:rsid w:val="37F417DB"/>
    <w:rsid w:val="386B6FF5"/>
    <w:rsid w:val="38760DCF"/>
    <w:rsid w:val="38DC7321"/>
    <w:rsid w:val="393F15E1"/>
    <w:rsid w:val="399A60D1"/>
    <w:rsid w:val="3A673EA0"/>
    <w:rsid w:val="3A910ADF"/>
    <w:rsid w:val="3B493B43"/>
    <w:rsid w:val="3BD53C65"/>
    <w:rsid w:val="3C0C41F8"/>
    <w:rsid w:val="3D9137DB"/>
    <w:rsid w:val="3DE227D5"/>
    <w:rsid w:val="3E16102B"/>
    <w:rsid w:val="3E313745"/>
    <w:rsid w:val="3E3F37F6"/>
    <w:rsid w:val="3E962274"/>
    <w:rsid w:val="3F1B64F6"/>
    <w:rsid w:val="3F6125F6"/>
    <w:rsid w:val="3FB11C9A"/>
    <w:rsid w:val="3FB535D7"/>
    <w:rsid w:val="3FB56F96"/>
    <w:rsid w:val="3FB81DA0"/>
    <w:rsid w:val="401E291A"/>
    <w:rsid w:val="40AA2235"/>
    <w:rsid w:val="423D1077"/>
    <w:rsid w:val="42D818B1"/>
    <w:rsid w:val="43A768C6"/>
    <w:rsid w:val="4468162B"/>
    <w:rsid w:val="446F6DCC"/>
    <w:rsid w:val="449C265C"/>
    <w:rsid w:val="44A606E0"/>
    <w:rsid w:val="45986BDA"/>
    <w:rsid w:val="45A0242D"/>
    <w:rsid w:val="45E87C4D"/>
    <w:rsid w:val="464E50B4"/>
    <w:rsid w:val="470B485D"/>
    <w:rsid w:val="47106760"/>
    <w:rsid w:val="47236594"/>
    <w:rsid w:val="472E5F53"/>
    <w:rsid w:val="47CC39C0"/>
    <w:rsid w:val="48107E83"/>
    <w:rsid w:val="498932B3"/>
    <w:rsid w:val="4AD254CA"/>
    <w:rsid w:val="4BDA47D1"/>
    <w:rsid w:val="4C48598B"/>
    <w:rsid w:val="4DF41061"/>
    <w:rsid w:val="4E0E2BED"/>
    <w:rsid w:val="4E8A403F"/>
    <w:rsid w:val="4E9D314E"/>
    <w:rsid w:val="51135A81"/>
    <w:rsid w:val="51B805AB"/>
    <w:rsid w:val="53337225"/>
    <w:rsid w:val="538354D8"/>
    <w:rsid w:val="53905336"/>
    <w:rsid w:val="5451550A"/>
    <w:rsid w:val="54760486"/>
    <w:rsid w:val="551F46BB"/>
    <w:rsid w:val="55D944B8"/>
    <w:rsid w:val="56957D37"/>
    <w:rsid w:val="56E10499"/>
    <w:rsid w:val="57AE310E"/>
    <w:rsid w:val="57B91C0D"/>
    <w:rsid w:val="583776E0"/>
    <w:rsid w:val="584C5C50"/>
    <w:rsid w:val="5967392B"/>
    <w:rsid w:val="59D425E2"/>
    <w:rsid w:val="5AAE34EF"/>
    <w:rsid w:val="5AAE776F"/>
    <w:rsid w:val="5B096BBA"/>
    <w:rsid w:val="5BE81608"/>
    <w:rsid w:val="5C5C3818"/>
    <w:rsid w:val="5CF37776"/>
    <w:rsid w:val="5CF612FE"/>
    <w:rsid w:val="5CFE219B"/>
    <w:rsid w:val="5D482577"/>
    <w:rsid w:val="5D4C175D"/>
    <w:rsid w:val="5DD771DB"/>
    <w:rsid w:val="5DDB432B"/>
    <w:rsid w:val="5DFC1FCE"/>
    <w:rsid w:val="5E592619"/>
    <w:rsid w:val="5F0C1506"/>
    <w:rsid w:val="5F2E310B"/>
    <w:rsid w:val="5F391AFE"/>
    <w:rsid w:val="5F46072B"/>
    <w:rsid w:val="5F5F65F7"/>
    <w:rsid w:val="5F6E4556"/>
    <w:rsid w:val="5F735159"/>
    <w:rsid w:val="61B81A48"/>
    <w:rsid w:val="61E44729"/>
    <w:rsid w:val="62392FB0"/>
    <w:rsid w:val="624F1172"/>
    <w:rsid w:val="62743C63"/>
    <w:rsid w:val="63734CD8"/>
    <w:rsid w:val="63982AFE"/>
    <w:rsid w:val="64016454"/>
    <w:rsid w:val="6432722E"/>
    <w:rsid w:val="64897A1F"/>
    <w:rsid w:val="64E63115"/>
    <w:rsid w:val="666C004E"/>
    <w:rsid w:val="66732D2A"/>
    <w:rsid w:val="66776B7B"/>
    <w:rsid w:val="66D76BD8"/>
    <w:rsid w:val="670E0356"/>
    <w:rsid w:val="675C272A"/>
    <w:rsid w:val="69115B88"/>
    <w:rsid w:val="6A033967"/>
    <w:rsid w:val="6A175742"/>
    <w:rsid w:val="6A1D5BB0"/>
    <w:rsid w:val="6A743A4E"/>
    <w:rsid w:val="6ACE05C0"/>
    <w:rsid w:val="6B5443C1"/>
    <w:rsid w:val="6B5F4AF6"/>
    <w:rsid w:val="6E041BF3"/>
    <w:rsid w:val="6E060BE3"/>
    <w:rsid w:val="6E584D75"/>
    <w:rsid w:val="6FC915CF"/>
    <w:rsid w:val="70431BB5"/>
    <w:rsid w:val="7078785C"/>
    <w:rsid w:val="70A46307"/>
    <w:rsid w:val="70E0503B"/>
    <w:rsid w:val="70FA7DE8"/>
    <w:rsid w:val="7185306B"/>
    <w:rsid w:val="71CC6F7B"/>
    <w:rsid w:val="7203365A"/>
    <w:rsid w:val="722B08C3"/>
    <w:rsid w:val="723605B9"/>
    <w:rsid w:val="72676064"/>
    <w:rsid w:val="72CB0FF3"/>
    <w:rsid w:val="72EB0A43"/>
    <w:rsid w:val="730C6A04"/>
    <w:rsid w:val="731954DC"/>
    <w:rsid w:val="732E684F"/>
    <w:rsid w:val="733B26C5"/>
    <w:rsid w:val="74CA523B"/>
    <w:rsid w:val="7532533F"/>
    <w:rsid w:val="753B7FF5"/>
    <w:rsid w:val="75A01A32"/>
    <w:rsid w:val="75CA3AE6"/>
    <w:rsid w:val="75D1782F"/>
    <w:rsid w:val="75FF78BD"/>
    <w:rsid w:val="760C0520"/>
    <w:rsid w:val="76BE0ADC"/>
    <w:rsid w:val="770D43B8"/>
    <w:rsid w:val="77372C56"/>
    <w:rsid w:val="77E67517"/>
    <w:rsid w:val="78104001"/>
    <w:rsid w:val="78904B46"/>
    <w:rsid w:val="78A518A3"/>
    <w:rsid w:val="78BF7E16"/>
    <w:rsid w:val="78ED67E9"/>
    <w:rsid w:val="7911000B"/>
    <w:rsid w:val="79B74FA1"/>
    <w:rsid w:val="79B8373C"/>
    <w:rsid w:val="79F2544C"/>
    <w:rsid w:val="79F429A4"/>
    <w:rsid w:val="7A321F47"/>
    <w:rsid w:val="7C141B6C"/>
    <w:rsid w:val="7C325FF9"/>
    <w:rsid w:val="7C754A66"/>
    <w:rsid w:val="7CE85324"/>
    <w:rsid w:val="7D017C21"/>
    <w:rsid w:val="7D2C1FEE"/>
    <w:rsid w:val="7DA71933"/>
    <w:rsid w:val="7DD37BC8"/>
    <w:rsid w:val="7E224C53"/>
    <w:rsid w:val="7F5E04F7"/>
    <w:rsid w:val="7FBF3F6D"/>
    <w:rsid w:val="7FC40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qFormat/>
    <w:uiPriority w:val="0"/>
    <w:pPr>
      <w:keepNext/>
      <w:keepLines/>
      <w:spacing w:line="360" w:lineRule="auto"/>
      <w:jc w:val="center"/>
      <w:outlineLvl w:val="0"/>
    </w:pPr>
    <w:rPr>
      <w:b/>
      <w:kern w:val="44"/>
      <w:sz w:val="44"/>
    </w:rPr>
  </w:style>
  <w:style w:type="paragraph" w:styleId="3">
    <w:name w:val="heading 2"/>
    <w:basedOn w:val="1"/>
    <w:next w:val="1"/>
    <w:link w:val="47"/>
    <w:qFormat/>
    <w:uiPriority w:val="0"/>
    <w:pPr>
      <w:keepNext/>
      <w:keepLines/>
      <w:spacing w:line="416" w:lineRule="auto"/>
      <w:outlineLvl w:val="1"/>
    </w:pPr>
    <w:rPr>
      <w:rFonts w:hint="eastAsia" w:ascii="Arial" w:hAnsi="Arial" w:eastAsia="黑体" w:cs="Verdana"/>
      <w:b/>
      <w:bCs/>
      <w:sz w:val="32"/>
      <w:szCs w:val="32"/>
    </w:rPr>
  </w:style>
  <w:style w:type="paragraph" w:styleId="4">
    <w:name w:val="heading 3"/>
    <w:basedOn w:val="1"/>
    <w:next w:val="1"/>
    <w:link w:val="45"/>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line="376" w:lineRule="atLeast"/>
      <w:outlineLvl w:val="3"/>
    </w:pPr>
    <w:rPr>
      <w:rFonts w:ascii="Arial" w:hAnsi="Arial" w:eastAsia="黑体"/>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toa heading"/>
    <w:basedOn w:val="1"/>
    <w:next w:val="1"/>
    <w:semiHidden/>
    <w:qFormat/>
    <w:uiPriority w:val="0"/>
    <w:pPr>
      <w:spacing w:before="120"/>
    </w:pPr>
    <w:rPr>
      <w:rFonts w:ascii="Arial" w:hAnsi="Arial" w:cs="Arial"/>
    </w:rPr>
  </w:style>
  <w:style w:type="paragraph" w:styleId="8">
    <w:name w:val="annotation text"/>
    <w:basedOn w:val="1"/>
    <w:qFormat/>
    <w:uiPriority w:val="0"/>
    <w:pPr>
      <w:adjustRightInd w:val="0"/>
      <w:spacing w:line="360" w:lineRule="atLeast"/>
      <w:jc w:val="left"/>
    </w:pPr>
    <w:rPr>
      <w:kern w:val="0"/>
      <w:sz w:val="24"/>
    </w:rPr>
  </w:style>
  <w:style w:type="paragraph" w:styleId="9">
    <w:name w:val="Body Text 3"/>
    <w:basedOn w:val="1"/>
    <w:qFormat/>
    <w:uiPriority w:val="0"/>
    <w:pPr>
      <w:spacing w:line="80" w:lineRule="atLeast"/>
    </w:pPr>
    <w:rPr>
      <w:rFonts w:ascii="楷体_GB2312" w:eastAsia="楷体_GB2312"/>
      <w:sz w:val="28"/>
    </w:rPr>
  </w:style>
  <w:style w:type="paragraph" w:styleId="10">
    <w:name w:val="Body Text"/>
    <w:basedOn w:val="1"/>
    <w:next w:val="11"/>
    <w:qFormat/>
    <w:uiPriority w:val="0"/>
    <w:rPr>
      <w:rFonts w:eastAsia="楷体_GB2312"/>
      <w:sz w:val="30"/>
      <w:szCs w:val="20"/>
    </w:rPr>
  </w:style>
  <w:style w:type="paragraph" w:styleId="11">
    <w:name w:val="Date"/>
    <w:basedOn w:val="1"/>
    <w:next w:val="1"/>
    <w:qFormat/>
    <w:uiPriority w:val="0"/>
    <w:rPr>
      <w:sz w:val="24"/>
      <w:szCs w:val="20"/>
    </w:rPr>
  </w:style>
  <w:style w:type="paragraph" w:styleId="12">
    <w:name w:val="Body Text Indent"/>
    <w:basedOn w:val="1"/>
    <w:qFormat/>
    <w:uiPriority w:val="0"/>
    <w:pPr>
      <w:ind w:firstLine="630"/>
    </w:pPr>
    <w:rPr>
      <w:rFonts w:ascii="长城楷体" w:eastAsia="长城楷体"/>
      <w:kern w:val="0"/>
      <w:sz w:val="32"/>
    </w:rPr>
  </w:style>
  <w:style w:type="paragraph" w:styleId="13">
    <w:name w:val="List 2"/>
    <w:basedOn w:val="1"/>
    <w:qFormat/>
    <w:uiPriority w:val="0"/>
    <w:pPr>
      <w:ind w:left="100" w:leftChars="200" w:hanging="200" w:hangingChars="200"/>
    </w:pPr>
  </w:style>
  <w:style w:type="paragraph" w:styleId="14">
    <w:name w:val="toc 3"/>
    <w:basedOn w:val="1"/>
    <w:next w:val="1"/>
    <w:qFormat/>
    <w:uiPriority w:val="0"/>
    <w:pPr>
      <w:ind w:left="840" w:leftChars="400"/>
    </w:pPr>
  </w:style>
  <w:style w:type="paragraph" w:styleId="15">
    <w:name w:val="Plain Text"/>
    <w:basedOn w:val="1"/>
    <w:link w:val="56"/>
    <w:qFormat/>
    <w:uiPriority w:val="0"/>
    <w:rPr>
      <w:rFonts w:hint="eastAsia" w:ascii="宋体" w:hAnsi="Courier New"/>
      <w:szCs w:val="20"/>
    </w:rPr>
  </w:style>
  <w:style w:type="paragraph" w:styleId="16">
    <w:name w:val="Body Text Indent 2"/>
    <w:basedOn w:val="1"/>
    <w:qFormat/>
    <w:uiPriority w:val="0"/>
    <w:pPr>
      <w:spacing w:line="480" w:lineRule="auto"/>
      <w:ind w:left="420" w:leftChars="200"/>
    </w:pPr>
  </w:style>
  <w:style w:type="paragraph" w:styleId="17">
    <w:name w:val="Balloon Text"/>
    <w:basedOn w:val="1"/>
    <w:link w:val="55"/>
    <w:qFormat/>
    <w:uiPriority w:val="0"/>
    <w:rPr>
      <w:sz w:val="18"/>
      <w:szCs w:val="18"/>
    </w:rPr>
  </w:style>
  <w:style w:type="paragraph" w:styleId="18">
    <w:name w:val="footer"/>
    <w:basedOn w:val="1"/>
    <w:qFormat/>
    <w:uiPriority w:val="0"/>
    <w:pPr>
      <w:tabs>
        <w:tab w:val="center" w:pos="4153"/>
        <w:tab w:val="right" w:pos="8306"/>
      </w:tabs>
      <w:snapToGrid w:val="0"/>
      <w:jc w:val="left"/>
    </w:pPr>
    <w:rPr>
      <w:rFonts w:hint="eastAsia"/>
      <w:sz w:val="18"/>
      <w:szCs w:val="18"/>
    </w:rPr>
  </w:style>
  <w:style w:type="paragraph" w:styleId="19">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60" w:lineRule="exact"/>
    </w:pPr>
    <w:rPr>
      <w:rFonts w:ascii="仿宋_GB2312" w:hAnsi="宋体" w:eastAsia="仿宋_GB2312"/>
      <w:b/>
      <w:bCs/>
      <w:sz w:val="28"/>
      <w:szCs w:val="28"/>
    </w:rPr>
  </w:style>
  <w:style w:type="paragraph" w:styleId="21">
    <w:name w:val="Body Text Indent 3"/>
    <w:qFormat/>
    <w:uiPriority w:val="0"/>
    <w:pPr>
      <w:widowControl w:val="0"/>
      <w:autoSpaceDE w:val="0"/>
      <w:autoSpaceDN w:val="0"/>
      <w:adjustRightInd w:val="0"/>
      <w:spacing w:after="120"/>
      <w:ind w:left="420" w:leftChars="200"/>
    </w:pPr>
    <w:rPr>
      <w:rFonts w:ascii="Copperplate Gothic Bold" w:hAnsi="Copperplate Gothic Bold" w:eastAsia="宋体" w:cs="Times New Roman"/>
      <w:kern w:val="0"/>
      <w:sz w:val="16"/>
      <w:szCs w:val="28"/>
      <w:lang w:val="en-US" w:eastAsia="zh-CN" w:bidi="ar-SA"/>
    </w:rPr>
  </w:style>
  <w:style w:type="paragraph" w:styleId="22">
    <w:name w:val="toc 2"/>
    <w:basedOn w:val="1"/>
    <w:next w:val="1"/>
    <w:qFormat/>
    <w:uiPriority w:val="0"/>
    <w:pPr>
      <w:ind w:left="420" w:leftChars="200"/>
    </w:pPr>
  </w:style>
  <w:style w:type="paragraph" w:styleId="23">
    <w:name w:val="Body Text 2"/>
    <w:basedOn w:val="1"/>
    <w:next w:val="1"/>
    <w:qFormat/>
    <w:uiPriority w:val="0"/>
    <w:pPr>
      <w:spacing w:after="120" w:line="480" w:lineRule="auto"/>
    </w:pPr>
  </w:style>
  <w:style w:type="paragraph" w:styleId="2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5">
    <w:name w:val="Normal (Web)"/>
    <w:basedOn w:val="1"/>
    <w:qFormat/>
    <w:uiPriority w:val="99"/>
    <w:pPr>
      <w:widowControl/>
      <w:spacing w:beforeAutospacing="1" w:afterAutospacing="1"/>
      <w:jc w:val="left"/>
    </w:pPr>
    <w:rPr>
      <w:rFonts w:ascii="宋体" w:hAnsi="宋体" w:cs="宋体"/>
      <w:kern w:val="0"/>
      <w:sz w:val="24"/>
    </w:rPr>
  </w:style>
  <w:style w:type="paragraph" w:styleId="26">
    <w:name w:val="Title"/>
    <w:basedOn w:val="1"/>
    <w:next w:val="1"/>
    <w:qFormat/>
    <w:uiPriority w:val="0"/>
    <w:pPr>
      <w:jc w:val="center"/>
      <w:outlineLvl w:val="0"/>
    </w:pPr>
    <w:rPr>
      <w:rFonts w:ascii="Arial" w:hAnsi="Arial" w:cs="Arial"/>
      <w:b/>
      <w:bCs/>
      <w:sz w:val="44"/>
      <w:szCs w:val="32"/>
    </w:rPr>
  </w:style>
  <w:style w:type="paragraph" w:styleId="27">
    <w:name w:val="Body Text First Indent 2"/>
    <w:basedOn w:val="12"/>
    <w:unhideWhenUsed/>
    <w:qFormat/>
    <w:uiPriority w:val="99"/>
    <w:pPr>
      <w:tabs>
        <w:tab w:val="left" w:pos="360"/>
      </w:tabs>
      <w:ind w:firstLine="420"/>
    </w:pPr>
    <w:rPr>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style>
  <w:style w:type="character" w:styleId="32">
    <w:name w:val="page number"/>
    <w:basedOn w:val="30"/>
    <w:qFormat/>
    <w:uiPriority w:val="0"/>
  </w:style>
  <w:style w:type="character" w:styleId="33">
    <w:name w:val="FollowedHyperlink"/>
    <w:basedOn w:val="30"/>
    <w:qFormat/>
    <w:uiPriority w:val="0"/>
    <w:rPr>
      <w:color w:val="333333"/>
      <w:u w:val="non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0"/>
    <w:rPr>
      <w:color w:val="333333"/>
      <w:u w:val="none"/>
    </w:rPr>
  </w:style>
  <w:style w:type="character" w:styleId="40">
    <w:name w:val="HTML Code"/>
    <w:basedOn w:val="30"/>
    <w:qFormat/>
    <w:uiPriority w:val="0"/>
    <w:rPr>
      <w:rFonts w:hint="default" w:ascii="monospace" w:hAnsi="monospace" w:eastAsia="monospace" w:cs="monospace"/>
      <w:sz w:val="20"/>
    </w:rPr>
  </w:style>
  <w:style w:type="character" w:styleId="41">
    <w:name w:val="HTML Cite"/>
    <w:basedOn w:val="30"/>
    <w:qFormat/>
    <w:uiPriority w:val="0"/>
  </w:style>
  <w:style w:type="character" w:styleId="42">
    <w:name w:val="HTML Keyboard"/>
    <w:basedOn w:val="30"/>
    <w:qFormat/>
    <w:uiPriority w:val="0"/>
    <w:rPr>
      <w:rFonts w:hint="default"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Default"/>
    <w:next w:val="11"/>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character" w:customStyle="1" w:styleId="45">
    <w:name w:val="标题 3 Char"/>
    <w:link w:val="4"/>
    <w:qFormat/>
    <w:uiPriority w:val="0"/>
    <w:rPr>
      <w:b/>
      <w:bCs/>
      <w:sz w:val="32"/>
      <w:szCs w:val="32"/>
    </w:rPr>
  </w:style>
  <w:style w:type="character" w:customStyle="1" w:styleId="46">
    <w:name w:val="标题 1 Char"/>
    <w:link w:val="2"/>
    <w:qFormat/>
    <w:uiPriority w:val="0"/>
    <w:rPr>
      <w:rFonts w:ascii="Calibri" w:hAnsi="Calibri"/>
      <w:b/>
      <w:kern w:val="44"/>
      <w:sz w:val="44"/>
    </w:rPr>
  </w:style>
  <w:style w:type="character" w:customStyle="1" w:styleId="47">
    <w:name w:val="标题 2 Char"/>
    <w:link w:val="3"/>
    <w:qFormat/>
    <w:uiPriority w:val="0"/>
    <w:rPr>
      <w:rFonts w:hint="eastAsia" w:ascii="Arial" w:hAnsi="Arial" w:eastAsia="黑体" w:cs="Verdana"/>
      <w:b/>
      <w:bCs/>
      <w:sz w:val="32"/>
      <w:szCs w:val="32"/>
    </w:rPr>
  </w:style>
  <w:style w:type="paragraph" w:styleId="48">
    <w:name w:val="List Paragraph"/>
    <w:basedOn w:val="1"/>
    <w:qFormat/>
    <w:uiPriority w:val="0"/>
    <w:pPr>
      <w:ind w:firstLine="420" w:firstLineChars="200"/>
    </w:pPr>
    <w:rPr>
      <w:szCs w:val="22"/>
    </w:rPr>
  </w:style>
  <w:style w:type="paragraph" w:customStyle="1" w:styleId="49">
    <w:name w:val="正文（首行缩进）"/>
    <w:basedOn w:val="1"/>
    <w:qFormat/>
    <w:uiPriority w:val="0"/>
    <w:pPr>
      <w:spacing w:line="360" w:lineRule="auto"/>
      <w:ind w:firstLine="200" w:firstLineChars="200"/>
    </w:pPr>
  </w:style>
  <w:style w:type="paragraph" w:customStyle="1" w:styleId="50">
    <w:name w:val="Table Paragraph"/>
    <w:basedOn w:val="1"/>
    <w:qFormat/>
    <w:uiPriority w:val="1"/>
  </w:style>
  <w:style w:type="paragraph" w:customStyle="1" w:styleId="51">
    <w:name w:val="样式 小四 段前: 5 磅 段后: 5 磅 首行缩进:  2 字符"/>
    <w:basedOn w:val="1"/>
    <w:qFormat/>
    <w:uiPriority w:val="0"/>
    <w:pPr>
      <w:spacing w:line="360" w:lineRule="auto"/>
    </w:pPr>
    <w:rPr>
      <w:rFonts w:ascii="宋体" w:hAnsi="宋体"/>
      <w:sz w:val="24"/>
      <w:szCs w:val="21"/>
    </w:rPr>
  </w:style>
  <w:style w:type="paragraph" w:customStyle="1" w:styleId="5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表 靠左"/>
    <w:basedOn w:val="1"/>
    <w:qFormat/>
    <w:uiPriority w:val="0"/>
    <w:pPr>
      <w:widowControl/>
      <w:adjustRightInd w:val="0"/>
      <w:snapToGrid w:val="0"/>
      <w:spacing w:after="200"/>
      <w:jc w:val="left"/>
    </w:pPr>
    <w:rPr>
      <w:rFonts w:eastAsia="微软雅黑"/>
      <w:kern w:val="0"/>
      <w:sz w:val="22"/>
      <w:szCs w:val="21"/>
    </w:rPr>
  </w:style>
  <w:style w:type="character" w:customStyle="1" w:styleId="54">
    <w:name w:val="页眉 Char"/>
    <w:basedOn w:val="30"/>
    <w:link w:val="19"/>
    <w:qFormat/>
    <w:uiPriority w:val="0"/>
    <w:rPr>
      <w:rFonts w:ascii="Calibri" w:hAnsi="Calibri"/>
      <w:kern w:val="2"/>
      <w:sz w:val="18"/>
      <w:szCs w:val="18"/>
    </w:rPr>
  </w:style>
  <w:style w:type="character" w:customStyle="1" w:styleId="55">
    <w:name w:val="批注框文本 Char"/>
    <w:basedOn w:val="30"/>
    <w:link w:val="17"/>
    <w:qFormat/>
    <w:uiPriority w:val="0"/>
    <w:rPr>
      <w:rFonts w:ascii="Calibri" w:hAnsi="Calibri"/>
      <w:kern w:val="2"/>
      <w:sz w:val="18"/>
      <w:szCs w:val="18"/>
    </w:rPr>
  </w:style>
  <w:style w:type="character" w:customStyle="1" w:styleId="56">
    <w:name w:val="纯文本 Char"/>
    <w:link w:val="15"/>
    <w:qFormat/>
    <w:uiPriority w:val="99"/>
    <w:rPr>
      <w:rFonts w:hint="eastAsia" w:ascii="宋体" w:hAnsi="Courier New"/>
      <w:szCs w:val="20"/>
    </w:rPr>
  </w:style>
  <w:style w:type="paragraph" w:customStyle="1" w:styleId="5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0"/>
    <w:next w:val="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59">
    <w:name w:val="displayarti"/>
    <w:basedOn w:val="30"/>
    <w:qFormat/>
    <w:uiPriority w:val="0"/>
    <w:rPr>
      <w:color w:val="FFFFFF"/>
      <w:shd w:val="clear" w:color="auto" w:fill="A00000"/>
    </w:rPr>
  </w:style>
  <w:style w:type="character" w:customStyle="1" w:styleId="60">
    <w:name w:val="prev"/>
    <w:basedOn w:val="30"/>
    <w:qFormat/>
    <w:uiPriority w:val="0"/>
    <w:rPr>
      <w:rFonts w:ascii="微软雅黑" w:hAnsi="微软雅黑" w:eastAsia="微软雅黑" w:cs="微软雅黑"/>
      <w:sz w:val="21"/>
      <w:szCs w:val="21"/>
    </w:rPr>
  </w:style>
  <w:style w:type="character" w:customStyle="1" w:styleId="61">
    <w:name w:val="prev1"/>
    <w:basedOn w:val="30"/>
    <w:qFormat/>
    <w:uiPriority w:val="0"/>
    <w:rPr>
      <w:color w:val="888888"/>
    </w:rPr>
  </w:style>
  <w:style w:type="character" w:customStyle="1" w:styleId="62">
    <w:name w:val="redfilefwwh"/>
    <w:basedOn w:val="30"/>
    <w:qFormat/>
    <w:uiPriority w:val="0"/>
    <w:rPr>
      <w:color w:val="BA2636"/>
      <w:sz w:val="18"/>
      <w:szCs w:val="18"/>
    </w:rPr>
  </w:style>
  <w:style w:type="character" w:customStyle="1" w:styleId="63">
    <w:name w:val="next"/>
    <w:basedOn w:val="30"/>
    <w:qFormat/>
    <w:uiPriority w:val="0"/>
    <w:rPr>
      <w:rFonts w:hint="eastAsia" w:ascii="微软雅黑" w:hAnsi="微软雅黑" w:eastAsia="微软雅黑" w:cs="微软雅黑"/>
      <w:sz w:val="21"/>
      <w:szCs w:val="21"/>
    </w:rPr>
  </w:style>
  <w:style w:type="character" w:customStyle="1" w:styleId="64">
    <w:name w:val="next1"/>
    <w:basedOn w:val="30"/>
    <w:qFormat/>
    <w:uiPriority w:val="0"/>
    <w:rPr>
      <w:color w:val="888888"/>
    </w:rPr>
  </w:style>
  <w:style w:type="character" w:customStyle="1" w:styleId="65">
    <w:name w:val="gjfg"/>
    <w:basedOn w:val="30"/>
    <w:qFormat/>
    <w:uiPriority w:val="0"/>
  </w:style>
  <w:style w:type="character" w:customStyle="1" w:styleId="66">
    <w:name w:val="redfilenumber"/>
    <w:basedOn w:val="30"/>
    <w:qFormat/>
    <w:uiPriority w:val="0"/>
    <w:rPr>
      <w:color w:val="BA2636"/>
      <w:sz w:val="18"/>
      <w:szCs w:val="18"/>
    </w:rPr>
  </w:style>
  <w:style w:type="character" w:customStyle="1" w:styleId="67">
    <w:name w:val="cfdate"/>
    <w:basedOn w:val="30"/>
    <w:qFormat/>
    <w:uiPriority w:val="0"/>
    <w:rPr>
      <w:color w:val="333333"/>
      <w:sz w:val="18"/>
      <w:szCs w:val="18"/>
    </w:rPr>
  </w:style>
  <w:style w:type="character" w:customStyle="1" w:styleId="68">
    <w:name w:val="qxdate"/>
    <w:basedOn w:val="30"/>
    <w:qFormat/>
    <w:uiPriority w:val="0"/>
    <w:rPr>
      <w:color w:val="333333"/>
      <w:sz w:val="18"/>
      <w:szCs w:val="18"/>
    </w:rPr>
  </w:style>
  <w:style w:type="paragraph" w:customStyle="1" w:styleId="69">
    <w:name w:val="首行缩进"/>
    <w:basedOn w:val="1"/>
    <w:qFormat/>
    <w:uiPriority w:val="0"/>
    <w:pPr>
      <w:numPr>
        <w:ilvl w:val="0"/>
        <w:numId w:val="1"/>
      </w:numPr>
      <w:spacing w:line="360" w:lineRule="auto"/>
    </w:pPr>
    <w:rPr>
      <w:rFonts w:eastAsia="仿宋_GB2312"/>
    </w:rPr>
  </w:style>
  <w:style w:type="paragraph" w:customStyle="1" w:styleId="70">
    <w:name w:val="无间隔1"/>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71">
    <w:name w:val="NormalCharacter"/>
    <w:semiHidden/>
    <w:qFormat/>
    <w:uiPriority w:val="0"/>
  </w:style>
  <w:style w:type="paragraph" w:customStyle="1" w:styleId="72">
    <w:name w:val="列出段落1"/>
    <w:basedOn w:val="1"/>
    <w:qFormat/>
    <w:uiPriority w:val="0"/>
    <w:pPr>
      <w:ind w:firstLine="420" w:firstLineChars="200"/>
    </w:pPr>
    <w:rPr>
      <w:rFonts w:cs="宋体"/>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NEU表格"/>
    <w:basedOn w:val="1"/>
    <w:qFormat/>
    <w:uiPriority w:val="0"/>
    <w:pPr>
      <w:widowControl/>
      <w:jc w:val="left"/>
    </w:pPr>
    <w:rPr>
      <w:rFonts w:ascii="宋体" w:hAnsi="宋体"/>
      <w:szCs w:val="21"/>
    </w:rPr>
  </w:style>
  <w:style w:type="paragraph" w:customStyle="1" w:styleId="75">
    <w:name w:val="样式 正文缩进 + 首行缩进:  2 字符"/>
    <w:basedOn w:val="6"/>
    <w:qFormat/>
    <w:uiPriority w:val="0"/>
    <w:pPr>
      <w:spacing w:line="360" w:lineRule="auto"/>
      <w:ind w:firstLine="200"/>
    </w:pPr>
    <w:rPr>
      <w:rFonts w:cs="宋体"/>
      <w:sz w:val="24"/>
      <w:szCs w:val="20"/>
    </w:rPr>
  </w:style>
  <w:style w:type="character" w:customStyle="1" w:styleId="76">
    <w:name w:val="font51"/>
    <w:basedOn w:val="30"/>
    <w:qFormat/>
    <w:uiPriority w:val="0"/>
    <w:rPr>
      <w:rFonts w:hint="eastAsia" w:ascii="宋体" w:hAnsi="宋体" w:eastAsia="宋体" w:cs="宋体"/>
      <w:color w:val="000000"/>
      <w:sz w:val="21"/>
      <w:szCs w:val="21"/>
      <w:u w:val="none"/>
    </w:rPr>
  </w:style>
  <w:style w:type="character" w:customStyle="1" w:styleId="77">
    <w:name w:val="font61"/>
    <w:basedOn w:val="30"/>
    <w:qFormat/>
    <w:uiPriority w:val="0"/>
    <w:rPr>
      <w:rFonts w:hint="default" w:ascii="Times New Roman" w:hAnsi="Times New Roman" w:cs="Times New Roman"/>
      <w:color w:val="000000"/>
      <w:sz w:val="21"/>
      <w:szCs w:val="21"/>
      <w:u w:val="none"/>
    </w:rPr>
  </w:style>
  <w:style w:type="character" w:customStyle="1" w:styleId="78">
    <w:name w:val="font71"/>
    <w:basedOn w:val="30"/>
    <w:qFormat/>
    <w:uiPriority w:val="0"/>
    <w:rPr>
      <w:rFonts w:hint="eastAsia" w:ascii="宋体" w:hAnsi="宋体" w:eastAsia="宋体" w:cs="宋体"/>
      <w:color w:val="000000"/>
      <w:sz w:val="22"/>
      <w:szCs w:val="22"/>
      <w:u w:val="none"/>
    </w:rPr>
  </w:style>
  <w:style w:type="character" w:customStyle="1" w:styleId="79">
    <w:name w:val="font31"/>
    <w:basedOn w:val="30"/>
    <w:qFormat/>
    <w:uiPriority w:val="0"/>
    <w:rPr>
      <w:rFonts w:hint="default" w:ascii="Times New Roman" w:hAnsi="Times New Roman" w:cs="Times New Roman"/>
      <w:color w:val="000000"/>
      <w:sz w:val="22"/>
      <w:szCs w:val="22"/>
      <w:u w:val="none"/>
    </w:rPr>
  </w:style>
  <w:style w:type="character" w:customStyle="1" w:styleId="80">
    <w:name w:val="font11"/>
    <w:basedOn w:val="30"/>
    <w:qFormat/>
    <w:uiPriority w:val="0"/>
    <w:rPr>
      <w:rFonts w:hint="eastAsia" w:ascii="宋体" w:hAnsi="宋体" w:eastAsia="宋体" w:cs="宋体"/>
      <w:color w:val="000000"/>
      <w:sz w:val="22"/>
      <w:szCs w:val="22"/>
      <w:u w:val="none"/>
    </w:rPr>
  </w:style>
  <w:style w:type="character" w:customStyle="1" w:styleId="81">
    <w:name w:val="font01"/>
    <w:basedOn w:val="30"/>
    <w:qFormat/>
    <w:uiPriority w:val="0"/>
    <w:rPr>
      <w:rFonts w:hint="eastAsia" w:ascii="宋体" w:hAnsi="宋体" w:eastAsia="宋体" w:cs="宋体"/>
      <w:color w:val="000000"/>
      <w:sz w:val="21"/>
      <w:szCs w:val="21"/>
      <w:u w:val="none"/>
    </w:rPr>
  </w:style>
  <w:style w:type="character" w:customStyle="1" w:styleId="82">
    <w:name w:val="font41"/>
    <w:basedOn w:val="30"/>
    <w:qFormat/>
    <w:uiPriority w:val="0"/>
    <w:rPr>
      <w:rFonts w:hint="eastAsia" w:ascii="宋体" w:hAnsi="宋体" w:eastAsia="宋体" w:cs="宋体"/>
      <w:color w:val="000000"/>
      <w:sz w:val="22"/>
      <w:szCs w:val="22"/>
      <w:u w:val="none"/>
      <w:vertAlign w:val="superscript"/>
    </w:rPr>
  </w:style>
  <w:style w:type="paragraph" w:customStyle="1" w:styleId="83">
    <w:name w:val="Normal_0"/>
    <w:next w:val="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84">
    <w:name w:val="font131"/>
    <w:basedOn w:val="30"/>
    <w:qFormat/>
    <w:uiPriority w:val="0"/>
    <w:rPr>
      <w:rFonts w:hint="eastAsia" w:ascii="宋体" w:hAnsi="宋体" w:eastAsia="宋体" w:cs="宋体"/>
      <w:color w:val="000000"/>
      <w:sz w:val="20"/>
      <w:szCs w:val="20"/>
      <w:u w:val="none"/>
      <w:vertAlign w:val="subscript"/>
    </w:rPr>
  </w:style>
  <w:style w:type="character" w:customStyle="1" w:styleId="85">
    <w:name w:val="font141"/>
    <w:basedOn w:val="30"/>
    <w:qFormat/>
    <w:uiPriority w:val="0"/>
    <w:rPr>
      <w:rFonts w:hint="default" w:ascii="Times New Roman" w:hAnsi="Times New Roman" w:cs="Times New Roman"/>
      <w:color w:val="000000"/>
      <w:sz w:val="20"/>
      <w:szCs w:val="20"/>
      <w:u w:val="none"/>
      <w:vertAlign w:val="subscript"/>
    </w:rPr>
  </w:style>
  <w:style w:type="character" w:customStyle="1" w:styleId="86">
    <w:name w:val="font151"/>
    <w:basedOn w:val="30"/>
    <w:qFormat/>
    <w:uiPriority w:val="0"/>
    <w:rPr>
      <w:rFonts w:hint="eastAsia" w:ascii="宋体" w:hAnsi="宋体" w:eastAsia="宋体" w:cs="宋体"/>
      <w:color w:val="333333"/>
      <w:sz w:val="20"/>
      <w:szCs w:val="20"/>
      <w:u w:val="none"/>
      <w:vertAlign w:val="subscript"/>
    </w:rPr>
  </w:style>
  <w:style w:type="character" w:customStyle="1" w:styleId="87">
    <w:name w:val="font121"/>
    <w:basedOn w:val="30"/>
    <w:qFormat/>
    <w:uiPriority w:val="0"/>
    <w:rPr>
      <w:rFonts w:hint="default" w:ascii="Times New Roman" w:hAnsi="Times New Roman" w:cs="Times New Roman"/>
      <w:color w:val="0C0C0C"/>
      <w:sz w:val="20"/>
      <w:szCs w:val="20"/>
      <w:u w:val="none"/>
    </w:rPr>
  </w:style>
  <w:style w:type="character" w:customStyle="1" w:styleId="88">
    <w:name w:val="font112"/>
    <w:basedOn w:val="30"/>
    <w:qFormat/>
    <w:uiPriority w:val="0"/>
    <w:rPr>
      <w:rFonts w:hint="eastAsia" w:ascii="宋体" w:hAnsi="宋体" w:eastAsia="宋体" w:cs="宋体"/>
      <w:color w:val="0C0C0C"/>
      <w:sz w:val="20"/>
      <w:szCs w:val="20"/>
      <w:u w:val="none"/>
    </w:rPr>
  </w:style>
  <w:style w:type="character" w:customStyle="1" w:styleId="89">
    <w:name w:val="font161"/>
    <w:basedOn w:val="30"/>
    <w:qFormat/>
    <w:uiPriority w:val="0"/>
    <w:rPr>
      <w:rFonts w:hint="default" w:ascii="Times New Roman" w:hAnsi="Times New Roman" w:cs="Times New Roman"/>
      <w:color w:val="0C0C0C"/>
      <w:sz w:val="20"/>
      <w:szCs w:val="20"/>
      <w:u w:val="none"/>
      <w:vertAlign w:val="superscript"/>
    </w:rPr>
  </w:style>
  <w:style w:type="character" w:customStyle="1" w:styleId="90">
    <w:name w:val="font171"/>
    <w:basedOn w:val="30"/>
    <w:qFormat/>
    <w:uiPriority w:val="0"/>
    <w:rPr>
      <w:rFonts w:hint="default" w:ascii="Times New Roman" w:hAnsi="Times New Roman" w:cs="Times New Roman"/>
      <w:color w:val="0C0C0C"/>
      <w:sz w:val="20"/>
      <w:szCs w:val="20"/>
      <w:u w:val="none"/>
      <w:vertAlign w:val="subscript"/>
    </w:rPr>
  </w:style>
  <w:style w:type="character" w:customStyle="1" w:styleId="91">
    <w:name w:val="font181"/>
    <w:basedOn w:val="30"/>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14836</Words>
  <Characters>16243</Characters>
  <Lines>293</Lines>
  <Paragraphs>82</Paragraphs>
  <TotalTime>1</TotalTime>
  <ScaleCrop>false</ScaleCrop>
  <LinksUpToDate>false</LinksUpToDate>
  <CharactersWithSpaces>16413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2020-10-15T13:05:00Z</dcterms:created>
  <dc:creator>WPS_1565666140</dc:creator>
  <cp:lastModifiedBy>Administrator</cp:lastModifiedBy>
  <cp:lastPrinted>2025-07-02T00:43:00Z</cp:lastPrinted>
  <dcterms:modified xsi:type="dcterms:W3CDTF">2025-07-02T02:37:50Z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3425ADDA7B0B4805B1CAD0421E26F636_13</vt:lpwstr>
  </property>
  <property fmtid="{D5CDD505-2E9C-101B-9397-08002B2CF9AE}" pid="4" name="KSOTemplateDocerSaveRecord">
    <vt:lpwstr>eyJoZGlkIjoiMDAwMjA2ODU3ODBmM2VlNDMyOTY4Y2Y0OWQzNzViMmYifQ==</vt:lpwstr>
  </property>
</Properties>
</file>