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A925">
      <w:pPr>
        <w:spacing w:line="360" w:lineRule="auto"/>
        <w:jc w:val="center"/>
        <w:rPr>
          <w:rFonts w:hint="eastAsia" w:ascii="宋体" w:hAnsi="宋体" w:eastAsia="宋体" w:cs="宋体"/>
          <w:b/>
          <w:bCs/>
          <w:color w:val="auto"/>
          <w:kern w:val="0"/>
          <w:sz w:val="52"/>
          <w:szCs w:val="52"/>
          <w:highlight w:val="none"/>
          <w:lang w:eastAsia="zh-CN"/>
        </w:rPr>
      </w:pPr>
      <w:bookmarkStart w:id="0" w:name="_Hlk64874400"/>
      <w:bookmarkEnd w:id="0"/>
      <w:bookmarkStart w:id="1" w:name="_Toc247085669"/>
      <w:bookmarkStart w:id="2" w:name="_Toc246996898"/>
      <w:bookmarkStart w:id="3" w:name="_Toc296602400"/>
      <w:r>
        <w:rPr>
          <w:rFonts w:hint="eastAsia" w:ascii="宋体" w:hAnsi="宋体" w:cs="宋体"/>
          <w:b/>
          <w:bCs/>
          <w:color w:val="auto"/>
          <w:kern w:val="0"/>
          <w:sz w:val="64"/>
          <w:szCs w:val="64"/>
          <w:highlight w:val="none"/>
          <w:lang w:val="en-US" w:eastAsia="zh-CN"/>
        </w:rPr>
        <w:t>提升分级诊疗能力建设项目第二批</w:t>
      </w:r>
    </w:p>
    <w:p w14:paraId="3E14BBF5">
      <w:pPr>
        <w:pStyle w:val="27"/>
        <w:autoSpaceDN w:val="0"/>
        <w:spacing w:line="360" w:lineRule="auto"/>
        <w:jc w:val="center"/>
        <w:rPr>
          <w:rFonts w:hint="eastAsia" w:ascii="宋体" w:hAnsi="宋体" w:eastAsia="宋体" w:cs="宋体"/>
          <w:color w:val="auto"/>
          <w:highlight w:val="none"/>
        </w:rPr>
      </w:pPr>
    </w:p>
    <w:p w14:paraId="561F1FEB">
      <w:pPr>
        <w:jc w:val="center"/>
        <w:rPr>
          <w:rFonts w:hint="eastAsia" w:ascii="宋体" w:hAnsi="宋体" w:eastAsia="宋体" w:cs="宋体"/>
          <w:b/>
          <w:bCs/>
          <w:color w:val="auto"/>
          <w:kern w:val="0"/>
          <w:sz w:val="36"/>
          <w:szCs w:val="36"/>
          <w:highlight w:val="none"/>
          <w:lang w:val="en-US" w:eastAsia="zh-CN"/>
        </w:rPr>
      </w:pPr>
    </w:p>
    <w:p w14:paraId="403C36AB">
      <w:pPr>
        <w:jc w:val="center"/>
        <w:rPr>
          <w:rFonts w:hint="eastAsia" w:ascii="宋体" w:hAnsi="宋体" w:eastAsia="宋体" w:cs="宋体"/>
          <w:b/>
          <w:bCs/>
          <w:color w:val="auto"/>
          <w:kern w:val="0"/>
          <w:sz w:val="144"/>
          <w:szCs w:val="144"/>
          <w:highlight w:val="none"/>
          <w:lang w:val="en-US" w:eastAsia="zh-CN"/>
        </w:rPr>
      </w:pPr>
      <w:r>
        <w:rPr>
          <w:rFonts w:hint="eastAsia" w:ascii="宋体" w:hAnsi="宋体" w:eastAsia="宋体" w:cs="宋体"/>
          <w:b/>
          <w:bCs/>
          <w:color w:val="auto"/>
          <w:kern w:val="0"/>
          <w:sz w:val="144"/>
          <w:szCs w:val="144"/>
          <w:highlight w:val="none"/>
          <w:lang w:val="en-US" w:eastAsia="zh-CN"/>
        </w:rPr>
        <w:t>招 标 文 件</w:t>
      </w:r>
    </w:p>
    <w:p w14:paraId="46A30F40">
      <w:pPr>
        <w:jc w:val="center"/>
        <w:rPr>
          <w:rFonts w:hint="eastAsia" w:ascii="宋体" w:hAnsi="宋体" w:eastAsia="宋体" w:cs="宋体"/>
          <w:b/>
          <w:bCs/>
          <w:color w:val="auto"/>
          <w:kern w:val="0"/>
          <w:sz w:val="32"/>
          <w:szCs w:val="32"/>
          <w:highlight w:val="none"/>
        </w:rPr>
      </w:pPr>
    </w:p>
    <w:p w14:paraId="04AC926F">
      <w:pPr>
        <w:autoSpaceDN w:val="0"/>
        <w:spacing w:line="360" w:lineRule="auto"/>
        <w:jc w:val="center"/>
        <w:rPr>
          <w:rFonts w:hint="eastAsia" w:ascii="宋体" w:hAnsi="宋体" w:cs="宋体"/>
          <w:b/>
          <w:bCs/>
          <w:color w:val="auto"/>
          <w:kern w:val="0"/>
          <w:sz w:val="32"/>
          <w:szCs w:val="32"/>
          <w:highlight w:val="none"/>
          <w:lang w:val="en-US" w:eastAsia="zh-CN"/>
        </w:rPr>
      </w:pPr>
    </w:p>
    <w:p w14:paraId="16B5CFD9">
      <w:pPr>
        <w:autoSpaceDN w:val="0"/>
        <w:spacing w:line="360" w:lineRule="auto"/>
        <w:jc w:val="center"/>
        <w:rPr>
          <w:rFonts w:hint="default" w:ascii="宋体" w:hAnsi="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lang w:val="en-US" w:eastAsia="zh-CN"/>
        </w:rPr>
        <w:t>项目</w:t>
      </w:r>
      <w:r>
        <w:rPr>
          <w:rFonts w:hint="eastAsia" w:ascii="宋体" w:hAnsi="宋体" w:eastAsia="宋体" w:cs="宋体"/>
          <w:b/>
          <w:bCs/>
          <w:color w:val="auto"/>
          <w:kern w:val="0"/>
          <w:sz w:val="36"/>
          <w:szCs w:val="36"/>
          <w:highlight w:val="none"/>
          <w:lang w:val="en-US" w:eastAsia="zh-CN"/>
        </w:rPr>
        <w:t>编号：ZQGL[2025]-270</w:t>
      </w:r>
    </w:p>
    <w:p w14:paraId="67ABAC52">
      <w:pPr>
        <w:autoSpaceDN w:val="0"/>
        <w:spacing w:line="360" w:lineRule="auto"/>
        <w:jc w:val="center"/>
        <w:rPr>
          <w:rFonts w:hint="eastAsia" w:ascii="宋体" w:hAnsi="宋体" w:eastAsia="宋体" w:cs="宋体"/>
          <w:color w:val="auto"/>
          <w:sz w:val="20"/>
          <w:szCs w:val="20"/>
          <w:highlight w:val="none"/>
        </w:rPr>
      </w:pPr>
    </w:p>
    <w:p w14:paraId="31E7070A">
      <w:pPr>
        <w:autoSpaceDN w:val="0"/>
        <w:spacing w:line="360" w:lineRule="auto"/>
        <w:jc w:val="center"/>
        <w:rPr>
          <w:rFonts w:hint="eastAsia" w:ascii="宋体" w:hAnsi="宋体" w:eastAsia="宋体" w:cs="宋体"/>
          <w:color w:val="auto"/>
          <w:sz w:val="20"/>
          <w:szCs w:val="20"/>
          <w:highlight w:val="none"/>
        </w:rPr>
      </w:pPr>
    </w:p>
    <w:p w14:paraId="57A9009D">
      <w:pPr>
        <w:pStyle w:val="27"/>
        <w:spacing w:line="360" w:lineRule="auto"/>
        <w:jc w:val="center"/>
        <w:rPr>
          <w:rFonts w:hint="eastAsia" w:ascii="宋体" w:hAnsi="宋体" w:eastAsia="宋体" w:cs="宋体"/>
          <w:color w:val="auto"/>
          <w:sz w:val="22"/>
          <w:szCs w:val="28"/>
          <w:highlight w:val="none"/>
        </w:rPr>
      </w:pPr>
    </w:p>
    <w:p w14:paraId="35A9432F">
      <w:pPr>
        <w:pStyle w:val="27"/>
        <w:spacing w:line="360" w:lineRule="auto"/>
        <w:jc w:val="center"/>
        <w:rPr>
          <w:rFonts w:hint="eastAsia" w:ascii="宋体" w:hAnsi="宋体" w:eastAsia="宋体" w:cs="宋体"/>
          <w:color w:val="auto"/>
          <w:sz w:val="22"/>
          <w:szCs w:val="28"/>
          <w:highlight w:val="none"/>
        </w:rPr>
      </w:pPr>
    </w:p>
    <w:p w14:paraId="16949DB0">
      <w:pPr>
        <w:pStyle w:val="27"/>
        <w:spacing w:line="360" w:lineRule="auto"/>
        <w:ind w:left="0" w:leftChars="0" w:firstLine="0" w:firstLineChars="0"/>
        <w:jc w:val="both"/>
        <w:rPr>
          <w:rFonts w:hint="eastAsia" w:ascii="宋体" w:hAnsi="宋体" w:eastAsia="宋体" w:cs="宋体"/>
          <w:color w:val="auto"/>
          <w:sz w:val="22"/>
          <w:szCs w:val="28"/>
          <w:highlight w:val="none"/>
        </w:rPr>
      </w:pPr>
    </w:p>
    <w:p w14:paraId="5A5F1010">
      <w:pPr>
        <w:pStyle w:val="27"/>
        <w:spacing w:line="360" w:lineRule="auto"/>
        <w:ind w:left="0" w:leftChars="0" w:firstLine="0" w:firstLineChars="0"/>
        <w:jc w:val="both"/>
        <w:rPr>
          <w:rFonts w:hint="eastAsia" w:ascii="宋体" w:hAnsi="宋体" w:eastAsia="宋体" w:cs="宋体"/>
          <w:color w:val="auto"/>
          <w:sz w:val="22"/>
          <w:szCs w:val="28"/>
          <w:highlight w:val="none"/>
        </w:rPr>
      </w:pPr>
    </w:p>
    <w:p w14:paraId="67441C95">
      <w:pPr>
        <w:pStyle w:val="27"/>
        <w:spacing w:line="360" w:lineRule="auto"/>
        <w:ind w:left="0" w:leftChars="0" w:firstLine="0" w:firstLineChars="0"/>
        <w:jc w:val="both"/>
        <w:rPr>
          <w:rFonts w:hint="eastAsia" w:ascii="宋体" w:hAnsi="宋体" w:eastAsia="宋体" w:cs="宋体"/>
          <w:color w:val="auto"/>
          <w:sz w:val="22"/>
          <w:szCs w:val="28"/>
          <w:highlight w:val="none"/>
        </w:rPr>
      </w:pPr>
    </w:p>
    <w:p w14:paraId="440FBD00">
      <w:pPr>
        <w:pStyle w:val="27"/>
        <w:spacing w:line="360" w:lineRule="auto"/>
        <w:ind w:left="0" w:leftChars="0" w:firstLine="0" w:firstLineChars="0"/>
        <w:jc w:val="both"/>
        <w:rPr>
          <w:rFonts w:hint="eastAsia" w:ascii="宋体" w:hAnsi="宋体" w:eastAsia="宋体" w:cs="宋体"/>
          <w:color w:val="auto"/>
          <w:sz w:val="22"/>
          <w:szCs w:val="28"/>
          <w:highlight w:val="none"/>
        </w:rPr>
      </w:pPr>
    </w:p>
    <w:p w14:paraId="2AF15FBB">
      <w:pPr>
        <w:spacing w:line="480" w:lineRule="auto"/>
        <w:rPr>
          <w:rFonts w:hint="eastAsia" w:ascii="宋体" w:hAnsi="Calibri" w:eastAsia="宋体" w:cs="宋体"/>
          <w:b/>
          <w:bCs/>
          <w:color w:val="auto"/>
          <w:kern w:val="2"/>
          <w:sz w:val="36"/>
          <w:szCs w:val="36"/>
          <w:highlight w:val="none"/>
          <w:shd w:val="clear" w:color="auto" w:fill="auto"/>
          <w:lang w:val="en-US" w:eastAsia="zh-CN" w:bidi="ar-SA"/>
        </w:rPr>
      </w:pPr>
      <w:bookmarkStart w:id="4" w:name="_Toc98580389"/>
      <w:r>
        <w:rPr>
          <w:rFonts w:hint="eastAsia" w:ascii="宋体" w:hAnsi="Calibri" w:eastAsia="宋体" w:cs="宋体"/>
          <w:b/>
          <w:bCs/>
          <w:color w:val="auto"/>
          <w:kern w:val="2"/>
          <w:sz w:val="36"/>
          <w:szCs w:val="36"/>
          <w:highlight w:val="none"/>
          <w:shd w:val="clear" w:color="auto" w:fill="auto"/>
          <w:lang w:val="en-US" w:eastAsia="zh-CN" w:bidi="ar-SA"/>
        </w:rPr>
        <w:t xml:space="preserve">    采   购   人： 吉林省中医药科学院    </w:t>
      </w:r>
    </w:p>
    <w:p w14:paraId="0C82B47C">
      <w:pPr>
        <w:snapToGrid w:val="0"/>
        <w:spacing w:before="120" w:beforeLines="50" w:after="120" w:afterLines="50" w:line="480" w:lineRule="auto"/>
        <w:ind w:firstLine="723" w:firstLineChars="200"/>
        <w:jc w:val="left"/>
        <w:rPr>
          <w:rFonts w:ascii="宋体" w:cs="宋体"/>
          <w:b/>
          <w:bCs/>
          <w:color w:val="auto"/>
          <w:sz w:val="36"/>
          <w:szCs w:val="28"/>
          <w:highlight w:val="none"/>
          <w:shd w:val="clear" w:color="auto" w:fill="auto"/>
        </w:rPr>
      </w:pPr>
      <w:r>
        <w:rPr>
          <w:rFonts w:hint="eastAsia" w:ascii="宋体" w:hAnsi="Calibri" w:eastAsia="宋体" w:cs="宋体"/>
          <w:b/>
          <w:bCs/>
          <w:color w:val="auto"/>
          <w:kern w:val="2"/>
          <w:sz w:val="36"/>
          <w:szCs w:val="36"/>
          <w:highlight w:val="none"/>
          <w:shd w:val="clear" w:color="auto" w:fill="auto"/>
          <w:lang w:val="en-US" w:eastAsia="zh-CN" w:bidi="ar-SA"/>
        </w:rPr>
        <w:t xml:space="preserve">采购代理机构: 吉林省中旗项目管理有限公司   </w:t>
      </w:r>
    </w:p>
    <w:p w14:paraId="42723DD3">
      <w:pPr>
        <w:snapToGrid w:val="0"/>
        <w:spacing w:before="120" w:beforeLines="50" w:after="120" w:afterLines="50" w:line="480" w:lineRule="auto"/>
        <w:jc w:val="center"/>
        <w:rPr>
          <w:rFonts w:hint="eastAsia" w:ascii="宋体" w:hAnsi="宋体" w:eastAsia="宋体" w:cs="宋体"/>
          <w:b/>
          <w:bCs/>
          <w:color w:val="auto"/>
          <w:sz w:val="40"/>
          <w:szCs w:val="40"/>
          <w:highlight w:val="none"/>
        </w:rPr>
      </w:pPr>
      <w:r>
        <w:rPr>
          <w:rFonts w:hint="eastAsia" w:ascii="宋体" w:hAnsi="Calibri" w:eastAsia="宋体" w:cs="宋体"/>
          <w:b/>
          <w:bCs/>
          <w:color w:val="auto"/>
          <w:kern w:val="2"/>
          <w:sz w:val="36"/>
          <w:szCs w:val="36"/>
          <w:highlight w:val="none"/>
          <w:shd w:val="clear" w:color="auto" w:fill="auto"/>
          <w:lang w:val="en-US" w:eastAsia="zh-CN" w:bidi="ar-SA"/>
        </w:rPr>
        <w:t>二〇二五年</w:t>
      </w:r>
      <w:r>
        <w:rPr>
          <w:rFonts w:hint="eastAsia" w:ascii="宋体" w:hAnsi="Calibri" w:cs="宋体"/>
          <w:b/>
          <w:bCs/>
          <w:color w:val="auto"/>
          <w:kern w:val="2"/>
          <w:sz w:val="36"/>
          <w:szCs w:val="36"/>
          <w:highlight w:val="none"/>
          <w:shd w:val="clear" w:color="auto" w:fill="auto"/>
          <w:lang w:val="en-US" w:eastAsia="zh-CN" w:bidi="ar-SA"/>
        </w:rPr>
        <w:t>七</w:t>
      </w:r>
      <w:r>
        <w:rPr>
          <w:rFonts w:hint="eastAsia" w:ascii="宋体" w:hAnsi="Calibri" w:eastAsia="宋体" w:cs="宋体"/>
          <w:b/>
          <w:bCs/>
          <w:color w:val="auto"/>
          <w:kern w:val="2"/>
          <w:sz w:val="36"/>
          <w:szCs w:val="36"/>
          <w:highlight w:val="none"/>
          <w:shd w:val="clear" w:color="auto" w:fill="auto"/>
          <w:lang w:val="en-US" w:eastAsia="zh-CN" w:bidi="ar-SA"/>
        </w:rPr>
        <w:t>月</w:t>
      </w:r>
    </w:p>
    <w:p w14:paraId="2B579DD9">
      <w:pPr>
        <w:tabs>
          <w:tab w:val="left" w:pos="9379"/>
        </w:tabs>
        <w:autoSpaceDN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5529DAC4">
      <w:pPr>
        <w:tabs>
          <w:tab w:val="left" w:pos="9379"/>
        </w:tabs>
        <w:autoSpaceDN w:val="0"/>
        <w:spacing w:line="360" w:lineRule="auto"/>
        <w:jc w:val="center"/>
        <w:rPr>
          <w:rFonts w:hint="eastAsia" w:ascii="宋体" w:hAnsi="宋体" w:eastAsia="宋体" w:cs="宋体"/>
          <w:b/>
          <w:bCs/>
          <w:color w:val="auto"/>
          <w:sz w:val="36"/>
          <w:szCs w:val="36"/>
          <w:highlight w:val="none"/>
        </w:rPr>
      </w:pPr>
    </w:p>
    <w:p w14:paraId="1F53F61C">
      <w:pPr>
        <w:pStyle w:val="19"/>
        <w:tabs>
          <w:tab w:val="right" w:leader="dot" w:pos="8787"/>
        </w:tabs>
        <w:spacing w:line="720" w:lineRule="auto"/>
        <w:rPr>
          <w:sz w:val="28"/>
          <w:szCs w:val="28"/>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_Toc31917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_Toc31917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4DD4C800">
      <w:pPr>
        <w:pStyle w:val="19"/>
        <w:tabs>
          <w:tab w:val="right" w:leader="dot" w:pos="8787"/>
        </w:tabs>
        <w:spacing w:line="72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_Toc31706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rPr>
        <w:t>须知</w:t>
      </w:r>
      <w:r>
        <w:rPr>
          <w:sz w:val="28"/>
          <w:szCs w:val="28"/>
          <w:highlight w:val="none"/>
        </w:rPr>
        <w:tab/>
      </w:r>
      <w:r>
        <w:rPr>
          <w:rFonts w:hint="eastAsia"/>
          <w:sz w:val="28"/>
          <w:szCs w:val="28"/>
          <w:highlight w:val="none"/>
          <w:lang w:val="en-US" w:eastAsia="zh-CN"/>
        </w:rPr>
        <w:t>4</w:t>
      </w:r>
      <w:r>
        <w:rPr>
          <w:rFonts w:hint="eastAsia" w:ascii="宋体" w:hAnsi="宋体" w:eastAsia="宋体" w:cs="宋体"/>
          <w:color w:val="auto"/>
          <w:sz w:val="28"/>
          <w:szCs w:val="28"/>
          <w:highlight w:val="none"/>
        </w:rPr>
        <w:fldChar w:fldCharType="end"/>
      </w:r>
    </w:p>
    <w:p w14:paraId="71373D42">
      <w:pPr>
        <w:pStyle w:val="19"/>
        <w:tabs>
          <w:tab w:val="right" w:leader="dot" w:pos="8787"/>
        </w:tabs>
        <w:spacing w:line="72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_Toc22022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w:t>
      </w:r>
      <w:r>
        <w:rPr>
          <w:sz w:val="28"/>
          <w:szCs w:val="28"/>
          <w:highlight w:val="none"/>
        </w:rPr>
        <w:tab/>
      </w:r>
      <w:r>
        <w:rPr>
          <w:sz w:val="28"/>
          <w:szCs w:val="28"/>
          <w:highlight w:val="none"/>
        </w:rPr>
        <w:fldChar w:fldCharType="begin"/>
      </w:r>
      <w:r>
        <w:rPr>
          <w:sz w:val="28"/>
          <w:szCs w:val="28"/>
          <w:highlight w:val="none"/>
        </w:rPr>
        <w:instrText xml:space="preserve"> PAGEREF _Toc22022 \h </w:instrText>
      </w:r>
      <w:r>
        <w:rPr>
          <w:sz w:val="28"/>
          <w:szCs w:val="28"/>
          <w:highlight w:val="none"/>
        </w:rPr>
        <w:fldChar w:fldCharType="separate"/>
      </w:r>
      <w:r>
        <w:rPr>
          <w:sz w:val="28"/>
          <w:szCs w:val="28"/>
          <w:highlight w:val="none"/>
        </w:rPr>
        <w:t>1</w:t>
      </w:r>
      <w:r>
        <w:rPr>
          <w:rFonts w:hint="eastAsia"/>
          <w:sz w:val="28"/>
          <w:szCs w:val="28"/>
          <w:highlight w:val="none"/>
          <w:lang w:val="en-US" w:eastAsia="zh-CN"/>
        </w:rPr>
        <w:t>6</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1660146A">
      <w:pPr>
        <w:pStyle w:val="19"/>
        <w:tabs>
          <w:tab w:val="right" w:leader="dot" w:pos="8787"/>
        </w:tabs>
        <w:spacing w:line="720" w:lineRule="auto"/>
        <w:rPr>
          <w:rFonts w:hint="eastAsia" w:eastAsia="宋体"/>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_Toc25829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采购需求</w:t>
      </w:r>
      <w:r>
        <w:rPr>
          <w:sz w:val="28"/>
          <w:szCs w:val="28"/>
          <w:highlight w:val="none"/>
        </w:rPr>
        <w:tab/>
      </w:r>
      <w:r>
        <w:rPr>
          <w:rFonts w:hint="eastAsia"/>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14:paraId="43E3823D">
      <w:pPr>
        <w:pStyle w:val="19"/>
        <w:tabs>
          <w:tab w:val="right" w:leader="dot" w:pos="8787"/>
        </w:tabs>
        <w:spacing w:line="720" w:lineRule="auto"/>
        <w:rPr>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第五部分</w:t>
      </w:r>
      <w:r>
        <w:rPr>
          <w:rFonts w:hint="eastAsia" w:ascii="宋体" w:hAnsi="宋体" w:eastAsia="宋体" w:cs="宋体"/>
          <w:sz w:val="28"/>
          <w:szCs w:val="28"/>
          <w:highlight w:val="none"/>
          <w:lang w:val="en-US" w:eastAsia="zh-CN"/>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_Toc29783 \h </w:instrText>
      </w:r>
      <w:r>
        <w:rPr>
          <w:sz w:val="28"/>
          <w:szCs w:val="28"/>
          <w:highlight w:val="none"/>
        </w:rPr>
        <w:fldChar w:fldCharType="separate"/>
      </w:r>
      <w:r>
        <w:rPr>
          <w:sz w:val="28"/>
          <w:szCs w:val="28"/>
          <w:highlight w:val="none"/>
        </w:rPr>
        <w:t>4</w:t>
      </w:r>
      <w:r>
        <w:rPr>
          <w:rFonts w:hint="eastAsia"/>
          <w:sz w:val="28"/>
          <w:szCs w:val="28"/>
          <w:highlight w:val="none"/>
          <w:lang w:val="en-US" w:eastAsia="zh-CN"/>
        </w:rPr>
        <w:t>8</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2B2AAFBE">
      <w:pPr>
        <w:pStyle w:val="19"/>
        <w:tabs>
          <w:tab w:val="right" w:leader="dot" w:pos="8787"/>
        </w:tabs>
        <w:spacing w:line="720" w:lineRule="auto"/>
        <w:rPr>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_Toc22814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rPr>
        <w:t>第六部分</w:t>
      </w:r>
      <w:r>
        <w:rPr>
          <w:rFonts w:hint="eastAsia" w:ascii="宋体" w:hAnsi="宋体" w:eastAsia="宋体" w:cs="宋体"/>
          <w:bCs/>
          <w:kern w:val="44"/>
          <w:sz w:val="28"/>
          <w:szCs w:val="28"/>
          <w:highlight w:val="none"/>
          <w:lang w:val="en-US" w:eastAsia="zh-CN"/>
        </w:rPr>
        <w:t xml:space="preserve"> </w:t>
      </w:r>
      <w:r>
        <w:rPr>
          <w:rFonts w:hint="eastAsia" w:ascii="宋体" w:hAnsi="宋体" w:eastAsia="宋体" w:cs="宋体"/>
          <w:bCs/>
          <w:kern w:val="44"/>
          <w:sz w:val="28"/>
          <w:szCs w:val="28"/>
          <w:highlight w:val="none"/>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_Toc22814 \h </w:instrText>
      </w:r>
      <w:r>
        <w:rPr>
          <w:sz w:val="28"/>
          <w:szCs w:val="28"/>
          <w:highlight w:val="none"/>
        </w:rPr>
        <w:fldChar w:fldCharType="separate"/>
      </w:r>
      <w:r>
        <w:rPr>
          <w:sz w:val="28"/>
          <w:szCs w:val="28"/>
          <w:highlight w:val="none"/>
        </w:rPr>
        <w:t>4</w:t>
      </w:r>
      <w:r>
        <w:rPr>
          <w:rFonts w:hint="eastAsia"/>
          <w:sz w:val="28"/>
          <w:szCs w:val="28"/>
          <w:highlight w:val="none"/>
          <w:lang w:val="en-US" w:eastAsia="zh-CN"/>
        </w:rPr>
        <w:t>9</w:t>
      </w:r>
      <w:r>
        <w:rPr>
          <w:sz w:val="28"/>
          <w:szCs w:val="28"/>
          <w:highlight w:val="none"/>
        </w:rPr>
        <w:fldChar w:fldCharType="end"/>
      </w:r>
      <w:r>
        <w:rPr>
          <w:rFonts w:hint="eastAsia" w:ascii="宋体" w:hAnsi="宋体" w:eastAsia="宋体" w:cs="宋体"/>
          <w:color w:val="auto"/>
          <w:sz w:val="28"/>
          <w:szCs w:val="28"/>
          <w:highlight w:val="none"/>
        </w:rPr>
        <w:fldChar w:fldCharType="end"/>
      </w:r>
    </w:p>
    <w:p w14:paraId="12EEB79B">
      <w:pPr>
        <w:pStyle w:val="22"/>
        <w:tabs>
          <w:tab w:val="right" w:leader="dot" w:pos="8787"/>
        </w:tabs>
        <w:rPr>
          <w:highlight w:val="none"/>
        </w:rPr>
      </w:pPr>
    </w:p>
    <w:p w14:paraId="2AE38AF3">
      <w:pPr>
        <w:pStyle w:val="19"/>
        <w:tabs>
          <w:tab w:val="right" w:leader="dot" w:pos="8504"/>
        </w:tabs>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44B3ECCA">
      <w:pPr>
        <w:autoSpaceDN w:val="0"/>
        <w:spacing w:line="360" w:lineRule="auto"/>
        <w:ind w:left="420" w:leftChars="200" w:right="420" w:rightChars="200"/>
        <w:rPr>
          <w:rFonts w:hint="eastAsia" w:ascii="宋体" w:hAnsi="宋体" w:eastAsia="宋体" w:cs="宋体"/>
          <w:color w:val="auto"/>
          <w:sz w:val="28"/>
          <w:szCs w:val="28"/>
          <w:highlight w:val="none"/>
        </w:rPr>
      </w:pPr>
    </w:p>
    <w:bookmarkEnd w:id="4"/>
    <w:p w14:paraId="321DF39C">
      <w:pPr>
        <w:pStyle w:val="2"/>
        <w:autoSpaceDN w:val="0"/>
        <w:spacing w:before="0" w:after="0" w:line="360" w:lineRule="auto"/>
        <w:jc w:val="center"/>
        <w:rPr>
          <w:rFonts w:hint="eastAsia" w:ascii="宋体" w:hAnsi="宋体" w:eastAsia="宋体" w:cs="宋体"/>
          <w:color w:val="auto"/>
          <w:highlight w:val="none"/>
        </w:rPr>
        <w:sectPr>
          <w:pgSz w:w="11906" w:h="16838"/>
          <w:pgMar w:top="1418" w:right="1418" w:bottom="1418" w:left="1701" w:header="851" w:footer="851" w:gutter="0"/>
          <w:pgNumType w:start="1"/>
          <w:cols w:space="720" w:num="1"/>
          <w:docGrid w:linePitch="312" w:charSpace="0"/>
        </w:sectPr>
      </w:pPr>
    </w:p>
    <w:p w14:paraId="6886A03E">
      <w:pPr>
        <w:pStyle w:val="2"/>
        <w:autoSpaceDN w:val="0"/>
        <w:spacing w:before="0" w:after="0" w:line="360" w:lineRule="auto"/>
        <w:jc w:val="center"/>
        <w:rPr>
          <w:rFonts w:hint="eastAsia" w:ascii="宋体" w:hAnsi="宋体" w:eastAsia="宋体" w:cs="宋体"/>
          <w:color w:val="auto"/>
          <w:highlight w:val="none"/>
        </w:rPr>
      </w:pPr>
      <w:bookmarkStart w:id="5" w:name="_Toc31917"/>
      <w:bookmarkStart w:id="6" w:name="_Toc15421"/>
      <w:r>
        <w:rPr>
          <w:rFonts w:hint="eastAsia" w:ascii="宋体" w:hAnsi="宋体" w:eastAsia="宋体" w:cs="宋体"/>
          <w:color w:val="auto"/>
          <w:highlight w:val="none"/>
        </w:rPr>
        <w:t>第一部分 招标公告</w:t>
      </w:r>
      <w:bookmarkEnd w:id="5"/>
      <w:bookmarkEnd w:id="6"/>
    </w:p>
    <w:p w14:paraId="2CA5B3C6">
      <w:pPr>
        <w:autoSpaceDN w:val="0"/>
        <w:spacing w:line="360" w:lineRule="auto"/>
        <w:jc w:val="center"/>
        <w:rPr>
          <w:rFonts w:hint="eastAsia" w:ascii="宋体" w:hAnsi="宋体" w:eastAsia="宋体" w:cs="宋体"/>
          <w:b w:val="0"/>
          <w:color w:val="auto"/>
          <w:szCs w:val="32"/>
          <w:highlight w:val="none"/>
        </w:rPr>
      </w:pPr>
      <w:r>
        <w:rPr>
          <w:rFonts w:hint="eastAsia" w:ascii="宋体" w:hAnsi="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w:t>
      </w:r>
      <w:bookmarkStart w:id="7" w:name="blank24_copy_1619581275000"/>
      <w:r>
        <w:rPr>
          <w:rFonts w:hint="eastAsia" w:ascii="宋体" w:hAnsi="宋体" w:eastAsia="宋体" w:cs="宋体"/>
          <w:b/>
          <w:bCs/>
          <w:color w:val="auto"/>
          <w:kern w:val="0"/>
          <w:szCs w:val="21"/>
          <w:highlight w:val="none"/>
        </w:rPr>
        <w:t>资格后审</w:t>
      </w:r>
      <w:bookmarkEnd w:id="7"/>
      <w:r>
        <w:rPr>
          <w:rFonts w:hint="eastAsia" w:ascii="宋体" w:hAnsi="宋体" w:eastAsia="宋体" w:cs="宋体"/>
          <w:b/>
          <w:bCs/>
          <w:color w:val="auto"/>
          <w:szCs w:val="21"/>
          <w:highlight w:val="none"/>
        </w:rPr>
        <w:t>）</w:t>
      </w:r>
    </w:p>
    <w:p w14:paraId="475947A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D846BE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提升分级诊疗能力建设项目第二批</w:t>
      </w:r>
      <w:r>
        <w:rPr>
          <w:rFonts w:hint="eastAsia" w:ascii="宋体" w:hAnsi="宋体" w:eastAsia="宋体" w:cs="宋体"/>
          <w:sz w:val="21"/>
          <w:szCs w:val="21"/>
          <w:highlight w:val="none"/>
        </w:rPr>
        <w:t>的潜在</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“政采云”平台（http：//ww</w:t>
      </w:r>
      <w:r>
        <w:rPr>
          <w:rFonts w:hint="eastAsia" w:ascii="宋体" w:hAnsi="宋体" w:eastAsia="宋体" w:cs="宋体"/>
          <w:color w:val="auto"/>
          <w:sz w:val="21"/>
          <w:szCs w:val="21"/>
          <w:highlight w:val="none"/>
          <w:lang w:eastAsia="zh-CN"/>
        </w:rPr>
        <w:t>w.zcygov.cn）</w:t>
      </w:r>
      <w:r>
        <w:rPr>
          <w:rFonts w:hint="eastAsia" w:ascii="宋体" w:hAnsi="宋体" w:eastAsia="宋体" w:cs="宋体"/>
          <w:color w:val="auto"/>
          <w:sz w:val="21"/>
          <w:szCs w:val="21"/>
          <w:highlight w:val="none"/>
        </w:rPr>
        <w:t>获取招标文件，并于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6EA0B5D0">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p>
    <w:p w14:paraId="3BB11E7A">
      <w:pPr>
        <w:autoSpaceDN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项目编号：ZQGL[2025]-270</w:t>
      </w:r>
    </w:p>
    <w:p w14:paraId="76D00B89">
      <w:pPr>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采购计划编号：</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"https://pay.zcygov.cn/purchaseplan_front/" \l "/plan/list/view?id=1000000000016024819" \t "https://www.zcygov.cn/delegation-order/_procurement_/order/orderInfo/detail/_blank"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采购计划-[2025]-08000号</w:t>
      </w:r>
      <w:r>
        <w:rPr>
          <w:rFonts w:hint="eastAsia" w:ascii="宋体" w:hAnsi="宋体" w:eastAsia="宋体" w:cs="宋体"/>
          <w:color w:val="auto"/>
          <w:szCs w:val="21"/>
          <w:highlight w:val="none"/>
          <w:lang w:val="en-US" w:eastAsia="zh-CN"/>
        </w:rPr>
        <w:fldChar w:fldCharType="end"/>
      </w:r>
    </w:p>
    <w:p w14:paraId="3D549E16">
      <w:pPr>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项目名称：提升分级诊疗能力建设项目第二批；</w:t>
      </w:r>
    </w:p>
    <w:p w14:paraId="2ACC9F88">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132万</w:t>
      </w:r>
      <w:r>
        <w:rPr>
          <w:rFonts w:hint="eastAsia" w:ascii="宋体" w:hAnsi="宋体" w:eastAsia="宋体" w:cs="宋体"/>
          <w:color w:val="auto"/>
          <w:szCs w:val="21"/>
          <w:highlight w:val="none"/>
        </w:rPr>
        <w:t>元；</w:t>
      </w:r>
    </w:p>
    <w:p w14:paraId="2515B397">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r>
        <w:rPr>
          <w:rFonts w:hint="eastAsia" w:ascii="宋体" w:hAnsi="宋体" w:cs="宋体"/>
          <w:color w:val="auto"/>
          <w:szCs w:val="21"/>
          <w:highlight w:val="none"/>
          <w:lang w:val="en-US" w:eastAsia="zh-CN"/>
        </w:rPr>
        <w:t>132万</w:t>
      </w:r>
      <w:r>
        <w:rPr>
          <w:rFonts w:hint="eastAsia" w:ascii="宋体" w:hAnsi="宋体" w:eastAsia="宋体" w:cs="宋体"/>
          <w:color w:val="auto"/>
          <w:szCs w:val="21"/>
          <w:highlight w:val="none"/>
        </w:rPr>
        <w:t>元；</w:t>
      </w:r>
    </w:p>
    <w:p w14:paraId="67E0A1CC">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提升分级诊疗能力建设项目第二批</w:t>
      </w:r>
      <w:r>
        <w:rPr>
          <w:rFonts w:hint="eastAsia" w:ascii="宋体" w:hAnsi="宋体" w:eastAsia="宋体" w:cs="宋体"/>
          <w:color w:val="auto"/>
          <w:szCs w:val="21"/>
          <w:highlight w:val="none"/>
        </w:rPr>
        <w:t>，具体内容详见</w:t>
      </w:r>
      <w:r>
        <w:rPr>
          <w:rFonts w:hint="eastAsia" w:ascii="宋体" w:hAnsi="宋体" w:cs="宋体"/>
          <w:color w:val="auto"/>
          <w:szCs w:val="21"/>
          <w:highlight w:val="none"/>
          <w:lang w:eastAsia="zh-CN"/>
        </w:rPr>
        <w:t>采购需求</w:t>
      </w:r>
      <w:r>
        <w:rPr>
          <w:rFonts w:hint="eastAsia" w:ascii="宋体" w:hAnsi="宋体" w:eastAsia="宋体" w:cs="宋体"/>
          <w:color w:val="auto"/>
          <w:szCs w:val="21"/>
          <w:highlight w:val="none"/>
        </w:rPr>
        <w:t>；</w:t>
      </w:r>
    </w:p>
    <w:p w14:paraId="51D91F2E">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供货期</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签订合同后30日内</w:t>
      </w:r>
      <w:r>
        <w:rPr>
          <w:rFonts w:hint="default" w:ascii="宋体" w:hAnsi="宋体" w:eastAsia="宋体" w:cs="宋体"/>
          <w:color w:val="auto"/>
          <w:szCs w:val="21"/>
          <w:highlight w:val="none"/>
          <w:lang w:val="en-US" w:eastAsia="zh-CN"/>
        </w:rPr>
        <w:t>安装调试</w:t>
      </w:r>
      <w:r>
        <w:rPr>
          <w:rFonts w:hint="eastAsia" w:ascii="宋体" w:hAnsi="宋体" w:cs="宋体"/>
          <w:color w:val="auto"/>
          <w:szCs w:val="21"/>
          <w:highlight w:val="none"/>
          <w:lang w:val="en-US" w:eastAsia="zh-CN"/>
        </w:rPr>
        <w:t>完毕</w:t>
      </w:r>
      <w:r>
        <w:rPr>
          <w:rFonts w:hint="eastAsia" w:ascii="宋体" w:hAnsi="宋体" w:eastAsia="宋体" w:cs="宋体"/>
          <w:color w:val="auto"/>
          <w:szCs w:val="21"/>
          <w:highlight w:val="none"/>
        </w:rPr>
        <w:t>；</w:t>
      </w:r>
    </w:p>
    <w:p w14:paraId="4E66F3C0">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w:t>
      </w:r>
      <w:r>
        <w:rPr>
          <w:rFonts w:hint="eastAsia" w:ascii="宋体" w:hAnsi="宋体" w:cs="宋体"/>
          <w:color w:val="auto"/>
          <w:szCs w:val="21"/>
          <w:highlight w:val="none"/>
          <w:lang w:val="en-US" w:eastAsia="zh-CN"/>
        </w:rPr>
        <w:t>采购人指定地点</w:t>
      </w:r>
      <w:r>
        <w:rPr>
          <w:rFonts w:hint="eastAsia" w:ascii="宋体" w:hAnsi="宋体" w:eastAsia="宋体" w:cs="宋体"/>
          <w:color w:val="auto"/>
          <w:szCs w:val="21"/>
          <w:highlight w:val="none"/>
        </w:rPr>
        <w:t>。</w:t>
      </w:r>
    </w:p>
    <w:p w14:paraId="27D84D3B">
      <w:pPr>
        <w:autoSpaceDN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val="en-US" w:eastAsia="zh-CN"/>
        </w:rPr>
        <w:t>标准：符合国家及行业相关合格标准；</w:t>
      </w:r>
    </w:p>
    <w:p w14:paraId="597C04D3">
      <w:pPr>
        <w:autoSpaceDN w:val="0"/>
        <w:spacing w:line="360" w:lineRule="auto"/>
        <w:ind w:firstLine="420" w:firstLineChars="200"/>
        <w:rPr>
          <w:rFonts w:hint="eastAsia" w:ascii="宋体" w:hAnsi="宋体" w:eastAsia="宋体" w:cs="宋体"/>
          <w:color w:val="auto"/>
          <w:szCs w:val="21"/>
          <w:highlight w:val="none"/>
          <w:lang w:val="en-US" w:eastAsia="zh-CN"/>
        </w:rPr>
      </w:pPr>
      <w:bookmarkStart w:id="8" w:name="_Toc28359080"/>
      <w:bookmarkStart w:id="9" w:name="_Toc35393622"/>
      <w:bookmarkStart w:id="10" w:name="_Toc28359003"/>
      <w:bookmarkStart w:id="11" w:name="_Toc35393791"/>
      <w:r>
        <w:rPr>
          <w:rFonts w:hint="eastAsia" w:ascii="宋体" w:hAnsi="宋体" w:eastAsia="宋体" w:cs="宋体"/>
          <w:color w:val="auto"/>
          <w:szCs w:val="21"/>
          <w:highlight w:val="none"/>
          <w:lang w:val="en-US" w:eastAsia="zh-CN"/>
        </w:rPr>
        <w:t>本项目不接受联合体投标。</w:t>
      </w:r>
    </w:p>
    <w:p w14:paraId="285C1926">
      <w:pPr>
        <w:numPr>
          <w:ilvl w:val="0"/>
          <w:numId w:val="0"/>
        </w:numPr>
        <w:tabs>
          <w:tab w:val="left" w:pos="0"/>
        </w:tabs>
        <w:autoSpaceDN w:val="0"/>
        <w:spacing w:line="360" w:lineRule="auto"/>
        <w:ind w:left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申请人的资格要求：</w:t>
      </w:r>
      <w:bookmarkEnd w:id="8"/>
      <w:bookmarkEnd w:id="9"/>
      <w:bookmarkEnd w:id="10"/>
      <w:bookmarkEnd w:id="11"/>
    </w:p>
    <w:p w14:paraId="1B89332E">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2" w:name="_Toc35393792"/>
      <w:bookmarkStart w:id="13" w:name="_Toc28359081"/>
      <w:bookmarkStart w:id="14" w:name="_Toc28359004"/>
      <w:bookmarkStart w:id="15" w:name="_Toc35393623"/>
      <w:r>
        <w:rPr>
          <w:rFonts w:hint="eastAsia" w:ascii="宋体" w:hAnsi="宋体" w:eastAsia="宋体" w:cs="宋体"/>
          <w:color w:val="auto"/>
          <w:szCs w:val="21"/>
          <w:highlight w:val="none"/>
          <w:shd w:val="clear" w:color="auto" w:fill="FFFFFF"/>
        </w:rPr>
        <w:t>1.满足《中华人民共和国政府采购法》第二十二条规定；</w:t>
      </w:r>
    </w:p>
    <w:p w14:paraId="37749ACE">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2.落实政府采购政策需满足的资格要求：本项目</w:t>
      </w:r>
      <w:r>
        <w:rPr>
          <w:rFonts w:hint="eastAsia" w:ascii="宋体" w:hAnsi="宋体" w:cs="宋体"/>
          <w:color w:val="auto"/>
          <w:szCs w:val="21"/>
          <w:highlight w:val="none"/>
          <w:shd w:val="clear" w:color="auto" w:fill="FFFFFF"/>
          <w:lang w:val="en-US" w:eastAsia="zh-CN"/>
        </w:rPr>
        <w:t>非</w:t>
      </w:r>
      <w:r>
        <w:rPr>
          <w:rFonts w:hint="eastAsia" w:ascii="宋体" w:hAnsi="宋体" w:eastAsia="宋体" w:cs="宋体"/>
          <w:color w:val="auto"/>
          <w:szCs w:val="21"/>
          <w:highlight w:val="none"/>
          <w:shd w:val="clear" w:color="auto" w:fill="FFFFFF"/>
        </w:rPr>
        <w:t>专门面向中小企业采购</w:t>
      </w:r>
      <w:r>
        <w:rPr>
          <w:rFonts w:hint="eastAsia" w:ascii="宋体" w:hAnsi="宋体" w:cs="宋体"/>
          <w:color w:val="auto"/>
          <w:szCs w:val="21"/>
          <w:highlight w:val="none"/>
          <w:shd w:val="clear" w:color="auto" w:fill="FFFFFF"/>
          <w:lang w:eastAsia="zh-CN"/>
        </w:rPr>
        <w:t>；</w:t>
      </w:r>
    </w:p>
    <w:p w14:paraId="66AB4FC3">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3.本项目的特定资格要求：</w:t>
      </w:r>
    </w:p>
    <w:p w14:paraId="1A631097">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3.1</w:t>
      </w: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eastAsia="zh-CN"/>
        </w:rPr>
        <w:t>须是在中国境内注册具有独立承担民事责任能力的法人或其他组织形式，具备有效的营业执照，具备履行合同所必需的设备和专业技术能力；</w:t>
      </w:r>
    </w:p>
    <w:p w14:paraId="01094929">
      <w:pPr>
        <w:autoSpaceDN w:val="0"/>
        <w:spacing w:line="360" w:lineRule="auto"/>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①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5E474780">
      <w:pPr>
        <w:autoSpaceDN w:val="0"/>
        <w:spacing w:line="360" w:lineRule="auto"/>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②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629CDBFF">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1177483A">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3.2</w:t>
      </w:r>
      <w:r>
        <w:rPr>
          <w:rFonts w:hint="eastAsia" w:ascii="宋体" w:hAnsi="宋体" w:cs="宋体"/>
          <w:color w:val="auto"/>
          <w:szCs w:val="21"/>
          <w:highlight w:val="none"/>
          <w:shd w:val="clear" w:color="auto" w:fill="FFFFFF"/>
          <w:lang w:eastAsia="zh-CN"/>
        </w:rPr>
        <w:t>具有良好的商业信誉和健全的财务会计制度，提供近三年202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eastAsia="zh-CN"/>
        </w:rPr>
        <w:t>-202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eastAsia="zh-CN"/>
        </w:rPr>
        <w:t>年经会计师事务所审计的财务审计报告或财务报表</w:t>
      </w:r>
      <w:r>
        <w:rPr>
          <w:rFonts w:hint="eastAsia" w:ascii="宋体" w:hAnsi="宋体" w:cs="宋体"/>
          <w:color w:val="auto"/>
          <w:szCs w:val="21"/>
          <w:highlight w:val="none"/>
          <w:shd w:val="clear" w:color="auto" w:fill="FFFFFF"/>
          <w:lang w:val="en-US" w:eastAsia="zh-CN"/>
        </w:rPr>
        <w:t>（成立年限不足三年的提供成立之日起至2024年度的财务审计报告或财务报表；2024年12月31日后成立的公司提供加盖公章的财务状况良好承诺书）或开标日前三个月内由其基本账户银行开具的资信证明</w:t>
      </w:r>
      <w:r>
        <w:rPr>
          <w:rFonts w:hint="eastAsia" w:ascii="宋体" w:hAnsi="宋体" w:cs="宋体"/>
          <w:color w:val="auto"/>
          <w:szCs w:val="21"/>
          <w:highlight w:val="none"/>
          <w:shd w:val="clear" w:color="auto" w:fill="FFFFFF"/>
          <w:lang w:eastAsia="zh-CN"/>
        </w:rPr>
        <w:t>；</w:t>
      </w:r>
    </w:p>
    <w:p w14:paraId="774FDE32">
      <w:pPr>
        <w:autoSpaceDN w:val="0"/>
        <w:spacing w:line="360" w:lineRule="auto"/>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3.3具有</w:t>
      </w:r>
      <w:r>
        <w:rPr>
          <w:rFonts w:hint="eastAsia" w:ascii="宋体" w:hAnsi="宋体" w:eastAsia="宋体" w:cs="宋体"/>
          <w:color w:val="auto"/>
          <w:szCs w:val="21"/>
          <w:highlight w:val="none"/>
        </w:rPr>
        <w:t>依法缴纳税收和社会保障资金的良好记录，提供近</w:t>
      </w:r>
      <w:r>
        <w:rPr>
          <w:rFonts w:hint="eastAsia" w:ascii="宋体" w:hAnsi="宋体" w:cs="宋体"/>
          <w:color w:val="auto"/>
          <w:szCs w:val="21"/>
          <w:highlight w:val="none"/>
          <w:lang w:val="en-US" w:eastAsia="zh-CN"/>
        </w:rPr>
        <w:t>一年</w:t>
      </w:r>
      <w:r>
        <w:rPr>
          <w:rFonts w:hint="eastAsia" w:ascii="宋体" w:hAnsi="宋体" w:eastAsia="宋体" w:cs="宋体"/>
          <w:color w:val="auto"/>
          <w:szCs w:val="21"/>
          <w:highlight w:val="none"/>
        </w:rPr>
        <w:t>内任意一个月企业依法缴纳税收及社保的相关材料（依法免税或无欠税、依法不需要缴纳社会保险的，应提供相应文件证明其依法免税或无欠税、依法不需要缴纳社会保险）</w:t>
      </w:r>
      <w:r>
        <w:rPr>
          <w:rFonts w:hint="eastAsia" w:ascii="宋体" w:hAnsi="宋体" w:cs="宋体"/>
          <w:color w:val="auto"/>
          <w:szCs w:val="21"/>
          <w:highlight w:val="none"/>
          <w:lang w:eastAsia="zh-CN"/>
        </w:rPr>
        <w:t>；</w:t>
      </w:r>
    </w:p>
    <w:p w14:paraId="20CB0E42">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信誉要求：</w:t>
      </w:r>
      <w:r>
        <w:rPr>
          <w:rFonts w:hint="eastAsia" w:ascii="宋体" w:hAnsi="宋体" w:eastAsia="宋体" w:cs="宋体"/>
          <w:color w:val="auto"/>
          <w:szCs w:val="21"/>
          <w:highlight w:val="none"/>
          <w:shd w:val="clear" w:color="auto" w:fill="FFFFFF"/>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ascii="宋体" w:hAnsi="宋体" w:eastAsia="宋体" w:cs="宋体"/>
          <w:color w:val="auto"/>
          <w:szCs w:val="21"/>
          <w:highlight w:val="none"/>
          <w:shd w:val="clear" w:color="auto" w:fill="FFFFFF"/>
        </w:rPr>
        <w:t xml:space="preserve">； </w:t>
      </w:r>
    </w:p>
    <w:p w14:paraId="2BC066E4">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C675FDF">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三、获取招标文件</w:t>
      </w:r>
      <w:bookmarkEnd w:id="12"/>
      <w:bookmarkEnd w:id="13"/>
      <w:bookmarkEnd w:id="14"/>
      <w:bookmarkEnd w:id="15"/>
    </w:p>
    <w:p w14:paraId="4DABDEF6">
      <w:pPr>
        <w:autoSpaceDN w:val="0"/>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，每天8:30至16:00（北京时间，法定节假日除外）</w:t>
      </w:r>
      <w:r>
        <w:rPr>
          <w:rFonts w:hint="eastAsia" w:ascii="宋体" w:hAnsi="宋体" w:cs="宋体"/>
          <w:color w:val="auto"/>
          <w:szCs w:val="21"/>
          <w:highlight w:val="none"/>
          <w:lang w:eastAsia="zh-CN"/>
        </w:rPr>
        <w:t>。</w:t>
      </w:r>
    </w:p>
    <w:p w14:paraId="35A76986">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6" w:name="_Toc28359005"/>
      <w:bookmarkStart w:id="17" w:name="_Toc28359082"/>
      <w:bookmarkStart w:id="18" w:name="_Toc35393793"/>
      <w:bookmarkStart w:id="19" w:name="_Toc35393624"/>
      <w:r>
        <w:rPr>
          <w:rFonts w:hint="eastAsia" w:ascii="宋体" w:hAnsi="宋体" w:eastAsia="宋体" w:cs="宋体"/>
          <w:color w:val="auto"/>
          <w:szCs w:val="21"/>
          <w:highlight w:val="none"/>
          <w:shd w:val="clear" w:color="auto" w:fill="FFFFFF"/>
        </w:rPr>
        <w:t>方式：网上免费获取（潜在</w:t>
      </w: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rPr>
        <w:t>自行登录政府采购云平台（网址：http:// www.zcygov.cn）网上注册（https://middle.zcygov.cn/v-settle-front/registry）并下载招标文件，其他途径获取的招标文件开标时一律按无效投标处理）。</w:t>
      </w:r>
    </w:p>
    <w:p w14:paraId="32C12722">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w:t>
      </w:r>
      <w:bookmarkEnd w:id="16"/>
      <w:bookmarkEnd w:id="17"/>
      <w:r>
        <w:rPr>
          <w:rFonts w:hint="eastAsia" w:ascii="宋体" w:hAnsi="宋体" w:eastAsia="宋体" w:cs="宋体"/>
          <w:b/>
          <w:bCs/>
          <w:color w:val="auto"/>
          <w:szCs w:val="21"/>
          <w:highlight w:val="none"/>
        </w:rPr>
        <w:t>截止时间、开标时间和地点</w:t>
      </w:r>
      <w:bookmarkEnd w:id="18"/>
      <w:bookmarkEnd w:id="19"/>
    </w:p>
    <w:p w14:paraId="62F7A6B5">
      <w:pPr>
        <w:autoSpaceDN w:val="0"/>
        <w:spacing w:line="360" w:lineRule="auto"/>
        <w:ind w:firstLine="420" w:firstLineChars="200"/>
        <w:rPr>
          <w:rFonts w:hint="eastAsia" w:ascii="宋体" w:hAnsi="宋体" w:eastAsia="宋体" w:cs="宋体"/>
          <w:color w:val="auto"/>
          <w:kern w:val="0"/>
          <w:szCs w:val="21"/>
          <w:highlight w:val="none"/>
          <w:lang w:val="en-US" w:eastAsia="zh-CN"/>
        </w:rPr>
      </w:pPr>
      <w:bookmarkStart w:id="20" w:name="_Toc28359084"/>
      <w:bookmarkStart w:id="21" w:name="_Toc35393625"/>
      <w:bookmarkStart w:id="22" w:name="_Toc28359007"/>
      <w:bookmarkStart w:id="23" w:name="_Toc35393794"/>
      <w:r>
        <w:rPr>
          <w:rFonts w:hint="eastAsia" w:ascii="宋体" w:hAnsi="宋体" w:eastAsia="宋体" w:cs="宋体"/>
          <w:color w:val="auto"/>
          <w:kern w:val="0"/>
          <w:szCs w:val="21"/>
          <w:highlight w:val="none"/>
          <w:lang w:val="en-US" w:eastAsia="zh-CN"/>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kern w:val="0"/>
          <w:szCs w:val="21"/>
          <w:highlight w:val="none"/>
          <w:lang w:val="en-US" w:eastAsia="zh-CN"/>
        </w:rPr>
        <w:t>（北京时间）</w:t>
      </w:r>
      <w:r>
        <w:rPr>
          <w:rFonts w:hint="eastAsia" w:ascii="宋体" w:hAnsi="宋体" w:cs="宋体"/>
          <w:color w:val="auto"/>
          <w:kern w:val="0"/>
          <w:szCs w:val="21"/>
          <w:highlight w:val="none"/>
          <w:lang w:val="en-US" w:eastAsia="zh-CN"/>
        </w:rPr>
        <w:t>。</w:t>
      </w:r>
    </w:p>
    <w:p w14:paraId="6CB279FC">
      <w:pPr>
        <w:autoSpaceDN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地点：</w:t>
      </w:r>
      <w:r>
        <w:rPr>
          <w:rFonts w:hint="eastAsia" w:ascii="宋体" w:hAnsi="宋体" w:eastAsia="宋体" w:cs="宋体"/>
          <w:i w:val="0"/>
          <w:iCs w:val="0"/>
          <w:caps w:val="0"/>
          <w:color w:val="000000"/>
          <w:spacing w:val="0"/>
          <w:sz w:val="21"/>
          <w:szCs w:val="21"/>
          <w:highlight w:val="none"/>
        </w:rPr>
        <w:t>长春市高新区鸿达街248号吉林日报副楼4楼吉利招平台第</w:t>
      </w:r>
      <w:r>
        <w:rPr>
          <w:rFonts w:hint="eastAsia" w:ascii="宋体" w:hAnsi="宋体" w:cs="宋体"/>
          <w:i w:val="0"/>
          <w:iCs w:val="0"/>
          <w:caps w:val="0"/>
          <w:color w:val="000000"/>
          <w:spacing w:val="0"/>
          <w:sz w:val="21"/>
          <w:szCs w:val="21"/>
          <w:highlight w:val="none"/>
          <w:lang w:val="en-US" w:eastAsia="zh-CN"/>
        </w:rPr>
        <w:t>四</w:t>
      </w:r>
      <w:r>
        <w:rPr>
          <w:rFonts w:hint="eastAsia" w:ascii="宋体" w:hAnsi="宋体" w:eastAsia="宋体" w:cs="宋体"/>
          <w:i w:val="0"/>
          <w:iCs w:val="0"/>
          <w:caps w:val="0"/>
          <w:color w:val="000000"/>
          <w:spacing w:val="0"/>
          <w:sz w:val="21"/>
          <w:szCs w:val="21"/>
          <w:highlight w:val="none"/>
        </w:rPr>
        <w:t>开标室</w:t>
      </w:r>
      <w:r>
        <w:rPr>
          <w:rFonts w:hint="eastAsia" w:ascii="宋体" w:hAnsi="宋体" w:cs="宋体"/>
          <w:color w:val="auto"/>
          <w:kern w:val="0"/>
          <w:szCs w:val="21"/>
          <w:highlight w:val="none"/>
          <w:lang w:val="en-US" w:eastAsia="zh-CN"/>
        </w:rPr>
        <w:t>。</w:t>
      </w:r>
    </w:p>
    <w:p w14:paraId="759C7BB3">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bookmarkEnd w:id="20"/>
      <w:bookmarkEnd w:id="21"/>
      <w:bookmarkEnd w:id="22"/>
      <w:bookmarkEnd w:id="23"/>
    </w:p>
    <w:p w14:paraId="6346567F">
      <w:pPr>
        <w:autoSpaceDN w:val="0"/>
        <w:spacing w:line="360" w:lineRule="auto"/>
        <w:ind w:firstLine="420" w:firstLineChars="200"/>
        <w:rPr>
          <w:rFonts w:hint="eastAsia" w:ascii="宋体" w:hAnsi="宋体" w:eastAsia="宋体" w:cs="宋体"/>
          <w:color w:val="auto"/>
          <w:szCs w:val="21"/>
          <w:highlight w:val="none"/>
        </w:rPr>
      </w:pPr>
      <w:bookmarkStart w:id="24" w:name="_Hlk64709943"/>
      <w:bookmarkEnd w:id="24"/>
      <w:r>
        <w:rPr>
          <w:rFonts w:hint="eastAsia" w:ascii="宋体" w:hAnsi="宋体" w:eastAsia="宋体" w:cs="宋体"/>
          <w:color w:val="auto"/>
          <w:szCs w:val="21"/>
          <w:highlight w:val="none"/>
        </w:rPr>
        <w:t>自本公告发布之日起</w:t>
      </w:r>
      <w:bookmarkStart w:id="25" w:name="blank65"/>
      <w:r>
        <w:rPr>
          <w:rFonts w:hint="eastAsia" w:ascii="宋体" w:hAnsi="宋体" w:eastAsia="宋体" w:cs="宋体"/>
          <w:color w:val="auto"/>
          <w:szCs w:val="21"/>
          <w:highlight w:val="none"/>
        </w:rPr>
        <w:t>5</w:t>
      </w:r>
      <w:bookmarkEnd w:id="25"/>
      <w:r>
        <w:rPr>
          <w:rFonts w:hint="eastAsia" w:ascii="宋体" w:hAnsi="宋体" w:eastAsia="宋体" w:cs="宋体"/>
          <w:color w:val="auto"/>
          <w:szCs w:val="21"/>
          <w:highlight w:val="none"/>
        </w:rPr>
        <w:t>个工作日。</w:t>
      </w:r>
    </w:p>
    <w:p w14:paraId="1C88A8BB">
      <w:pPr>
        <w:autoSpaceDN w:val="0"/>
        <w:spacing w:line="360" w:lineRule="auto"/>
        <w:rPr>
          <w:rFonts w:hint="eastAsia" w:ascii="宋体" w:hAnsi="宋体" w:eastAsia="宋体" w:cs="宋体"/>
          <w:b/>
          <w:bCs/>
          <w:color w:val="auto"/>
          <w:szCs w:val="21"/>
          <w:highlight w:val="none"/>
        </w:rPr>
      </w:pPr>
      <w:bookmarkStart w:id="26" w:name="_Toc35393626"/>
      <w:bookmarkStart w:id="27" w:name="_Toc35393795"/>
      <w:r>
        <w:rPr>
          <w:rFonts w:hint="eastAsia" w:ascii="宋体" w:hAnsi="宋体" w:eastAsia="宋体" w:cs="宋体"/>
          <w:b/>
          <w:bCs/>
          <w:color w:val="auto"/>
          <w:szCs w:val="21"/>
          <w:highlight w:val="none"/>
        </w:rPr>
        <w:t>六、其他补充事宜</w:t>
      </w:r>
      <w:bookmarkEnd w:id="26"/>
      <w:bookmarkEnd w:id="27"/>
    </w:p>
    <w:p w14:paraId="09E641EB">
      <w:pPr>
        <w:pageBreakBefore w:val="0"/>
        <w:wordWrap/>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本次公告在“政采云”平台（http:// www.zcygov.cn）发布，同步推送到吉林省政府采购</w:t>
      </w:r>
    </w:p>
    <w:p w14:paraId="6F054315">
      <w:pPr>
        <w:pageBreakBefore w:val="0"/>
        <w:wordWrap/>
        <w:bidi w:val="0"/>
        <w:adjustRightInd w:val="0"/>
        <w:snapToGrid w:val="0"/>
        <w:spacing w:beforeAutospacing="0" w:afterAutospacing="0"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网（http://www.ccgp-jilin.gov.cn/）、中国政府采购网、长春市公共资源交易网上发布。</w:t>
      </w:r>
    </w:p>
    <w:p w14:paraId="0231B29D">
      <w:pPr>
        <w:autoSpaceDN w:val="0"/>
        <w:spacing w:line="360" w:lineRule="auto"/>
        <w:rPr>
          <w:rFonts w:hint="eastAsia" w:ascii="宋体" w:hAnsi="宋体" w:eastAsia="宋体" w:cs="宋体"/>
          <w:b/>
          <w:bCs/>
          <w:color w:val="auto"/>
          <w:szCs w:val="21"/>
          <w:highlight w:val="none"/>
        </w:rPr>
      </w:pPr>
      <w:bookmarkStart w:id="28" w:name="_Toc35393627"/>
      <w:bookmarkStart w:id="29" w:name="_Toc35393796"/>
      <w:bookmarkStart w:id="30" w:name="_Toc28359085"/>
      <w:bookmarkStart w:id="31" w:name="_Toc28359008"/>
      <w:r>
        <w:rPr>
          <w:rFonts w:hint="eastAsia" w:ascii="宋体" w:hAnsi="宋体" w:eastAsia="宋体" w:cs="宋体"/>
          <w:b/>
          <w:bCs/>
          <w:color w:val="auto"/>
          <w:szCs w:val="21"/>
          <w:highlight w:val="none"/>
        </w:rPr>
        <w:t>七、对本次招标提出询问，请按以下方式联系</w:t>
      </w:r>
      <w:bookmarkEnd w:id="28"/>
      <w:bookmarkEnd w:id="29"/>
      <w:bookmarkEnd w:id="30"/>
      <w:bookmarkEnd w:id="31"/>
    </w:p>
    <w:p w14:paraId="066954D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bookmarkStart w:id="32" w:name="_Toc12303"/>
      <w:r>
        <w:rPr>
          <w:rFonts w:hint="eastAsia" w:ascii="宋体" w:hAnsi="宋体" w:eastAsia="宋体" w:cs="宋体"/>
          <w:color w:val="auto"/>
          <w:kern w:val="0"/>
          <w:sz w:val="21"/>
          <w:szCs w:val="21"/>
          <w:highlight w:val="none"/>
          <w:lang w:val="en-US" w:eastAsia="zh-CN" w:bidi="ar-SA"/>
        </w:rPr>
        <w:t>1.采购人信息</w:t>
      </w:r>
    </w:p>
    <w:p w14:paraId="1C97C87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名    称：吉林省中医药科学院</w:t>
      </w:r>
    </w:p>
    <w:p w14:paraId="5441AC3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    址:长春市经济技术开发区自由大路6426号</w:t>
      </w:r>
    </w:p>
    <w:p w14:paraId="0AFF5E8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 系 电 话：李妍玲 0431-86766507　</w:t>
      </w:r>
    </w:p>
    <w:p w14:paraId="5FDD7C0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2.采购代理机构信息</w:t>
      </w:r>
    </w:p>
    <w:p w14:paraId="4E2BB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名     称：吉林省中旗项目管理有限公司   </w:t>
      </w:r>
    </w:p>
    <w:p w14:paraId="0D6BF47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地     址：</w:t>
      </w:r>
      <w:r>
        <w:rPr>
          <w:rFonts w:hint="eastAsia" w:ascii="宋体" w:hAnsi="宋体" w:eastAsia="宋体" w:cs="宋体"/>
          <w:color w:val="auto"/>
          <w:kern w:val="0"/>
          <w:sz w:val="21"/>
          <w:szCs w:val="21"/>
          <w:highlight w:val="none"/>
          <w:lang w:val="zh-CN" w:eastAsia="zh-CN" w:bidi="ar-SA"/>
        </w:rPr>
        <w:t>长春市南关区</w:t>
      </w:r>
      <w:r>
        <w:rPr>
          <w:rFonts w:hint="eastAsia" w:ascii="宋体" w:hAnsi="宋体" w:eastAsia="宋体" w:cs="宋体"/>
          <w:color w:val="auto"/>
          <w:kern w:val="0"/>
          <w:sz w:val="21"/>
          <w:szCs w:val="21"/>
          <w:highlight w:val="none"/>
          <w:lang w:val="en-US" w:eastAsia="zh-CN" w:bidi="ar-SA"/>
        </w:rPr>
        <w:t>国泰中心V6-108</w:t>
      </w:r>
    </w:p>
    <w:p w14:paraId="17E09B1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 系 电 话：孟野 13944899171</w:t>
      </w:r>
    </w:p>
    <w:p w14:paraId="177A4B53">
      <w:pPr>
        <w:rPr>
          <w:rFonts w:hint="eastAsia" w:ascii="宋体" w:hAnsi="宋体" w:eastAsia="宋体" w:cs="宋体"/>
          <w:color w:val="auto"/>
          <w:kern w:val="0"/>
          <w:sz w:val="21"/>
          <w:szCs w:val="21"/>
          <w:highlight w:val="none"/>
          <w:lang w:val="en-US" w:eastAsia="zh-CN" w:bidi="ar-SA"/>
        </w:rPr>
      </w:pPr>
    </w:p>
    <w:p w14:paraId="58FAF6BB">
      <w:pPr>
        <w:rPr>
          <w:rFonts w:hint="eastAsia" w:ascii="宋体" w:hAnsi="宋体" w:eastAsia="宋体" w:cs="宋体"/>
          <w:color w:val="auto"/>
          <w:kern w:val="0"/>
          <w:sz w:val="21"/>
          <w:szCs w:val="21"/>
          <w:highlight w:val="none"/>
          <w:lang w:val="en-US" w:eastAsia="zh-CN" w:bidi="ar-SA"/>
        </w:rPr>
      </w:pPr>
      <w:bookmarkStart w:id="33" w:name="_Toc31706"/>
      <w:r>
        <w:rPr>
          <w:rFonts w:hint="eastAsia" w:ascii="宋体" w:hAnsi="宋体" w:eastAsia="宋体" w:cs="宋体"/>
          <w:color w:val="auto"/>
          <w:kern w:val="0"/>
          <w:sz w:val="21"/>
          <w:szCs w:val="21"/>
          <w:highlight w:val="none"/>
          <w:lang w:val="en-US" w:eastAsia="zh-CN" w:bidi="ar-SA"/>
        </w:rPr>
        <w:br w:type="page"/>
      </w:r>
    </w:p>
    <w:p w14:paraId="2BF4A22F">
      <w:pPr>
        <w:pStyle w:val="2"/>
        <w:autoSpaceDN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第二部分 </w:t>
      </w: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highlight w:val="none"/>
        </w:rPr>
        <w:t>须知</w:t>
      </w:r>
      <w:bookmarkEnd w:id="32"/>
      <w:bookmarkEnd w:id="33"/>
    </w:p>
    <w:p w14:paraId="28EB921D">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34" w:name="_Toc13865"/>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bookmarkEnd w:id="34"/>
    </w:p>
    <w:tbl>
      <w:tblPr>
        <w:tblStyle w:val="29"/>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3BA16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E6AAB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21CBEB0D">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431E92B8">
            <w:pPr>
              <w:keepNext w:val="0"/>
              <w:keepLines w:val="0"/>
              <w:pageBreakBefore w:val="0"/>
              <w:tabs>
                <w:tab w:val="left" w:pos="1180"/>
              </w:tabs>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371EA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254779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527E6B0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43827D4C">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名   称：吉林省中医药科学院</w:t>
            </w:r>
          </w:p>
          <w:p w14:paraId="28D23FF5">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   址：长春市经济技术开发区自由大路6426号</w:t>
            </w:r>
          </w:p>
          <w:p w14:paraId="3B600092">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联系电话：李妍玲 0431-86766507　</w:t>
            </w:r>
          </w:p>
        </w:tc>
      </w:tr>
      <w:tr w14:paraId="59631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1E0C5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7D5C07DB">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1FA7A936">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名    称：吉林省中旗项目管理有限公司   </w:t>
            </w:r>
          </w:p>
          <w:p w14:paraId="145BC6FD">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    址：</w:t>
            </w:r>
            <w:r>
              <w:rPr>
                <w:rFonts w:hint="eastAsia" w:ascii="宋体" w:hAnsi="宋体" w:cs="宋体"/>
                <w:color w:val="auto"/>
                <w:szCs w:val="21"/>
                <w:highlight w:val="none"/>
                <w:lang w:val="zh-CN" w:eastAsia="zh-CN"/>
              </w:rPr>
              <w:t>长春市南关区</w:t>
            </w:r>
            <w:r>
              <w:rPr>
                <w:rFonts w:hint="eastAsia" w:ascii="宋体" w:hAnsi="宋体" w:cs="宋体"/>
                <w:color w:val="auto"/>
                <w:szCs w:val="21"/>
                <w:highlight w:val="none"/>
                <w:lang w:val="en-US" w:eastAsia="zh-CN"/>
              </w:rPr>
              <w:t xml:space="preserve">国泰中心V6-108 </w:t>
            </w:r>
          </w:p>
          <w:p w14:paraId="7A4B383D">
            <w:pPr>
              <w:keepNext w:val="0"/>
              <w:keepLines w:val="0"/>
              <w:pageBreakBefore w:val="0"/>
              <w:kinsoku/>
              <w:wordWrap/>
              <w:overflowPunct/>
              <w:autoSpaceDN w:val="0"/>
              <w:bidi w:val="0"/>
              <w:adjustRightInd w:val="0"/>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联系电话：孟野13944899171</w:t>
            </w:r>
          </w:p>
        </w:tc>
      </w:tr>
      <w:tr w14:paraId="3EF5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9A8FD2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6E8728DD">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2AA810A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提升分级诊疗能力建设项目第二批</w:t>
            </w:r>
          </w:p>
        </w:tc>
      </w:tr>
      <w:tr w14:paraId="787F9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C90B5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3519EDE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306C340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rPr>
              <w:t>项目编号：</w:t>
            </w:r>
            <w:r>
              <w:rPr>
                <w:rFonts w:hint="eastAsia" w:ascii="宋体" w:hAnsi="宋体" w:cs="宋体"/>
                <w:color w:val="auto"/>
                <w:szCs w:val="21"/>
                <w:highlight w:val="none"/>
                <w:lang w:val="en-US" w:eastAsia="zh-CN"/>
              </w:rPr>
              <w:t>ZQGL[2025]-270</w:t>
            </w:r>
          </w:p>
          <w:p w14:paraId="5B3B601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采购计划编号：</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"https://pay.zcygov.cn/purchaseplan_front/" \l "/plan/list/view?id=1000000000016024819" \t "https://www.zcygov.cn/delegation-order/_procurement_/order/orderInfo/detail/_blank"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采购计划-[2025]-08000号</w:t>
            </w:r>
            <w:r>
              <w:rPr>
                <w:rFonts w:hint="eastAsia" w:ascii="宋体" w:hAnsi="宋体" w:eastAsia="宋体" w:cs="宋体"/>
                <w:color w:val="auto"/>
                <w:szCs w:val="21"/>
                <w:highlight w:val="none"/>
                <w:lang w:val="en-US" w:eastAsia="zh-CN"/>
              </w:rPr>
              <w:fldChar w:fldCharType="end"/>
            </w:r>
          </w:p>
        </w:tc>
      </w:tr>
      <w:tr w14:paraId="3C995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B76EF6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484E7A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5F0EF71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cs="宋体"/>
                <w:bCs/>
                <w:color w:val="auto"/>
                <w:kern w:val="15"/>
                <w:szCs w:val="21"/>
                <w:highlight w:val="none"/>
                <w:lang w:val="en-US" w:eastAsia="zh-CN"/>
              </w:rPr>
              <w:t>132万</w:t>
            </w:r>
            <w:r>
              <w:rPr>
                <w:rFonts w:hint="eastAsia" w:ascii="宋体" w:hAnsi="宋体" w:eastAsia="宋体" w:cs="宋体"/>
                <w:color w:val="auto"/>
                <w:kern w:val="0"/>
                <w:szCs w:val="21"/>
                <w:highlight w:val="none"/>
              </w:rPr>
              <w:t>元</w:t>
            </w:r>
            <w:r>
              <w:rPr>
                <w:rFonts w:hint="eastAsia" w:ascii="宋体" w:hAnsi="宋体" w:eastAsia="宋体" w:cs="宋体"/>
                <w:bCs/>
                <w:color w:val="auto"/>
                <w:szCs w:val="21"/>
                <w:highlight w:val="none"/>
              </w:rPr>
              <w:t>。</w:t>
            </w:r>
          </w:p>
        </w:tc>
      </w:tr>
      <w:tr w14:paraId="59014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FD867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37CC41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lang w:val="en-US" w:eastAsia="zh-CN"/>
              </w:rPr>
              <w:t>服务</w:t>
            </w:r>
            <w:r>
              <w:rPr>
                <w:rFonts w:hint="eastAsia" w:ascii="宋体" w:hAnsi="宋体" w:eastAsia="宋体" w:cs="宋体"/>
                <w:bCs/>
                <w:color w:val="auto"/>
                <w:kern w:val="15"/>
                <w:szCs w:val="21"/>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32674832">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采购人指定地点。</w:t>
            </w:r>
          </w:p>
        </w:tc>
      </w:tr>
      <w:tr w14:paraId="79EBB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1BBF6E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443D692B">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6768256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5" w:name="blank16_copy_1619577590000"/>
            <w:r>
              <w:rPr>
                <w:rFonts w:hint="eastAsia" w:ascii="宋体" w:hAnsi="宋体" w:eastAsia="宋体" w:cs="宋体"/>
                <w:color w:val="auto"/>
                <w:kern w:val="0"/>
                <w:szCs w:val="21"/>
                <w:highlight w:val="none"/>
              </w:rPr>
              <w:t>具体详见招标文件；</w:t>
            </w:r>
            <w:bookmarkEnd w:id="35"/>
          </w:p>
        </w:tc>
      </w:tr>
      <w:tr w14:paraId="0F637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D49BF5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157097B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213B0D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bCs/>
                <w:color w:val="auto"/>
                <w:kern w:val="15"/>
                <w:szCs w:val="21"/>
                <w:highlight w:val="none"/>
              </w:rPr>
              <w:t>符合国家及行业相关合格标准</w:t>
            </w:r>
            <w:r>
              <w:rPr>
                <w:rFonts w:hint="eastAsia" w:ascii="宋体" w:hAnsi="宋体" w:cs="宋体"/>
                <w:bCs/>
                <w:color w:val="auto"/>
                <w:kern w:val="15"/>
                <w:szCs w:val="21"/>
                <w:highlight w:val="none"/>
                <w:lang w:eastAsia="zh-CN"/>
              </w:rPr>
              <w:t>。</w:t>
            </w:r>
          </w:p>
        </w:tc>
      </w:tr>
      <w:tr w14:paraId="585C3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2ECCA5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4BA1C0B2">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供货期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79AB0D6D">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签订合同后30日内</w:t>
            </w:r>
            <w:r>
              <w:rPr>
                <w:rFonts w:hint="default" w:ascii="宋体" w:hAnsi="宋体" w:eastAsia="宋体" w:cs="宋体"/>
                <w:color w:val="auto"/>
                <w:szCs w:val="21"/>
                <w:highlight w:val="none"/>
                <w:lang w:val="en-US" w:eastAsia="zh-CN"/>
              </w:rPr>
              <w:t>安装调试</w:t>
            </w:r>
            <w:r>
              <w:rPr>
                <w:rFonts w:hint="eastAsia" w:ascii="宋体" w:hAnsi="宋体" w:cs="宋体"/>
                <w:color w:val="auto"/>
                <w:szCs w:val="21"/>
                <w:highlight w:val="none"/>
                <w:lang w:val="en-US" w:eastAsia="zh-CN"/>
              </w:rPr>
              <w:t>完毕。</w:t>
            </w:r>
          </w:p>
        </w:tc>
      </w:tr>
      <w:tr w14:paraId="12CE6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FA2839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0A1586FB">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1963C51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财政</w:t>
            </w:r>
            <w:r>
              <w:rPr>
                <w:rFonts w:hint="eastAsia" w:ascii="宋体" w:hAnsi="宋体" w:eastAsia="宋体" w:cs="宋体"/>
                <w:bCs/>
                <w:color w:val="auto"/>
                <w:szCs w:val="21"/>
                <w:highlight w:val="none"/>
                <w:lang w:val="zh-CN"/>
              </w:rPr>
              <w:t>资金</w:t>
            </w:r>
            <w:r>
              <w:rPr>
                <w:rFonts w:hint="eastAsia" w:ascii="宋体" w:hAnsi="宋体" w:cs="宋体"/>
                <w:bCs/>
                <w:color w:val="auto"/>
                <w:szCs w:val="21"/>
                <w:highlight w:val="none"/>
                <w:lang w:val="zh-CN"/>
              </w:rPr>
              <w:t>。</w:t>
            </w:r>
          </w:p>
        </w:tc>
      </w:tr>
      <w:tr w14:paraId="7F563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3092035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1FA9EA3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08E2660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1.满足《中华人民共和国政府采购法》第二十二条规定；</w:t>
            </w:r>
          </w:p>
          <w:p w14:paraId="104404A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2.落实政府采购政策需满足的资格要求：本项目</w:t>
            </w:r>
            <w:r>
              <w:rPr>
                <w:rFonts w:hint="eastAsia" w:ascii="宋体" w:hAnsi="宋体" w:cs="宋体"/>
                <w:color w:val="auto"/>
                <w:szCs w:val="21"/>
                <w:highlight w:val="none"/>
                <w:shd w:val="clear" w:color="auto" w:fill="FFFFFF"/>
                <w:lang w:val="en-US" w:eastAsia="zh-CN"/>
              </w:rPr>
              <w:t>非</w:t>
            </w:r>
            <w:r>
              <w:rPr>
                <w:rFonts w:hint="eastAsia" w:ascii="宋体" w:hAnsi="宋体" w:eastAsia="宋体" w:cs="宋体"/>
                <w:color w:val="auto"/>
                <w:szCs w:val="21"/>
                <w:highlight w:val="none"/>
                <w:shd w:val="clear" w:color="auto" w:fill="FFFFFF"/>
              </w:rPr>
              <w:t xml:space="preserve">专门面向中小企业采购 </w:t>
            </w:r>
            <w:r>
              <w:rPr>
                <w:rFonts w:hint="eastAsia" w:ascii="宋体" w:hAnsi="宋体" w:cs="宋体"/>
                <w:color w:val="auto"/>
                <w:szCs w:val="21"/>
                <w:highlight w:val="none"/>
                <w:shd w:val="clear" w:color="auto" w:fill="FFFFFF"/>
                <w:lang w:eastAsia="zh-CN"/>
              </w:rPr>
              <w:t>；</w:t>
            </w:r>
          </w:p>
          <w:p w14:paraId="6CF7603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3.本项目的特定资格要求：</w:t>
            </w:r>
          </w:p>
          <w:p w14:paraId="4B43107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3.1</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shd w:val="clear" w:color="auto" w:fill="FFFFFF"/>
                <w:lang w:eastAsia="zh-CN"/>
              </w:rPr>
              <w:t>须是在中国境内注册具有独立承担民事责任能力的法人或其他组织形式，具备有效的营业执照，具备履行合同所必需的设备和专业技术能力；</w:t>
            </w:r>
          </w:p>
          <w:p w14:paraId="4FEBEC5F">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①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6F79DD9F">
            <w:pPr>
              <w:keepNext w:val="0"/>
              <w:keepLines w:val="0"/>
              <w:pageBreakBefore w:val="0"/>
              <w:kinsoku/>
              <w:wordWrap/>
              <w:overflowPunct/>
              <w:autoSpaceDN w:val="0"/>
              <w:bidi w:val="0"/>
              <w:adjustRightInd w:val="0"/>
              <w:snapToGrid w:val="0"/>
              <w:spacing w:line="400" w:lineRule="exact"/>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②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6D90E16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43184C9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3.2</w:t>
            </w:r>
            <w:r>
              <w:rPr>
                <w:rFonts w:hint="eastAsia" w:ascii="宋体" w:hAnsi="宋体" w:cs="宋体"/>
                <w:color w:val="auto"/>
                <w:szCs w:val="21"/>
                <w:highlight w:val="none"/>
                <w:shd w:val="clear" w:color="auto" w:fill="FFFFFF"/>
                <w:lang w:eastAsia="zh-CN"/>
              </w:rPr>
              <w:t>具有良好的商业信誉和健全的财务会计制度，提供近三年202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eastAsia="zh-CN"/>
              </w:rPr>
              <w:t>-202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eastAsia="zh-CN"/>
              </w:rPr>
              <w:t>年经会计师事务所审计的财务审计报告或财务报表</w:t>
            </w:r>
            <w:r>
              <w:rPr>
                <w:rFonts w:hint="eastAsia" w:ascii="宋体" w:hAnsi="宋体" w:cs="宋体"/>
                <w:color w:val="auto"/>
                <w:szCs w:val="21"/>
                <w:highlight w:val="none"/>
                <w:shd w:val="clear" w:color="auto" w:fill="FFFFFF"/>
                <w:lang w:val="en-US" w:eastAsia="zh-CN"/>
              </w:rPr>
              <w:t>（成立年限不足三年的提供成立之日起至2024年度的财务审计报告或财务报表；2024年12月31日后成立的公司提供加盖公章的财务状况良好承诺书）或开标日前三个月内由其基本账户银行开具的资信证明。</w:t>
            </w:r>
          </w:p>
          <w:p w14:paraId="46BB98F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3.3具有</w:t>
            </w:r>
            <w:r>
              <w:rPr>
                <w:rFonts w:hint="eastAsia" w:ascii="宋体" w:hAnsi="宋体" w:eastAsia="宋体" w:cs="宋体"/>
                <w:color w:val="auto"/>
                <w:szCs w:val="21"/>
                <w:highlight w:val="none"/>
                <w:shd w:val="clear" w:color="auto" w:fill="FFFFFF"/>
              </w:rPr>
              <w:t>依法缴纳税收和社会保障资金的良好记录，提供近</w:t>
            </w:r>
            <w:r>
              <w:rPr>
                <w:rFonts w:hint="eastAsia" w:ascii="宋体" w:hAnsi="宋体" w:cs="宋体"/>
                <w:color w:val="auto"/>
                <w:szCs w:val="21"/>
                <w:highlight w:val="none"/>
                <w:shd w:val="clear" w:color="auto" w:fill="FFFFFF"/>
                <w:lang w:val="en-US" w:eastAsia="zh-CN"/>
              </w:rPr>
              <w:t>一年</w:t>
            </w:r>
            <w:r>
              <w:rPr>
                <w:rFonts w:hint="eastAsia" w:ascii="宋体" w:hAnsi="宋体" w:eastAsia="宋体" w:cs="宋体"/>
                <w:color w:val="auto"/>
                <w:szCs w:val="21"/>
                <w:highlight w:val="none"/>
                <w:shd w:val="clear" w:color="auto" w:fill="FFFFFF"/>
              </w:rPr>
              <w:t>内任意一个月企业依法缴纳税收及社保的相关材料（依法免税或无欠税、依法不需要缴纳社会保险的，应提供相应文件证明其依法免税或无欠税、依法不需要缴纳社会保险）</w:t>
            </w:r>
            <w:r>
              <w:rPr>
                <w:rFonts w:hint="eastAsia" w:ascii="宋体" w:hAnsi="宋体" w:cs="宋体"/>
                <w:color w:val="auto"/>
                <w:szCs w:val="21"/>
                <w:highlight w:val="none"/>
                <w:shd w:val="clear" w:color="auto" w:fill="FFFFFF"/>
                <w:lang w:eastAsia="zh-CN"/>
              </w:rPr>
              <w:t>；</w:t>
            </w:r>
          </w:p>
          <w:p w14:paraId="416E9A7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信誉要求：</w:t>
            </w:r>
            <w:r>
              <w:rPr>
                <w:rFonts w:hint="eastAsia" w:ascii="宋体" w:hAnsi="宋体" w:eastAsia="宋体" w:cs="宋体"/>
                <w:color w:val="auto"/>
                <w:szCs w:val="21"/>
                <w:highlight w:val="none"/>
                <w:shd w:val="clear" w:color="auto" w:fill="FFFFFF"/>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ascii="宋体" w:hAnsi="宋体" w:eastAsia="宋体" w:cs="宋体"/>
                <w:color w:val="auto"/>
                <w:szCs w:val="21"/>
                <w:highlight w:val="none"/>
                <w:shd w:val="clear" w:color="auto" w:fill="FFFFFF"/>
              </w:rPr>
              <w:t>；</w:t>
            </w:r>
          </w:p>
          <w:p w14:paraId="7CE25BB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2668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1C405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42AE29B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2A19FC3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285FB5B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□是，接受</w:t>
            </w:r>
          </w:p>
          <w:p w14:paraId="7228506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√否，不接受</w:t>
            </w:r>
          </w:p>
        </w:tc>
      </w:tr>
      <w:tr w14:paraId="23359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8C4154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20AE60AF">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3583CFC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p w14:paraId="2793079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14:paraId="5405C15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踏勘集中地点：</w:t>
            </w:r>
          </w:p>
        </w:tc>
      </w:tr>
      <w:tr w14:paraId="2B9D5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2511B5D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680915EC">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w:t>
            </w:r>
          </w:p>
          <w:p w14:paraId="0D38B55F">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0D4776D2">
            <w:pPr>
              <w:pStyle w:val="9"/>
              <w:keepNext w:val="0"/>
              <w:keepLines w:val="0"/>
              <w:pageBreakBefore w:val="0"/>
              <w:kinsoku/>
              <w:wordWrap/>
              <w:overflowPunct/>
              <w:topLinePunct/>
              <w:autoSpaceDN w:val="0"/>
              <w:bidi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不召开</w:t>
            </w:r>
          </w:p>
          <w:p w14:paraId="14BBD0C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14:paraId="5B7ED2C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召开地点：</w:t>
            </w:r>
          </w:p>
        </w:tc>
      </w:tr>
      <w:tr w14:paraId="0B0A9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AF405E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5E59727C">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4689AAC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9DEA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7A383A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E0483F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2A54233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15"/>
                <w:szCs w:val="21"/>
                <w:highlight w:val="none"/>
              </w:rPr>
              <w:t>允许正偏离</w:t>
            </w:r>
          </w:p>
          <w:p w14:paraId="4C9D5F8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15"/>
                <w:szCs w:val="21"/>
                <w:highlight w:val="none"/>
              </w:rPr>
              <w:t>□不接受任何偏离</w:t>
            </w:r>
          </w:p>
        </w:tc>
      </w:tr>
      <w:tr w14:paraId="5E3E7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8F795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6AAD41E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w:t>
            </w:r>
          </w:p>
          <w:p w14:paraId="18DA3EF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440BC053">
            <w:pPr>
              <w:pStyle w:val="61"/>
              <w:keepNext w:val="0"/>
              <w:keepLines w:val="0"/>
              <w:pageBreakBefore w:val="0"/>
              <w:kinsoku/>
              <w:wordWrap/>
              <w:overflowPunct/>
              <w:autoSpaceDN w:val="0"/>
              <w:bidi w:val="0"/>
              <w:snapToGrid w:val="0"/>
              <w:spacing w:line="400" w:lineRule="exact"/>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p>
        </w:tc>
      </w:tr>
      <w:tr w14:paraId="6D66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7935C2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787B0C7E">
            <w:pPr>
              <w:keepNext w:val="0"/>
              <w:keepLines w:val="0"/>
              <w:pageBreakBefore w:val="0"/>
              <w:kinsoku/>
              <w:wordWrap/>
              <w:overflowPunct/>
              <w:autoSpaceDN w:val="0"/>
              <w:bidi w:val="0"/>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A59D50F">
            <w:pPr>
              <w:pageBreakBefore w:val="0"/>
              <w:numPr>
                <w:ilvl w:val="0"/>
                <w:numId w:val="0"/>
              </w:numPr>
              <w:wordWrap/>
              <w:autoSpaceDE w:val="0"/>
              <w:autoSpaceDN w:val="0"/>
              <w:bidi w:val="0"/>
              <w:adjustRightInd w:val="0"/>
              <w:snapToGrid w:val="0"/>
              <w:spacing w:beforeAutospacing="0" w:afterAutospacing="0"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en-US" w:eastAsia="zh-CN"/>
              </w:rPr>
              <w:t>按政府采购云平台（网址：http:// www.zcygov.cn）提供的格式及要求填写。</w:t>
            </w:r>
            <w:r>
              <w:rPr>
                <w:rFonts w:hint="eastAsia" w:ascii="宋体" w:hAnsi="宋体" w:eastAsia="宋体" w:cs="宋体"/>
                <w:bCs/>
                <w:color w:val="auto"/>
                <w:szCs w:val="21"/>
                <w:highlight w:val="none"/>
                <w:lang w:val="zh-CN"/>
              </w:rPr>
              <w:t>《响应文件格式》中凡要求签署和加盖公章的，均须由供应商的法定代表人或其授权代理人签字和加盖供应商公章。响应文件由法定代表人签署的，须与其企业法人营业执照相符；由授权代理人签署的，须提交以书面形式出具的《法定代表人授权书》。</w:t>
            </w:r>
          </w:p>
          <w:p w14:paraId="2344D9A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zh-CN"/>
              </w:rPr>
              <w:t>响应文件中如有修改错漏处，应在修改处加盖供应商公章。</w:t>
            </w:r>
          </w:p>
        </w:tc>
      </w:tr>
      <w:tr w14:paraId="6CAF1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387AB3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3759E8C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411E8E4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u w:val="single"/>
              </w:rPr>
              <w:t>90</w:t>
            </w:r>
            <w:r>
              <w:rPr>
                <w:rFonts w:hint="eastAsia" w:ascii="宋体" w:hAnsi="宋体" w:eastAsia="宋体" w:cs="宋体"/>
                <w:color w:val="auto"/>
                <w:szCs w:val="21"/>
                <w:highlight w:val="none"/>
              </w:rPr>
              <w:t>日历天（从投标截止之日算起）</w:t>
            </w:r>
            <w:r>
              <w:rPr>
                <w:rFonts w:hint="eastAsia" w:ascii="宋体" w:hAnsi="宋体" w:cs="宋体"/>
                <w:color w:val="auto"/>
                <w:szCs w:val="21"/>
                <w:highlight w:val="none"/>
                <w:lang w:eastAsia="zh-CN"/>
              </w:rPr>
              <w:t>。</w:t>
            </w:r>
          </w:p>
        </w:tc>
      </w:tr>
      <w:tr w14:paraId="448F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5A89F8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3C0FB99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63413E30">
            <w:pPr>
              <w:spacing w:before="37" w:line="240" w:lineRule="auto"/>
              <w:ind w:left="118"/>
              <w:rPr>
                <w:rFonts w:ascii="宋体" w:hAnsi="宋体" w:eastAsia="宋体" w:cs="宋体"/>
                <w:sz w:val="21"/>
                <w:szCs w:val="21"/>
                <w:highlight w:val="none"/>
              </w:rPr>
            </w:pPr>
            <w:r>
              <w:rPr>
                <w:rFonts w:ascii="宋体" w:hAnsi="宋体" w:eastAsia="宋体" w:cs="宋体"/>
                <w:spacing w:val="14"/>
                <w:sz w:val="21"/>
                <w:szCs w:val="21"/>
                <w:highlight w:val="none"/>
              </w:rPr>
              <w:t>是</w:t>
            </w:r>
            <w:r>
              <w:rPr>
                <w:rFonts w:ascii="宋体" w:hAnsi="宋体" w:eastAsia="宋体" w:cs="宋体"/>
                <w:spacing w:val="8"/>
                <w:sz w:val="21"/>
                <w:szCs w:val="21"/>
                <w:highlight w:val="none"/>
              </w:rPr>
              <w:t>否要求</w:t>
            </w:r>
            <w:r>
              <w:rPr>
                <w:rFonts w:hint="eastAsia" w:ascii="宋体" w:hAnsi="宋体" w:eastAsia="宋体" w:cs="宋体"/>
                <w:spacing w:val="8"/>
                <w:sz w:val="21"/>
                <w:szCs w:val="21"/>
                <w:highlight w:val="none"/>
                <w:lang w:eastAsia="zh-CN"/>
              </w:rPr>
              <w:t>供应商</w:t>
            </w:r>
            <w:r>
              <w:rPr>
                <w:rFonts w:ascii="宋体" w:hAnsi="宋体" w:eastAsia="宋体" w:cs="宋体"/>
                <w:spacing w:val="8"/>
                <w:sz w:val="21"/>
                <w:szCs w:val="21"/>
                <w:highlight w:val="none"/>
              </w:rPr>
              <w:t>递交投标保证金：</w:t>
            </w:r>
          </w:p>
          <w:p w14:paraId="77BA143D">
            <w:pPr>
              <w:spacing w:before="183" w:line="240" w:lineRule="auto"/>
              <w:ind w:left="139"/>
              <w:rPr>
                <w:rFonts w:ascii="宋体" w:hAnsi="宋体" w:eastAsia="宋体" w:cs="宋体"/>
                <w:sz w:val="21"/>
                <w:szCs w:val="21"/>
                <w:highlight w:val="none"/>
              </w:rPr>
            </w:pPr>
            <w:r>
              <w:rPr>
                <w:rFonts w:ascii="宋体" w:hAnsi="宋体" w:eastAsia="宋体" w:cs="宋体"/>
                <w:spacing w:val="12"/>
                <w:sz w:val="21"/>
                <w:szCs w:val="21"/>
                <w:highlight w:val="none"/>
              </w:rPr>
              <w:sym w:font="Wingdings" w:char="00FE"/>
            </w:r>
            <w:r>
              <w:rPr>
                <w:rFonts w:ascii="宋体" w:hAnsi="宋体" w:eastAsia="宋体" w:cs="宋体"/>
                <w:spacing w:val="8"/>
                <w:sz w:val="21"/>
                <w:szCs w:val="21"/>
                <w:highlight w:val="none"/>
              </w:rPr>
              <w:t>要</w:t>
            </w:r>
            <w:r>
              <w:rPr>
                <w:rFonts w:ascii="宋体" w:hAnsi="宋体" w:eastAsia="宋体" w:cs="宋体"/>
                <w:spacing w:val="6"/>
                <w:sz w:val="21"/>
                <w:szCs w:val="21"/>
                <w:highlight w:val="none"/>
              </w:rPr>
              <w:t>求，投标保证金的形式：</w:t>
            </w:r>
          </w:p>
          <w:p w14:paraId="6C1EAE8E">
            <w:pPr>
              <w:spacing w:before="180" w:line="240" w:lineRule="auto"/>
              <w:ind w:left="117"/>
              <w:rPr>
                <w:rFonts w:hint="eastAsia" w:ascii="宋体" w:hAnsi="宋体" w:eastAsia="宋体" w:cs="宋体"/>
                <w:sz w:val="21"/>
                <w:szCs w:val="21"/>
                <w:highlight w:val="none"/>
                <w:lang w:eastAsia="zh-CN"/>
              </w:rPr>
            </w:pPr>
            <w:r>
              <w:rPr>
                <w:rFonts w:ascii="宋体" w:hAnsi="宋体" w:eastAsia="宋体" w:cs="宋体"/>
                <w:spacing w:val="14"/>
                <w:sz w:val="21"/>
                <w:szCs w:val="21"/>
                <w:highlight w:val="none"/>
              </w:rPr>
              <w:t>投</w:t>
            </w:r>
            <w:r>
              <w:rPr>
                <w:rFonts w:ascii="宋体" w:hAnsi="宋体" w:eastAsia="宋体" w:cs="宋体"/>
                <w:spacing w:val="8"/>
                <w:sz w:val="21"/>
                <w:szCs w:val="21"/>
                <w:highlight w:val="none"/>
              </w:rPr>
              <w:t>标</w:t>
            </w:r>
            <w:r>
              <w:rPr>
                <w:rFonts w:ascii="宋体" w:hAnsi="宋体" w:eastAsia="宋体" w:cs="宋体"/>
                <w:spacing w:val="7"/>
                <w:sz w:val="21"/>
                <w:szCs w:val="21"/>
                <w:highlight w:val="none"/>
              </w:rPr>
              <w:t>保证金的金额：</w:t>
            </w:r>
            <w:r>
              <w:rPr>
                <w:rFonts w:hint="eastAsia" w:ascii="宋体" w:hAnsi="宋体" w:eastAsia="宋体" w:cs="宋体"/>
                <w:b/>
                <w:bCs w:val="0"/>
                <w:sz w:val="21"/>
                <w:szCs w:val="21"/>
                <w:highlight w:val="none"/>
                <w:lang w:val="en-US" w:eastAsia="zh-CN"/>
              </w:rPr>
              <w:t>20000元整</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lang w:val="en-US" w:eastAsia="zh-CN"/>
              </w:rPr>
              <w:t>￥</w:t>
            </w:r>
            <w:r>
              <w:rPr>
                <w:rFonts w:hint="eastAsia" w:ascii="宋体" w:hAnsi="宋体" w:eastAsia="宋体" w:cs="宋体"/>
                <w:b/>
                <w:bCs/>
                <w:spacing w:val="7"/>
                <w:sz w:val="21"/>
                <w:szCs w:val="21"/>
                <w:highlight w:val="none"/>
                <w:u w:val="single"/>
                <w:lang w:val="en-US" w:eastAsia="zh-CN"/>
              </w:rPr>
              <w:t>20000</w:t>
            </w:r>
            <w:r>
              <w:rPr>
                <w:rFonts w:hint="eastAsia" w:ascii="宋体" w:hAnsi="宋体" w:eastAsia="宋体" w:cs="宋体"/>
                <w:spacing w:val="7"/>
                <w:sz w:val="21"/>
                <w:szCs w:val="21"/>
                <w:highlight w:val="none"/>
                <w:u w:val="none"/>
                <w:lang w:val="en-US" w:eastAsia="zh-CN"/>
              </w:rPr>
              <w:t>元整</w:t>
            </w:r>
            <w:r>
              <w:rPr>
                <w:rFonts w:hint="eastAsia" w:ascii="宋体" w:hAnsi="宋体" w:eastAsia="宋体" w:cs="宋体"/>
                <w:spacing w:val="7"/>
                <w:sz w:val="21"/>
                <w:szCs w:val="21"/>
                <w:highlight w:val="none"/>
                <w:lang w:eastAsia="zh-CN"/>
              </w:rPr>
              <w:t>）。</w:t>
            </w:r>
          </w:p>
          <w:p w14:paraId="31222990">
            <w:pPr>
              <w:spacing w:before="182" w:line="240" w:lineRule="auto"/>
              <w:ind w:left="114" w:firstLine="2"/>
              <w:rPr>
                <w:rFonts w:ascii="宋体" w:hAnsi="宋体" w:eastAsia="宋体" w:cs="宋体"/>
                <w:sz w:val="21"/>
                <w:szCs w:val="21"/>
                <w:highlight w:val="none"/>
              </w:rPr>
            </w:pPr>
            <w:r>
              <w:rPr>
                <w:rFonts w:ascii="宋体" w:hAnsi="宋体" w:eastAsia="宋体" w:cs="宋体"/>
                <w:spacing w:val="13"/>
                <w:sz w:val="21"/>
                <w:szCs w:val="21"/>
                <w:highlight w:val="none"/>
              </w:rPr>
              <w:t>投</w:t>
            </w:r>
            <w:r>
              <w:rPr>
                <w:rFonts w:ascii="宋体" w:hAnsi="宋体" w:eastAsia="宋体" w:cs="宋体"/>
                <w:spacing w:val="9"/>
                <w:sz w:val="21"/>
                <w:szCs w:val="21"/>
                <w:highlight w:val="none"/>
              </w:rPr>
              <w:t>标保证金的形式：</w:t>
            </w:r>
            <w:r>
              <w:rPr>
                <w:rFonts w:hint="eastAsia" w:ascii="宋体" w:hAnsi="宋体" w:eastAsia="宋体" w:cs="宋体"/>
                <w:spacing w:val="9"/>
                <w:sz w:val="21"/>
                <w:szCs w:val="21"/>
                <w:highlight w:val="none"/>
                <w:lang w:eastAsia="zh-CN"/>
              </w:rPr>
              <w:t>供应商</w:t>
            </w:r>
            <w:r>
              <w:rPr>
                <w:rFonts w:ascii="宋体" w:hAnsi="宋体" w:eastAsia="宋体" w:cs="宋体"/>
                <w:spacing w:val="9"/>
                <w:sz w:val="21"/>
                <w:szCs w:val="21"/>
                <w:highlight w:val="none"/>
              </w:rPr>
              <w:t>递交投标保证金，其形式</w:t>
            </w:r>
            <w:r>
              <w:rPr>
                <w:rFonts w:ascii="宋体" w:hAnsi="宋体" w:eastAsia="宋体" w:cs="宋体"/>
                <w:spacing w:val="18"/>
                <w:sz w:val="21"/>
                <w:szCs w:val="21"/>
                <w:highlight w:val="none"/>
              </w:rPr>
              <w:t>应</w:t>
            </w:r>
            <w:r>
              <w:rPr>
                <w:rFonts w:ascii="宋体" w:hAnsi="宋体" w:eastAsia="宋体" w:cs="宋体"/>
                <w:spacing w:val="10"/>
                <w:sz w:val="21"/>
                <w:szCs w:val="21"/>
                <w:highlight w:val="none"/>
              </w:rPr>
              <w:t>包括现金，银行出具的现金支票、保兑支票、银行汇票</w:t>
            </w:r>
            <w:r>
              <w:rPr>
                <w:rFonts w:hint="eastAsia" w:ascii="宋体" w:hAnsi="宋体" w:eastAsia="宋体" w:cs="宋体"/>
                <w:spacing w:val="10"/>
                <w:sz w:val="21"/>
                <w:szCs w:val="21"/>
                <w:highlight w:val="none"/>
                <w:lang w:eastAsia="zh-CN"/>
              </w:rPr>
              <w:t>及</w:t>
            </w:r>
            <w:r>
              <w:rPr>
                <w:rFonts w:ascii="宋体" w:hAnsi="宋体" w:eastAsia="宋体" w:cs="宋体"/>
                <w:spacing w:val="17"/>
                <w:sz w:val="21"/>
                <w:szCs w:val="21"/>
                <w:highlight w:val="none"/>
              </w:rPr>
              <w:t>银</w:t>
            </w:r>
            <w:r>
              <w:rPr>
                <w:rFonts w:ascii="宋体" w:hAnsi="宋体" w:eastAsia="宋体" w:cs="宋体"/>
                <w:spacing w:val="10"/>
                <w:sz w:val="21"/>
                <w:szCs w:val="21"/>
                <w:highlight w:val="none"/>
              </w:rPr>
              <w:t>行</w:t>
            </w:r>
            <w:r>
              <w:rPr>
                <w:rFonts w:hint="eastAsia" w:ascii="宋体" w:hAnsi="宋体" w:eastAsia="宋体" w:cs="宋体"/>
                <w:spacing w:val="10"/>
                <w:sz w:val="21"/>
                <w:szCs w:val="21"/>
                <w:highlight w:val="none"/>
                <w:lang w:eastAsia="zh-CN"/>
              </w:rPr>
              <w:t>、</w:t>
            </w:r>
            <w:r>
              <w:rPr>
                <w:rFonts w:ascii="宋体" w:hAnsi="宋体" w:eastAsia="宋体" w:cs="宋体"/>
                <w:spacing w:val="10"/>
                <w:sz w:val="21"/>
                <w:szCs w:val="21"/>
                <w:highlight w:val="none"/>
              </w:rPr>
              <w:t>专业担保公司出具的保函，以现金或支票形式提交的</w:t>
            </w:r>
            <w:r>
              <w:rPr>
                <w:rFonts w:ascii="宋体" w:hAnsi="宋体" w:eastAsia="宋体" w:cs="宋体"/>
                <w:spacing w:val="16"/>
                <w:sz w:val="21"/>
                <w:szCs w:val="21"/>
                <w:highlight w:val="none"/>
              </w:rPr>
              <w:t>投</w:t>
            </w:r>
            <w:r>
              <w:rPr>
                <w:rFonts w:ascii="宋体" w:hAnsi="宋体" w:eastAsia="宋体" w:cs="宋体"/>
                <w:spacing w:val="9"/>
                <w:sz w:val="21"/>
                <w:szCs w:val="21"/>
                <w:highlight w:val="none"/>
              </w:rPr>
              <w:t>标保证金应当从投标单位的基本账户转出。</w:t>
            </w:r>
            <w:r>
              <w:rPr>
                <w:rFonts w:hint="eastAsia" w:ascii="宋体" w:hAnsi="宋体" w:eastAsia="宋体" w:cs="宋体"/>
                <w:spacing w:val="10"/>
                <w:sz w:val="21"/>
                <w:szCs w:val="21"/>
                <w:highlight w:val="none"/>
                <w:lang w:eastAsia="zh-CN"/>
              </w:rPr>
              <w:t>供应商</w:t>
            </w:r>
            <w:r>
              <w:rPr>
                <w:rFonts w:ascii="宋体" w:hAnsi="宋体" w:eastAsia="宋体" w:cs="宋体"/>
                <w:spacing w:val="10"/>
                <w:sz w:val="21"/>
                <w:szCs w:val="21"/>
                <w:highlight w:val="none"/>
              </w:rPr>
              <w:t>应在投标截止</w:t>
            </w:r>
            <w:r>
              <w:rPr>
                <w:rFonts w:ascii="宋体" w:hAnsi="宋体" w:eastAsia="宋体" w:cs="宋体"/>
                <w:spacing w:val="15"/>
                <w:sz w:val="21"/>
                <w:szCs w:val="21"/>
                <w:highlight w:val="none"/>
              </w:rPr>
              <w:t>时</w:t>
            </w:r>
            <w:r>
              <w:rPr>
                <w:rFonts w:ascii="宋体" w:hAnsi="宋体" w:eastAsia="宋体" w:cs="宋体"/>
                <w:spacing w:val="10"/>
                <w:sz w:val="21"/>
                <w:szCs w:val="21"/>
                <w:highlight w:val="none"/>
              </w:rPr>
              <w:t>间前完成缴纳，以到账为准，并备注项目名称。若在规定</w:t>
            </w:r>
            <w:r>
              <w:rPr>
                <w:rFonts w:ascii="宋体" w:hAnsi="宋体" w:eastAsia="宋体" w:cs="宋体"/>
                <w:spacing w:val="15"/>
                <w:sz w:val="21"/>
                <w:szCs w:val="21"/>
                <w:highlight w:val="none"/>
              </w:rPr>
              <w:t>时</w:t>
            </w:r>
            <w:r>
              <w:rPr>
                <w:rFonts w:ascii="宋体" w:hAnsi="宋体" w:eastAsia="宋体" w:cs="宋体"/>
                <w:spacing w:val="10"/>
                <w:sz w:val="21"/>
                <w:szCs w:val="21"/>
                <w:highlight w:val="none"/>
              </w:rPr>
              <w:t>间前，投标保证金未能到帐，该</w:t>
            </w:r>
            <w:r>
              <w:rPr>
                <w:rFonts w:hint="eastAsia" w:ascii="宋体" w:hAnsi="宋体" w:eastAsia="宋体" w:cs="宋体"/>
                <w:spacing w:val="10"/>
                <w:sz w:val="21"/>
                <w:szCs w:val="21"/>
                <w:highlight w:val="none"/>
                <w:lang w:val="en-US" w:eastAsia="zh-CN"/>
              </w:rPr>
              <w:t>供应商</w:t>
            </w:r>
            <w:r>
              <w:rPr>
                <w:rFonts w:ascii="宋体" w:hAnsi="宋体" w:eastAsia="宋体" w:cs="宋体"/>
                <w:spacing w:val="10"/>
                <w:sz w:val="21"/>
                <w:szCs w:val="21"/>
                <w:highlight w:val="none"/>
              </w:rPr>
              <w:t>将被视为放弃本次</w:t>
            </w:r>
            <w:r>
              <w:rPr>
                <w:rFonts w:ascii="宋体" w:hAnsi="宋体" w:eastAsia="宋体" w:cs="宋体"/>
                <w:spacing w:val="2"/>
                <w:sz w:val="21"/>
                <w:szCs w:val="21"/>
                <w:highlight w:val="none"/>
              </w:rPr>
              <w:t>投标。</w:t>
            </w:r>
            <w:r>
              <w:rPr>
                <w:rFonts w:ascii="宋体" w:hAnsi="宋体" w:eastAsia="宋体" w:cs="宋体"/>
                <w:spacing w:val="9"/>
                <w:sz w:val="21"/>
                <w:szCs w:val="21"/>
                <w:highlight w:val="none"/>
              </w:rPr>
              <w:t xml:space="preserve">  </w:t>
            </w:r>
          </w:p>
          <w:p w14:paraId="54E043A5">
            <w:pPr>
              <w:spacing w:line="340" w:lineRule="exact"/>
              <w:rPr>
                <w:rFonts w:hint="eastAsia" w:ascii="宋体" w:hAnsi="宋体" w:eastAsia="宋体" w:cs="宋体"/>
                <w:b/>
                <w:bCs w:val="0"/>
                <w:sz w:val="21"/>
                <w:szCs w:val="21"/>
                <w:highlight w:val="none"/>
                <w:lang w:val="zh-CN" w:eastAsia="zh-CN"/>
              </w:rPr>
            </w:pPr>
            <w:r>
              <w:rPr>
                <w:rFonts w:hint="eastAsia" w:ascii="宋体" w:hAnsi="宋体" w:eastAsia="宋体" w:cs="宋体"/>
                <w:b/>
                <w:bCs w:val="0"/>
                <w:sz w:val="21"/>
                <w:szCs w:val="21"/>
                <w:highlight w:val="none"/>
                <w:lang w:val="zh-CN"/>
              </w:rPr>
              <w:t>收款人全称：吉林省中旗项目管理有限公司</w:t>
            </w:r>
          </w:p>
          <w:p w14:paraId="7F1453E3">
            <w:pPr>
              <w:spacing w:line="340" w:lineRule="exact"/>
              <w:rPr>
                <w:rFonts w:hint="default"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zh-CN"/>
              </w:rPr>
              <w:t>帐   号：</w:t>
            </w:r>
            <w:r>
              <w:rPr>
                <w:rFonts w:hint="eastAsia" w:ascii="宋体" w:hAnsi="宋体" w:eastAsia="宋体" w:cs="宋体"/>
                <w:b/>
                <w:bCs w:val="0"/>
                <w:sz w:val="21"/>
                <w:szCs w:val="21"/>
                <w:highlight w:val="none"/>
                <w:lang w:val="en-US" w:eastAsia="zh-CN"/>
              </w:rPr>
              <w:t>158854029905</w:t>
            </w:r>
          </w:p>
          <w:p w14:paraId="3192350E">
            <w:pPr>
              <w:spacing w:line="340" w:lineRule="exact"/>
              <w:rPr>
                <w:rFonts w:hint="eastAsia" w:ascii="宋体" w:hAnsi="宋体" w:eastAsia="宋体" w:cs="宋体"/>
                <w:b/>
                <w:bCs w:val="0"/>
                <w:sz w:val="21"/>
                <w:szCs w:val="21"/>
                <w:highlight w:val="none"/>
                <w:lang w:val="zh-CN"/>
              </w:rPr>
            </w:pPr>
            <w:r>
              <w:rPr>
                <w:rFonts w:hint="eastAsia" w:ascii="宋体" w:hAnsi="宋体" w:eastAsia="宋体" w:cs="宋体"/>
                <w:b/>
                <w:bCs w:val="0"/>
                <w:sz w:val="21"/>
                <w:szCs w:val="21"/>
                <w:highlight w:val="none"/>
                <w:lang w:val="zh-CN"/>
              </w:rPr>
              <w:t>开户银行：中国银行</w:t>
            </w:r>
            <w:r>
              <w:rPr>
                <w:rFonts w:hint="eastAsia" w:ascii="宋体" w:hAnsi="宋体" w:eastAsia="宋体" w:cs="宋体"/>
                <w:b/>
                <w:bCs w:val="0"/>
                <w:sz w:val="21"/>
                <w:szCs w:val="21"/>
                <w:highlight w:val="none"/>
                <w:lang w:val="en-US" w:eastAsia="zh-CN"/>
              </w:rPr>
              <w:t>延吉延西街</w:t>
            </w:r>
            <w:r>
              <w:rPr>
                <w:rFonts w:hint="eastAsia" w:ascii="宋体" w:hAnsi="宋体" w:eastAsia="宋体" w:cs="宋体"/>
                <w:b/>
                <w:bCs w:val="0"/>
                <w:sz w:val="21"/>
                <w:szCs w:val="21"/>
                <w:highlight w:val="none"/>
                <w:lang w:val="zh-CN"/>
              </w:rPr>
              <w:t>支行</w:t>
            </w:r>
          </w:p>
          <w:p w14:paraId="2D8B1126">
            <w:pPr>
              <w:pStyle w:val="7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Cs w:val="21"/>
                <w:highlight w:val="none"/>
              </w:rPr>
            </w:pPr>
            <w:r>
              <w:rPr>
                <w:rFonts w:hint="eastAsia" w:ascii="宋体" w:hAnsi="宋体" w:eastAsia="宋体" w:cs="宋体"/>
                <w:bCs/>
                <w:sz w:val="21"/>
                <w:szCs w:val="21"/>
                <w:highlight w:val="none"/>
                <w:lang w:val="zh-CN"/>
              </w:rPr>
              <w:t>注：</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lang w:val="zh-CN"/>
              </w:rPr>
              <w:t>保证金应从其基本账户转出，在开标前提交，以到帐为准。</w:t>
            </w:r>
            <w:r>
              <w:rPr>
                <w:rFonts w:hint="eastAsia" w:ascii="宋体" w:hAnsi="宋体" w:eastAsia="宋体" w:cs="宋体"/>
                <w:bCs/>
                <w:sz w:val="21"/>
                <w:szCs w:val="21"/>
                <w:highlight w:val="none"/>
                <w:lang w:val="en-US" w:eastAsia="zh-CN"/>
              </w:rPr>
              <w:t>响应文件</w:t>
            </w:r>
            <w:r>
              <w:rPr>
                <w:rFonts w:hint="eastAsia" w:ascii="宋体" w:hAnsi="宋体" w:eastAsia="宋体" w:cs="宋体"/>
                <w:bCs/>
                <w:sz w:val="21"/>
                <w:szCs w:val="21"/>
                <w:highlight w:val="none"/>
                <w:lang w:val="zh-CN"/>
              </w:rPr>
              <w:t>中须提供转款单位转款凭证复印件。</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lang w:val="zh-CN"/>
              </w:rPr>
              <w:t>保证金是</w:t>
            </w:r>
            <w:r>
              <w:rPr>
                <w:rFonts w:hint="eastAsia" w:ascii="宋体" w:hAnsi="宋体" w:eastAsia="宋体" w:cs="宋体"/>
                <w:bCs/>
                <w:sz w:val="21"/>
                <w:szCs w:val="21"/>
                <w:highlight w:val="none"/>
                <w:lang w:val="en-US" w:eastAsia="zh-CN"/>
              </w:rPr>
              <w:t>响应</w:t>
            </w:r>
            <w:r>
              <w:rPr>
                <w:rFonts w:hint="eastAsia" w:ascii="宋体" w:hAnsi="宋体" w:eastAsia="宋体" w:cs="宋体"/>
                <w:bCs/>
                <w:sz w:val="21"/>
                <w:szCs w:val="21"/>
                <w:highlight w:val="none"/>
                <w:lang w:val="zh-CN"/>
              </w:rPr>
              <w:t>文件的组成部分，未按要求提交的，视为放弃投标，采购人将不接受其</w:t>
            </w:r>
            <w:r>
              <w:rPr>
                <w:rFonts w:hint="eastAsia" w:ascii="宋体" w:hAnsi="宋体" w:eastAsia="宋体" w:cs="宋体"/>
                <w:bCs/>
                <w:sz w:val="21"/>
                <w:szCs w:val="21"/>
                <w:highlight w:val="none"/>
                <w:lang w:val="en-US" w:eastAsia="zh-CN"/>
              </w:rPr>
              <w:t>响应</w:t>
            </w:r>
            <w:r>
              <w:rPr>
                <w:rFonts w:hint="eastAsia" w:ascii="宋体" w:hAnsi="宋体" w:eastAsia="宋体" w:cs="宋体"/>
                <w:bCs/>
                <w:sz w:val="21"/>
                <w:szCs w:val="21"/>
                <w:highlight w:val="none"/>
                <w:lang w:val="zh-CN"/>
              </w:rPr>
              <w:t>文件。供应商应在银行进账单或电汇凭证上明确用途、项目名称、</w:t>
            </w:r>
            <w:r>
              <w:rPr>
                <w:rFonts w:hint="eastAsia" w:ascii="宋体" w:hAnsi="宋体" w:eastAsia="宋体" w:cs="宋体"/>
                <w:bCs/>
                <w:sz w:val="21"/>
                <w:szCs w:val="21"/>
                <w:highlight w:val="none"/>
                <w:lang w:val="en-US" w:eastAsia="zh-CN"/>
              </w:rPr>
              <w:t>标包</w:t>
            </w:r>
            <w:r>
              <w:rPr>
                <w:rFonts w:hint="eastAsia" w:ascii="宋体" w:hAnsi="宋体" w:eastAsia="宋体" w:cs="宋体"/>
                <w:bCs/>
                <w:sz w:val="21"/>
                <w:szCs w:val="21"/>
                <w:highlight w:val="none"/>
                <w:lang w:val="zh-CN"/>
              </w:rPr>
              <w:t>联系人及电话，以便核对查实。以汇票、保函形式递交的</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lang w:val="zh-CN"/>
              </w:rPr>
              <w:t>保证金须在保证金递交截止时间前将汇票、保函原件送至招标代理公司并将复印件加盖公章装入到投标文件中。（请在汇款后将底单扫描件发送至邮箱：</w:t>
            </w:r>
            <w:r>
              <w:rPr>
                <w:rFonts w:hint="eastAsia" w:ascii="宋体" w:hAnsi="宋体" w:eastAsia="宋体" w:cs="宋体"/>
                <w:bCs/>
                <w:sz w:val="21"/>
                <w:szCs w:val="21"/>
                <w:highlight w:val="none"/>
                <w:lang w:val="en-US" w:eastAsia="zh-CN"/>
              </w:rPr>
              <w:t>jlszqgl@126.com</w:t>
            </w:r>
            <w:r>
              <w:rPr>
                <w:rFonts w:hint="eastAsia" w:ascii="宋体" w:hAnsi="宋体" w:eastAsia="宋体" w:cs="宋体"/>
                <w:bCs/>
                <w:sz w:val="21"/>
                <w:szCs w:val="21"/>
                <w:highlight w:val="none"/>
                <w:lang w:val="zh-CN"/>
              </w:rPr>
              <w:t>，扫描件要求字迹清晰）</w:t>
            </w:r>
            <w:r>
              <w:rPr>
                <w:rFonts w:hint="eastAsia" w:ascii="宋体" w:hAnsi="宋体" w:cs="宋体"/>
                <w:bCs/>
                <w:sz w:val="21"/>
                <w:szCs w:val="21"/>
                <w:highlight w:val="none"/>
                <w:lang w:val="zh-CN"/>
              </w:rPr>
              <w:t>。</w:t>
            </w:r>
          </w:p>
        </w:tc>
      </w:tr>
      <w:tr w14:paraId="42C53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4D842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4CF53FF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递交投标文件地点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363E75D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本项目为全流程电子化招投标项目，投标单位通过政府采购云平台（网址：http:// www.zcygov.cn）递交电子版投标文件。无须到开标现场递交投标文件。</w:t>
            </w:r>
          </w:p>
          <w:p w14:paraId="6B23956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备注：</w:t>
            </w:r>
          </w:p>
          <w:p w14:paraId="1FBB7CB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投标单位开标时，需携带制作投标文件时用来加密的有效数字证书（CA认证）登录“政采云”平台电子开标大厅现场按规定时间对加密的投标文件进行远程解密。</w:t>
            </w:r>
          </w:p>
          <w:p w14:paraId="34A5601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eastAsia="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tc>
      </w:tr>
      <w:tr w14:paraId="2F9F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1F586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0196BD1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6D01153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6" w:name="blank29"/>
            <w:r>
              <w:rPr>
                <w:rFonts w:hint="eastAsia" w:ascii="宋体" w:hAnsi="宋体" w:eastAsia="宋体" w:cs="宋体"/>
                <w:color w:val="auto"/>
                <w:kern w:val="0"/>
                <w:szCs w:val="21"/>
                <w:highlight w:val="none"/>
              </w:rPr>
              <w:t>综合评分法</w:t>
            </w:r>
            <w:bookmarkEnd w:id="36"/>
          </w:p>
        </w:tc>
      </w:tr>
      <w:tr w14:paraId="7B51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5671E9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5744A37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55E4519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7" w:name="blank24"/>
            <w:r>
              <w:rPr>
                <w:rFonts w:hint="eastAsia" w:ascii="宋体" w:hAnsi="宋体" w:eastAsia="宋体" w:cs="宋体"/>
                <w:color w:val="auto"/>
                <w:kern w:val="0"/>
                <w:szCs w:val="21"/>
                <w:highlight w:val="none"/>
              </w:rPr>
              <w:t>资格后审</w:t>
            </w:r>
            <w:bookmarkEnd w:id="37"/>
          </w:p>
        </w:tc>
      </w:tr>
      <w:tr w14:paraId="6FEF1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5CF4D8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38E12B3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5AE8C03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bookmarkStart w:id="38" w:name="blank30"/>
            <w:r>
              <w:rPr>
                <w:rFonts w:hint="eastAsia" w:ascii="宋体" w:hAnsi="宋体" w:eastAsia="宋体" w:cs="宋体"/>
                <w:color w:val="auto"/>
                <w:kern w:val="0"/>
                <w:szCs w:val="21"/>
                <w:highlight w:val="none"/>
              </w:rPr>
              <w:t>5</w:t>
            </w:r>
            <w:bookmarkEnd w:id="38"/>
            <w:r>
              <w:rPr>
                <w:rFonts w:hint="eastAsia" w:ascii="宋体" w:hAnsi="宋体" w:eastAsia="宋体" w:cs="宋体"/>
                <w:color w:val="auto"/>
                <w:szCs w:val="21"/>
                <w:highlight w:val="none"/>
              </w:rPr>
              <w:t>人，</w:t>
            </w:r>
            <w:r>
              <w:rPr>
                <w:rFonts w:hint="eastAsia" w:ascii="宋体" w:hAnsi="宋体" w:eastAsia="宋体" w:cs="宋体"/>
                <w:bCs/>
                <w:color w:val="auto"/>
                <w:szCs w:val="21"/>
                <w:highlight w:val="none"/>
              </w:rPr>
              <w:t>其中采购人代表</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人，经济、技术专家</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人。</w:t>
            </w:r>
            <w:r>
              <w:rPr>
                <w:rFonts w:hint="eastAsia" w:ascii="宋体" w:hAnsi="宋体" w:eastAsia="宋体" w:cs="宋体"/>
                <w:color w:val="auto"/>
                <w:szCs w:val="21"/>
                <w:highlight w:val="none"/>
              </w:rPr>
              <w:t>评标委员会专家确定方式：</w:t>
            </w:r>
            <w:r>
              <w:rPr>
                <w:rFonts w:hint="eastAsia" w:ascii="宋体" w:hAnsi="宋体" w:eastAsia="宋体" w:cs="宋体"/>
                <w:color w:val="auto"/>
                <w:szCs w:val="21"/>
                <w:highlight w:val="none"/>
                <w:lang w:val="en-US" w:eastAsia="zh-CN"/>
              </w:rPr>
              <w:t>从“政采云”评标专家库中随机抽取。</w:t>
            </w:r>
          </w:p>
        </w:tc>
      </w:tr>
      <w:tr w14:paraId="4B876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2ECC3A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7137653B">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22974C09">
            <w:pPr>
              <w:pStyle w:val="61"/>
              <w:adjustRightInd/>
              <w:spacing w:line="360" w:lineRule="auto"/>
              <w:contextualSpacing/>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w:t>
            </w:r>
          </w:p>
          <w:p w14:paraId="2ECD131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否，推荐的中标候选人数：3人 。</w:t>
            </w:r>
          </w:p>
        </w:tc>
      </w:tr>
      <w:tr w14:paraId="77899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6208B4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56F0A31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w:t>
            </w:r>
            <w:r>
              <w:rPr>
                <w:rFonts w:hint="eastAsia" w:ascii="宋体" w:hAnsi="宋体" w:eastAsia="宋体" w:cs="宋体"/>
                <w:color w:val="auto"/>
                <w:szCs w:val="21"/>
                <w:highlight w:val="none"/>
                <w:lang w:val="en-US" w:eastAsia="zh-CN"/>
              </w:rPr>
              <w:t>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4DDD5EF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不收取</w:t>
            </w:r>
            <w:r>
              <w:rPr>
                <w:rFonts w:hint="eastAsia" w:ascii="宋体" w:hAnsi="宋体" w:cs="宋体"/>
                <w:bCs/>
                <w:color w:val="auto"/>
                <w:szCs w:val="21"/>
                <w:highlight w:val="none"/>
                <w:lang w:val="en-US" w:eastAsia="zh-CN"/>
              </w:rPr>
              <w:t>。</w:t>
            </w:r>
          </w:p>
        </w:tc>
      </w:tr>
      <w:tr w14:paraId="19151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622F99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4622969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61DB8447">
            <w:pPr>
              <w:keepNext w:val="0"/>
              <w:keepLines w:val="0"/>
              <w:pageBreakBefore w:val="0"/>
              <w:kinsoku/>
              <w:wordWrap/>
              <w:overflowPunct/>
              <w:autoSpaceDN w:val="0"/>
              <w:bidi w:val="0"/>
              <w:adjustRightInd w:val="0"/>
              <w:snapToGrid w:val="0"/>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完成安装调试并验收合格后一次性转账付款</w:t>
            </w:r>
            <w:r>
              <w:rPr>
                <w:rFonts w:hint="eastAsia" w:ascii="宋体" w:hAnsi="宋体" w:cs="宋体"/>
                <w:color w:val="auto"/>
                <w:szCs w:val="21"/>
                <w:highlight w:val="none"/>
                <w:lang w:val="en-US" w:eastAsia="zh-CN"/>
              </w:rPr>
              <w:t>。</w:t>
            </w:r>
          </w:p>
        </w:tc>
      </w:tr>
      <w:tr w14:paraId="151D1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08E98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37891E7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459428E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中标人应在领取中标通知书后</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天内签订采购合同。</w:t>
            </w:r>
          </w:p>
        </w:tc>
      </w:tr>
      <w:tr w14:paraId="5ECC6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05434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75A1D00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4E86F91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lang w:val="en-US" w:eastAsia="zh-CN"/>
              </w:rPr>
            </w:pPr>
            <w:r>
              <w:rPr>
                <w:rFonts w:hint="eastAsia" w:ascii="宋体" w:hAnsi="宋体" w:eastAsia="宋体" w:cs="宋体"/>
                <w:color w:val="auto"/>
                <w:highlight w:val="none"/>
              </w:rPr>
              <w:t>参照国家计委颁布的《招标代理服务收费管理暂行办法》（计价格[2002]1980号文件）及国家发改委办公厅颁布的《国家发改委办公厅关于招标代理服务收费有关问题的通知》（发改办价格[2003]857号文件）、国家发展改革委关于进一步放开建设项目专业服务价格的通知发改价格[2015] 299号文件规定的标准，由代理机构向中标人收取中标服务费，本项目</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服务费金额为预算金额</w:t>
            </w:r>
            <w:r>
              <w:rPr>
                <w:rFonts w:hint="eastAsia" w:ascii="宋体" w:hAnsi="宋体" w:eastAsia="宋体" w:cs="宋体"/>
                <w:color w:val="auto"/>
                <w:sz w:val="21"/>
                <w:szCs w:val="21"/>
                <w:highlight w:val="none"/>
                <w:shd w:val="clear" w:color="auto" w:fill="auto"/>
                <w:lang w:val="en-US" w:eastAsia="zh-CN"/>
              </w:rPr>
              <w:t>1.5%</w:t>
            </w:r>
            <w:r>
              <w:rPr>
                <w:rFonts w:hint="eastAsia" w:ascii="宋体" w:hAnsi="宋体" w:eastAsia="宋体" w:cs="宋体"/>
                <w:b w:val="0"/>
                <w:bCs w:val="0"/>
                <w:color w:val="auto"/>
                <w:sz w:val="21"/>
                <w:szCs w:val="21"/>
                <w:highlight w:val="none"/>
                <w:u w:val="none"/>
                <w:lang w:eastAsia="zh-CN"/>
              </w:rPr>
              <w:t>（不足成本按照成本收取）。</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tc>
      </w:tr>
      <w:tr w14:paraId="6A227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6EC780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7E94963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bCs/>
                <w:color w:val="auto"/>
                <w:kern w:val="15"/>
                <w:szCs w:val="21"/>
                <w:highlight w:val="none"/>
              </w:rPr>
              <w:t>信用信息查询</w:t>
            </w:r>
          </w:p>
          <w:p w14:paraId="00E31B0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508BCBF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查询渠道：</w:t>
            </w:r>
          </w:p>
          <w:p w14:paraId="0F98D3A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①“信用中国”网站（www.creditchina.gov.cn）：失信被执行人、重大税收违法案件当事人名单。</w:t>
            </w:r>
          </w:p>
          <w:p w14:paraId="11F175C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②中国政府采购网(www.ccgp.gov.cn)：政府采购严重违法失信行为信息记录。</w:t>
            </w:r>
          </w:p>
          <w:p w14:paraId="67FF7BE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查询截止时点：同投标截止时间</w:t>
            </w:r>
          </w:p>
          <w:p w14:paraId="0A5B4F3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信用信息查询记录和证据留存的具体方式：</w:t>
            </w:r>
          </w:p>
          <w:p w14:paraId="52D2E6B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采购人或采购代理机构将按查询截止时点对所有</w:t>
            </w:r>
            <w:r>
              <w:rPr>
                <w:rFonts w:hint="eastAsia" w:ascii="宋体" w:hAnsi="宋体" w:eastAsia="宋体" w:cs="宋体"/>
                <w:color w:val="auto"/>
                <w:highlight w:val="none"/>
                <w:lang w:val="en-US" w:eastAsia="zh-CN"/>
              </w:rPr>
              <w:t>供应商</w:t>
            </w:r>
            <w:r>
              <w:rPr>
                <w:rFonts w:hint="eastAsia" w:ascii="宋体" w:hAnsi="宋体" w:eastAsia="宋体" w:cs="宋体"/>
                <w:bCs/>
                <w:color w:val="auto"/>
                <w:szCs w:val="21"/>
                <w:highlight w:val="none"/>
              </w:rPr>
              <w:t>的信用信息进行查询，查询记录将作为评委评标的依据，对列入失信被执行人、重大税收违法案件当事人名单、政府采购严重违法失信行为记录名单的</w:t>
            </w:r>
            <w:r>
              <w:rPr>
                <w:rFonts w:hint="eastAsia" w:ascii="宋体" w:hAnsi="宋体" w:eastAsia="宋体" w:cs="宋体"/>
                <w:color w:val="auto"/>
                <w:highlight w:val="none"/>
                <w:lang w:val="en-US" w:eastAsia="zh-CN"/>
              </w:rPr>
              <w:t>供应商</w:t>
            </w:r>
            <w:r>
              <w:rPr>
                <w:rFonts w:hint="eastAsia" w:ascii="宋体" w:hAnsi="宋体" w:eastAsia="宋体" w:cs="宋体"/>
                <w:bCs/>
                <w:color w:val="auto"/>
                <w:szCs w:val="21"/>
                <w:highlight w:val="none"/>
              </w:rPr>
              <w:t>，投标文件作无效处理。</w:t>
            </w:r>
          </w:p>
        </w:tc>
      </w:tr>
      <w:tr w14:paraId="18397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B8246F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06B695DB">
            <w:pPr>
              <w:keepNext w:val="0"/>
              <w:keepLines w:val="0"/>
              <w:pageBreakBefore w:val="0"/>
              <w:kinsoku/>
              <w:wordWrap/>
              <w:overflowPunct/>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6ADC7BB4">
            <w:pPr>
              <w:keepNext w:val="0"/>
              <w:keepLines w:val="0"/>
              <w:pageBreakBefore w:val="0"/>
              <w:kinsoku/>
              <w:wordWrap/>
              <w:overflowPunct/>
              <w:bidi w:val="0"/>
              <w:snapToGrid w:val="0"/>
              <w:spacing w:line="4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超过预算（最高控制价）按无效投标处理。（以上费用已包含国家法定节假日加班工资及其他全部费用）。</w:t>
            </w:r>
          </w:p>
        </w:tc>
      </w:tr>
      <w:tr w14:paraId="52F8F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CD00D9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 w:val="21"/>
                <w:szCs w:val="11"/>
                <w:highlight w:val="none"/>
                <w:lang w:val="en-US" w:eastAsia="zh-CN"/>
              </w:rPr>
            </w:pPr>
            <w:r>
              <w:rPr>
                <w:rFonts w:hint="eastAsia" w:ascii="宋体" w:hAnsi="宋体" w:cs="宋体"/>
                <w:color w:val="auto"/>
                <w:sz w:val="21"/>
                <w:szCs w:val="11"/>
                <w:highlight w:val="none"/>
                <w:lang w:val="en-US" w:eastAsia="zh-CN"/>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00758AF5">
            <w:pPr>
              <w:keepNext w:val="0"/>
              <w:keepLines w:val="0"/>
              <w:pageBreakBefore w:val="0"/>
              <w:wordWrap/>
              <w:overflowPunct/>
              <w:topLinePunct w:val="0"/>
              <w:bidi w:val="0"/>
              <w:spacing w:line="36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lang w:val="zh-CN"/>
              </w:rPr>
              <w:t>开标时间和地点</w:t>
            </w:r>
          </w:p>
        </w:tc>
        <w:tc>
          <w:tcPr>
            <w:tcW w:w="6597" w:type="dxa"/>
            <w:tcBorders>
              <w:top w:val="single" w:color="auto" w:sz="4" w:space="0"/>
              <w:left w:val="single" w:color="auto" w:sz="4" w:space="0"/>
              <w:bottom w:val="single" w:color="auto" w:sz="4" w:space="0"/>
              <w:right w:val="single" w:color="auto" w:sz="4" w:space="0"/>
            </w:tcBorders>
            <w:noWrap/>
            <w:vAlign w:val="top"/>
          </w:tcPr>
          <w:p w14:paraId="436AC751">
            <w:pPr>
              <w:keepNext w:val="0"/>
              <w:keepLines w:val="0"/>
              <w:pageBreakBefore w:val="0"/>
              <w:wordWrap/>
              <w:overflowPunct/>
              <w:topLinePunct w:val="0"/>
              <w:autoSpaceDE w:val="0"/>
              <w:autoSpaceDN w:val="0"/>
              <w:bidi w:val="0"/>
              <w:spacing w:line="360" w:lineRule="exact"/>
              <w:ind w:left="0" w:right="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开标时间</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提交投标文件截止时间：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sz w:val="21"/>
                <w:szCs w:val="21"/>
                <w:highlight w:val="none"/>
              </w:rPr>
              <w:t>（北京时间）</w:t>
            </w:r>
            <w:r>
              <w:rPr>
                <w:rFonts w:hint="eastAsia" w:ascii="宋体" w:hAnsi="宋体" w:eastAsia="宋体" w:cs="宋体"/>
                <w:sz w:val="21"/>
                <w:szCs w:val="21"/>
                <w:highlight w:val="none"/>
                <w:lang w:eastAsia="zh-CN"/>
              </w:rPr>
              <w:t>；</w:t>
            </w:r>
          </w:p>
          <w:p w14:paraId="52167C38">
            <w:pPr>
              <w:keepNext w:val="0"/>
              <w:keepLines w:val="0"/>
              <w:pageBreakBefore w:val="0"/>
              <w:wordWrap/>
              <w:overflowPunct/>
              <w:topLinePunct w:val="0"/>
              <w:bidi w:val="0"/>
              <w:spacing w:line="360" w:lineRule="exact"/>
              <w:ind w:left="0" w:leftChars="0" w:right="0" w:rightChars="0"/>
              <w:rPr>
                <w:rFonts w:hint="eastAsia" w:ascii="宋体" w:hAnsi="宋体" w:eastAsia="宋体" w:cs="宋体"/>
                <w:bCs/>
                <w:color w:val="auto"/>
                <w:szCs w:val="21"/>
                <w:highlight w:val="none"/>
                <w:lang w:val="zh-CN"/>
              </w:rPr>
            </w:pPr>
            <w:r>
              <w:rPr>
                <w:rFonts w:hint="eastAsia" w:ascii="宋体" w:hAnsi="宋体" w:eastAsia="宋体" w:cs="宋体"/>
                <w:sz w:val="21"/>
                <w:szCs w:val="21"/>
                <w:highlight w:val="none"/>
              </w:rPr>
              <w:t>地点：</w:t>
            </w:r>
            <w:r>
              <w:rPr>
                <w:rFonts w:hint="eastAsia" w:ascii="宋体" w:hAnsi="宋体" w:eastAsia="宋体" w:cs="宋体"/>
                <w:i w:val="0"/>
                <w:iCs w:val="0"/>
                <w:caps w:val="0"/>
                <w:color w:val="000000"/>
                <w:spacing w:val="0"/>
                <w:sz w:val="21"/>
                <w:szCs w:val="21"/>
                <w:highlight w:val="none"/>
              </w:rPr>
              <w:t>长春市高新区鸿达街248号吉林日报副楼4楼吉利招平台第</w:t>
            </w:r>
            <w:r>
              <w:rPr>
                <w:rFonts w:hint="eastAsia" w:ascii="宋体" w:hAnsi="宋体" w:cs="宋体"/>
                <w:i w:val="0"/>
                <w:iCs w:val="0"/>
                <w:caps w:val="0"/>
                <w:color w:val="000000"/>
                <w:spacing w:val="0"/>
                <w:sz w:val="21"/>
                <w:szCs w:val="21"/>
                <w:highlight w:val="none"/>
                <w:lang w:val="en-US" w:eastAsia="zh-CN"/>
              </w:rPr>
              <w:t>四</w:t>
            </w:r>
            <w:r>
              <w:rPr>
                <w:rFonts w:hint="eastAsia" w:ascii="宋体" w:hAnsi="宋体" w:eastAsia="宋体" w:cs="宋体"/>
                <w:i w:val="0"/>
                <w:iCs w:val="0"/>
                <w:caps w:val="0"/>
                <w:color w:val="000000"/>
                <w:spacing w:val="0"/>
                <w:sz w:val="21"/>
                <w:szCs w:val="21"/>
                <w:highlight w:val="none"/>
              </w:rPr>
              <w:t>开标室</w:t>
            </w:r>
            <w:r>
              <w:rPr>
                <w:rFonts w:hint="eastAsia" w:ascii="宋体" w:hAnsi="宋体" w:eastAsia="宋体" w:cs="宋体"/>
                <w:color w:val="auto"/>
                <w:sz w:val="21"/>
                <w:szCs w:val="21"/>
                <w:highlight w:val="none"/>
              </w:rPr>
              <w:t>。</w:t>
            </w:r>
          </w:p>
        </w:tc>
      </w:tr>
      <w:tr w14:paraId="14B13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502813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 w:val="21"/>
                <w:szCs w:val="11"/>
                <w:highlight w:val="none"/>
                <w:lang w:val="en-US" w:eastAsia="zh-CN"/>
              </w:rPr>
            </w:pPr>
            <w:r>
              <w:rPr>
                <w:rFonts w:hint="eastAsia" w:ascii="宋体" w:hAnsi="宋体" w:cs="宋体"/>
                <w:color w:val="auto"/>
                <w:sz w:val="21"/>
                <w:szCs w:val="11"/>
                <w:highlight w:val="none"/>
                <w:lang w:val="en-US" w:eastAsia="zh-CN"/>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5B2DF3D1">
            <w:pPr>
              <w:keepNext w:val="0"/>
              <w:keepLines w:val="0"/>
              <w:pageBreakBefore w:val="0"/>
              <w:wordWrap/>
              <w:overflowPunct/>
              <w:topLinePunct w:val="0"/>
              <w:bidi w:val="0"/>
              <w:spacing w:line="360" w:lineRule="exact"/>
              <w:ind w:left="0" w:leftChars="0" w:right="0" w:rightChars="0"/>
              <w:jc w:val="cente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lang w:val="zh-CN"/>
              </w:rPr>
              <w:t>开标程序</w:t>
            </w:r>
          </w:p>
        </w:tc>
        <w:tc>
          <w:tcPr>
            <w:tcW w:w="6597" w:type="dxa"/>
            <w:tcBorders>
              <w:top w:val="single" w:color="auto" w:sz="4" w:space="0"/>
              <w:left w:val="single" w:color="auto" w:sz="4" w:space="0"/>
              <w:bottom w:val="single" w:color="auto" w:sz="4" w:space="0"/>
              <w:right w:val="single" w:color="auto" w:sz="4" w:space="0"/>
            </w:tcBorders>
            <w:noWrap/>
            <w:vAlign w:val="top"/>
          </w:tcPr>
          <w:p w14:paraId="5A10D1B1">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color w:val="auto"/>
                <w:sz w:val="21"/>
                <w:szCs w:val="21"/>
                <w:highlight w:val="none"/>
              </w:rPr>
            </w:pPr>
            <w:r>
              <w:rPr>
                <w:rFonts w:ascii="宋体" w:hAnsi="宋体" w:eastAsia="宋体" w:cs="宋体"/>
                <w:color w:val="auto"/>
                <w:spacing w:val="-3"/>
                <w:sz w:val="21"/>
                <w:szCs w:val="21"/>
                <w:highlight w:val="none"/>
              </w:rPr>
              <w:t>（1）</w:t>
            </w:r>
            <w:r>
              <w:rPr>
                <w:rFonts w:hint="eastAsia" w:ascii="宋体" w:hAnsi="宋体" w:eastAsia="宋体" w:cs="宋体"/>
                <w:color w:val="auto"/>
                <w:spacing w:val="-3"/>
                <w:sz w:val="21"/>
                <w:szCs w:val="21"/>
                <w:highlight w:val="none"/>
                <w:lang w:val="en-US" w:eastAsia="zh-CN"/>
              </w:rPr>
              <w:t>供应商</w:t>
            </w:r>
            <w:r>
              <w:rPr>
                <w:rFonts w:ascii="宋体" w:hAnsi="宋体" w:eastAsia="宋体" w:cs="宋体"/>
                <w:color w:val="auto"/>
                <w:spacing w:val="-3"/>
                <w:sz w:val="21"/>
                <w:szCs w:val="21"/>
                <w:highlight w:val="none"/>
              </w:rPr>
              <w:t>必于开</w:t>
            </w:r>
            <w:r>
              <w:rPr>
                <w:color w:val="auto"/>
                <w:spacing w:val="-3"/>
                <w:sz w:val="21"/>
                <w:szCs w:val="21"/>
                <w:highlight w:val="none"/>
              </w:rPr>
              <w:t>标前提前登录系统，准时在政采云签到；</w:t>
            </w:r>
          </w:p>
          <w:p w14:paraId="436BE02D">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5"/>
              <w:textAlignment w:val="baseline"/>
              <w:rPr>
                <w:color w:val="auto"/>
                <w:sz w:val="21"/>
                <w:szCs w:val="21"/>
                <w:highlight w:val="none"/>
              </w:rPr>
            </w:pPr>
            <w:r>
              <w:rPr>
                <w:color w:val="auto"/>
                <w:spacing w:val="2"/>
                <w:sz w:val="21"/>
                <w:szCs w:val="21"/>
                <w:highlight w:val="none"/>
              </w:rPr>
              <w:t>（2）</w:t>
            </w:r>
            <w:r>
              <w:rPr>
                <w:rFonts w:hint="eastAsia"/>
                <w:color w:val="auto"/>
                <w:spacing w:val="2"/>
                <w:sz w:val="21"/>
                <w:szCs w:val="21"/>
                <w:highlight w:val="none"/>
                <w:lang w:eastAsia="zh-CN"/>
              </w:rPr>
              <w:t>供应商</w:t>
            </w:r>
            <w:r>
              <w:rPr>
                <w:color w:val="auto"/>
                <w:spacing w:val="2"/>
                <w:sz w:val="21"/>
                <w:szCs w:val="21"/>
                <w:highlight w:val="none"/>
              </w:rPr>
              <w:t>对上传的加密响应文件进行解密、报价确认</w:t>
            </w:r>
            <w:r>
              <w:rPr>
                <w:rFonts w:hint="eastAsia"/>
                <w:color w:val="auto"/>
                <w:spacing w:val="2"/>
                <w:sz w:val="21"/>
                <w:szCs w:val="21"/>
                <w:highlight w:val="none"/>
                <w:lang w:val="en-US" w:eastAsia="zh-CN"/>
              </w:rPr>
              <w:t>等</w:t>
            </w:r>
            <w:r>
              <w:rPr>
                <w:color w:val="auto"/>
                <w:spacing w:val="-2"/>
                <w:sz w:val="21"/>
                <w:szCs w:val="21"/>
                <w:highlight w:val="none"/>
              </w:rPr>
              <w:t>，因</w:t>
            </w:r>
            <w:r>
              <w:rPr>
                <w:rFonts w:hint="eastAsia"/>
                <w:color w:val="auto"/>
                <w:spacing w:val="-2"/>
                <w:sz w:val="21"/>
                <w:szCs w:val="21"/>
                <w:highlight w:val="none"/>
                <w:lang w:eastAsia="zh-CN"/>
              </w:rPr>
              <w:t>供应商</w:t>
            </w:r>
            <w:r>
              <w:rPr>
                <w:color w:val="auto"/>
                <w:spacing w:val="-2"/>
                <w:sz w:val="21"/>
                <w:szCs w:val="21"/>
                <w:highlight w:val="none"/>
              </w:rPr>
              <w:t>原因未能按时完成上述程序操作的，将导致其投标被拒绝；</w:t>
            </w:r>
          </w:p>
          <w:p w14:paraId="0968D033">
            <w:pPr>
              <w:keepNext w:val="0"/>
              <w:keepLines w:val="0"/>
              <w:pageBreakBefore w:val="0"/>
              <w:wordWrap/>
              <w:overflowPunct/>
              <w:topLinePunct w:val="0"/>
              <w:bidi w:val="0"/>
              <w:spacing w:line="360" w:lineRule="exact"/>
              <w:ind w:left="0" w:leftChars="0" w:right="0" w:rightChars="0"/>
              <w:jc w:val="left"/>
              <w:rPr>
                <w:rFonts w:hint="eastAsia" w:ascii="宋体" w:hAnsi="宋体" w:eastAsia="宋体" w:cs="宋体"/>
                <w:bCs/>
                <w:color w:val="auto"/>
                <w:szCs w:val="21"/>
                <w:highlight w:val="none"/>
                <w:lang w:val="zh-CN"/>
              </w:rPr>
            </w:pPr>
            <w:r>
              <w:rPr>
                <w:color w:val="auto"/>
                <w:spacing w:val="-4"/>
                <w:sz w:val="21"/>
                <w:szCs w:val="21"/>
                <w:highlight w:val="none"/>
              </w:rPr>
              <w:t>（3）开标结束，进入评标环节。</w:t>
            </w:r>
          </w:p>
        </w:tc>
      </w:tr>
      <w:tr w14:paraId="551C7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5C6930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 w:val="21"/>
                <w:szCs w:val="11"/>
                <w:highlight w:val="none"/>
                <w:lang w:val="en-US" w:eastAsia="zh-CN"/>
              </w:rPr>
              <w:t>34</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049DF1BC">
            <w:pPr>
              <w:pStyle w:val="62"/>
              <w:keepNext w:val="0"/>
              <w:keepLines w:val="0"/>
              <w:pageBreakBefore w:val="0"/>
              <w:tabs>
                <w:tab w:val="left" w:pos="8295"/>
              </w:tabs>
              <w:kinsoku/>
              <w:wordWrap/>
              <w:overflowPunct/>
              <w:bidi w:val="0"/>
              <w:snapToGrid w:val="0"/>
              <w:spacing w:before="0" w:after="0" w:line="400" w:lineRule="exact"/>
              <w:ind w:left="0" w:right="0"/>
              <w:jc w:val="center"/>
              <w:rPr>
                <w:rFonts w:hint="eastAsia" w:ascii="宋体" w:hAnsi="宋体" w:eastAsia="宋体" w:cs="宋体"/>
                <w:bCs/>
                <w:color w:val="auto"/>
                <w:kern w:val="18"/>
                <w:sz w:val="21"/>
                <w:szCs w:val="21"/>
                <w:highlight w:val="none"/>
              </w:rPr>
            </w:pPr>
            <w:r>
              <w:rPr>
                <w:rFonts w:hint="eastAsia" w:ascii="宋体" w:hAnsi="宋体" w:eastAsia="宋体" w:cs="宋体"/>
                <w:bCs/>
                <w:color w:val="auto"/>
                <w:kern w:val="15"/>
                <w:sz w:val="21"/>
                <w:szCs w:val="21"/>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64803FC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bCs/>
                <w:color w:val="auto"/>
                <w:kern w:val="15"/>
                <w:szCs w:val="21"/>
                <w:highlight w:val="none"/>
              </w:rPr>
              <w:t>必须保证投标时所报资料真实有效，采购人保留对资料的核查权力，一旦发现资料有虚假现象将移交有关部门处理。</w:t>
            </w:r>
          </w:p>
        </w:tc>
      </w:tr>
      <w:tr w14:paraId="2B63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500798E9">
            <w:pPr>
              <w:keepNext w:val="0"/>
              <w:keepLines w:val="0"/>
              <w:pageBreakBefore w:val="0"/>
              <w:widowControl/>
              <w:kinsoku/>
              <w:wordWrap/>
              <w:overflowPunct/>
              <w:bidi w:val="0"/>
              <w:spacing w:line="400" w:lineRule="exact"/>
              <w:jc w:val="both"/>
              <w:rPr>
                <w:rFonts w:hint="eastAsia" w:ascii="宋体" w:hAnsi="宋体" w:eastAsia="宋体" w:cs="宋体"/>
                <w:color w:val="auto"/>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3E39C50E">
            <w:pPr>
              <w:keepNext w:val="0"/>
              <w:keepLines w:val="0"/>
              <w:pageBreakBefore w:val="0"/>
              <w:widowControl/>
              <w:kinsoku/>
              <w:wordWrap/>
              <w:overflowPunct/>
              <w:bidi w:val="0"/>
              <w:spacing w:line="400" w:lineRule="exact"/>
              <w:jc w:val="left"/>
              <w:rPr>
                <w:rFonts w:hint="eastAsia" w:ascii="宋体" w:hAnsi="宋体" w:eastAsia="宋体" w:cs="宋体"/>
                <w:bCs/>
                <w:color w:val="auto"/>
                <w:kern w:val="18"/>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34603D5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根据中华人民共和国财政部令第94号--政府采购质疑和投诉办法规定，</w:t>
            </w:r>
            <w:r>
              <w:rPr>
                <w:rFonts w:hint="eastAsia" w:ascii="宋体" w:hAnsi="宋体" w:eastAsia="宋体" w:cs="宋体"/>
                <w:color w:val="auto"/>
                <w:highlight w:val="none"/>
                <w:lang w:val="en-US" w:eastAsia="zh-CN"/>
              </w:rPr>
              <w:t>供应商</w:t>
            </w:r>
            <w:r>
              <w:rPr>
                <w:rFonts w:hint="eastAsia" w:ascii="宋体" w:hAnsi="宋体" w:eastAsia="宋体" w:cs="宋体"/>
                <w:bCs/>
                <w:color w:val="auto"/>
                <w:kern w:val="15"/>
                <w:szCs w:val="21"/>
                <w:highlight w:val="none"/>
              </w:rPr>
              <w:t>在法定质疑期内应一次性提出针对同一采购程序环节的质疑，提出质疑时应当提交符合规定的质疑函和必要的证明材料。</w:t>
            </w:r>
          </w:p>
          <w:p w14:paraId="2C425F2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rPr>
            </w:pPr>
            <w:r>
              <w:rPr>
                <w:rFonts w:hint="eastAsia" w:ascii="宋体" w:hAnsi="宋体" w:eastAsia="宋体" w:cs="宋体"/>
                <w:bCs/>
                <w:color w:val="auto"/>
                <w:kern w:val="15"/>
                <w:szCs w:val="21"/>
                <w:highlight w:val="none"/>
              </w:rPr>
              <w:t>只接受以书面形式向采购人、采购代理机构提出质疑，不接受以其他形式或提出的质疑。</w:t>
            </w:r>
          </w:p>
        </w:tc>
      </w:tr>
      <w:tr w14:paraId="3962A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14:paraId="633C79C1">
            <w:pPr>
              <w:keepNext w:val="0"/>
              <w:keepLines w:val="0"/>
              <w:pageBreakBefore w:val="0"/>
              <w:widowControl/>
              <w:kinsoku/>
              <w:wordWrap/>
              <w:overflowPunct/>
              <w:bidi w:val="0"/>
              <w:spacing w:line="400" w:lineRule="exact"/>
              <w:ind w:firstLine="210" w:firstLineChars="1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070" w:type="dxa"/>
            <w:tcBorders>
              <w:top w:val="single" w:color="auto" w:sz="4" w:space="0"/>
              <w:left w:val="single" w:color="auto" w:sz="4" w:space="0"/>
              <w:bottom w:val="single" w:color="auto" w:sz="4" w:space="0"/>
              <w:right w:val="single" w:color="auto" w:sz="4" w:space="0"/>
            </w:tcBorders>
            <w:vAlign w:val="center"/>
          </w:tcPr>
          <w:p w14:paraId="48A2026A">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706" w:leftChars="0" w:right="93" w:rightChars="0" w:hanging="605" w:firstLineChars="0"/>
              <w:jc w:val="center"/>
              <w:textAlignment w:val="baseline"/>
              <w:rPr>
                <w:b/>
                <w:bCs/>
                <w:color w:val="auto"/>
                <w:spacing w:val="-4"/>
                <w:sz w:val="21"/>
                <w:szCs w:val="21"/>
                <w:highlight w:val="none"/>
              </w:rPr>
            </w:pPr>
            <w:r>
              <w:rPr>
                <w:b/>
                <w:bCs/>
                <w:color w:val="auto"/>
                <w:spacing w:val="-4"/>
                <w:sz w:val="21"/>
                <w:szCs w:val="21"/>
                <w:highlight w:val="none"/>
              </w:rPr>
              <w:t>本项目标的所属</w:t>
            </w:r>
          </w:p>
          <w:p w14:paraId="2298ED2B">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706" w:leftChars="0" w:right="93" w:rightChars="0" w:hanging="605" w:firstLineChars="0"/>
              <w:jc w:val="center"/>
              <w:textAlignment w:val="baseline"/>
              <w:rPr>
                <w:rFonts w:hint="eastAsia" w:ascii="宋体" w:hAnsi="宋体" w:eastAsia="宋体" w:cs="宋体"/>
                <w:bCs/>
                <w:color w:val="auto"/>
                <w:kern w:val="18"/>
                <w:szCs w:val="21"/>
                <w:highlight w:val="none"/>
              </w:rPr>
            </w:pPr>
            <w:r>
              <w:rPr>
                <w:b/>
                <w:bCs/>
                <w:color w:val="auto"/>
                <w:spacing w:val="-6"/>
                <w:sz w:val="21"/>
                <w:szCs w:val="21"/>
                <w:highlight w:val="none"/>
              </w:rPr>
              <w:t>行业</w:t>
            </w:r>
          </w:p>
        </w:tc>
        <w:tc>
          <w:tcPr>
            <w:tcW w:w="6597" w:type="dxa"/>
            <w:tcBorders>
              <w:top w:val="single" w:color="auto" w:sz="4" w:space="0"/>
              <w:left w:val="single" w:color="auto" w:sz="4" w:space="0"/>
              <w:bottom w:val="single" w:color="auto" w:sz="4" w:space="0"/>
              <w:right w:val="single" w:color="auto" w:sz="4" w:space="0"/>
            </w:tcBorders>
            <w:noWrap/>
            <w:vAlign w:val="center"/>
          </w:tcPr>
          <w:p w14:paraId="31EF587B">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13" w:leftChars="0"/>
              <w:jc w:val="both"/>
              <w:textAlignment w:val="baseline"/>
              <w:rPr>
                <w:rFonts w:hint="eastAsia" w:ascii="宋体" w:hAnsi="宋体" w:eastAsia="宋体" w:cs="宋体"/>
                <w:bCs/>
                <w:color w:val="auto"/>
                <w:kern w:val="15"/>
                <w:szCs w:val="21"/>
                <w:highlight w:val="none"/>
              </w:rPr>
            </w:pPr>
            <w:r>
              <w:rPr>
                <w:rFonts w:hint="eastAsia"/>
                <w:b/>
                <w:bCs/>
                <w:color w:val="auto"/>
                <w:spacing w:val="-4"/>
                <w:sz w:val="21"/>
                <w:szCs w:val="21"/>
                <w:highlight w:val="none"/>
                <w:lang w:val="en-US" w:eastAsia="zh-CN"/>
              </w:rPr>
              <w:t>工业。</w:t>
            </w:r>
          </w:p>
        </w:tc>
      </w:tr>
      <w:tr w14:paraId="44974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29" w:type="dxa"/>
            <w:gridSpan w:val="3"/>
            <w:tcBorders>
              <w:top w:val="single" w:color="auto" w:sz="4" w:space="0"/>
              <w:left w:val="single" w:color="auto" w:sz="4" w:space="0"/>
              <w:bottom w:val="single" w:color="auto" w:sz="4" w:space="0"/>
              <w:right w:val="single" w:color="auto" w:sz="4" w:space="0"/>
            </w:tcBorders>
            <w:vAlign w:val="center"/>
          </w:tcPr>
          <w:p w14:paraId="6DC7D21A">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1392" w:leftChars="0" w:hanging="1392" w:hangingChars="673"/>
              <w:jc w:val="both"/>
              <w:textAlignment w:val="baseline"/>
              <w:rPr>
                <w:color w:val="auto"/>
                <w:sz w:val="21"/>
                <w:szCs w:val="21"/>
                <w:highlight w:val="none"/>
              </w:rPr>
            </w:pPr>
            <w:r>
              <w:rPr>
                <w:b/>
                <w:bCs/>
                <w:color w:val="auto"/>
                <w:spacing w:val="-2"/>
                <w:sz w:val="21"/>
                <w:szCs w:val="21"/>
                <w:highlight w:val="none"/>
              </w:rPr>
              <w:t>采购公告内容有不一致之处，以最新发布采购公告内容为</w:t>
            </w:r>
            <w:r>
              <w:rPr>
                <w:b/>
                <w:bCs/>
                <w:color w:val="auto"/>
                <w:spacing w:val="-3"/>
                <w:sz w:val="21"/>
                <w:szCs w:val="21"/>
                <w:highlight w:val="none"/>
              </w:rPr>
              <w:t>准。</w:t>
            </w:r>
          </w:p>
          <w:p w14:paraId="664D1089">
            <w:pPr>
              <w:pStyle w:val="72"/>
              <w:keepNext w:val="0"/>
              <w:keepLines w:val="0"/>
              <w:pageBreakBefore w:val="0"/>
              <w:widowControl/>
              <w:kinsoku w:val="0"/>
              <w:wordWrap/>
              <w:overflowPunct/>
              <w:topLinePunct w:val="0"/>
              <w:autoSpaceDE w:val="0"/>
              <w:autoSpaceDN w:val="0"/>
              <w:bidi w:val="0"/>
              <w:adjustRightInd w:val="0"/>
              <w:snapToGrid w:val="0"/>
              <w:spacing w:line="360" w:lineRule="exact"/>
              <w:ind w:left="10" w:leftChars="0" w:hanging="10" w:firstLineChars="0"/>
              <w:jc w:val="both"/>
              <w:textAlignment w:val="baseline"/>
              <w:rPr>
                <w:color w:val="auto"/>
                <w:sz w:val="21"/>
                <w:szCs w:val="21"/>
                <w:highlight w:val="none"/>
              </w:rPr>
            </w:pPr>
            <w:r>
              <w:rPr>
                <w:b/>
                <w:bCs/>
                <w:color w:val="auto"/>
                <w:spacing w:val="-3"/>
                <w:sz w:val="21"/>
                <w:szCs w:val="21"/>
                <w:highlight w:val="none"/>
              </w:rPr>
              <w:t>采购公告与</w:t>
            </w:r>
            <w:r>
              <w:rPr>
                <w:rFonts w:hint="eastAsia"/>
                <w:b/>
                <w:bCs/>
                <w:color w:val="auto"/>
                <w:spacing w:val="-3"/>
                <w:sz w:val="21"/>
                <w:szCs w:val="21"/>
                <w:highlight w:val="none"/>
                <w:lang w:eastAsia="zh-CN"/>
              </w:rPr>
              <w:t>招标文件</w:t>
            </w:r>
            <w:r>
              <w:rPr>
                <w:b/>
                <w:bCs/>
                <w:color w:val="auto"/>
                <w:spacing w:val="-3"/>
                <w:sz w:val="21"/>
                <w:szCs w:val="21"/>
                <w:highlight w:val="none"/>
              </w:rPr>
              <w:t>内容有不一致之处，以</w:t>
            </w:r>
            <w:r>
              <w:rPr>
                <w:rFonts w:hint="eastAsia"/>
                <w:b/>
                <w:bCs/>
                <w:color w:val="auto"/>
                <w:spacing w:val="-3"/>
                <w:sz w:val="21"/>
                <w:szCs w:val="21"/>
                <w:highlight w:val="none"/>
                <w:lang w:eastAsia="zh-CN"/>
              </w:rPr>
              <w:t>招标文件</w:t>
            </w:r>
            <w:r>
              <w:rPr>
                <w:b/>
                <w:bCs/>
                <w:color w:val="auto"/>
                <w:spacing w:val="-3"/>
                <w:sz w:val="21"/>
                <w:szCs w:val="21"/>
                <w:highlight w:val="none"/>
              </w:rPr>
              <w:t>内容为准。</w:t>
            </w:r>
          </w:p>
          <w:p w14:paraId="60900738">
            <w:pPr>
              <w:pStyle w:val="72"/>
              <w:keepNext w:val="0"/>
              <w:keepLines w:val="0"/>
              <w:pageBreakBefore w:val="0"/>
              <w:widowControl/>
              <w:tabs>
                <w:tab w:val="left" w:pos="2322"/>
              </w:tabs>
              <w:kinsoku w:val="0"/>
              <w:wordWrap/>
              <w:overflowPunct/>
              <w:topLinePunct w:val="0"/>
              <w:autoSpaceDE w:val="0"/>
              <w:autoSpaceDN w:val="0"/>
              <w:bidi w:val="0"/>
              <w:adjustRightInd w:val="0"/>
              <w:snapToGrid w:val="0"/>
              <w:spacing w:line="360" w:lineRule="exact"/>
              <w:ind w:left="13" w:leftChars="0"/>
              <w:textAlignment w:val="baseline"/>
              <w:rPr>
                <w:rFonts w:hint="eastAsia"/>
                <w:b/>
                <w:bCs/>
                <w:color w:val="auto"/>
                <w:spacing w:val="-4"/>
                <w:sz w:val="21"/>
                <w:szCs w:val="21"/>
                <w:highlight w:val="none"/>
                <w:lang w:val="en-US" w:eastAsia="zh-CN"/>
              </w:rPr>
            </w:pPr>
            <w:r>
              <w:rPr>
                <w:rFonts w:hint="eastAsia"/>
                <w:b/>
                <w:bCs/>
                <w:color w:val="auto"/>
                <w:spacing w:val="-3"/>
                <w:sz w:val="21"/>
                <w:szCs w:val="21"/>
                <w:highlight w:val="none"/>
                <w:lang w:eastAsia="zh-CN"/>
              </w:rPr>
              <w:t>供应商</w:t>
            </w:r>
            <w:r>
              <w:rPr>
                <w:b/>
                <w:bCs/>
                <w:color w:val="auto"/>
                <w:spacing w:val="-3"/>
                <w:sz w:val="21"/>
                <w:szCs w:val="21"/>
                <w:highlight w:val="none"/>
              </w:rPr>
              <w:t>须保证提交的相关证明文件真实、合法、有效。</w:t>
            </w:r>
          </w:p>
        </w:tc>
      </w:tr>
    </w:tbl>
    <w:p w14:paraId="39F1E692">
      <w:pPr>
        <w:autoSpaceDN w:val="0"/>
        <w:adjustRightInd w:val="0"/>
        <w:snapToGrid w:val="0"/>
        <w:spacing w:line="360" w:lineRule="auto"/>
        <w:rPr>
          <w:rFonts w:hint="eastAsia" w:ascii="宋体" w:hAnsi="宋体" w:eastAsia="宋体" w:cs="宋体"/>
          <w:color w:val="auto"/>
          <w:szCs w:val="21"/>
          <w:highlight w:val="none"/>
        </w:rPr>
      </w:pPr>
    </w:p>
    <w:p w14:paraId="04FE1B11">
      <w:pPr>
        <w:pStyle w:val="27"/>
        <w:autoSpaceDN w:val="0"/>
        <w:adjustRightInd w:val="0"/>
        <w:snapToGrid w:val="0"/>
        <w:spacing w:line="360" w:lineRule="auto"/>
        <w:ind w:left="0" w:leftChars="0" w:firstLine="0" w:firstLineChars="0"/>
        <w:rPr>
          <w:rFonts w:hint="eastAsia" w:ascii="宋体" w:hAnsi="宋体" w:eastAsia="宋体" w:cs="宋体"/>
          <w:color w:val="auto"/>
          <w:szCs w:val="21"/>
          <w:highlight w:val="none"/>
        </w:rPr>
      </w:pPr>
    </w:p>
    <w:p w14:paraId="33C522C9">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39" w:name="_Toc2218"/>
      <w:r>
        <w:rPr>
          <w:rFonts w:hint="eastAsia" w:ascii="宋体" w:hAnsi="宋体" w:eastAsia="宋体" w:cs="宋体"/>
          <w:color w:val="auto"/>
          <w:highlight w:val="none"/>
        </w:rPr>
        <w:t xml:space="preserve">二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w:t>
      </w:r>
      <w:bookmarkEnd w:id="39"/>
    </w:p>
    <w:p w14:paraId="5931EA06">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 w:val="21"/>
          <w:szCs w:val="21"/>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FB30068">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0" w:name="_Toc98580391"/>
      <w:bookmarkStart w:id="41" w:name="_Toc21001"/>
      <w:r>
        <w:rPr>
          <w:rFonts w:hint="eastAsia" w:ascii="宋体" w:hAnsi="宋体" w:eastAsia="宋体" w:cs="宋体"/>
          <w:color w:val="auto"/>
          <w:sz w:val="21"/>
          <w:szCs w:val="21"/>
          <w:highlight w:val="none"/>
        </w:rPr>
        <w:t>A 说明</w:t>
      </w:r>
      <w:bookmarkEnd w:id="40"/>
      <w:bookmarkEnd w:id="41"/>
    </w:p>
    <w:p w14:paraId="1329A6E2">
      <w:pPr>
        <w:pStyle w:val="5"/>
        <w:autoSpaceDN w:val="0"/>
        <w:adjustRightInd w:val="0"/>
        <w:snapToGrid w:val="0"/>
        <w:spacing w:before="0" w:after="0" w:line="360" w:lineRule="auto"/>
        <w:rPr>
          <w:rFonts w:hint="eastAsia" w:ascii="宋体" w:hAnsi="宋体" w:eastAsia="宋体" w:cs="宋体"/>
          <w:b w:val="0"/>
          <w:bCs w:val="0"/>
          <w:color w:val="auto"/>
          <w:spacing w:val="6"/>
          <w:sz w:val="21"/>
          <w:szCs w:val="21"/>
          <w:highlight w:val="none"/>
        </w:rPr>
      </w:pPr>
      <w:bookmarkStart w:id="42" w:name="_Toc98580392"/>
      <w:r>
        <w:rPr>
          <w:rFonts w:hint="eastAsia" w:ascii="宋体" w:hAnsi="宋体" w:eastAsia="宋体" w:cs="宋体"/>
          <w:color w:val="auto"/>
          <w:sz w:val="21"/>
          <w:szCs w:val="21"/>
          <w:highlight w:val="none"/>
        </w:rPr>
        <w:t>1.适用范围</w:t>
      </w:r>
      <w:bookmarkEnd w:id="42"/>
    </w:p>
    <w:p w14:paraId="41D2C036">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本文件是受</w:t>
      </w:r>
      <w:r>
        <w:rPr>
          <w:rFonts w:hint="eastAsia" w:ascii="宋体" w:hAnsi="宋体" w:eastAsia="宋体" w:cs="宋体"/>
          <w:color w:val="auto"/>
          <w:spacing w:val="6"/>
          <w:szCs w:val="21"/>
          <w:highlight w:val="none"/>
        </w:rPr>
        <w:t>采购人</w:t>
      </w:r>
      <w:r>
        <w:rPr>
          <w:rFonts w:hint="eastAsia" w:ascii="宋体" w:hAnsi="宋体" w:eastAsia="宋体" w:cs="宋体"/>
          <w:color w:val="auto"/>
          <w:szCs w:val="21"/>
          <w:highlight w:val="none"/>
        </w:rPr>
        <w:t>委托</w:t>
      </w:r>
      <w:r>
        <w:rPr>
          <w:rFonts w:hint="eastAsia" w:ascii="宋体" w:hAnsi="宋体" w:eastAsia="宋体" w:cs="宋体"/>
          <w:color w:val="auto"/>
          <w:spacing w:val="6"/>
          <w:szCs w:val="21"/>
          <w:highlight w:val="none"/>
        </w:rPr>
        <w:t>，对采购人</w:t>
      </w:r>
      <w:r>
        <w:rPr>
          <w:rFonts w:hint="eastAsia" w:ascii="宋体" w:hAnsi="宋体" w:eastAsia="宋体" w:cs="宋体"/>
          <w:color w:val="auto"/>
          <w:szCs w:val="21"/>
          <w:highlight w:val="none"/>
        </w:rPr>
        <w:t>委托</w:t>
      </w:r>
      <w:r>
        <w:rPr>
          <w:rFonts w:hint="eastAsia" w:ascii="宋体" w:hAnsi="宋体" w:eastAsia="宋体" w:cs="宋体"/>
          <w:bCs/>
          <w:color w:val="auto"/>
          <w:szCs w:val="21"/>
          <w:highlight w:val="none"/>
          <w:lang w:val="zh-CN"/>
        </w:rPr>
        <w:t>采购项目</w:t>
      </w:r>
      <w:r>
        <w:rPr>
          <w:rFonts w:hint="eastAsia" w:ascii="宋体" w:hAnsi="宋体" w:eastAsia="宋体" w:cs="宋体"/>
          <w:color w:val="auto"/>
          <w:spacing w:val="6"/>
          <w:szCs w:val="21"/>
          <w:highlight w:val="none"/>
        </w:rPr>
        <w:t>的规范性招标</w:t>
      </w:r>
      <w:r>
        <w:rPr>
          <w:rFonts w:hint="eastAsia" w:ascii="宋体" w:hAnsi="宋体" w:eastAsia="宋体" w:cs="宋体"/>
          <w:color w:val="auto"/>
          <w:szCs w:val="21"/>
          <w:highlight w:val="none"/>
        </w:rPr>
        <w:t>文件，适用于本项目招标公告所述的标的采购及服务，是</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编制投标文件的依据。</w:t>
      </w:r>
    </w:p>
    <w:p w14:paraId="60655544">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3" w:name="_Toc98580393"/>
      <w:r>
        <w:rPr>
          <w:rFonts w:hint="eastAsia" w:ascii="宋体" w:hAnsi="宋体" w:eastAsia="宋体" w:cs="宋体"/>
          <w:color w:val="auto"/>
          <w:sz w:val="21"/>
          <w:szCs w:val="21"/>
          <w:highlight w:val="none"/>
        </w:rPr>
        <w:t>2.法律适用</w:t>
      </w:r>
      <w:bookmarkEnd w:id="43"/>
    </w:p>
    <w:p w14:paraId="2A214538">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本招标文件及由本次招标产生的合同适用中华人民共和国法律。</w:t>
      </w:r>
    </w:p>
    <w:p w14:paraId="74E58262">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4" w:name="_Toc98580394"/>
      <w:r>
        <w:rPr>
          <w:rFonts w:hint="eastAsia" w:ascii="宋体" w:hAnsi="宋体" w:eastAsia="宋体" w:cs="宋体"/>
          <w:color w:val="auto"/>
          <w:sz w:val="21"/>
          <w:szCs w:val="21"/>
          <w:highlight w:val="none"/>
        </w:rPr>
        <w:t>3.定义</w:t>
      </w:r>
      <w:bookmarkEnd w:id="44"/>
    </w:p>
    <w:p w14:paraId="0D3C4309">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“招标机构”系指组织本次招标的代理机构；</w:t>
      </w:r>
    </w:p>
    <w:p w14:paraId="046F461A">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”系指向招标机构提交投标文件的投标商；</w:t>
      </w:r>
    </w:p>
    <w:p w14:paraId="6E45FB63">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“买方”系指采购单位，合同一方当事人；</w:t>
      </w:r>
    </w:p>
    <w:p w14:paraId="4FAD11EC">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“服务”系指招标文件规定须完成的服务和其他的类似义务；</w:t>
      </w:r>
    </w:p>
    <w:p w14:paraId="7367F611">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“日”、“天”系指日历日；</w:t>
      </w:r>
    </w:p>
    <w:p w14:paraId="5950677C">
      <w:pPr>
        <w:pStyle w:val="63"/>
        <w:autoSpaceDN w:val="0"/>
        <w:adjustRightInd w:val="0"/>
        <w:snapToGrid w:val="0"/>
        <w:spacing w:before="0" w:beforeAutospacing="0" w:after="0" w:afterAutospacing="0" w:line="360" w:lineRule="auto"/>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“合同”是买方与中标人共同以招标文件、投标文件为依据，经过协商签订的具备法律效力的文件。招标文件、投标文件及其共同确定的补充文件是合同的有效组成部分，与合同具备同等的法律效力。</w:t>
      </w:r>
    </w:p>
    <w:p w14:paraId="4E02169F">
      <w:pPr>
        <w:pStyle w:val="5"/>
        <w:autoSpaceDN w:val="0"/>
        <w:adjustRightInd w:val="0"/>
        <w:snapToGrid w:val="0"/>
        <w:spacing w:before="0" w:after="0" w:line="360" w:lineRule="auto"/>
        <w:rPr>
          <w:rFonts w:hint="eastAsia" w:ascii="宋体" w:hAnsi="宋体" w:eastAsia="宋体" w:cs="宋体"/>
          <w:color w:val="auto"/>
          <w:sz w:val="21"/>
          <w:szCs w:val="21"/>
          <w:highlight w:val="none"/>
          <w:lang w:eastAsia="zh-CN"/>
        </w:rPr>
      </w:pPr>
      <w:bookmarkStart w:id="45" w:name="_Toc98580395"/>
      <w:r>
        <w:rPr>
          <w:rFonts w:hint="eastAsia" w:ascii="宋体" w:hAnsi="宋体" w:eastAsia="宋体" w:cs="宋体"/>
          <w:color w:val="auto"/>
          <w:sz w:val="21"/>
          <w:szCs w:val="21"/>
          <w:highlight w:val="none"/>
        </w:rPr>
        <w:t>4.合格的</w:t>
      </w:r>
      <w:bookmarkEnd w:id="45"/>
      <w:r>
        <w:rPr>
          <w:rFonts w:hint="eastAsia" w:ascii="宋体" w:hAnsi="宋体" w:eastAsia="宋体" w:cs="宋体"/>
          <w:color w:val="auto"/>
          <w:sz w:val="21"/>
          <w:szCs w:val="21"/>
          <w:highlight w:val="none"/>
          <w:lang w:val="en-US" w:eastAsia="zh-CN"/>
        </w:rPr>
        <w:t>供应商</w:t>
      </w:r>
    </w:p>
    <w:p w14:paraId="33313859">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4.1合格</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必须符合</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须知前附表第1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项下各项要求，并在投标时提供相应文件，若有遗漏或不符合要求均为资格审查不合格；</w:t>
      </w:r>
    </w:p>
    <w:p w14:paraId="1D9ABA47">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补充提供有关材料的权利，拒绝补充材料或提供材料不真实，将被视为自动放弃投标资格。</w:t>
      </w:r>
    </w:p>
    <w:p w14:paraId="49E59A22">
      <w:pPr>
        <w:autoSpaceDN w:val="0"/>
        <w:adjustRightInd w:val="0"/>
        <w:snapToGrid w:val="0"/>
        <w:spacing w:line="360" w:lineRule="auto"/>
        <w:rPr>
          <w:rFonts w:hint="eastAsia" w:ascii="宋体" w:hAnsi="宋体" w:eastAsia="宋体" w:cs="宋体"/>
          <w:b/>
          <w:bCs/>
          <w:color w:val="auto"/>
          <w:szCs w:val="21"/>
          <w:highlight w:val="none"/>
        </w:rPr>
      </w:pPr>
      <w:bookmarkStart w:id="46" w:name="_Toc98580402"/>
      <w:r>
        <w:rPr>
          <w:rFonts w:hint="eastAsia" w:ascii="宋体" w:hAnsi="宋体" w:eastAsia="宋体" w:cs="宋体"/>
          <w:b/>
          <w:bCs/>
          <w:color w:val="auto"/>
          <w:szCs w:val="21"/>
          <w:highlight w:val="none"/>
        </w:rPr>
        <w:t>5．投标费用</w:t>
      </w:r>
    </w:p>
    <w:p w14:paraId="428F7B32">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应承担其在投标准备、编制、递交投标文件和签订合同协议书的整个过程中发生的一切费用而不论其投标结果如何。</w:t>
      </w:r>
    </w:p>
    <w:p w14:paraId="7C5D83E6">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7" w:name="_Toc9143"/>
      <w:bookmarkStart w:id="48" w:name="_Toc98580396"/>
      <w:r>
        <w:rPr>
          <w:rFonts w:hint="eastAsia" w:ascii="宋体" w:hAnsi="宋体" w:eastAsia="宋体" w:cs="宋体"/>
          <w:color w:val="auto"/>
          <w:sz w:val="21"/>
          <w:szCs w:val="21"/>
          <w:highlight w:val="none"/>
        </w:rPr>
        <w:t>B.招标文件说明</w:t>
      </w:r>
      <w:bookmarkEnd w:id="47"/>
      <w:bookmarkEnd w:id="48"/>
    </w:p>
    <w:p w14:paraId="64FC4CF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9" w:name="_Toc98580397"/>
      <w:r>
        <w:rPr>
          <w:rFonts w:hint="eastAsia" w:ascii="宋体" w:hAnsi="宋体" w:eastAsia="宋体" w:cs="宋体"/>
          <w:color w:val="auto"/>
          <w:sz w:val="21"/>
          <w:szCs w:val="21"/>
          <w:highlight w:val="none"/>
        </w:rPr>
        <w:t>6.招标文件</w:t>
      </w:r>
      <w:bookmarkEnd w:id="49"/>
    </w:p>
    <w:p w14:paraId="208780B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招标文件用以阐明所需货物及服务、招标投标程序和投标文件格式。招标文件由以下部分组成：</w:t>
      </w:r>
    </w:p>
    <w:p w14:paraId="393F2B4D">
      <w:pPr>
        <w:autoSpaceDN w:val="0"/>
        <w:adjustRightInd w:val="0"/>
        <w:snapToGrid w:val="0"/>
        <w:spacing w:line="360" w:lineRule="auto"/>
        <w:ind w:firstLine="709"/>
        <w:rPr>
          <w:rFonts w:hint="eastAsia" w:ascii="宋体" w:hAnsi="宋体" w:eastAsia="宋体" w:cs="宋体"/>
          <w:color w:val="auto"/>
          <w:szCs w:val="21"/>
          <w:highlight w:val="none"/>
        </w:rPr>
      </w:pPr>
      <w:bookmarkStart w:id="50" w:name="_Toc98580398"/>
      <w:r>
        <w:rPr>
          <w:rFonts w:hint="eastAsia" w:ascii="宋体" w:hAnsi="宋体" w:eastAsia="宋体" w:cs="宋体"/>
          <w:color w:val="auto"/>
          <w:szCs w:val="21"/>
          <w:highlight w:val="none"/>
        </w:rPr>
        <w:t>第一部分   招标公告</w:t>
      </w:r>
    </w:p>
    <w:p w14:paraId="203726ED">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第二部分   </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w:t>
      </w:r>
    </w:p>
    <w:p w14:paraId="15F4987A">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第三部分   评标办法</w:t>
      </w:r>
    </w:p>
    <w:p w14:paraId="25A07D62">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第四部分   采购需求</w:t>
      </w:r>
    </w:p>
    <w:p w14:paraId="08817492">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第五部分   合同条款及格式</w:t>
      </w:r>
    </w:p>
    <w:p w14:paraId="1581A9DB">
      <w:pPr>
        <w:pStyle w:val="27"/>
        <w:ind w:firstLine="38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第六</w:t>
      </w:r>
      <w:r>
        <w:rPr>
          <w:rFonts w:hint="eastAsia" w:ascii="宋体" w:hAnsi="宋体" w:eastAsia="宋体" w:cs="宋体"/>
          <w:color w:val="auto"/>
          <w:szCs w:val="21"/>
          <w:highlight w:val="none"/>
          <w:lang w:eastAsia="zh-CN"/>
        </w:rPr>
        <w:t>部分</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投标文件格式</w:t>
      </w:r>
    </w:p>
    <w:p w14:paraId="3F0BAA00">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7.招标文件的澄清</w:t>
      </w:r>
      <w:bookmarkEnd w:id="50"/>
    </w:p>
    <w:p w14:paraId="025F835B">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对本次招标文件的内容有疑问时，可要求澄清，但应在距投标截止日15日前，按</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w:t>
      </w:r>
    </w:p>
    <w:p w14:paraId="4E1A9A45">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1" w:name="_Toc98580399"/>
      <w:r>
        <w:rPr>
          <w:rFonts w:hint="eastAsia" w:ascii="宋体" w:hAnsi="宋体" w:eastAsia="宋体" w:cs="宋体"/>
          <w:color w:val="auto"/>
          <w:sz w:val="21"/>
          <w:szCs w:val="21"/>
          <w:highlight w:val="none"/>
        </w:rPr>
        <w:t>8.招标文件的修改</w:t>
      </w:r>
      <w:bookmarkEnd w:id="51"/>
    </w:p>
    <w:p w14:paraId="5226A16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8.1在投标截止时间前，招标机构可根据需要和（或）依据</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要求澄清的问题而修改招标文件，并以书面形式通知所有购买招标文件的</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在收到该通知后应立即以传真的形式予以确认；</w:t>
      </w:r>
    </w:p>
    <w:p w14:paraId="289B016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招标文件的修改书将构成招标文件的一部分，对</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具有同样的约束力。</w:t>
      </w:r>
    </w:p>
    <w:p w14:paraId="654EFDFE">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8.3为使</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w:t>
      </w:r>
    </w:p>
    <w:p w14:paraId="76F4CD94">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52" w:name="_Toc98580400"/>
      <w:bookmarkStart w:id="53" w:name="_Toc5113"/>
      <w:r>
        <w:rPr>
          <w:rFonts w:hint="eastAsia" w:ascii="宋体" w:hAnsi="宋体" w:eastAsia="宋体" w:cs="宋体"/>
          <w:color w:val="auto"/>
          <w:sz w:val="21"/>
          <w:szCs w:val="21"/>
          <w:highlight w:val="none"/>
        </w:rPr>
        <w:t>C投标文件的编写</w:t>
      </w:r>
      <w:bookmarkEnd w:id="52"/>
      <w:bookmarkEnd w:id="53"/>
    </w:p>
    <w:p w14:paraId="458A956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4" w:name="_Toc98580401"/>
      <w:r>
        <w:rPr>
          <w:rFonts w:hint="eastAsia" w:ascii="宋体" w:hAnsi="宋体" w:eastAsia="宋体" w:cs="宋体"/>
          <w:color w:val="auto"/>
          <w:sz w:val="21"/>
          <w:szCs w:val="21"/>
          <w:highlight w:val="none"/>
        </w:rPr>
        <w:t>9.投标语言及计量单位</w:t>
      </w:r>
      <w:bookmarkEnd w:id="54"/>
    </w:p>
    <w:p w14:paraId="63BBBB9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9.1投标文件及</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和招标机构就投标交换的文件和来往信件，以中文书写（专有名词除外）；</w:t>
      </w:r>
    </w:p>
    <w:p w14:paraId="28C25D05">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9.2除在招标文件的“技术要求”中另有规定外，计量单位应使用中华人民共和国法定计量单位（国际单位制和国家选定的其他计量单位）。</w:t>
      </w:r>
    </w:p>
    <w:p w14:paraId="580B4B48">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10．投标文件的组成</w:t>
      </w:r>
      <w:bookmarkEnd w:id="46"/>
    </w:p>
    <w:p w14:paraId="2BD5DBA0">
      <w:pPr>
        <w:autoSpaceDN w:val="0"/>
        <w:adjustRightInd w:val="0"/>
        <w:snapToGrid w:val="0"/>
        <w:spacing w:line="360" w:lineRule="auto"/>
        <w:ind w:left="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详见第六部分：投标文件格式。</w:t>
      </w:r>
    </w:p>
    <w:p w14:paraId="668EADCC">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5" w:name="_Toc98580403"/>
      <w:r>
        <w:rPr>
          <w:rFonts w:hint="eastAsia" w:ascii="宋体" w:hAnsi="宋体" w:eastAsia="宋体" w:cs="宋体"/>
          <w:color w:val="auto"/>
          <w:sz w:val="21"/>
          <w:szCs w:val="21"/>
          <w:highlight w:val="none"/>
        </w:rPr>
        <w:t>11.投标文件内容填写说明</w:t>
      </w:r>
      <w:bookmarkEnd w:id="55"/>
    </w:p>
    <w:p w14:paraId="59252BAA">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应严格按招标文件要求的内容逐项填写编制投标文件，有规定格式的按规定格式填写，无规定格式的由</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自拟，并胶装成册。</w:t>
      </w:r>
    </w:p>
    <w:p w14:paraId="435D3C4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11.2开标一览表为在开标仪式上唱标的内容，要求按格式填写、统一规范，不得自行增减内容。投标文件不得漏项或虚报，否则将可能导致其投标被拒绝。</w:t>
      </w:r>
    </w:p>
    <w:p w14:paraId="321A4C1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 </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应保证其所提供文件的真实性，并应对招标文件的实质性要求作出完全响应，否则其投标可能被拒绝。</w:t>
      </w:r>
    </w:p>
    <w:p w14:paraId="3AFD98DC">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视需要自行编制技术文件的补充附件。规格幅面应与正文一致，附于正文之后，与正文页码统一编目编码装订。</w:t>
      </w:r>
    </w:p>
    <w:p w14:paraId="051D0418">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6" w:name="_Toc98580404"/>
      <w:r>
        <w:rPr>
          <w:rFonts w:hint="eastAsia" w:ascii="宋体" w:hAnsi="宋体" w:eastAsia="宋体" w:cs="宋体"/>
          <w:color w:val="auto"/>
          <w:sz w:val="21"/>
          <w:szCs w:val="21"/>
          <w:highlight w:val="none"/>
        </w:rPr>
        <w:t>12.投标报价</w:t>
      </w:r>
      <w:bookmarkEnd w:id="56"/>
    </w:p>
    <w:p w14:paraId="7971613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12.1所有投标均以人民币报价；</w:t>
      </w:r>
    </w:p>
    <w:p w14:paraId="41CFCBE0">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应在填写分项报价表时注明各项单价、总价。如果单价与总价有出入，以单价为准。招标机构不接受有任何选择的报价；报价须有法人代表或授权代表签署。</w:t>
      </w:r>
    </w:p>
    <w:p w14:paraId="540B37D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应按上述12.1-12.3条款要求填写投标报价，以供评标委员会比较评价。</w:t>
      </w:r>
    </w:p>
    <w:p w14:paraId="0B9F929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因承包本项目需支付的一切费用，并包含在所报的单价或总额价内。</w:t>
      </w:r>
    </w:p>
    <w:p w14:paraId="702664E4">
      <w:pPr>
        <w:autoSpaceDN w:val="0"/>
        <w:adjustRightInd w:val="0"/>
        <w:snapToGrid w:val="0"/>
        <w:spacing w:line="360" w:lineRule="auto"/>
        <w:rPr>
          <w:rFonts w:hint="eastAsia" w:ascii="宋体" w:hAnsi="宋体" w:eastAsia="宋体" w:cs="宋体"/>
          <w:b/>
          <w:bCs/>
          <w:color w:val="auto"/>
          <w:szCs w:val="21"/>
          <w:highlight w:val="none"/>
        </w:rPr>
      </w:pPr>
      <w:bookmarkStart w:id="57" w:name="_Toc98580405"/>
      <w:r>
        <w:rPr>
          <w:rFonts w:hint="eastAsia" w:ascii="宋体" w:hAnsi="宋体" w:eastAsia="宋体" w:cs="宋体"/>
          <w:b/>
          <w:bCs/>
          <w:color w:val="auto"/>
          <w:szCs w:val="21"/>
          <w:highlight w:val="none"/>
        </w:rPr>
        <w:t>13.投标保证金</w:t>
      </w:r>
      <w:bookmarkEnd w:id="57"/>
      <w:r>
        <w:rPr>
          <w:rFonts w:hint="eastAsia" w:ascii="宋体" w:hAnsi="宋体" w:eastAsia="宋体" w:cs="宋体"/>
          <w:b/>
          <w:bCs/>
          <w:color w:val="auto"/>
          <w:szCs w:val="21"/>
          <w:highlight w:val="none"/>
        </w:rPr>
        <w:t>（如有）</w:t>
      </w:r>
    </w:p>
    <w:p w14:paraId="448B48F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13.1投标保证金的形式：现金或现金支票、保兑支票、银行汇票及银行、专业担保公司、保险公司出具的保函等形式，以现金或支票形式提交的投标保证金应当从</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的基本账户转出。</w:t>
      </w:r>
    </w:p>
    <w:p w14:paraId="1BBFDE73">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13.2投标保证金的金额：见</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76BD2C2D">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13.3递交方式：见</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6E461E2E">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13.4投标保证金用于保护本次招标免受因</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不履行投标承诺及合同等行为而引起的风险；</w:t>
      </w:r>
    </w:p>
    <w:p w14:paraId="70A980F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13.5未按13.1和13.2条款要求提交投标保证金的投标将被视为投标无效；</w:t>
      </w:r>
    </w:p>
    <w:p w14:paraId="24E4DF4D">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13.6未中标</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的投标保证金将按25.2条规定予以无息退还；</w:t>
      </w:r>
    </w:p>
    <w:p w14:paraId="022404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13.7中标人的投标保证金，在中标人交纳中标服务费后予以无息退还；</w:t>
      </w:r>
    </w:p>
    <w:p w14:paraId="43CA3D8D">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13.8发生下列情况之一，投标保证金将被没收：</w:t>
      </w:r>
    </w:p>
    <w:p w14:paraId="609AD6A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在提交响应文件截止时间后撤回响应文件的;</w:t>
      </w:r>
    </w:p>
    <w:p w14:paraId="61DFDF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在响应文件中提供虚假材料的;</w:t>
      </w:r>
    </w:p>
    <w:p w14:paraId="1829816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（3）除因不可抗力或谈判文件、询价通知书认可的情形以外，成交</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不与采购人签订合同的;</w:t>
      </w:r>
    </w:p>
    <w:p w14:paraId="6DCFD87C">
      <w:pPr>
        <w:autoSpaceDN w:val="0"/>
        <w:adjustRightInd w:val="0"/>
        <w:snapToGrid w:val="0"/>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与采购人、其他</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或者采购代理机构恶意串通的;</w:t>
      </w:r>
    </w:p>
    <w:p w14:paraId="106CFAD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（5）采购文件规定的其他情形。</w:t>
      </w:r>
    </w:p>
    <w:p w14:paraId="6B5A40F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8" w:name="_Toc98580406"/>
      <w:r>
        <w:rPr>
          <w:rFonts w:hint="eastAsia" w:ascii="宋体" w:hAnsi="宋体" w:eastAsia="宋体" w:cs="宋体"/>
          <w:color w:val="auto"/>
          <w:sz w:val="21"/>
          <w:szCs w:val="21"/>
          <w:highlight w:val="none"/>
        </w:rPr>
        <w:t>14.投标有效期</w:t>
      </w:r>
      <w:bookmarkEnd w:id="58"/>
    </w:p>
    <w:p w14:paraId="0CF43948">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14.1从开标之日起，投标有效期为90天。不能满足投标有效期的投标，将被拒绝；</w:t>
      </w:r>
    </w:p>
    <w:p w14:paraId="0A002A9A">
      <w:pPr>
        <w:autoSpaceDN w:val="0"/>
        <w:adjustRightInd w:val="0"/>
        <w:snapToGrid w:val="0"/>
        <w:spacing w:line="360" w:lineRule="auto"/>
        <w:ind w:firstLine="420"/>
        <w:rPr>
          <w:rFonts w:hint="eastAsia" w:ascii="宋体" w:hAnsi="宋体" w:eastAsia="宋体" w:cs="宋体"/>
          <w:color w:val="FF0000"/>
          <w:szCs w:val="21"/>
          <w:highlight w:val="none"/>
        </w:rPr>
      </w:pPr>
      <w:r>
        <w:rPr>
          <w:rFonts w:hint="eastAsia" w:ascii="宋体" w:hAnsi="宋体" w:eastAsia="宋体" w:cs="宋体"/>
          <w:color w:val="auto"/>
          <w:szCs w:val="21"/>
          <w:highlight w:val="none"/>
        </w:rPr>
        <w:t>14.2特殊情况下，</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可于投标有效期满之前要求</w:t>
      </w:r>
      <w:r>
        <w:rPr>
          <w:rFonts w:hint="eastAsia" w:ascii="宋体" w:hAnsi="宋体" w:eastAsia="宋体" w:cs="宋体"/>
          <w:color w:val="auto"/>
          <w:highlight w:val="none"/>
          <w:lang w:val="en-US" w:eastAsia="zh-CN"/>
        </w:rPr>
        <w:t>供应商</w:t>
      </w:r>
      <w:r>
        <w:rPr>
          <w:rFonts w:hint="eastAsia" w:ascii="宋体" w:hAnsi="宋体" w:eastAsia="宋体" w:cs="宋体"/>
          <w:color w:val="auto"/>
          <w:szCs w:val="21"/>
          <w:highlight w:val="none"/>
        </w:rPr>
        <w:t>延长投标有效期，这种要求和答复都应以书面、传真的形式进行。</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可以拒绝接受延期要求。同意延长有效期的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不能修改投标文件。</w:t>
      </w:r>
    </w:p>
    <w:p w14:paraId="2877CF17">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9" w:name="_Toc98580407"/>
      <w:r>
        <w:rPr>
          <w:rFonts w:hint="eastAsia" w:ascii="宋体" w:hAnsi="宋体" w:eastAsia="宋体" w:cs="宋体"/>
          <w:color w:val="auto"/>
          <w:sz w:val="21"/>
          <w:szCs w:val="21"/>
          <w:highlight w:val="none"/>
        </w:rPr>
        <w:t>15.投标文件的签署及规定</w:t>
      </w:r>
      <w:bookmarkEnd w:id="59"/>
    </w:p>
    <w:p w14:paraId="214119C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组成投标文件的各项资料均应遵守本须知第</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条中所规定的内容。</w:t>
      </w:r>
    </w:p>
    <w:p w14:paraId="30C424E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15.2 </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应填写单位全称，同时加盖印章。</w:t>
      </w:r>
    </w:p>
    <w:p w14:paraId="7DA0937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投标文件必须由法人代表或法人授权代表签署。</w:t>
      </w:r>
    </w:p>
    <w:p w14:paraId="7ABD295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政采云系统上传1份。</w:t>
      </w:r>
    </w:p>
    <w:p w14:paraId="45755FC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 投标文件不得涂改和增删，如有修改错漏处，必须由同一签署人签字或盖章。</w:t>
      </w:r>
    </w:p>
    <w:p w14:paraId="1B4575D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 投标文件因字迹潦草或表达不清所引起的后果由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负责。</w:t>
      </w:r>
    </w:p>
    <w:p w14:paraId="165F9E3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招标机构概不接受以电话、传真形式的投标。</w:t>
      </w:r>
    </w:p>
    <w:p w14:paraId="7D566DAA">
      <w:pPr>
        <w:spacing w:line="360" w:lineRule="auto"/>
        <w:ind w:left="420"/>
        <w:jc w:val="both"/>
        <w:rPr>
          <w:rFonts w:hint="eastAsia" w:ascii="宋体" w:hAnsi="宋体" w:eastAsia="宋体" w:cs="宋体"/>
          <w:highlight w:val="none"/>
        </w:rPr>
      </w:pPr>
      <w:r>
        <w:rPr>
          <w:rFonts w:hint="eastAsia" w:ascii="宋体" w:hAnsi="宋体" w:eastAsia="宋体" w:cs="宋体"/>
          <w:sz w:val="21"/>
          <w:szCs w:val="21"/>
          <w:highlight w:val="none"/>
        </w:rPr>
        <w:t>投标文件以“政采云”平台上传的电子版投标文件为准。</w:t>
      </w:r>
    </w:p>
    <w:p w14:paraId="40ECF3A1">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0" w:name="_Toc1854"/>
      <w:bookmarkStart w:id="61" w:name="_Toc98580408"/>
      <w:r>
        <w:rPr>
          <w:rFonts w:hint="eastAsia" w:ascii="宋体" w:hAnsi="宋体" w:eastAsia="宋体" w:cs="宋体"/>
          <w:color w:val="auto"/>
          <w:sz w:val="21"/>
          <w:szCs w:val="21"/>
          <w:highlight w:val="none"/>
        </w:rPr>
        <w:t>D投标文件的递交</w:t>
      </w:r>
      <w:bookmarkEnd w:id="60"/>
      <w:bookmarkEnd w:id="61"/>
    </w:p>
    <w:p w14:paraId="13BC2B6C">
      <w:pPr>
        <w:pStyle w:val="5"/>
        <w:autoSpaceDN w:val="0"/>
        <w:adjustRightInd w:val="0"/>
        <w:snapToGrid w:val="0"/>
        <w:spacing w:before="0" w:after="0" w:line="360" w:lineRule="auto"/>
        <w:rPr>
          <w:rFonts w:hint="eastAsia" w:ascii="宋体" w:hAnsi="宋体" w:eastAsia="宋体" w:cs="宋体"/>
          <w:color w:val="auto"/>
          <w:sz w:val="21"/>
          <w:szCs w:val="21"/>
          <w:highlight w:val="none"/>
          <w:lang w:eastAsia="zh-CN"/>
        </w:rPr>
      </w:pPr>
      <w:bookmarkStart w:id="62" w:name="_Toc98580409"/>
      <w:r>
        <w:rPr>
          <w:rFonts w:hint="eastAsia" w:ascii="宋体" w:hAnsi="宋体" w:eastAsia="宋体" w:cs="宋体"/>
          <w:color w:val="auto"/>
          <w:sz w:val="21"/>
          <w:szCs w:val="21"/>
          <w:highlight w:val="none"/>
        </w:rPr>
        <w:t>16.投标文件的密封和标记</w:t>
      </w:r>
      <w:bookmarkEnd w:id="62"/>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16.3-16.6不适用本项目</w:t>
      </w:r>
      <w:r>
        <w:rPr>
          <w:rFonts w:hint="eastAsia" w:ascii="宋体" w:hAnsi="宋体" w:eastAsia="宋体" w:cs="宋体"/>
          <w:color w:val="auto"/>
          <w:sz w:val="21"/>
          <w:szCs w:val="21"/>
          <w:highlight w:val="none"/>
          <w:lang w:eastAsia="zh-CN"/>
        </w:rPr>
        <w:t>）</w:t>
      </w:r>
    </w:p>
    <w:p w14:paraId="3E28B40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应在投标文件递交截止时间前通过登录政府采购云平台，网上注册（https://middle.zcygov.cn/v-settle-front/registry）并下载招标文件上传加密电子投标文件。</w:t>
      </w:r>
    </w:p>
    <w:p w14:paraId="5343672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未在招标文件规定的截止时间前上传投标文件的，采购人不予受理。</w:t>
      </w:r>
    </w:p>
    <w:p w14:paraId="5CBDC71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16.3 </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应将投标文件正本和副本分别密封，并标明招标编号、投标项目名称、</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名称及正本或副本等。封口骑缝处应加盖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印章；投标文件电子版应单独密封。</w:t>
      </w:r>
    </w:p>
    <w:p w14:paraId="677A0ED8">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每一密封信封上注明“</w:t>
      </w:r>
      <w:r>
        <w:rPr>
          <w:rFonts w:hint="eastAsia" w:ascii="宋体" w:hAnsi="宋体" w:eastAsia="宋体" w:cs="宋体"/>
          <w:color w:val="auto"/>
          <w:szCs w:val="21"/>
          <w:highlight w:val="none"/>
          <w:u w:val="single"/>
        </w:rPr>
        <w:t>于   年   月  日   时之前不准启封</w:t>
      </w:r>
      <w:r>
        <w:rPr>
          <w:rFonts w:hint="eastAsia" w:ascii="宋体" w:hAnsi="宋体" w:eastAsia="宋体" w:cs="宋体"/>
          <w:color w:val="auto"/>
          <w:szCs w:val="21"/>
          <w:highlight w:val="none"/>
        </w:rPr>
        <w:t>”的字样；</w:t>
      </w:r>
    </w:p>
    <w:p w14:paraId="37FE227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投标文件由专人送交，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应将投标文件按16.1-16.3中的规定进行密封和标记后，按</w:t>
      </w:r>
      <w:r>
        <w:rPr>
          <w:rFonts w:hint="eastAsia" w:ascii="宋体" w:hAnsi="宋体" w:eastAsia="宋体" w:cs="宋体"/>
          <w:color w:val="auto"/>
          <w:szCs w:val="21"/>
          <w:highlight w:val="none"/>
          <w:lang w:eastAsia="zh-CN"/>
        </w:rPr>
        <w:t>招标文件注明</w:t>
      </w:r>
      <w:r>
        <w:rPr>
          <w:rFonts w:hint="eastAsia" w:ascii="宋体" w:hAnsi="宋体" w:eastAsia="宋体" w:cs="宋体"/>
          <w:color w:val="auto"/>
          <w:szCs w:val="21"/>
          <w:highlight w:val="none"/>
        </w:rPr>
        <w:t>的投标地址送至</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w:t>
      </w:r>
    </w:p>
    <w:p w14:paraId="73C9ABFB">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对投标文件的误投或未投标前提前拆封概不负责。</w:t>
      </w:r>
    </w:p>
    <w:p w14:paraId="23D8FE3F">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3" w:name="_Toc98580410"/>
      <w:r>
        <w:rPr>
          <w:rFonts w:hint="eastAsia" w:ascii="宋体" w:hAnsi="宋体" w:eastAsia="宋体" w:cs="宋体"/>
          <w:color w:val="auto"/>
          <w:sz w:val="21"/>
          <w:szCs w:val="21"/>
          <w:highlight w:val="none"/>
        </w:rPr>
        <w:t>17.递交投标文件的截止时间</w:t>
      </w:r>
      <w:bookmarkEnd w:id="63"/>
    </w:p>
    <w:p w14:paraId="54637D1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17.1所有投标文件都必须按照</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招标机构在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中规定的投标截止时间之前送至投标地点。</w:t>
      </w:r>
    </w:p>
    <w:p w14:paraId="0B809E7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招标推迟投标截止时间时，应以书面(或传真)的形式，通知所有</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。在这种情况下，</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招标和</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的权利和义务将受到新的截止期的约束。</w:t>
      </w:r>
    </w:p>
    <w:p w14:paraId="4627F14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17.3在投标截止时间以后送达的投标文件，</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招标拒绝接收。</w:t>
      </w:r>
    </w:p>
    <w:p w14:paraId="2FF31185">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18.投标文件修改和撤销</w:t>
      </w:r>
    </w:p>
    <w:p w14:paraId="27E68A2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18.1投标以后，如果</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提出书面修改和撤标要求，在投标截止时间前送达招标机构者，招标机构可以予以接受。但不退还投标文件。</w:t>
      </w:r>
    </w:p>
    <w:p w14:paraId="2FF13E0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修改投标文件的书面材料，须密封送达招标机构，同时应在封套上标明“修改投标文件(并注明招标编号)”和“开标时启封”字样。</w:t>
      </w:r>
    </w:p>
    <w:p w14:paraId="519EEDB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18.3撤销投标应以书面(或传真)的形式通知招标机构。如采取传真形式撤回投标，随后必须补充有法人代表或授权代表签署的要求撤销投标的正式文件。撤销投标的时间以送达招标机构或邮电到达日戳为准。</w:t>
      </w:r>
    </w:p>
    <w:p w14:paraId="33C2795E">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18.4投标截止时间以后不得修改投标文件；</w:t>
      </w:r>
    </w:p>
    <w:p w14:paraId="50F137C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18.5开标后</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不得撤回投标。</w:t>
      </w:r>
    </w:p>
    <w:p w14:paraId="409CF72C">
      <w:pPr>
        <w:spacing w:line="360" w:lineRule="auto"/>
        <w:ind w:left="420"/>
        <w:jc w:val="both"/>
        <w:rPr>
          <w:rFonts w:hint="eastAsia" w:ascii="宋体" w:hAnsi="宋体" w:eastAsia="宋体" w:cs="宋体"/>
          <w:highlight w:val="none"/>
        </w:rPr>
      </w:pPr>
      <w:r>
        <w:rPr>
          <w:rFonts w:hint="eastAsia" w:ascii="宋体" w:hAnsi="宋体" w:eastAsia="宋体" w:cs="宋体"/>
          <w:sz w:val="21"/>
          <w:szCs w:val="21"/>
          <w:highlight w:val="none"/>
        </w:rPr>
        <w:t>投标文件以“政采云”平台上传的电子版投标文件为准。</w:t>
      </w:r>
    </w:p>
    <w:p w14:paraId="66F5A789">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4" w:name="_Toc17789"/>
      <w:bookmarkStart w:id="65" w:name="_Toc98580411"/>
      <w:r>
        <w:rPr>
          <w:rFonts w:hint="eastAsia" w:ascii="宋体" w:hAnsi="宋体" w:eastAsia="宋体" w:cs="宋体"/>
          <w:color w:val="auto"/>
          <w:sz w:val="21"/>
          <w:szCs w:val="21"/>
          <w:highlight w:val="none"/>
        </w:rPr>
        <w:t>E开标及评标</w:t>
      </w:r>
      <w:bookmarkEnd w:id="64"/>
      <w:bookmarkEnd w:id="65"/>
    </w:p>
    <w:p w14:paraId="6306E7FB">
      <w:pPr>
        <w:pStyle w:val="5"/>
        <w:numPr>
          <w:ilvl w:val="0"/>
          <w:numId w:val="2"/>
        </w:numPr>
        <w:autoSpaceDN w:val="0"/>
        <w:adjustRightInd w:val="0"/>
        <w:snapToGrid w:val="0"/>
        <w:spacing w:before="0" w:after="0" w:line="360" w:lineRule="auto"/>
        <w:rPr>
          <w:rFonts w:hint="eastAsia" w:ascii="宋体" w:hAnsi="宋体" w:eastAsia="宋体" w:cs="宋体"/>
          <w:color w:val="auto"/>
          <w:sz w:val="21"/>
          <w:szCs w:val="21"/>
          <w:highlight w:val="none"/>
        </w:rPr>
      </w:pPr>
      <w:bookmarkStart w:id="66" w:name="_Toc98580412"/>
      <w:r>
        <w:rPr>
          <w:rFonts w:hint="eastAsia" w:ascii="宋体" w:hAnsi="宋体" w:eastAsia="宋体" w:cs="宋体"/>
          <w:color w:val="auto"/>
          <w:sz w:val="21"/>
          <w:szCs w:val="21"/>
          <w:highlight w:val="none"/>
        </w:rPr>
        <w:t>开标</w:t>
      </w:r>
      <w:bookmarkEnd w:id="66"/>
    </w:p>
    <w:p w14:paraId="1FCEB7E4">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val="zh-CN"/>
        </w:rPr>
        <w:t>采购代理机构将在招标文件规定的时间和地点公开开标。</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法定代表人或其授权代理人应参加并签名报到以证明其出席，并携带有效身份证件以备审查。</w:t>
      </w:r>
    </w:p>
    <w:p w14:paraId="5EDAC08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19.2采购代理机构按招标文件规定的时间、地点主持公开开标。开标仪式由采购代理机构主持，采购人代表及有关工作人员参加。</w:t>
      </w:r>
    </w:p>
    <w:p w14:paraId="4D0D949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19.3开标时由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查验投标文件密封情况，确认无误后解密唱标。</w:t>
      </w:r>
    </w:p>
    <w:p w14:paraId="051D003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19.4采购代理机构在开标仪式上，将公开唱出所有</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的“开标一览表”内容及投标声明，以及采购机构认为合适的其它内容并记录。</w:t>
      </w:r>
    </w:p>
    <w:p w14:paraId="6C78C240">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bookmarkStart w:id="67" w:name="_Toc98580413"/>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9.5</w:t>
      </w:r>
      <w:r>
        <w:rPr>
          <w:rFonts w:hint="eastAsia" w:ascii="宋体" w:hAnsi="宋体" w:eastAsia="宋体" w:cs="宋体"/>
          <w:color w:val="auto"/>
          <w:szCs w:val="21"/>
          <w:highlight w:val="none"/>
          <w:lang w:val="zh-CN"/>
        </w:rPr>
        <w:t xml:space="preserve"> 开标时有下列情形之一的为无效投标：</w:t>
      </w:r>
    </w:p>
    <w:p w14:paraId="74BED663">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（1）投标文件在规定的投标截止时间以后送达的；</w:t>
      </w:r>
    </w:p>
    <w:p w14:paraId="346B4991">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（2）未按招标文件规定提交投标保证金的；</w:t>
      </w:r>
    </w:p>
    <w:p w14:paraId="33EE3CAC">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（3）投标文件未按招标文件规定密封的；</w:t>
      </w:r>
    </w:p>
    <w:p w14:paraId="72DDBF66">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（4）未提交单独密封的开标一览表或者开标一览表未按规定加盖公章和有效签署的；</w:t>
      </w:r>
    </w:p>
    <w:p w14:paraId="21C07FA6">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（5）招标文件规定开标时属于无效投标的其他情形。</w:t>
      </w:r>
    </w:p>
    <w:p w14:paraId="175460D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9.6</w:t>
      </w:r>
      <w:r>
        <w:rPr>
          <w:rFonts w:hint="eastAsia" w:ascii="宋体" w:hAnsi="宋体" w:eastAsia="宋体" w:cs="宋体"/>
          <w:color w:val="auto"/>
          <w:szCs w:val="21"/>
          <w:highlight w:val="none"/>
          <w:lang w:val="zh-CN"/>
        </w:rPr>
        <w:t xml:space="preserve"> 开标时有下列情形之一的，采购代理机构有权宣布本项目招标失败：</w:t>
      </w:r>
    </w:p>
    <w:p w14:paraId="382771CA">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（1）交货时间符合招标文件要求的</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不足三家的；</w:t>
      </w:r>
    </w:p>
    <w:p w14:paraId="2ECBA529">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（2）所有</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的报价均超过采购项目预算，采购单位不能支付的。</w:t>
      </w:r>
    </w:p>
    <w:p w14:paraId="3FDBDB11">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20.对投标文件的初审</w:t>
      </w:r>
      <w:bookmarkEnd w:id="67"/>
    </w:p>
    <w:p w14:paraId="502850EB">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20.1采购人根据招标项目特点组建评标委员会，由采购人从</w:t>
      </w:r>
      <w:r>
        <w:rPr>
          <w:rFonts w:hint="eastAsia" w:ascii="宋体" w:hAnsi="宋体" w:eastAsia="宋体" w:cs="宋体"/>
          <w:color w:val="auto"/>
          <w:szCs w:val="21"/>
          <w:highlight w:val="none"/>
          <w:lang w:eastAsia="zh-CN"/>
        </w:rPr>
        <w:t>政采云</w:t>
      </w:r>
      <w:r>
        <w:rPr>
          <w:rFonts w:hint="eastAsia" w:ascii="宋体" w:hAnsi="宋体" w:eastAsia="宋体" w:cs="宋体"/>
          <w:color w:val="auto"/>
          <w:szCs w:val="21"/>
          <w:highlight w:val="none"/>
        </w:rPr>
        <w:t xml:space="preserve">专家库中抽取的专家组成。 </w:t>
      </w:r>
    </w:p>
    <w:p w14:paraId="04F188B1">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37C536A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20.2初审中，对价格的计算错误按下述原则修正：</w:t>
      </w:r>
    </w:p>
    <w:p w14:paraId="09987101">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）投标文件中开标一览表内容与投标文件中相应内容不一致的，以《开标一览表》的报价为准；</w:t>
      </w:r>
    </w:p>
    <w:p w14:paraId="55DA693A">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）开标一览表内如果小写金额与大写金额不一致时，以大写金额为准；</w:t>
      </w:r>
    </w:p>
    <w:p w14:paraId="31248FA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）如果总价金额与单价金额不一致，以单价金额为准。</w:t>
      </w:r>
    </w:p>
    <w:p w14:paraId="23BD7F5A">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）除非单价有明显的小数点错位，此时应以该行标出的总额为准，并修改单价。</w:t>
      </w:r>
    </w:p>
    <w:p w14:paraId="08A8D43A">
      <w:pPr>
        <w:autoSpaceDN w:val="0"/>
        <w:adjustRightInd w:val="0"/>
        <w:snapToGrid w:val="0"/>
        <w:spacing w:line="360" w:lineRule="auto"/>
        <w:ind w:left="1"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按上述原则调整后的价格为评标价，经</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法定代表人或授权代理人签字确认后对</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具有约束力。如果</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不按照上述原则修正其投标报价及分项报价，则其投标将被拒绝。</w:t>
      </w:r>
    </w:p>
    <w:p w14:paraId="6C877F4D">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20.3与招标文件有重大偏离的投标文件将被视为具有非实质响应性的投标文件而被拒绝。</w:t>
      </w:r>
    </w:p>
    <w:p w14:paraId="3CF6ABE3">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20.4投标有下列情况之一者，</w:t>
      </w:r>
      <w:r>
        <w:rPr>
          <w:rFonts w:hint="eastAsia" w:ascii="宋体" w:hAnsi="宋体" w:eastAsia="宋体" w:cs="宋体"/>
          <w:bCs/>
          <w:color w:val="auto"/>
          <w:szCs w:val="21"/>
          <w:highlight w:val="none"/>
        </w:rPr>
        <w:t>将被视为非实质性响应的投标而被拒绝：</w:t>
      </w:r>
    </w:p>
    <w:p w14:paraId="6B0004C7">
      <w:pPr>
        <w:numPr>
          <w:ilvl w:val="0"/>
          <w:numId w:val="3"/>
        </w:numPr>
        <w:tabs>
          <w:tab w:val="left" w:pos="686"/>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资格条件及证明文件不符合招标文件要求的；</w:t>
      </w:r>
    </w:p>
    <w:p w14:paraId="7E36F38D">
      <w:pPr>
        <w:numPr>
          <w:ilvl w:val="0"/>
          <w:numId w:val="3"/>
        </w:numPr>
        <w:tabs>
          <w:tab w:val="left" w:pos="686"/>
        </w:tabs>
        <w:autoSpaceDN w:val="0"/>
        <w:adjustRightInd w:val="0"/>
        <w:snapToGrid w:val="0"/>
        <w:spacing w:line="360" w:lineRule="auto"/>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投标文件无公章或无法定代表人签字，或签字人无法定代表人有效授权书的，或未按要求签字、盖公章的；</w:t>
      </w:r>
    </w:p>
    <w:p w14:paraId="36FD2F1C">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不能满足投标有效期的；</w:t>
      </w:r>
    </w:p>
    <w:p w14:paraId="0FEEEB72">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投标明显不符合技术规格、技术标准的要求；</w:t>
      </w:r>
    </w:p>
    <w:p w14:paraId="10272448">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投标文件附有买方不能接受的条件；</w:t>
      </w:r>
    </w:p>
    <w:p w14:paraId="4DD4EF3B">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投标报价超过采购预算的；</w:t>
      </w:r>
    </w:p>
    <w:p w14:paraId="715ACDDA">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未响应招标文件规定的其它实质性条款。</w:t>
      </w:r>
    </w:p>
    <w:p w14:paraId="2D266F1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8" w:name="_Toc98580414"/>
      <w:r>
        <w:rPr>
          <w:rFonts w:hint="eastAsia" w:ascii="宋体" w:hAnsi="宋体" w:eastAsia="宋体" w:cs="宋体"/>
          <w:color w:val="auto"/>
          <w:sz w:val="21"/>
          <w:szCs w:val="21"/>
          <w:highlight w:val="none"/>
        </w:rPr>
        <w:t>21.投标的澄清</w:t>
      </w:r>
      <w:bookmarkEnd w:id="68"/>
    </w:p>
    <w:p w14:paraId="661EE038">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21.1招标机构有权就投标文件中含混之处向</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提出询问或澄清要求，或要求其补充某些材料。</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必须按照招标机构通知的时间、地点派技术和商务人员进行答疑和澄清。</w:t>
      </w:r>
    </w:p>
    <w:p w14:paraId="4A3DADAE">
      <w:pPr>
        <w:autoSpaceDN w:val="0"/>
        <w:adjustRightInd w:val="0"/>
        <w:snapToGrid w:val="0"/>
        <w:spacing w:line="360" w:lineRule="auto"/>
        <w:ind w:firstLine="42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的澄清、说明或者补正应当采用书面形式，由</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法定代表人或其授权代理人签字（须提交签字人身份证件并与投标文件签字人一致），并不得超出投标文件的范围或者改变投标文件的实质性内容。</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拒不进行澄清、说明、补正的，或者不能在规定时间内作出书面澄清、说明、补正的，评标委员会将拒绝其投标。</w:t>
      </w:r>
    </w:p>
    <w:p w14:paraId="30340458">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9" w:name="_Toc98580415"/>
      <w:bookmarkStart w:id="70" w:name="_Toc98580416"/>
      <w:r>
        <w:rPr>
          <w:rFonts w:hint="eastAsia" w:ascii="宋体" w:hAnsi="宋体" w:eastAsia="宋体" w:cs="宋体"/>
          <w:color w:val="auto"/>
          <w:sz w:val="21"/>
          <w:szCs w:val="21"/>
          <w:highlight w:val="none"/>
        </w:rPr>
        <w:t>22.评标</w:t>
      </w:r>
      <w:bookmarkEnd w:id="69"/>
    </w:p>
    <w:p w14:paraId="514B5345">
      <w:pPr>
        <w:autoSpaceDE w:val="0"/>
        <w:autoSpaceDN w:val="0"/>
        <w:adjustRightInd w:val="0"/>
        <w:snapToGrid w:val="0"/>
        <w:spacing w:line="360" w:lineRule="auto"/>
        <w:ind w:firstLine="42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22.1原则：对所有</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的投标评估，都采用相同的程序和标准。</w:t>
      </w:r>
    </w:p>
    <w:p w14:paraId="623677CA">
      <w:pPr>
        <w:autoSpaceDE w:val="0"/>
        <w:autoSpaceDN w:val="0"/>
        <w:adjustRightInd w:val="0"/>
        <w:snapToGrid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22.2标准：评标严格按照招标文件的要求和条件进行。</w:t>
      </w:r>
    </w:p>
    <w:p w14:paraId="49130677">
      <w:pPr>
        <w:tabs>
          <w:tab w:val="left" w:pos="475"/>
        </w:tabs>
        <w:autoSpaceDN w:val="0"/>
        <w:adjustRightInd w:val="0"/>
        <w:snapToGrid w:val="0"/>
        <w:spacing w:line="360" w:lineRule="auto"/>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本</w:t>
      </w:r>
      <w:r>
        <w:rPr>
          <w:rFonts w:hint="eastAsia" w:ascii="宋体" w:hAnsi="宋体" w:eastAsia="宋体" w:cs="宋体"/>
          <w:bCs/>
          <w:color w:val="auto"/>
          <w:szCs w:val="21"/>
          <w:highlight w:val="none"/>
          <w:lang w:val="zh-CN"/>
        </w:rPr>
        <w:t>项目采用</w:t>
      </w:r>
      <w:bookmarkStart w:id="71" w:name="blank29_copy_1619578097000"/>
      <w:r>
        <w:rPr>
          <w:rFonts w:hint="eastAsia" w:ascii="宋体" w:hAnsi="宋体" w:eastAsia="宋体" w:cs="宋体"/>
          <w:bCs/>
          <w:color w:val="auto"/>
          <w:szCs w:val="21"/>
          <w:highlight w:val="none"/>
        </w:rPr>
        <w:t>综合评分法</w:t>
      </w:r>
      <w:bookmarkEnd w:id="71"/>
      <w:r>
        <w:rPr>
          <w:rFonts w:hint="eastAsia" w:ascii="宋体" w:hAnsi="宋体" w:eastAsia="宋体" w:cs="宋体"/>
          <w:bCs/>
          <w:color w:val="auto"/>
          <w:szCs w:val="21"/>
          <w:highlight w:val="none"/>
          <w:lang w:val="zh-CN"/>
        </w:rPr>
        <w:t>：</w:t>
      </w:r>
    </w:p>
    <w:p w14:paraId="66D9ADC7">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评标委员会将按第三章规定的评审因素和标准，</w:t>
      </w:r>
      <w:r>
        <w:rPr>
          <w:rFonts w:hint="eastAsia" w:ascii="宋体" w:hAnsi="宋体" w:eastAsia="宋体" w:cs="宋体"/>
          <w:color w:val="auto"/>
          <w:szCs w:val="21"/>
          <w:highlight w:val="none"/>
        </w:rPr>
        <w:t>按评审后</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 xml:space="preserve">综合得分由高到低的顺序推荐中标候选人排序。 </w:t>
      </w:r>
    </w:p>
    <w:p w14:paraId="641FA064">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23.评标过程保密</w:t>
      </w:r>
      <w:bookmarkEnd w:id="70"/>
    </w:p>
    <w:p w14:paraId="78A1FB2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23.1有关投标文件的审查、澄清、评估和比较以及有关授予合同意向的一切情况均不得透露给任一</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或与上述评标工作无关的人员；</w:t>
      </w:r>
    </w:p>
    <w:p w14:paraId="7935D2B5">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23.2在评标期间，</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企图影响招标方的任何活动，将导致投标被拒绝，并承担相应的法律责任。</w:t>
      </w:r>
    </w:p>
    <w:p w14:paraId="299B27B6">
      <w:pPr>
        <w:autoSpaceDN w:val="0"/>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F 确定中标</w:t>
      </w:r>
    </w:p>
    <w:p w14:paraId="1E0B5906">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2" w:name="_Toc98580417"/>
      <w:r>
        <w:rPr>
          <w:rFonts w:hint="eastAsia" w:ascii="宋体" w:hAnsi="宋体" w:eastAsia="宋体" w:cs="宋体"/>
          <w:color w:val="auto"/>
          <w:sz w:val="21"/>
          <w:szCs w:val="21"/>
          <w:highlight w:val="none"/>
        </w:rPr>
        <w:t>24.最终审查</w:t>
      </w:r>
      <w:bookmarkEnd w:id="72"/>
    </w:p>
    <w:p w14:paraId="381EBDB1">
      <w:pPr>
        <w:autoSpaceDN w:val="0"/>
        <w:adjustRightInd w:val="0"/>
        <w:snapToGrid w:val="0"/>
        <w:spacing w:line="360" w:lineRule="auto"/>
        <w:ind w:left="29" w:leftChars="14" w:firstLine="417"/>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24.1评标委员会按照招标文件确定的评标标准和方法，对投标文件进行评审，并提出书面评标报告，确定中标人。最终审查的对象是招标项目的合格的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 xml:space="preserve">。 </w:t>
      </w:r>
    </w:p>
    <w:p w14:paraId="3AC7CAD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24.2最终审查的内容是对合格的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 xml:space="preserve">的财务状况、资格、信誉以及采购人认为有必要了解的其他问题作进一步的审查。  </w:t>
      </w:r>
    </w:p>
    <w:p w14:paraId="0B42F10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 接受最终审查的合格的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，必须如实回答和受理采购人的询问或考查，并提供所需的有关资料。</w:t>
      </w:r>
    </w:p>
    <w:p w14:paraId="5DEB169D">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24.4评标委员会从合格的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中评出中标人，并写出完整的评标报告。</w:t>
      </w:r>
    </w:p>
    <w:p w14:paraId="5BCFBE2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3" w:name="_Toc98580418"/>
      <w:r>
        <w:rPr>
          <w:rFonts w:hint="eastAsia" w:ascii="宋体" w:hAnsi="宋体" w:eastAsia="宋体" w:cs="宋体"/>
          <w:color w:val="auto"/>
          <w:sz w:val="21"/>
          <w:szCs w:val="21"/>
          <w:highlight w:val="none"/>
        </w:rPr>
        <w:t>25.中标通知</w:t>
      </w:r>
      <w:bookmarkEnd w:id="73"/>
    </w:p>
    <w:p w14:paraId="05B173CD">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25.1在投标有效期内，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以书面形式通知所选定的中标人。通知也可以以传真的形式发出，但需要随以书面形式最终确认。</w:t>
      </w:r>
    </w:p>
    <w:p w14:paraId="6499235D">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szCs w:val="21"/>
          <w:highlight w:val="none"/>
          <w:lang w:val="zh-CN"/>
        </w:rPr>
        <w:t>采购代理机构将自中标通知书发出之日起5个工作日内退还未中标</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的投标保证金，自政府采购合同签订之日起5个工作日内退还中标</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的投标保证金。</w:t>
      </w:r>
    </w:p>
    <w:p w14:paraId="290067C6">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26.签定合同</w:t>
      </w:r>
    </w:p>
    <w:p w14:paraId="5BB78F9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.1中标通知书发出后，采购单位改变中标结果的，或者中标人放弃中标项目的，应当依法承担法律责任。</w:t>
      </w:r>
      <w:r>
        <w:rPr>
          <w:rFonts w:hint="eastAsia" w:ascii="宋体" w:hAnsi="宋体" w:cs="宋体"/>
          <w:b w:val="0"/>
          <w:bCs w:val="0"/>
          <w:color w:val="auto"/>
          <w:szCs w:val="21"/>
          <w:highlight w:val="none"/>
          <w:lang w:val="zh-CN"/>
        </w:rPr>
        <w:t>供应商</w:t>
      </w:r>
      <w:r>
        <w:rPr>
          <w:rFonts w:hint="eastAsia" w:ascii="宋体" w:hAnsi="宋体" w:eastAsia="宋体" w:cs="宋体"/>
          <w:b w:val="0"/>
          <w:bCs w:val="0"/>
          <w:color w:val="auto"/>
          <w:szCs w:val="21"/>
          <w:highlight w:val="none"/>
          <w:lang w:val="zh-CN"/>
        </w:rPr>
        <w:t>需在响应文件中附合同承诺书，承诺在与采购人签订合同时绝不推诿，应承担相应责任，对完全响应合同作出承诺，并加盖公章及法定代表人签字盖章，格式自拟。</w:t>
      </w:r>
    </w:p>
    <w:p w14:paraId="46C9754B">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在被评标委员会评定为预中标人（中标人）之后、中标通知书发出之前放弃中标的，按本条规定处理。</w:t>
      </w:r>
    </w:p>
    <w:p w14:paraId="08F0DBF0">
      <w:pPr>
        <w:pStyle w:val="6"/>
        <w:autoSpaceDN w:val="0"/>
        <w:adjustRightInd w:val="0"/>
        <w:snapToGrid w:val="0"/>
        <w:spacing w:line="360" w:lineRule="auto"/>
        <w:ind w:left="464" w:hanging="44"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.3中标结果将在发布招标公告的同步网络媒介上公告，不再以书面方式通知未中标人。</w:t>
      </w:r>
    </w:p>
    <w:p w14:paraId="3E542307">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val="zh-CN"/>
        </w:rPr>
        <w:t>履约保证金</w:t>
      </w:r>
    </w:p>
    <w:p w14:paraId="0775D595">
      <w:pPr>
        <w:pStyle w:val="6"/>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本项目不收取</w:t>
      </w:r>
      <w:r>
        <w:rPr>
          <w:rFonts w:hint="eastAsia" w:ascii="宋体" w:hAnsi="宋体" w:eastAsia="宋体" w:cs="宋体"/>
          <w:sz w:val="21"/>
          <w:szCs w:val="21"/>
          <w:highlight w:val="none"/>
          <w:lang w:val="zh-CN"/>
        </w:rPr>
        <w:t>履约保证金</w:t>
      </w:r>
      <w:r>
        <w:rPr>
          <w:rFonts w:hint="eastAsia" w:ascii="宋体" w:hAnsi="宋体" w:eastAsia="宋体" w:cs="宋体"/>
          <w:sz w:val="21"/>
          <w:szCs w:val="21"/>
          <w:highlight w:val="none"/>
        </w:rPr>
        <w:t>。</w:t>
      </w:r>
    </w:p>
    <w:p w14:paraId="0B7E21C0">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.保密和披露</w:t>
      </w:r>
    </w:p>
    <w:p w14:paraId="352F366E">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.1采购代理机构有权将</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提供的所有资料向其他政府部门或有关的非政府机构负责评审标书的人员或与评标有关的人员披露。</w:t>
      </w:r>
    </w:p>
    <w:p w14:paraId="2980EBDB">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zh-CN"/>
        </w:rPr>
        <w:t>.2在下列情形下：当发布中标公告和其它公告时，当国家机关调查、审查、审计时，以及在其他符合法律规定的情形下，采购代理机构无须事先征求</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/中标人同意而可以披露关于采购过程、投标文件、合同文本、合同签署情况的资料、</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/中标人的名称及地址、采购内容的有关信息以及补充条款等，并且对任何已经公布过的内容或与之内容相同的资料无须再承担保密责任。</w:t>
      </w:r>
    </w:p>
    <w:p w14:paraId="07369287">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29、质疑和投诉</w:t>
      </w:r>
    </w:p>
    <w:p w14:paraId="7F50AFA7">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认为招标文件、招标过程和中标结果使自己的合法权益受到损害的，应当在知道或者应知其权益受到损害之日起七个工作日内，向招标方提出质疑。</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的质疑答复不满意或者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未在规定时间内作出答复的，可以在答复期满后十五个工作日内向同级采购监管部门投诉。</w:t>
      </w:r>
    </w:p>
    <w:p w14:paraId="7B23D27B">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752A5320">
      <w:pPr>
        <w:rPr>
          <w:rFonts w:hint="eastAsia" w:ascii="宋体" w:hAnsi="宋体" w:eastAsia="宋体" w:cs="宋体"/>
          <w:color w:val="auto"/>
          <w:highlight w:val="none"/>
        </w:rPr>
      </w:pPr>
      <w:bookmarkStart w:id="74" w:name="_Toc22071"/>
      <w:bookmarkStart w:id="75" w:name="_Toc48760973"/>
      <w:r>
        <w:rPr>
          <w:rFonts w:hint="eastAsia" w:ascii="宋体" w:hAnsi="宋体" w:eastAsia="宋体" w:cs="宋体"/>
          <w:color w:val="auto"/>
          <w:highlight w:val="none"/>
        </w:rPr>
        <w:br w:type="page"/>
      </w:r>
    </w:p>
    <w:p w14:paraId="354CC393">
      <w:pPr>
        <w:pStyle w:val="2"/>
        <w:autoSpaceDN w:val="0"/>
        <w:adjustRightInd w:val="0"/>
        <w:snapToGrid w:val="0"/>
        <w:spacing w:before="0" w:after="0" w:line="360" w:lineRule="auto"/>
        <w:jc w:val="center"/>
        <w:rPr>
          <w:rFonts w:hint="eastAsia" w:ascii="宋体" w:hAnsi="宋体" w:eastAsia="宋体" w:cs="宋体"/>
          <w:color w:val="auto"/>
          <w:highlight w:val="none"/>
        </w:rPr>
      </w:pPr>
      <w:bookmarkStart w:id="76" w:name="_Toc22022"/>
      <w:r>
        <w:rPr>
          <w:rFonts w:hint="eastAsia" w:ascii="宋体" w:hAnsi="宋体" w:eastAsia="宋体" w:cs="宋体"/>
          <w:color w:val="auto"/>
          <w:highlight w:val="none"/>
        </w:rPr>
        <w:t>第三部分 评标办法</w:t>
      </w:r>
      <w:bookmarkEnd w:id="74"/>
      <w:bookmarkEnd w:id="75"/>
      <w:bookmarkEnd w:id="76"/>
    </w:p>
    <w:p w14:paraId="033E8DA0">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bookmarkStart w:id="77" w:name="blank29_copy_1619578115000"/>
      <w:r>
        <w:rPr>
          <w:rFonts w:hint="eastAsia" w:ascii="宋体" w:hAnsi="宋体" w:eastAsia="宋体" w:cs="宋体"/>
          <w:color w:val="auto"/>
          <w:kern w:val="0"/>
          <w:szCs w:val="21"/>
          <w:highlight w:val="none"/>
        </w:rPr>
        <w:t>综合评分法</w:t>
      </w:r>
      <w:bookmarkEnd w:id="77"/>
      <w:r>
        <w:rPr>
          <w:rFonts w:hint="eastAsia" w:ascii="宋体" w:hAnsi="宋体" w:eastAsia="宋体" w:cs="宋体"/>
          <w:color w:val="auto"/>
          <w:szCs w:val="21"/>
          <w:highlight w:val="none"/>
        </w:rPr>
        <w:t>）</w:t>
      </w:r>
    </w:p>
    <w:p w14:paraId="4F9CC6A0">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p w14:paraId="525505F4">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按照国家相关部门的规定，遵循公开、公平、公正和诚实信用的原则，结合本招标项目的实际情况，制定本招标项目评标办法。</w:t>
      </w:r>
    </w:p>
    <w:p w14:paraId="6C31BE4F">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78" w:name="_Toc18506"/>
      <w:r>
        <w:rPr>
          <w:rFonts w:hint="eastAsia" w:ascii="宋体" w:hAnsi="宋体" w:eastAsia="宋体" w:cs="宋体"/>
          <w:b/>
          <w:bCs/>
          <w:color w:val="auto"/>
          <w:szCs w:val="21"/>
          <w:highlight w:val="none"/>
        </w:rPr>
        <w:t>一、评 标 程 序</w:t>
      </w:r>
      <w:bookmarkEnd w:id="78"/>
    </w:p>
    <w:p w14:paraId="39FAEAE7">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（一）组成评标委员会</w:t>
      </w:r>
    </w:p>
    <w:p w14:paraId="3CFED55F">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按照国家有关部委的相关规定，本项目由技术、经济等方面的专家组成评标委员会（以下简称“评委会”）。评标委员会共有5人组成，其中采购人代表</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人，经济、技术专家</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人。</w:t>
      </w:r>
    </w:p>
    <w:p w14:paraId="68134978">
      <w:pPr>
        <w:keepNext/>
        <w:keepLines/>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（二）评标工作</w:t>
      </w:r>
    </w:p>
    <w:p w14:paraId="279EF13D">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评标本着客观公正、公平竞争、择优推荐、规范合法的原则进行。评标工作分为资格审查、</w:t>
      </w:r>
      <w:r>
        <w:rPr>
          <w:rFonts w:hint="eastAsia" w:ascii="宋体" w:hAnsi="宋体" w:eastAsia="宋体" w:cs="宋体"/>
          <w:bCs/>
          <w:color w:val="auto"/>
          <w:szCs w:val="21"/>
          <w:highlight w:val="none"/>
          <w:lang w:val="en-US" w:eastAsia="zh-CN"/>
        </w:rPr>
        <w:t>符合性审查</w:t>
      </w:r>
      <w:r>
        <w:rPr>
          <w:rFonts w:hint="eastAsia" w:ascii="宋体" w:hAnsi="宋体" w:eastAsia="宋体" w:cs="宋体"/>
          <w:bCs/>
          <w:color w:val="auto"/>
          <w:szCs w:val="21"/>
          <w:highlight w:val="none"/>
        </w:rPr>
        <w:t>和详细评审三个步骤。</w:t>
      </w:r>
    </w:p>
    <w:p w14:paraId="69AB17BF">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1.资格审查。采购人或代理机构对各</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的资格（包括资格审查表中信用查询部分）进行审查。资格审查合格的</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方可进入符合性审查。</w:t>
      </w:r>
    </w:p>
    <w:p w14:paraId="352BAE58">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2.符合性审查。评委会对</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的投标文件进行符合性鉴定。符合性审查合格的</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方可进入详细评审。</w:t>
      </w:r>
    </w:p>
    <w:p w14:paraId="5D650F4F">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3.详细评审。详细评审采用综合评分法。评委依据评标办法分别对各</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的投标文件进行评审、赋分。</w:t>
      </w:r>
    </w:p>
    <w:p w14:paraId="5DCEA3A4">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（三）询标（必要时）</w:t>
      </w:r>
    </w:p>
    <w:p w14:paraId="569DCCD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评标委员会对投标文件需要澄清的问题，采用集体询标方式进行。</w:t>
      </w:r>
    </w:p>
    <w:p w14:paraId="518596C5">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（四）确定中标候选人</w:t>
      </w:r>
    </w:p>
    <w:p w14:paraId="4AFC8A9A">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按最终综合得分由高到低的顺序推荐中标候选人3家。</w:t>
      </w:r>
    </w:p>
    <w:p w14:paraId="42681559">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（五）评标报告</w:t>
      </w:r>
    </w:p>
    <w:p w14:paraId="0A0B1778">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评标工作结束时，评委会将本项目综合评审结果向采购人提交书面“评标报告”，各评委对评标报告内容讨论通过后，在“评标报告”上签字，对评标结果予以确认。</w:t>
      </w:r>
    </w:p>
    <w:p w14:paraId="64533C91">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0E7B51C">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79" w:name="_Toc13522"/>
      <w:r>
        <w:rPr>
          <w:rFonts w:hint="eastAsia" w:ascii="宋体" w:hAnsi="宋体" w:eastAsia="宋体" w:cs="宋体"/>
          <w:b/>
          <w:bCs/>
          <w:color w:val="auto"/>
          <w:szCs w:val="21"/>
          <w:highlight w:val="none"/>
        </w:rPr>
        <w:t>二、评 标 办 法</w:t>
      </w:r>
      <w:bookmarkEnd w:id="79"/>
    </w:p>
    <w:p w14:paraId="0B946CFD">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tbl>
      <w:tblPr>
        <w:tblStyle w:val="29"/>
        <w:tblW w:w="97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2"/>
        <w:gridCol w:w="1650"/>
        <w:gridCol w:w="6983"/>
      </w:tblGrid>
      <w:tr w14:paraId="6C4DD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blHeader/>
          <w:jc w:val="center"/>
        </w:trPr>
        <w:tc>
          <w:tcPr>
            <w:tcW w:w="1072" w:type="dxa"/>
            <w:tcBorders>
              <w:top w:val="single" w:color="auto" w:sz="4" w:space="0"/>
              <w:bottom w:val="single" w:color="auto" w:sz="4" w:space="0"/>
              <w:right w:val="single" w:color="auto" w:sz="4" w:space="0"/>
            </w:tcBorders>
            <w:vAlign w:val="center"/>
          </w:tcPr>
          <w:p w14:paraId="4EB27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650" w:type="dxa"/>
            <w:tcBorders>
              <w:top w:val="single" w:color="auto" w:sz="4" w:space="0"/>
              <w:left w:val="single" w:color="auto" w:sz="4" w:space="0"/>
              <w:bottom w:val="single" w:color="auto" w:sz="4" w:space="0"/>
              <w:right w:val="single" w:color="auto" w:sz="4" w:space="0"/>
            </w:tcBorders>
            <w:vAlign w:val="center"/>
          </w:tcPr>
          <w:p w14:paraId="3B6CA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983" w:type="dxa"/>
            <w:tcBorders>
              <w:top w:val="single" w:color="auto" w:sz="4" w:space="0"/>
              <w:left w:val="single" w:color="auto" w:sz="4" w:space="0"/>
              <w:bottom w:val="single" w:color="auto" w:sz="4" w:space="0"/>
              <w:right w:val="single" w:color="auto" w:sz="4" w:space="0"/>
            </w:tcBorders>
            <w:vAlign w:val="center"/>
          </w:tcPr>
          <w:p w14:paraId="37DCB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22D1C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72" w:type="dxa"/>
            <w:vMerge w:val="restart"/>
            <w:tcBorders>
              <w:top w:val="single" w:color="auto" w:sz="4" w:space="0"/>
              <w:right w:val="single" w:color="auto" w:sz="4" w:space="0"/>
            </w:tcBorders>
            <w:vAlign w:val="center"/>
          </w:tcPr>
          <w:p w14:paraId="582BBA2A">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0" w:type="dxa"/>
            <w:tcBorders>
              <w:top w:val="single" w:color="auto" w:sz="4" w:space="0"/>
              <w:left w:val="single" w:color="auto" w:sz="4" w:space="0"/>
              <w:bottom w:val="single" w:color="auto" w:sz="4" w:space="0"/>
              <w:right w:val="single" w:color="auto" w:sz="4" w:space="0"/>
            </w:tcBorders>
            <w:vAlign w:val="center"/>
          </w:tcPr>
          <w:p w14:paraId="320E3CA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983" w:type="dxa"/>
            <w:tcBorders>
              <w:top w:val="single" w:color="auto" w:sz="4" w:space="0"/>
              <w:left w:val="single" w:color="auto" w:sz="4" w:space="0"/>
              <w:bottom w:val="single" w:color="auto" w:sz="4" w:space="0"/>
              <w:right w:val="single" w:color="auto" w:sz="4" w:space="0"/>
            </w:tcBorders>
            <w:vAlign w:val="center"/>
          </w:tcPr>
          <w:p w14:paraId="665907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4DDCF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72" w:type="dxa"/>
            <w:vMerge w:val="continue"/>
            <w:tcBorders>
              <w:right w:val="single" w:color="auto" w:sz="4" w:space="0"/>
            </w:tcBorders>
            <w:vAlign w:val="center"/>
          </w:tcPr>
          <w:p w14:paraId="009FB822">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000E12ED">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银行开户证明</w:t>
            </w:r>
          </w:p>
        </w:tc>
        <w:tc>
          <w:tcPr>
            <w:tcW w:w="6983" w:type="dxa"/>
            <w:tcBorders>
              <w:top w:val="single" w:color="auto" w:sz="4" w:space="0"/>
              <w:left w:val="single" w:color="auto" w:sz="4" w:space="0"/>
              <w:bottom w:val="single" w:color="auto" w:sz="4" w:space="0"/>
              <w:right w:val="single" w:color="auto" w:sz="4" w:space="0"/>
            </w:tcBorders>
            <w:vAlign w:val="center"/>
          </w:tcPr>
          <w:p w14:paraId="5C7F91E5">
            <w:pPr>
              <w:spacing w:line="240" w:lineRule="auto"/>
              <w:rPr>
                <w:rFonts w:hint="eastAsia" w:ascii="宋体" w:hAnsi="宋体" w:eastAsia="宋体" w:cs="宋体"/>
                <w:color w:val="auto"/>
                <w:sz w:val="21"/>
                <w:szCs w:val="21"/>
                <w:highlight w:val="none"/>
              </w:rPr>
            </w:pPr>
            <w:r>
              <w:rPr>
                <w:rFonts w:hint="eastAsia" w:ascii="宋体" w:cs="宋体"/>
                <w:bCs/>
                <w:sz w:val="21"/>
                <w:szCs w:val="21"/>
                <w:highlight w:val="none"/>
                <w:lang w:val="zh-CN"/>
              </w:rPr>
              <w:t>具备有效的银行开户证明，</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4352A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4" w:hRule="exact"/>
          <w:jc w:val="center"/>
        </w:trPr>
        <w:tc>
          <w:tcPr>
            <w:tcW w:w="1072" w:type="dxa"/>
            <w:vMerge w:val="continue"/>
            <w:tcBorders>
              <w:right w:val="single" w:color="auto" w:sz="4" w:space="0"/>
            </w:tcBorders>
            <w:vAlign w:val="center"/>
          </w:tcPr>
          <w:p w14:paraId="50798674">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62BD04CF">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资格要求</w:t>
            </w:r>
          </w:p>
        </w:tc>
        <w:tc>
          <w:tcPr>
            <w:tcW w:w="6983" w:type="dxa"/>
            <w:tcBorders>
              <w:top w:val="single" w:color="auto" w:sz="4" w:space="0"/>
              <w:left w:val="single" w:color="auto" w:sz="4" w:space="0"/>
              <w:bottom w:val="single" w:color="auto" w:sz="4" w:space="0"/>
              <w:right w:val="single" w:color="auto" w:sz="4" w:space="0"/>
            </w:tcBorders>
            <w:vAlign w:val="center"/>
          </w:tcPr>
          <w:p w14:paraId="787F2247">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供应商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w:t>
            </w:r>
          </w:p>
          <w:p w14:paraId="0E24FDC6">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②供应商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w:t>
            </w:r>
          </w:p>
          <w:p w14:paraId="2EB21460">
            <w:pPr>
              <w:keepNext w:val="0"/>
              <w:keepLines w:val="0"/>
              <w:pageBreakBefore w:val="0"/>
              <w:widowControl/>
              <w:kinsoku/>
              <w:wordWrap/>
              <w:overflowPunct/>
              <w:topLinePunct w:val="0"/>
              <w:bidi w:val="0"/>
              <w:snapToGrid/>
              <w:spacing w:line="400" w:lineRule="exact"/>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56A3523D">
            <w:pPr>
              <w:spacing w:line="240" w:lineRule="auto"/>
              <w:rPr>
                <w:rFonts w:hint="eastAsia" w:ascii="宋体" w:cs="宋体"/>
                <w:bCs/>
                <w:sz w:val="21"/>
                <w:szCs w:val="21"/>
                <w:highlight w:val="none"/>
                <w:lang w:val="zh-CN"/>
              </w:rPr>
            </w:pPr>
            <w:r>
              <w:rPr>
                <w:rFonts w:hint="eastAsia" w:ascii="宋体" w:hAnsi="宋体" w:eastAsia="宋体" w:cs="宋体"/>
                <w:b/>
                <w:bCs/>
                <w:color w:val="000000"/>
                <w:sz w:val="21"/>
                <w:szCs w:val="21"/>
                <w:highlight w:val="none"/>
                <w:lang w:val="zh-CN"/>
              </w:rPr>
              <w:t>投标文件内附相关证书复印件加盖公章。</w:t>
            </w:r>
          </w:p>
        </w:tc>
      </w:tr>
      <w:tr w14:paraId="33B75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7" w:hRule="atLeast"/>
          <w:jc w:val="center"/>
        </w:trPr>
        <w:tc>
          <w:tcPr>
            <w:tcW w:w="1072" w:type="dxa"/>
            <w:vMerge w:val="continue"/>
            <w:tcBorders>
              <w:right w:val="single" w:color="auto" w:sz="4" w:space="0"/>
            </w:tcBorders>
            <w:vAlign w:val="center"/>
          </w:tcPr>
          <w:p w14:paraId="4D84511B">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2CB2671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983" w:type="dxa"/>
            <w:tcBorders>
              <w:top w:val="single" w:color="auto" w:sz="4" w:space="0"/>
              <w:left w:val="single" w:color="auto" w:sz="4" w:space="0"/>
              <w:bottom w:val="single" w:color="auto" w:sz="4" w:space="0"/>
              <w:right w:val="single" w:color="auto" w:sz="4" w:space="0"/>
            </w:tcBorders>
            <w:vAlign w:val="center"/>
          </w:tcPr>
          <w:p w14:paraId="23CB7B8A">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具有良好的商业信誉和健全的财务会计制度，</w:t>
            </w:r>
            <w:r>
              <w:rPr>
                <w:rFonts w:hint="eastAsia" w:ascii="宋体" w:hAnsi="宋体" w:cs="宋体"/>
                <w:color w:val="auto"/>
                <w:szCs w:val="21"/>
                <w:highlight w:val="none"/>
                <w:shd w:val="clear" w:color="auto" w:fill="FFFFFF"/>
                <w:lang w:eastAsia="zh-CN"/>
              </w:rPr>
              <w:t>提供近三年202</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lang w:eastAsia="zh-CN"/>
              </w:rPr>
              <w:t>-202</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eastAsia="zh-CN"/>
              </w:rPr>
              <w:t>年经会计师事务所审计的财务审计报告或财务报表</w:t>
            </w:r>
            <w:r>
              <w:rPr>
                <w:rFonts w:hint="eastAsia" w:ascii="宋体" w:hAnsi="宋体" w:cs="宋体"/>
                <w:color w:val="auto"/>
                <w:szCs w:val="21"/>
                <w:highlight w:val="none"/>
                <w:shd w:val="clear" w:color="auto" w:fill="FFFFFF"/>
                <w:lang w:val="en-US" w:eastAsia="zh-CN"/>
              </w:rPr>
              <w:t>（成立年限不足三年的提供成立之日起至2024年度的财务审计报告或财务报表；2024年12月31日后成立的公司提供加盖公章的财务状况良好承诺书）或开标日前三个月内由其基本账户银行开具的资信证明</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附复印件并加盖公章。</w:t>
            </w:r>
          </w:p>
        </w:tc>
      </w:tr>
      <w:tr w14:paraId="7D21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7" w:hRule="atLeast"/>
          <w:jc w:val="center"/>
        </w:trPr>
        <w:tc>
          <w:tcPr>
            <w:tcW w:w="1072" w:type="dxa"/>
            <w:vMerge w:val="continue"/>
            <w:tcBorders>
              <w:right w:val="single" w:color="auto" w:sz="4" w:space="0"/>
            </w:tcBorders>
            <w:vAlign w:val="center"/>
          </w:tcPr>
          <w:p w14:paraId="743CBE69">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35A71D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依法缴纳税收和社会保障资金的良好记录</w:t>
            </w:r>
          </w:p>
        </w:tc>
        <w:tc>
          <w:tcPr>
            <w:tcW w:w="6983" w:type="dxa"/>
            <w:tcBorders>
              <w:top w:val="single" w:color="auto" w:sz="4" w:space="0"/>
              <w:left w:val="single" w:color="auto" w:sz="4" w:space="0"/>
              <w:bottom w:val="single" w:color="auto" w:sz="4" w:space="0"/>
              <w:right w:val="single" w:color="auto" w:sz="4" w:space="0"/>
            </w:tcBorders>
            <w:vAlign w:val="center"/>
          </w:tcPr>
          <w:p w14:paraId="25E718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依法缴纳税收和社会保障资金的良好记录，提供近</w:t>
            </w:r>
            <w:r>
              <w:rPr>
                <w:rFonts w:hint="eastAsia" w:ascii="宋体" w:hAnsi="宋体" w:cs="宋体"/>
                <w:color w:val="auto"/>
                <w:sz w:val="21"/>
                <w:szCs w:val="21"/>
                <w:highlight w:val="none"/>
                <w:lang w:val="en-US" w:eastAsia="zh-CN"/>
              </w:rPr>
              <w:t>一年</w:t>
            </w:r>
            <w:r>
              <w:rPr>
                <w:rFonts w:hint="eastAsia" w:ascii="宋体" w:hAnsi="宋体" w:eastAsia="宋体" w:cs="宋体"/>
                <w:color w:val="auto"/>
                <w:sz w:val="21"/>
                <w:szCs w:val="21"/>
                <w:highlight w:val="none"/>
              </w:rPr>
              <w:t>内任意一个月企业依法缴纳税收及社保的相关材料（依法免税或无欠税、依法不需要缴纳社会保险的，应提供相应文件证明其依法免税或无欠税、依法不需要缴纳社会保险）</w:t>
            </w:r>
            <w:r>
              <w:rPr>
                <w:rFonts w:hint="eastAsia" w:ascii="宋体" w:hAnsi="宋体" w:eastAsia="宋体" w:cs="宋体"/>
                <w:color w:val="auto"/>
                <w:sz w:val="21"/>
                <w:szCs w:val="21"/>
                <w:highlight w:val="none"/>
                <w:lang w:eastAsia="zh-CN"/>
              </w:rPr>
              <w:t>，标书中附复印件并加盖公章。</w:t>
            </w:r>
          </w:p>
        </w:tc>
      </w:tr>
      <w:tr w14:paraId="2EC43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72" w:type="dxa"/>
            <w:vMerge w:val="continue"/>
            <w:tcBorders>
              <w:right w:val="single" w:color="auto" w:sz="4" w:space="0"/>
            </w:tcBorders>
            <w:vAlign w:val="center"/>
          </w:tcPr>
          <w:p w14:paraId="5CEC05DD">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right w:val="single" w:color="auto" w:sz="4" w:space="0"/>
            </w:tcBorders>
            <w:vAlign w:val="center"/>
          </w:tcPr>
          <w:p w14:paraId="2A3020B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983" w:type="dxa"/>
            <w:tcBorders>
              <w:top w:val="single" w:color="auto" w:sz="4" w:space="0"/>
              <w:left w:val="single" w:color="auto" w:sz="4" w:space="0"/>
              <w:bottom w:val="single" w:color="auto" w:sz="4" w:space="0"/>
              <w:right w:val="single" w:color="auto" w:sz="4" w:space="0"/>
            </w:tcBorders>
            <w:vAlign w:val="center"/>
          </w:tcPr>
          <w:p w14:paraId="7E601CD5">
            <w:pPr>
              <w:snapToGrid w:val="0"/>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25523A82">
            <w:pPr>
              <w:snapToGrid w:val="0"/>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2.拒绝列入政府取消投标资格记录期间的企业或个人投标；</w:t>
            </w:r>
          </w:p>
          <w:p w14:paraId="3B81164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（其中第1项提供网站截图，第2项提供由法定代表人或授权代表人签字或盖章并加盖供应商公章的承诺书）</w:t>
            </w:r>
          </w:p>
        </w:tc>
      </w:tr>
      <w:tr w14:paraId="54342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atLeast"/>
          <w:jc w:val="center"/>
        </w:trPr>
        <w:tc>
          <w:tcPr>
            <w:tcW w:w="1072" w:type="dxa"/>
            <w:vMerge w:val="continue"/>
            <w:tcBorders>
              <w:right w:val="single" w:color="auto" w:sz="4" w:space="0"/>
            </w:tcBorders>
            <w:vAlign w:val="center"/>
          </w:tcPr>
          <w:p w14:paraId="4B37DEF1">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3EC67922">
            <w:pPr>
              <w:spacing w:line="30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授权委托书（如有委托代理人）</w:t>
            </w:r>
          </w:p>
        </w:tc>
        <w:tc>
          <w:tcPr>
            <w:tcW w:w="6983" w:type="dxa"/>
            <w:tcBorders>
              <w:top w:val="single" w:color="auto" w:sz="4" w:space="0"/>
              <w:left w:val="single" w:color="auto" w:sz="4" w:space="0"/>
              <w:bottom w:val="single" w:color="auto" w:sz="4" w:space="0"/>
              <w:right w:val="single" w:color="auto" w:sz="4" w:space="0"/>
            </w:tcBorders>
            <w:vAlign w:val="center"/>
          </w:tcPr>
          <w:p w14:paraId="58D55A2D">
            <w:pPr>
              <w:autoSpaceDE w:val="0"/>
              <w:autoSpaceDN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由法定代表人及委托代理人签字并加盖公章。</w:t>
            </w:r>
          </w:p>
        </w:tc>
      </w:tr>
      <w:tr w14:paraId="16183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 w:hRule="atLeast"/>
          <w:jc w:val="center"/>
        </w:trPr>
        <w:tc>
          <w:tcPr>
            <w:tcW w:w="1072" w:type="dxa"/>
            <w:vMerge w:val="continue"/>
            <w:tcBorders>
              <w:right w:val="single" w:color="auto" w:sz="4" w:space="0"/>
            </w:tcBorders>
            <w:vAlign w:val="center"/>
          </w:tcPr>
          <w:p w14:paraId="024B36FB">
            <w:pPr>
              <w:spacing w:line="300" w:lineRule="auto"/>
              <w:jc w:val="center"/>
              <w:rPr>
                <w:rFonts w:hint="eastAsia" w:ascii="宋体" w:hAnsi="宋体" w:eastAsia="宋体" w:cs="宋体"/>
                <w:color w:val="auto"/>
                <w:sz w:val="21"/>
                <w:szCs w:val="21"/>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58E624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983" w:type="dxa"/>
            <w:tcBorders>
              <w:top w:val="single" w:color="auto" w:sz="4" w:space="0"/>
              <w:left w:val="single" w:color="auto" w:sz="4" w:space="0"/>
              <w:bottom w:val="single" w:color="auto" w:sz="4" w:space="0"/>
              <w:right w:val="single" w:color="auto" w:sz="4" w:space="0"/>
            </w:tcBorders>
            <w:vAlign w:val="center"/>
          </w:tcPr>
          <w:p w14:paraId="5DA8E1EE">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96FC350">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以上内容</w:t>
            </w:r>
            <w:r>
              <w:rPr>
                <w:rFonts w:hint="eastAsia" w:ascii="宋体" w:hAnsi="宋体" w:eastAsia="宋体" w:cs="宋体"/>
                <w:color w:val="auto"/>
                <w:sz w:val="21"/>
                <w:szCs w:val="21"/>
                <w:highlight w:val="none"/>
                <w:lang w:eastAsia="zh-CN"/>
              </w:rPr>
              <w:t>标书中</w:t>
            </w:r>
            <w:r>
              <w:rPr>
                <w:rFonts w:hint="eastAsia" w:ascii="宋体" w:hAnsi="宋体" w:eastAsia="宋体" w:cs="宋体"/>
                <w:color w:val="auto"/>
                <w:sz w:val="21"/>
                <w:szCs w:val="21"/>
                <w:highlight w:val="none"/>
              </w:rPr>
              <w:t>提供由法定代表人或其委托代理人签字并加盖投标单位公章的承诺书。</w:t>
            </w:r>
          </w:p>
        </w:tc>
      </w:tr>
    </w:tbl>
    <w:p w14:paraId="034F9E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4C3E6F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（2）上述审查内容如某一证件正在年检或换证，需年检或换证部门出具有效证明方可确认；</w:t>
      </w:r>
    </w:p>
    <w:p w14:paraId="296D23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（3）资格审查结束后，合格的</w:t>
      </w:r>
      <w:r>
        <w:rPr>
          <w:rFonts w:hint="eastAsia" w:ascii="宋体" w:hAnsi="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6F39DC04">
      <w:pPr>
        <w:pStyle w:val="24"/>
        <w:spacing w:before="0" w:beforeAutospacing="0" w:after="0" w:afterAutospacing="0" w:line="360" w:lineRule="auto"/>
        <w:rPr>
          <w:rFonts w:hint="eastAsia" w:ascii="宋体" w:hAnsi="宋体" w:eastAsia="宋体" w:cs="宋体"/>
          <w:color w:val="auto"/>
          <w:sz w:val="21"/>
          <w:szCs w:val="21"/>
          <w:highlight w:val="none"/>
        </w:rPr>
      </w:pPr>
    </w:p>
    <w:p w14:paraId="5CB8893E">
      <w:pPr>
        <w:rPr>
          <w:rFonts w:hint="eastAsia" w:ascii="宋体" w:hAnsi="宋体" w:eastAsia="宋体" w:cs="宋体"/>
          <w:color w:val="auto"/>
          <w:sz w:val="24"/>
          <w:highlight w:val="none"/>
          <w:lang w:val="zh-CN"/>
        </w:rPr>
      </w:pPr>
      <w:r>
        <w:rPr>
          <w:rFonts w:hint="eastAsia" w:ascii="宋体" w:hAnsi="宋体" w:eastAsia="宋体" w:cs="宋体"/>
          <w:color w:val="auto"/>
          <w:szCs w:val="21"/>
          <w:highlight w:val="none"/>
        </w:rPr>
        <w:br w:type="page"/>
      </w:r>
    </w:p>
    <w:p w14:paraId="60B1C129">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（二）符合性审查表</w:t>
      </w:r>
    </w:p>
    <w:p w14:paraId="72C3EEA3">
      <w:pPr>
        <w:autoSpaceDN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bl>
      <w:tblPr>
        <w:tblStyle w:val="29"/>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7"/>
        <w:gridCol w:w="6592"/>
      </w:tblGrid>
      <w:tr w14:paraId="7E4F3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jc w:val="center"/>
        </w:trPr>
        <w:tc>
          <w:tcPr>
            <w:tcW w:w="2707" w:type="dxa"/>
            <w:tcBorders>
              <w:top w:val="single" w:color="auto" w:sz="4" w:space="0"/>
              <w:left w:val="single" w:color="auto" w:sz="4" w:space="0"/>
              <w:bottom w:val="single" w:color="auto" w:sz="4" w:space="0"/>
              <w:right w:val="single" w:color="auto" w:sz="4" w:space="0"/>
            </w:tcBorders>
            <w:vAlign w:val="center"/>
          </w:tcPr>
          <w:p w14:paraId="6888B550">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592" w:type="dxa"/>
            <w:tcBorders>
              <w:top w:val="single" w:color="auto" w:sz="4" w:space="0"/>
              <w:left w:val="single" w:color="auto" w:sz="4" w:space="0"/>
              <w:bottom w:val="single" w:color="auto" w:sz="4" w:space="0"/>
              <w:right w:val="single" w:color="auto" w:sz="4" w:space="0"/>
            </w:tcBorders>
            <w:vAlign w:val="center"/>
          </w:tcPr>
          <w:p w14:paraId="051284FD">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2DAD4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A4CA2F6">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6592" w:type="dxa"/>
            <w:tcBorders>
              <w:top w:val="single" w:color="auto" w:sz="4" w:space="0"/>
              <w:left w:val="single" w:color="auto" w:sz="4" w:space="0"/>
              <w:bottom w:val="single" w:color="auto" w:sz="4" w:space="0"/>
              <w:right w:val="single" w:color="auto" w:sz="4" w:space="0"/>
            </w:tcBorders>
            <w:vAlign w:val="center"/>
          </w:tcPr>
          <w:p w14:paraId="3428BE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385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217B07A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592" w:type="dxa"/>
            <w:tcBorders>
              <w:top w:val="single" w:color="auto" w:sz="4" w:space="0"/>
              <w:left w:val="single" w:color="auto" w:sz="4" w:space="0"/>
              <w:bottom w:val="single" w:color="auto" w:sz="4" w:space="0"/>
              <w:right w:val="single" w:color="auto" w:sz="4" w:space="0"/>
            </w:tcBorders>
            <w:vAlign w:val="center"/>
          </w:tcPr>
          <w:p w14:paraId="667C71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有法定代表人或其委托代理人签字和加盖单位章。</w:t>
            </w:r>
          </w:p>
        </w:tc>
      </w:tr>
      <w:tr w14:paraId="43D73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EBB803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592" w:type="dxa"/>
            <w:tcBorders>
              <w:top w:val="single" w:color="auto" w:sz="4" w:space="0"/>
              <w:left w:val="single" w:color="auto" w:sz="4" w:space="0"/>
              <w:bottom w:val="single" w:color="auto" w:sz="4" w:space="0"/>
              <w:right w:val="single" w:color="auto" w:sz="4" w:space="0"/>
            </w:tcBorders>
            <w:vAlign w:val="center"/>
          </w:tcPr>
          <w:p w14:paraId="714028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 “投标文件格式”的要求。</w:t>
            </w:r>
          </w:p>
        </w:tc>
      </w:tr>
      <w:tr w14:paraId="788FF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754C74B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592" w:type="dxa"/>
            <w:tcBorders>
              <w:top w:val="single" w:color="auto" w:sz="4" w:space="0"/>
              <w:left w:val="single" w:color="auto" w:sz="4" w:space="0"/>
              <w:bottom w:val="single" w:color="auto" w:sz="4" w:space="0"/>
              <w:right w:val="single" w:color="auto" w:sz="4" w:space="0"/>
            </w:tcBorders>
            <w:vAlign w:val="center"/>
          </w:tcPr>
          <w:p w14:paraId="758BCE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只能有一个有效报价。  </w:t>
            </w:r>
          </w:p>
        </w:tc>
      </w:tr>
      <w:tr w14:paraId="1E85D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180BC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592" w:type="dxa"/>
            <w:tcBorders>
              <w:top w:val="single" w:color="auto" w:sz="4" w:space="0"/>
              <w:left w:val="single" w:color="auto" w:sz="4" w:space="0"/>
              <w:bottom w:val="single" w:color="auto" w:sz="4" w:space="0"/>
              <w:right w:val="single" w:color="auto" w:sz="4" w:space="0"/>
            </w:tcBorders>
            <w:vAlign w:val="center"/>
          </w:tcPr>
          <w:p w14:paraId="3B3DAE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不超过采购预算。</w:t>
            </w:r>
          </w:p>
        </w:tc>
      </w:tr>
      <w:tr w14:paraId="7479B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21A8F8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6592" w:type="dxa"/>
            <w:tcBorders>
              <w:top w:val="single" w:color="auto" w:sz="4" w:space="0"/>
              <w:left w:val="single" w:color="auto" w:sz="4" w:space="0"/>
              <w:bottom w:val="single" w:color="auto" w:sz="4" w:space="0"/>
              <w:right w:val="single" w:color="auto" w:sz="4" w:space="0"/>
            </w:tcBorders>
            <w:vAlign w:val="center"/>
          </w:tcPr>
          <w:p w14:paraId="7488CF1B">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符合</w:t>
            </w:r>
            <w:r>
              <w:rPr>
                <w:rFonts w:hint="eastAsia" w:ascii="宋体" w:hAnsi="宋体" w:eastAsia="宋体" w:cs="宋体"/>
                <w:color w:val="auto"/>
                <w:sz w:val="21"/>
                <w:szCs w:val="21"/>
                <w:highlight w:val="none"/>
              </w:rPr>
              <w:t>招标文件要求。</w:t>
            </w:r>
          </w:p>
        </w:tc>
      </w:tr>
      <w:tr w14:paraId="498A9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8AAF9E8">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供货期</w:t>
            </w:r>
          </w:p>
        </w:tc>
        <w:tc>
          <w:tcPr>
            <w:tcW w:w="6592" w:type="dxa"/>
            <w:tcBorders>
              <w:top w:val="single" w:color="auto" w:sz="4" w:space="0"/>
              <w:left w:val="single" w:color="auto" w:sz="4" w:space="0"/>
              <w:bottom w:val="single" w:color="auto" w:sz="4" w:space="0"/>
              <w:right w:val="single" w:color="auto" w:sz="4" w:space="0"/>
            </w:tcBorders>
            <w:vAlign w:val="center"/>
          </w:tcPr>
          <w:p w14:paraId="30B5E038">
            <w:pPr>
              <w:spacing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签订合同后30日内</w:t>
            </w:r>
            <w:r>
              <w:rPr>
                <w:rFonts w:hint="default" w:ascii="宋体" w:hAnsi="宋体" w:eastAsia="宋体" w:cs="宋体"/>
                <w:color w:val="auto"/>
                <w:szCs w:val="21"/>
                <w:highlight w:val="none"/>
                <w:lang w:val="en-US" w:eastAsia="zh-CN"/>
              </w:rPr>
              <w:t>安装调试</w:t>
            </w:r>
            <w:r>
              <w:rPr>
                <w:rFonts w:hint="eastAsia" w:ascii="宋体" w:hAnsi="宋体" w:cs="宋体"/>
                <w:color w:val="auto"/>
                <w:szCs w:val="21"/>
                <w:highlight w:val="none"/>
                <w:lang w:val="en-US" w:eastAsia="zh-CN"/>
              </w:rPr>
              <w:t>完毕。</w:t>
            </w:r>
          </w:p>
        </w:tc>
      </w:tr>
      <w:tr w14:paraId="6764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3451A66">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592" w:type="dxa"/>
            <w:tcBorders>
              <w:top w:val="single" w:color="auto" w:sz="4" w:space="0"/>
              <w:left w:val="single" w:color="auto" w:sz="4" w:space="0"/>
              <w:bottom w:val="single" w:color="auto" w:sz="4" w:space="0"/>
              <w:right w:val="single" w:color="auto" w:sz="4" w:space="0"/>
            </w:tcBorders>
            <w:vAlign w:val="center"/>
          </w:tcPr>
          <w:p w14:paraId="1C556E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须知前附表要求。</w:t>
            </w:r>
          </w:p>
        </w:tc>
      </w:tr>
      <w:tr w14:paraId="60E50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452B79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92" w:type="dxa"/>
            <w:tcBorders>
              <w:top w:val="single" w:color="auto" w:sz="4" w:space="0"/>
              <w:left w:val="single" w:color="auto" w:sz="4" w:space="0"/>
              <w:bottom w:val="single" w:color="auto" w:sz="4" w:space="0"/>
              <w:right w:val="single" w:color="auto" w:sz="4" w:space="0"/>
            </w:tcBorders>
            <w:vAlign w:val="center"/>
          </w:tcPr>
          <w:p w14:paraId="1C1769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符合国家及行业相关合格标准。</w:t>
            </w:r>
          </w:p>
        </w:tc>
      </w:tr>
      <w:tr w14:paraId="3DEE0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CCC46B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92" w:type="dxa"/>
            <w:tcBorders>
              <w:top w:val="single" w:color="auto" w:sz="4" w:space="0"/>
              <w:left w:val="single" w:color="auto" w:sz="4" w:space="0"/>
              <w:bottom w:val="single" w:color="auto" w:sz="4" w:space="0"/>
              <w:right w:val="single" w:color="auto" w:sz="4" w:space="0"/>
            </w:tcBorders>
            <w:vAlign w:val="center"/>
          </w:tcPr>
          <w:p w14:paraId="27CC1D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14:paraId="03A16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771BFE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技术规格及要求</w:t>
            </w:r>
          </w:p>
        </w:tc>
        <w:tc>
          <w:tcPr>
            <w:tcW w:w="6592" w:type="dxa"/>
            <w:tcBorders>
              <w:top w:val="single" w:color="auto" w:sz="4" w:space="0"/>
              <w:left w:val="single" w:color="auto" w:sz="4" w:space="0"/>
              <w:bottom w:val="single" w:color="auto" w:sz="4" w:space="0"/>
              <w:right w:val="single" w:color="auto" w:sz="4" w:space="0"/>
            </w:tcBorders>
            <w:vAlign w:val="center"/>
          </w:tcPr>
          <w:p w14:paraId="2A8A16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符合招标文件“技术规格与要求（</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lang w:val="zh-CN"/>
              </w:rPr>
              <w:t>）”规定</w:t>
            </w:r>
            <w:r>
              <w:rPr>
                <w:rFonts w:hint="eastAsia" w:ascii="宋体" w:hAnsi="宋体" w:eastAsia="宋体" w:cs="宋体"/>
                <w:color w:val="auto"/>
                <w:sz w:val="21"/>
                <w:szCs w:val="21"/>
                <w:highlight w:val="none"/>
              </w:rPr>
              <w:t>。</w:t>
            </w:r>
          </w:p>
        </w:tc>
      </w:tr>
      <w:tr w14:paraId="1D7CA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2CC1EAE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592" w:type="dxa"/>
            <w:tcBorders>
              <w:top w:val="single" w:color="auto" w:sz="4" w:space="0"/>
              <w:left w:val="single" w:color="auto" w:sz="4" w:space="0"/>
              <w:bottom w:val="single" w:color="auto" w:sz="4" w:space="0"/>
              <w:right w:val="single" w:color="auto" w:sz="4" w:space="0"/>
            </w:tcBorders>
            <w:vAlign w:val="center"/>
          </w:tcPr>
          <w:p w14:paraId="128F88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须知前附表要求。</w:t>
            </w:r>
          </w:p>
        </w:tc>
      </w:tr>
      <w:tr w14:paraId="70675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8018A5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592" w:type="dxa"/>
            <w:tcBorders>
              <w:top w:val="single" w:color="auto" w:sz="4" w:space="0"/>
              <w:left w:val="single" w:color="auto" w:sz="4" w:space="0"/>
              <w:bottom w:val="single" w:color="auto" w:sz="4" w:space="0"/>
              <w:right w:val="single" w:color="auto" w:sz="4" w:space="0"/>
            </w:tcBorders>
            <w:vAlign w:val="center"/>
          </w:tcPr>
          <w:p w14:paraId="1C8A7D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“合同条款”规定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tc>
      </w:tr>
      <w:tr w14:paraId="328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021845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592" w:type="dxa"/>
            <w:tcBorders>
              <w:top w:val="single" w:color="auto" w:sz="4" w:space="0"/>
              <w:left w:val="single" w:color="auto" w:sz="4" w:space="0"/>
              <w:bottom w:val="single" w:color="auto" w:sz="4" w:space="0"/>
              <w:right w:val="single" w:color="auto" w:sz="4" w:space="0"/>
            </w:tcBorders>
            <w:vAlign w:val="center"/>
          </w:tcPr>
          <w:p w14:paraId="25820A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法律法规及招标文件规定的其他要求。</w:t>
            </w:r>
          </w:p>
        </w:tc>
      </w:tr>
    </w:tbl>
    <w:p w14:paraId="1815CFA0">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w:t>
      </w:r>
      <w:r>
        <w:rPr>
          <w:rFonts w:hint="eastAsia" w:ascii="宋体" w:hAnsi="宋体" w:cs="宋体"/>
          <w:sz w:val="21"/>
          <w:szCs w:val="21"/>
          <w:highlight w:val="none"/>
          <w:lang w:val="zh-CN"/>
        </w:rPr>
        <w:t>供应商</w:t>
      </w:r>
      <w:r>
        <w:rPr>
          <w:rFonts w:hint="eastAsia" w:ascii="宋体" w:hAnsi="宋体" w:eastAsia="宋体" w:cs="宋体"/>
          <w:sz w:val="21"/>
          <w:szCs w:val="21"/>
          <w:highlight w:val="none"/>
          <w:lang w:val="zh-CN"/>
        </w:rPr>
        <w:t>或其投标文件不符合上述情况之一的，则符合性审查不合格，不进入详细评审；</w:t>
      </w:r>
    </w:p>
    <w:p w14:paraId="1F88796D">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（2）符合性审查结束后，合格的</w:t>
      </w:r>
      <w:r>
        <w:rPr>
          <w:rFonts w:hint="eastAsia" w:ascii="宋体" w:hAnsi="宋体" w:cs="宋体"/>
          <w:sz w:val="21"/>
          <w:szCs w:val="21"/>
          <w:highlight w:val="none"/>
          <w:lang w:val="zh-CN"/>
        </w:rPr>
        <w:t>供应商</w:t>
      </w:r>
      <w:r>
        <w:rPr>
          <w:rFonts w:hint="eastAsia" w:ascii="宋体" w:hAnsi="宋体" w:eastAsia="宋体" w:cs="宋体"/>
          <w:sz w:val="21"/>
          <w:szCs w:val="21"/>
          <w:highlight w:val="none"/>
          <w:lang w:val="zh-CN"/>
        </w:rPr>
        <w:t>进入详细评审。</w:t>
      </w:r>
    </w:p>
    <w:p w14:paraId="1E6A0AF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除此之外的内容，不作为本次资格审查及</w:t>
      </w:r>
      <w:r>
        <w:rPr>
          <w:rFonts w:hint="eastAsia" w:ascii="宋体" w:hAnsi="宋体" w:eastAsia="宋体" w:cs="宋体"/>
          <w:sz w:val="21"/>
          <w:szCs w:val="21"/>
          <w:highlight w:val="none"/>
          <w:lang w:val="zh-CN"/>
        </w:rPr>
        <w:t>符合性审查</w:t>
      </w:r>
      <w:r>
        <w:rPr>
          <w:rFonts w:hint="eastAsia" w:ascii="宋体" w:hAnsi="宋体" w:eastAsia="宋体" w:cs="宋体"/>
          <w:sz w:val="21"/>
          <w:szCs w:val="21"/>
          <w:highlight w:val="none"/>
        </w:rPr>
        <w:t>的内容。</w:t>
      </w:r>
    </w:p>
    <w:p w14:paraId="063F4228">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（三）详细评审 </w:t>
      </w:r>
    </w:p>
    <w:p w14:paraId="4411302A">
      <w:pPr>
        <w:pStyle w:val="13"/>
        <w:tabs>
          <w:tab w:val="left" w:pos="6840"/>
        </w:tabs>
        <w:autoSpaceDN w:val="0"/>
        <w:adjustRightInd w:val="0"/>
        <w:snapToGrid w:val="0"/>
        <w:spacing w:line="360" w:lineRule="auto"/>
        <w:ind w:right="-57"/>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详细评审表</w:t>
      </w:r>
    </w:p>
    <w:tbl>
      <w:tblPr>
        <w:tblStyle w:val="29"/>
        <w:tblpPr w:leftFromText="180" w:rightFromText="180" w:vertAnchor="text" w:horzAnchor="page" w:tblpX="1113" w:tblpY="178"/>
        <w:tblOverlap w:val="never"/>
        <w:tblW w:w="10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7"/>
        <w:gridCol w:w="1245"/>
        <w:gridCol w:w="8107"/>
      </w:tblGrid>
      <w:tr w14:paraId="2DE4C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147" w:type="dxa"/>
            <w:vAlign w:val="center"/>
          </w:tcPr>
          <w:p w14:paraId="77CCFF4F">
            <w:pPr>
              <w:jc w:val="center"/>
              <w:rPr>
                <w:b/>
                <w:bCs/>
                <w:sz w:val="21"/>
                <w:szCs w:val="21"/>
                <w:highlight w:val="none"/>
              </w:rPr>
            </w:pPr>
            <w:r>
              <w:rPr>
                <w:rFonts w:hint="eastAsia"/>
                <w:b/>
                <w:bCs/>
                <w:sz w:val="21"/>
                <w:szCs w:val="21"/>
                <w:highlight w:val="none"/>
              </w:rPr>
              <w:t>评分因素</w:t>
            </w:r>
          </w:p>
        </w:tc>
        <w:tc>
          <w:tcPr>
            <w:tcW w:w="1245" w:type="dxa"/>
            <w:tcBorders>
              <w:right w:val="single" w:color="auto" w:sz="4" w:space="0"/>
            </w:tcBorders>
            <w:vAlign w:val="center"/>
          </w:tcPr>
          <w:p w14:paraId="4E000679">
            <w:pPr>
              <w:jc w:val="center"/>
              <w:rPr>
                <w:b/>
                <w:bCs/>
                <w:sz w:val="21"/>
                <w:szCs w:val="21"/>
                <w:highlight w:val="none"/>
              </w:rPr>
            </w:pPr>
            <w:r>
              <w:rPr>
                <w:rFonts w:hint="eastAsia"/>
                <w:b/>
                <w:bCs/>
                <w:sz w:val="21"/>
                <w:szCs w:val="21"/>
                <w:highlight w:val="none"/>
              </w:rPr>
              <w:t>分值</w:t>
            </w:r>
          </w:p>
        </w:tc>
        <w:tc>
          <w:tcPr>
            <w:tcW w:w="8107" w:type="dxa"/>
            <w:tcBorders>
              <w:left w:val="single" w:color="auto" w:sz="4" w:space="0"/>
            </w:tcBorders>
            <w:vAlign w:val="center"/>
          </w:tcPr>
          <w:p w14:paraId="1518F5E6">
            <w:pPr>
              <w:jc w:val="center"/>
              <w:rPr>
                <w:b/>
                <w:bCs/>
                <w:sz w:val="21"/>
                <w:szCs w:val="21"/>
                <w:highlight w:val="none"/>
              </w:rPr>
            </w:pPr>
            <w:r>
              <w:rPr>
                <w:rFonts w:hint="eastAsia"/>
                <w:b/>
                <w:bCs/>
                <w:sz w:val="21"/>
                <w:szCs w:val="21"/>
                <w:highlight w:val="none"/>
              </w:rPr>
              <w:t>评分标准</w:t>
            </w:r>
          </w:p>
        </w:tc>
      </w:tr>
      <w:tr w14:paraId="5B980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147" w:type="dxa"/>
            <w:vMerge w:val="restart"/>
            <w:vAlign w:val="center"/>
          </w:tcPr>
          <w:p w14:paraId="46C5597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w:t>
            </w:r>
          </w:p>
          <w:p w14:paraId="166FFD9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部分</w:t>
            </w:r>
          </w:p>
          <w:p w14:paraId="00A1162B">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c>
          <w:tcPr>
            <w:tcW w:w="1245" w:type="dxa"/>
            <w:tcBorders>
              <w:right w:val="single" w:color="auto" w:sz="4" w:space="0"/>
            </w:tcBorders>
            <w:vAlign w:val="center"/>
          </w:tcPr>
          <w:p w14:paraId="729B0E6A">
            <w:pPr>
              <w:tabs>
                <w:tab w:val="left" w:pos="660"/>
              </w:tabs>
              <w:wordWrap w:val="0"/>
              <w:autoSpaceDE w:val="0"/>
              <w:autoSpaceDN w:val="0"/>
              <w:adjustRightInd w:val="0"/>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评标基准价计算方法</w:t>
            </w:r>
          </w:p>
        </w:tc>
        <w:tc>
          <w:tcPr>
            <w:tcW w:w="8107" w:type="dxa"/>
            <w:tcBorders>
              <w:left w:val="single" w:color="auto" w:sz="4" w:space="0"/>
            </w:tcBorders>
            <w:vAlign w:val="center"/>
          </w:tcPr>
          <w:p w14:paraId="71C8926C">
            <w:pPr>
              <w:adjustRightInd w:val="0"/>
              <w:snapToGrid w:val="0"/>
              <w:spacing w:line="312"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价格分统一采用低价优先法计算，即经过初步评审且最终报价最低的供应商的价格为</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eastAsia="zh-CN"/>
              </w:rPr>
              <w:t>基准价，其价格分为满分。</w:t>
            </w:r>
          </w:p>
        </w:tc>
      </w:tr>
      <w:tr w14:paraId="2719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147" w:type="dxa"/>
            <w:vMerge w:val="continue"/>
            <w:vAlign w:val="center"/>
          </w:tcPr>
          <w:p w14:paraId="286B91B3">
            <w:pPr>
              <w:jc w:val="both"/>
              <w:rPr>
                <w:rFonts w:hint="eastAsia" w:ascii="宋体" w:hAnsi="宋体" w:eastAsia="宋体" w:cs="宋体"/>
                <w:sz w:val="21"/>
                <w:szCs w:val="21"/>
                <w:highlight w:val="none"/>
                <w:lang w:eastAsia="zh-CN"/>
              </w:rPr>
            </w:pPr>
          </w:p>
        </w:tc>
        <w:tc>
          <w:tcPr>
            <w:tcW w:w="1245" w:type="dxa"/>
            <w:vAlign w:val="center"/>
          </w:tcPr>
          <w:p w14:paraId="3C05BB28">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报价（</w:t>
            </w:r>
            <w:r>
              <w:rPr>
                <w:rFonts w:hint="eastAsia" w:ascii="宋体" w:hAnsi="宋体" w:eastAsia="宋体" w:cs="宋体"/>
                <w:color w:val="000000"/>
                <w:sz w:val="21"/>
                <w:szCs w:val="21"/>
                <w:highlight w:val="none"/>
                <w:lang w:eastAsia="zh-CN"/>
              </w:rPr>
              <w:t>30</w:t>
            </w:r>
            <w:r>
              <w:rPr>
                <w:rFonts w:hint="eastAsia" w:ascii="宋体" w:hAnsi="宋体" w:eastAsia="宋体" w:cs="宋体"/>
                <w:color w:val="000000"/>
                <w:sz w:val="21"/>
                <w:szCs w:val="21"/>
                <w:highlight w:val="none"/>
              </w:rPr>
              <w:t>分）</w:t>
            </w:r>
          </w:p>
        </w:tc>
        <w:tc>
          <w:tcPr>
            <w:tcW w:w="8107" w:type="dxa"/>
            <w:tcBorders>
              <w:bottom w:val="single" w:color="auto" w:sz="4" w:space="0"/>
            </w:tcBorders>
            <w:vAlign w:val="center"/>
          </w:tcPr>
          <w:p w14:paraId="2214B62C">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取经过初步评审</w:t>
            </w:r>
            <w:r>
              <w:rPr>
                <w:rFonts w:hint="eastAsia" w:ascii="宋体" w:hAnsi="宋体" w:eastAsia="宋体" w:cs="宋体"/>
                <w:sz w:val="21"/>
                <w:szCs w:val="21"/>
                <w:highlight w:val="none"/>
                <w:lang w:val="zh-CN" w:eastAsia="zh-CN"/>
              </w:rPr>
              <w:t>且</w:t>
            </w:r>
            <w:r>
              <w:rPr>
                <w:rFonts w:hint="eastAsia" w:ascii="宋体" w:hAnsi="宋体" w:eastAsia="宋体" w:cs="宋体"/>
                <w:sz w:val="21"/>
                <w:szCs w:val="21"/>
                <w:highlight w:val="none"/>
                <w:lang w:eastAsia="zh-CN"/>
              </w:rPr>
              <w:t>最终</w:t>
            </w:r>
            <w:r>
              <w:rPr>
                <w:rFonts w:hint="eastAsia" w:ascii="宋体" w:hAnsi="宋体" w:eastAsia="宋体" w:cs="宋体"/>
                <w:sz w:val="21"/>
                <w:szCs w:val="21"/>
                <w:highlight w:val="none"/>
                <w:lang w:val="zh-CN" w:eastAsia="zh-CN"/>
              </w:rPr>
              <w:t>报价最低</w:t>
            </w:r>
            <w:r>
              <w:rPr>
                <w:rFonts w:hint="eastAsia" w:ascii="宋体" w:hAnsi="宋体" w:eastAsia="宋体" w:cs="宋体"/>
                <w:sz w:val="21"/>
                <w:szCs w:val="21"/>
                <w:highlight w:val="none"/>
                <w:lang w:eastAsia="zh-CN"/>
              </w:rPr>
              <w:t>价为评标基准价，其价格分为满分30分。其他供应商价格分按下列公式计算：投标报价得分=（评标基准价/投标报价）</w:t>
            </w:r>
            <w:r>
              <w:rPr>
                <w:rFonts w:hint="eastAsia" w:ascii="宋体" w:hAnsi="宋体" w:eastAsia="宋体" w:cs="宋体"/>
                <w:caps w:val="0"/>
                <w:color w:val="auto"/>
                <w:spacing w:val="0"/>
                <w:position w:val="0"/>
                <w:sz w:val="21"/>
                <w:szCs w:val="21"/>
                <w:highlight w:val="none"/>
              </w:rPr>
              <w:t xml:space="preserve">×30 </w:t>
            </w:r>
            <w:r>
              <w:rPr>
                <w:rFonts w:hint="eastAsia" w:ascii="宋体" w:hAnsi="宋体" w:eastAsia="宋体" w:cs="宋体"/>
                <w:sz w:val="21"/>
                <w:szCs w:val="21"/>
                <w:highlight w:val="none"/>
                <w:lang w:eastAsia="zh-CN"/>
              </w:rPr>
              <w:t>分。</w:t>
            </w:r>
          </w:p>
          <w:p w14:paraId="36072719">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对于小微企业，给予</w:t>
            </w:r>
            <w:bookmarkStart w:id="185" w:name="_GoBack"/>
            <w:bookmarkEnd w:id="185"/>
            <w:r>
              <w:rPr>
                <w:rFonts w:hint="eastAsia" w:ascii="宋体" w:hAnsi="宋体" w:eastAsia="宋体" w:cs="宋体"/>
                <w:sz w:val="21"/>
                <w:szCs w:val="21"/>
                <w:highlight w:val="none"/>
                <w:lang w:val="en-US" w:eastAsia="zh-CN"/>
              </w:rPr>
              <w:t>10%的价格扣除，扣除后的价格参与评标基准价的计算。</w:t>
            </w:r>
          </w:p>
        </w:tc>
      </w:tr>
      <w:tr w14:paraId="3FFE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147" w:type="dxa"/>
            <w:vMerge w:val="restart"/>
            <w:vAlign w:val="center"/>
          </w:tcPr>
          <w:p w14:paraId="39C2987F">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w:t>
            </w:r>
          </w:p>
          <w:p w14:paraId="658438C3">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部分</w:t>
            </w:r>
          </w:p>
          <w:p w14:paraId="26B8DA88">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分）</w:t>
            </w:r>
          </w:p>
        </w:tc>
        <w:tc>
          <w:tcPr>
            <w:tcW w:w="1245" w:type="dxa"/>
            <w:vAlign w:val="center"/>
          </w:tcPr>
          <w:p w14:paraId="49D30DFA">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企业业绩（</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分）</w:t>
            </w:r>
          </w:p>
        </w:tc>
        <w:tc>
          <w:tcPr>
            <w:tcW w:w="8107" w:type="dxa"/>
            <w:tcBorders>
              <w:bottom w:val="single" w:color="auto" w:sz="4" w:space="0"/>
            </w:tcBorders>
            <w:vAlign w:val="center"/>
          </w:tcPr>
          <w:p w14:paraId="39824155">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近三年，</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年1月1日至</w:t>
            </w:r>
            <w:r>
              <w:rPr>
                <w:rFonts w:hint="eastAsia" w:ascii="宋体" w:hAnsi="宋体" w:eastAsia="宋体" w:cs="宋体"/>
                <w:sz w:val="21"/>
                <w:szCs w:val="21"/>
                <w:highlight w:val="none"/>
                <w:lang w:eastAsia="zh-CN"/>
              </w:rPr>
              <w:t>今</w:t>
            </w:r>
            <w:r>
              <w:rPr>
                <w:rFonts w:hint="eastAsia" w:ascii="宋体" w:hAnsi="宋体" w:eastAsia="宋体" w:cs="宋体"/>
                <w:sz w:val="21"/>
                <w:szCs w:val="21"/>
                <w:highlight w:val="none"/>
              </w:rPr>
              <w:t>有过类似项目业绩</w:t>
            </w:r>
            <w:r>
              <w:rPr>
                <w:rFonts w:hint="eastAsia" w:ascii="宋体" w:hAnsi="宋体" w:eastAsia="宋体" w:cs="宋体"/>
                <w:sz w:val="21"/>
                <w:szCs w:val="21"/>
                <w:highlight w:val="none"/>
                <w:lang w:val="zh-CN"/>
              </w:rPr>
              <w:t>，有一项得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分，满分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zh-CN"/>
              </w:rPr>
              <w:t>无不得分。标书内附中标通知书或合同协议书复印件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rPr>
              <w:t>。</w:t>
            </w:r>
          </w:p>
        </w:tc>
      </w:tr>
      <w:tr w14:paraId="118F7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147" w:type="dxa"/>
            <w:vMerge w:val="continue"/>
            <w:vAlign w:val="center"/>
          </w:tcPr>
          <w:p w14:paraId="7CF3012A">
            <w:pPr>
              <w:jc w:val="center"/>
              <w:rPr>
                <w:rFonts w:hint="eastAsia" w:ascii="宋体" w:hAnsi="宋体" w:eastAsia="宋体" w:cs="宋体"/>
                <w:sz w:val="21"/>
                <w:szCs w:val="21"/>
                <w:highlight w:val="none"/>
                <w:lang w:eastAsia="zh-CN"/>
              </w:rPr>
            </w:pPr>
          </w:p>
        </w:tc>
        <w:tc>
          <w:tcPr>
            <w:tcW w:w="1245" w:type="dxa"/>
            <w:vAlign w:val="center"/>
          </w:tcPr>
          <w:p w14:paraId="3D75CCF2">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服务承诺（</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p>
        </w:tc>
        <w:tc>
          <w:tcPr>
            <w:tcW w:w="8107" w:type="dxa"/>
            <w:tcBorders>
              <w:bottom w:val="single" w:color="auto" w:sz="4" w:space="0"/>
            </w:tcBorders>
            <w:vAlign w:val="center"/>
          </w:tcPr>
          <w:p w14:paraId="2CA526DF">
            <w:pPr>
              <w:autoSpaceDN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供应商提供的服务承诺具有实质性、可行的每有一项得</w:t>
            </w:r>
            <w:r>
              <w:rPr>
                <w:rFonts w:hint="eastAsia" w:ascii="宋体" w:hAnsi="宋体" w:eastAsia="宋体" w:cs="宋体"/>
                <w:sz w:val="21"/>
                <w:szCs w:val="21"/>
                <w:highlight w:val="none"/>
              </w:rPr>
              <w:t>1分，满分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分，没有不得分。</w:t>
            </w:r>
          </w:p>
        </w:tc>
      </w:tr>
      <w:tr w14:paraId="47CE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147" w:type="dxa"/>
            <w:vMerge w:val="restart"/>
            <w:vAlign w:val="center"/>
          </w:tcPr>
          <w:p w14:paraId="1B87AF9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p w14:paraId="7C3605FA">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19A62D1E">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（64分）</w:t>
            </w:r>
          </w:p>
        </w:tc>
        <w:tc>
          <w:tcPr>
            <w:tcW w:w="1245" w:type="dxa"/>
            <w:vAlign w:val="center"/>
          </w:tcPr>
          <w:p w14:paraId="548534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售后服务方案</w:t>
            </w:r>
          </w:p>
          <w:p w14:paraId="7DA187C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15分</w:t>
            </w:r>
            <w:r>
              <w:rPr>
                <w:rFonts w:hint="eastAsia" w:ascii="宋体" w:hAnsi="宋体" w:eastAsia="宋体" w:cs="宋体"/>
                <w:color w:val="auto"/>
                <w:kern w:val="0"/>
                <w:sz w:val="21"/>
                <w:szCs w:val="21"/>
                <w:highlight w:val="none"/>
                <w:lang w:eastAsia="zh-CN"/>
              </w:rPr>
              <w:t>）</w:t>
            </w:r>
          </w:p>
        </w:tc>
        <w:tc>
          <w:tcPr>
            <w:tcW w:w="8107" w:type="dxa"/>
            <w:vAlign w:val="center"/>
          </w:tcPr>
          <w:p w14:paraId="5A95D28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bidi="ar-SA"/>
              </w:rPr>
              <w:t>供应商针对本项目所提供的售后服务方案，包括但不限于以下</w:t>
            </w:r>
            <w:r>
              <w:rPr>
                <w:rFonts w:hint="eastAsia" w:ascii="宋体" w:hAnsi="宋体" w:eastAsia="宋体" w:cs="宋体"/>
                <w:color w:val="auto"/>
                <w:kern w:val="0"/>
                <w:sz w:val="21"/>
                <w:szCs w:val="21"/>
                <w:highlight w:val="none"/>
                <w:lang w:val="en-US" w:eastAsia="zh-CN" w:bidi="ar"/>
              </w:rPr>
              <w:t>内容</w:t>
            </w:r>
            <w:r>
              <w:rPr>
                <w:rFonts w:hint="eastAsia" w:ascii="宋体" w:hAnsi="宋体" w:eastAsia="宋体" w:cs="宋体"/>
                <w:color w:val="auto"/>
                <w:sz w:val="21"/>
                <w:szCs w:val="21"/>
                <w:highlight w:val="none"/>
                <w:lang w:val="en-US" w:eastAsia="zh-CN" w:bidi="ar-SA"/>
              </w:rPr>
              <w:t>：1、售后服务体系2、技术支持、3、售后巡检4.响应时间5、产品保修及配件供应。对以上五项方案进行阐述，每提供一小项内容适用于项目且无缺失的方案得3分，方案有缺失的得1分，不提供不得分，满分15分。</w:t>
            </w:r>
          </w:p>
        </w:tc>
      </w:tr>
      <w:tr w14:paraId="58A64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147" w:type="dxa"/>
            <w:vMerge w:val="continue"/>
            <w:vAlign w:val="center"/>
          </w:tcPr>
          <w:p w14:paraId="3A430A3D">
            <w:pPr>
              <w:jc w:val="center"/>
              <w:rPr>
                <w:rFonts w:hint="eastAsia" w:ascii="宋体" w:hAnsi="宋体" w:eastAsia="宋体" w:cs="宋体"/>
                <w:sz w:val="21"/>
                <w:szCs w:val="21"/>
                <w:highlight w:val="none"/>
              </w:rPr>
            </w:pPr>
          </w:p>
        </w:tc>
        <w:tc>
          <w:tcPr>
            <w:tcW w:w="1245" w:type="dxa"/>
            <w:vAlign w:val="center"/>
          </w:tcPr>
          <w:p w14:paraId="10906D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color w:val="auto"/>
                <w:kern w:val="0"/>
                <w:sz w:val="21"/>
                <w:szCs w:val="21"/>
                <w:highlight w:val="none"/>
                <w:lang w:val="en-US" w:eastAsia="zh-CN"/>
              </w:rPr>
              <w:t>供货方案（15分）</w:t>
            </w:r>
          </w:p>
        </w:tc>
        <w:tc>
          <w:tcPr>
            <w:tcW w:w="8107" w:type="dxa"/>
            <w:vAlign w:val="center"/>
          </w:tcPr>
          <w:p w14:paraId="5847669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供应商针对本项目所提供的</w:t>
            </w:r>
            <w:r>
              <w:rPr>
                <w:rFonts w:hint="eastAsia" w:ascii="宋体" w:hAnsi="宋体" w:eastAsia="宋体" w:cs="宋体"/>
                <w:color w:val="auto"/>
                <w:kern w:val="0"/>
                <w:sz w:val="21"/>
                <w:szCs w:val="21"/>
                <w:highlight w:val="none"/>
                <w:lang w:val="en-US" w:eastAsia="zh-CN" w:bidi="ar"/>
              </w:rPr>
              <w:t>供货方案，</w:t>
            </w:r>
            <w:r>
              <w:rPr>
                <w:rFonts w:hint="eastAsia" w:ascii="宋体" w:hAnsi="宋体" w:eastAsia="宋体" w:cs="宋体"/>
                <w:color w:val="auto"/>
                <w:sz w:val="21"/>
                <w:szCs w:val="21"/>
                <w:highlight w:val="none"/>
                <w:lang w:val="en-US" w:eastAsia="zh-CN" w:bidi="ar-SA"/>
              </w:rPr>
              <w:t>包括但不限于以下</w:t>
            </w:r>
            <w:r>
              <w:rPr>
                <w:rFonts w:hint="eastAsia" w:ascii="宋体" w:hAnsi="宋体" w:eastAsia="宋体" w:cs="宋体"/>
                <w:color w:val="auto"/>
                <w:kern w:val="0"/>
                <w:sz w:val="21"/>
                <w:szCs w:val="21"/>
                <w:highlight w:val="none"/>
                <w:lang w:val="en-US" w:eastAsia="zh-CN" w:bidi="ar"/>
              </w:rPr>
              <w:t>内容</w:t>
            </w:r>
            <w:r>
              <w:rPr>
                <w:rFonts w:hint="eastAsia" w:ascii="宋体" w:hAnsi="宋体" w:eastAsia="宋体" w:cs="宋体"/>
                <w:color w:val="auto"/>
                <w:sz w:val="21"/>
                <w:szCs w:val="21"/>
                <w:highlight w:val="none"/>
                <w:lang w:val="en-US" w:eastAsia="zh-CN" w:bidi="ar-SA"/>
              </w:rPr>
              <w:t>：</w:t>
            </w:r>
          </w:p>
          <w:p w14:paraId="726CA35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bidi="ar-SA"/>
              </w:rPr>
              <w:t>1、供货进度计划2、供货流程3、供货人员安排、4、供货检验方案5、供货保证措施。对以上五项方案进行阐述，每提供一小项内容适用于项目且无缺失的方案得3分，方案有缺失的得1分，不提供不得分，满分15分。</w:t>
            </w:r>
          </w:p>
        </w:tc>
      </w:tr>
      <w:tr w14:paraId="5D24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1147" w:type="dxa"/>
            <w:vMerge w:val="continue"/>
            <w:vAlign w:val="center"/>
          </w:tcPr>
          <w:p w14:paraId="6E43857F">
            <w:pPr>
              <w:jc w:val="center"/>
              <w:rPr>
                <w:rFonts w:hint="eastAsia" w:ascii="宋体" w:hAnsi="宋体" w:eastAsia="宋体" w:cs="宋体"/>
                <w:sz w:val="21"/>
                <w:szCs w:val="21"/>
                <w:highlight w:val="none"/>
              </w:rPr>
            </w:pPr>
          </w:p>
        </w:tc>
        <w:tc>
          <w:tcPr>
            <w:tcW w:w="1245" w:type="dxa"/>
            <w:vAlign w:val="center"/>
          </w:tcPr>
          <w:p w14:paraId="0F44A3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lang w:val="zh-CN" w:eastAsia="zh-CN" w:bidi="ar-SA"/>
              </w:rPr>
              <w:t>设备安装调试方案（</w:t>
            </w:r>
            <w:r>
              <w:rPr>
                <w:rFonts w:hint="eastAsia" w:ascii="宋体" w:hAnsi="宋体" w:eastAsia="宋体" w:cs="宋体"/>
                <w:color w:val="auto"/>
                <w:sz w:val="21"/>
                <w:szCs w:val="21"/>
                <w:highlight w:val="none"/>
                <w:lang w:val="en-US" w:eastAsia="zh-CN" w:bidi="ar-SA"/>
              </w:rPr>
              <w:t>10分</w:t>
            </w:r>
            <w:r>
              <w:rPr>
                <w:rFonts w:hint="eastAsia" w:ascii="宋体" w:hAnsi="宋体" w:eastAsia="宋体" w:cs="宋体"/>
                <w:color w:val="auto"/>
                <w:sz w:val="21"/>
                <w:szCs w:val="21"/>
                <w:highlight w:val="none"/>
                <w:lang w:val="zh-CN" w:eastAsia="zh-CN" w:bidi="ar-SA"/>
              </w:rPr>
              <w:t>）</w:t>
            </w:r>
          </w:p>
        </w:tc>
        <w:tc>
          <w:tcPr>
            <w:tcW w:w="8107" w:type="dxa"/>
            <w:vAlign w:val="center"/>
          </w:tcPr>
          <w:p w14:paraId="092689F9">
            <w:pPr>
              <w:pStyle w:val="79"/>
              <w:widowControl/>
              <w:numPr>
                <w:ilvl w:val="0"/>
                <w:numId w:val="4"/>
              </w:numPr>
              <w:jc w:val="left"/>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供货、安装、调试方案进行了详细的阐述，能正确理解本项目供货安装调试需求，阐述思路清晰，具体实施细节及措施详细论述，满足采购需求得</w:t>
            </w:r>
            <w:r>
              <w:rPr>
                <w:rFonts w:hint="eastAsia" w:ascii="宋体" w:hAnsi="宋体" w:eastAsia="宋体" w:cs="宋体"/>
                <w:caps w:val="0"/>
                <w:color w:val="auto"/>
                <w:spacing w:val="0"/>
                <w:position w:val="0"/>
                <w:sz w:val="21"/>
                <w:szCs w:val="21"/>
                <w:highlight w:val="none"/>
                <w:lang w:val="en-US" w:eastAsia="zh-CN"/>
              </w:rPr>
              <w:t>10</w:t>
            </w:r>
            <w:r>
              <w:rPr>
                <w:rFonts w:hint="eastAsia" w:ascii="宋体" w:hAnsi="宋体" w:cs="宋体"/>
                <w:caps w:val="0"/>
                <w:color w:val="auto"/>
                <w:spacing w:val="0"/>
                <w:position w:val="0"/>
                <w:sz w:val="21"/>
                <w:szCs w:val="21"/>
                <w:highlight w:val="none"/>
                <w:lang w:val="en-US" w:eastAsia="zh-CN"/>
              </w:rPr>
              <w:t>-7</w:t>
            </w:r>
            <w:r>
              <w:rPr>
                <w:rFonts w:hint="eastAsia" w:ascii="宋体" w:hAnsi="宋体" w:eastAsia="宋体" w:cs="宋体"/>
                <w:caps w:val="0"/>
                <w:color w:val="auto"/>
                <w:spacing w:val="0"/>
                <w:position w:val="0"/>
                <w:sz w:val="21"/>
                <w:szCs w:val="21"/>
                <w:highlight w:val="none"/>
              </w:rPr>
              <w:t>分；</w:t>
            </w:r>
          </w:p>
          <w:p w14:paraId="25DAD0DC">
            <w:pPr>
              <w:pStyle w:val="79"/>
              <w:widowControl/>
              <w:numPr>
                <w:ilvl w:val="0"/>
                <w:numId w:val="4"/>
              </w:numPr>
              <w:ind w:left="0" w:leftChars="0" w:firstLine="0" w:firstLineChars="0"/>
              <w:jc w:val="left"/>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供货、安装、调试方案虽然进行了阐述但并未贴合供货安装调试需求进行详细论述或方案中缺少具体实施细节及措施得</w:t>
            </w:r>
            <w:r>
              <w:rPr>
                <w:rFonts w:hint="eastAsia" w:ascii="宋体" w:hAnsi="宋体" w:eastAsia="宋体" w:cs="宋体"/>
                <w:caps w:val="0"/>
                <w:color w:val="auto"/>
                <w:spacing w:val="0"/>
                <w:position w:val="0"/>
                <w:sz w:val="21"/>
                <w:szCs w:val="21"/>
                <w:highlight w:val="none"/>
                <w:lang w:val="en-US" w:eastAsia="zh-CN"/>
              </w:rPr>
              <w:t>6</w:t>
            </w:r>
            <w:r>
              <w:rPr>
                <w:rFonts w:hint="eastAsia" w:ascii="宋体" w:hAnsi="宋体" w:cs="宋体"/>
                <w:caps w:val="0"/>
                <w:color w:val="auto"/>
                <w:spacing w:val="0"/>
                <w:position w:val="0"/>
                <w:sz w:val="21"/>
                <w:szCs w:val="21"/>
                <w:highlight w:val="none"/>
                <w:lang w:val="en-US" w:eastAsia="zh-CN"/>
              </w:rPr>
              <w:t>-4</w:t>
            </w:r>
            <w:r>
              <w:rPr>
                <w:rFonts w:hint="eastAsia" w:ascii="宋体" w:hAnsi="宋体" w:eastAsia="宋体" w:cs="宋体"/>
                <w:caps w:val="0"/>
                <w:color w:val="auto"/>
                <w:spacing w:val="0"/>
                <w:position w:val="0"/>
                <w:sz w:val="21"/>
                <w:szCs w:val="21"/>
                <w:highlight w:val="none"/>
              </w:rPr>
              <w:t xml:space="preserve">分；  </w:t>
            </w:r>
          </w:p>
          <w:p w14:paraId="4CA7BC7B">
            <w:pPr>
              <w:pStyle w:val="79"/>
              <w:widowControl/>
              <w:numPr>
                <w:ilvl w:val="0"/>
                <w:numId w:val="4"/>
              </w:numPr>
              <w:ind w:left="0" w:leftChars="0" w:firstLine="0" w:firstLineChars="0"/>
              <w:jc w:val="left"/>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供货、安装、调试方案虽进行阐述但</w:t>
            </w:r>
            <w:r>
              <w:rPr>
                <w:rFonts w:hint="eastAsia" w:ascii="宋体" w:hAnsi="宋体" w:eastAsia="宋体" w:cs="宋体"/>
                <w:caps w:val="0"/>
                <w:color w:val="auto"/>
                <w:spacing w:val="0"/>
                <w:position w:val="0"/>
                <w:sz w:val="21"/>
                <w:szCs w:val="21"/>
                <w:highlight w:val="none"/>
                <w:lang w:val="en-US" w:eastAsia="zh-CN"/>
              </w:rPr>
              <w:t>不完整且</w:t>
            </w:r>
            <w:r>
              <w:rPr>
                <w:rFonts w:hint="eastAsia" w:ascii="宋体" w:hAnsi="宋体" w:eastAsia="宋体" w:cs="宋体"/>
                <w:caps w:val="0"/>
                <w:color w:val="auto"/>
                <w:spacing w:val="0"/>
                <w:position w:val="0"/>
                <w:sz w:val="21"/>
                <w:szCs w:val="21"/>
                <w:highlight w:val="none"/>
              </w:rPr>
              <w:t>仅能</w:t>
            </w:r>
            <w:r>
              <w:rPr>
                <w:rFonts w:hint="eastAsia" w:ascii="宋体" w:hAnsi="宋体" w:eastAsia="宋体" w:cs="宋体"/>
                <w:caps w:val="0"/>
                <w:color w:val="auto"/>
                <w:spacing w:val="0"/>
                <w:position w:val="0"/>
                <w:sz w:val="21"/>
                <w:szCs w:val="21"/>
                <w:highlight w:val="none"/>
                <w:lang w:val="en-US" w:eastAsia="zh-CN"/>
              </w:rPr>
              <w:t>小</w:t>
            </w:r>
            <w:r>
              <w:rPr>
                <w:rFonts w:hint="eastAsia" w:ascii="宋体" w:hAnsi="宋体" w:eastAsia="宋体" w:cs="宋体"/>
                <w:caps w:val="0"/>
                <w:color w:val="auto"/>
                <w:spacing w:val="0"/>
                <w:position w:val="0"/>
                <w:sz w:val="21"/>
                <w:szCs w:val="21"/>
                <w:highlight w:val="none"/>
              </w:rPr>
              <w:t>部分满足需求得</w:t>
            </w:r>
            <w:r>
              <w:rPr>
                <w:rFonts w:hint="eastAsia" w:ascii="宋体" w:hAnsi="宋体" w:eastAsia="宋体" w:cs="宋体"/>
                <w:caps w:val="0"/>
                <w:color w:val="auto"/>
                <w:spacing w:val="0"/>
                <w:position w:val="0"/>
                <w:sz w:val="21"/>
                <w:szCs w:val="21"/>
                <w:highlight w:val="none"/>
                <w:lang w:val="en-US" w:eastAsia="zh-CN"/>
              </w:rPr>
              <w:t>3</w:t>
            </w:r>
            <w:r>
              <w:rPr>
                <w:rFonts w:hint="eastAsia" w:ascii="宋体" w:hAnsi="宋体" w:cs="宋体"/>
                <w:caps w:val="0"/>
                <w:color w:val="auto"/>
                <w:spacing w:val="0"/>
                <w:position w:val="0"/>
                <w:sz w:val="21"/>
                <w:szCs w:val="21"/>
                <w:highlight w:val="none"/>
                <w:lang w:val="en-US" w:eastAsia="zh-CN"/>
              </w:rPr>
              <w:t>-1</w:t>
            </w:r>
            <w:r>
              <w:rPr>
                <w:rFonts w:hint="eastAsia" w:ascii="宋体" w:hAnsi="宋体" w:eastAsia="宋体" w:cs="宋体"/>
                <w:caps w:val="0"/>
                <w:color w:val="auto"/>
                <w:spacing w:val="0"/>
                <w:position w:val="0"/>
                <w:sz w:val="21"/>
                <w:szCs w:val="21"/>
                <w:highlight w:val="none"/>
              </w:rPr>
              <w:t xml:space="preserve">分； </w:t>
            </w:r>
          </w:p>
          <w:p w14:paraId="5B02E01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caps w:val="0"/>
                <w:color w:val="auto"/>
                <w:spacing w:val="0"/>
                <w:position w:val="0"/>
                <w:sz w:val="21"/>
                <w:szCs w:val="21"/>
                <w:highlight w:val="none"/>
              </w:rPr>
              <w:t>4.供货、安装、调试方案未进行任何阐述或不能满足采购需求得0分</w:t>
            </w:r>
            <w:r>
              <w:rPr>
                <w:rFonts w:hint="eastAsia" w:ascii="宋体" w:hAnsi="宋体" w:eastAsia="宋体" w:cs="宋体"/>
                <w:caps w:val="0"/>
                <w:color w:val="auto"/>
                <w:spacing w:val="0"/>
                <w:position w:val="0"/>
                <w:sz w:val="21"/>
                <w:szCs w:val="21"/>
                <w:highlight w:val="none"/>
                <w:lang w:eastAsia="zh-CN"/>
              </w:rPr>
              <w:t>。</w:t>
            </w:r>
          </w:p>
        </w:tc>
      </w:tr>
      <w:tr w14:paraId="35E0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1147" w:type="dxa"/>
            <w:vMerge w:val="continue"/>
            <w:vAlign w:val="center"/>
          </w:tcPr>
          <w:p w14:paraId="7E396388">
            <w:pPr>
              <w:jc w:val="center"/>
              <w:rPr>
                <w:rFonts w:hint="eastAsia" w:ascii="宋体" w:hAnsi="宋体" w:eastAsia="宋体" w:cs="宋体"/>
                <w:sz w:val="21"/>
                <w:szCs w:val="21"/>
                <w:highlight w:val="none"/>
              </w:rPr>
            </w:pPr>
          </w:p>
        </w:tc>
        <w:tc>
          <w:tcPr>
            <w:tcW w:w="1245" w:type="dxa"/>
            <w:tcBorders>
              <w:top w:val="single" w:color="auto" w:sz="4" w:space="0"/>
              <w:bottom w:val="single" w:color="auto" w:sz="4" w:space="0"/>
              <w:right w:val="single" w:color="auto" w:sz="4" w:space="0"/>
            </w:tcBorders>
            <w:vAlign w:val="center"/>
          </w:tcPr>
          <w:p w14:paraId="4A75FFD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质量保证</w:t>
            </w:r>
            <w:r>
              <w:rPr>
                <w:rFonts w:hint="eastAsia" w:ascii="宋体" w:hAnsi="宋体" w:eastAsia="宋体" w:cs="宋体"/>
                <w:color w:val="auto"/>
                <w:kern w:val="0"/>
                <w:sz w:val="21"/>
                <w:szCs w:val="21"/>
                <w:highlight w:val="none"/>
                <w:lang w:val="en-US" w:eastAsia="zh-CN"/>
              </w:rPr>
              <w:t>方案</w:t>
            </w:r>
          </w:p>
          <w:p w14:paraId="58063C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lang w:val="en-US" w:eastAsia="zh-CN"/>
              </w:rPr>
              <w:t>（8分）</w:t>
            </w:r>
          </w:p>
        </w:tc>
        <w:tc>
          <w:tcPr>
            <w:tcW w:w="8107" w:type="dxa"/>
            <w:tcBorders>
              <w:top w:val="single" w:color="auto" w:sz="4" w:space="0"/>
              <w:left w:val="single" w:color="auto" w:sz="4" w:space="0"/>
              <w:bottom w:val="single" w:color="auto" w:sz="4" w:space="0"/>
              <w:right w:val="single" w:color="auto" w:sz="4" w:space="0"/>
            </w:tcBorders>
            <w:vAlign w:val="center"/>
          </w:tcPr>
          <w:p w14:paraId="494BF9E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bidi="ar-SA"/>
              </w:rPr>
              <w:t>供应商针对本项目所提供质量保证方案，包括但不限于以下几个方面：1、质量保障措施；2、质量方针3、质量目标4、质量标准。对以上四项方案进行阐述，每提供一小项内容适用于项目且无缺失的方案得2分，不提供不得分，满分8分。</w:t>
            </w:r>
          </w:p>
        </w:tc>
      </w:tr>
      <w:tr w14:paraId="7A099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147" w:type="dxa"/>
            <w:vMerge w:val="continue"/>
            <w:vAlign w:val="center"/>
          </w:tcPr>
          <w:p w14:paraId="0FDA4161">
            <w:pPr>
              <w:jc w:val="center"/>
              <w:rPr>
                <w:rFonts w:hint="eastAsia" w:ascii="宋体" w:hAnsi="宋体" w:eastAsia="宋体" w:cs="宋体"/>
                <w:sz w:val="21"/>
                <w:szCs w:val="21"/>
                <w:highlight w:val="none"/>
              </w:rPr>
            </w:pPr>
          </w:p>
        </w:tc>
        <w:tc>
          <w:tcPr>
            <w:tcW w:w="1245" w:type="dxa"/>
            <w:tcBorders>
              <w:top w:val="single" w:color="auto" w:sz="4" w:space="0"/>
              <w:bottom w:val="single" w:color="auto" w:sz="4" w:space="0"/>
              <w:right w:val="single" w:color="auto" w:sz="4" w:space="0"/>
            </w:tcBorders>
            <w:vAlign w:val="center"/>
          </w:tcPr>
          <w:p w14:paraId="66E9BC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rPr>
              <w:t>应急方案（8分）</w:t>
            </w:r>
          </w:p>
        </w:tc>
        <w:tc>
          <w:tcPr>
            <w:tcW w:w="8107" w:type="dxa"/>
            <w:tcBorders>
              <w:top w:val="single" w:color="auto" w:sz="4" w:space="0"/>
              <w:left w:val="single" w:color="auto" w:sz="4" w:space="0"/>
              <w:bottom w:val="single" w:color="auto" w:sz="4" w:space="0"/>
              <w:right w:val="single" w:color="auto" w:sz="4" w:space="0"/>
            </w:tcBorders>
            <w:vAlign w:val="center"/>
          </w:tcPr>
          <w:p w14:paraId="326E5366">
            <w:pPr>
              <w:pStyle w:val="79"/>
              <w:widowControl/>
              <w:jc w:val="left"/>
              <w:rPr>
                <w:rFonts w:hint="eastAsia" w:ascii="宋体" w:hAnsi="宋体" w:eastAsia="宋体" w:cs="宋体"/>
                <w:caps w:val="0"/>
                <w:color w:val="auto"/>
                <w:spacing w:val="0"/>
                <w:position w:val="0"/>
                <w:sz w:val="21"/>
                <w:szCs w:val="21"/>
                <w:highlight w:val="none"/>
                <w:lang w:eastAsia="zh-CN"/>
              </w:rPr>
            </w:pPr>
            <w:r>
              <w:rPr>
                <w:rFonts w:hint="eastAsia" w:ascii="宋体" w:hAnsi="宋体" w:eastAsia="宋体" w:cs="宋体"/>
                <w:caps w:val="0"/>
                <w:color w:val="auto"/>
                <w:spacing w:val="0"/>
                <w:position w:val="0"/>
                <w:sz w:val="21"/>
                <w:szCs w:val="21"/>
                <w:highlight w:val="none"/>
                <w:lang w:eastAsia="zh-CN"/>
              </w:rPr>
              <w:t>应急预案</w:t>
            </w:r>
            <w:r>
              <w:rPr>
                <w:rFonts w:hint="eastAsia" w:ascii="宋体" w:hAnsi="宋体" w:eastAsia="宋体" w:cs="宋体"/>
                <w:caps w:val="0"/>
                <w:color w:val="auto"/>
                <w:spacing w:val="0"/>
                <w:position w:val="0"/>
                <w:sz w:val="21"/>
                <w:szCs w:val="21"/>
                <w:highlight w:val="none"/>
              </w:rPr>
              <w:t>包括但不限于服务人员可能遇到的各种临时意外情况等各种突发事件</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rPr>
              <w:t>可能遇到的设备安装、调试中的突发事件</w:t>
            </w:r>
            <w:r>
              <w:rPr>
                <w:rFonts w:hint="eastAsia" w:ascii="宋体" w:hAnsi="宋体" w:eastAsia="宋体" w:cs="宋体"/>
                <w:caps w:val="0"/>
                <w:color w:val="auto"/>
                <w:spacing w:val="0"/>
                <w:position w:val="0"/>
                <w:sz w:val="21"/>
                <w:szCs w:val="21"/>
                <w:highlight w:val="none"/>
                <w:lang w:eastAsia="zh-CN"/>
              </w:rPr>
              <w:t>。</w:t>
            </w:r>
          </w:p>
          <w:p w14:paraId="2BCFF9A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caps w:val="0"/>
                <w:color w:val="auto"/>
                <w:spacing w:val="0"/>
                <w:position w:val="0"/>
                <w:sz w:val="21"/>
                <w:szCs w:val="21"/>
                <w:highlight w:val="none"/>
                <w:lang w:eastAsia="zh-CN"/>
              </w:rPr>
              <w:t>应急</w:t>
            </w:r>
            <w:r>
              <w:rPr>
                <w:rFonts w:hint="eastAsia" w:ascii="宋体" w:hAnsi="宋体" w:eastAsia="宋体" w:cs="宋体"/>
                <w:caps w:val="0"/>
                <w:color w:val="auto"/>
                <w:spacing w:val="0"/>
                <w:position w:val="0"/>
                <w:sz w:val="21"/>
                <w:szCs w:val="21"/>
                <w:highlight w:val="none"/>
              </w:rPr>
              <w:t>预案全面，安排科学，能正确理解</w:t>
            </w:r>
            <w:r>
              <w:rPr>
                <w:rFonts w:hint="eastAsia" w:ascii="宋体" w:hAnsi="宋体" w:eastAsia="宋体" w:cs="宋体"/>
                <w:caps w:val="0"/>
                <w:color w:val="auto"/>
                <w:spacing w:val="0"/>
                <w:position w:val="0"/>
                <w:sz w:val="21"/>
                <w:szCs w:val="21"/>
                <w:highlight w:val="none"/>
                <w:lang w:eastAsia="zh-CN"/>
              </w:rPr>
              <w:t>应急</w:t>
            </w:r>
            <w:r>
              <w:rPr>
                <w:rFonts w:hint="eastAsia" w:ascii="宋体" w:hAnsi="宋体" w:eastAsia="宋体" w:cs="宋体"/>
                <w:caps w:val="0"/>
                <w:color w:val="auto"/>
                <w:spacing w:val="0"/>
                <w:position w:val="0"/>
                <w:sz w:val="21"/>
                <w:szCs w:val="21"/>
                <w:highlight w:val="none"/>
              </w:rPr>
              <w:t>要求得</w:t>
            </w:r>
            <w:r>
              <w:rPr>
                <w:rFonts w:hint="eastAsia" w:ascii="宋体" w:hAnsi="宋体" w:eastAsia="宋体" w:cs="宋体"/>
                <w:caps w:val="0"/>
                <w:color w:val="auto"/>
                <w:spacing w:val="0"/>
                <w:position w:val="0"/>
                <w:sz w:val="21"/>
                <w:szCs w:val="21"/>
                <w:highlight w:val="none"/>
                <w:lang w:val="en-US" w:eastAsia="zh-CN"/>
              </w:rPr>
              <w:t>8</w:t>
            </w:r>
            <w:r>
              <w:rPr>
                <w:rFonts w:hint="eastAsia" w:ascii="宋体" w:hAnsi="宋体" w:cs="宋体"/>
                <w:caps w:val="0"/>
                <w:color w:val="auto"/>
                <w:spacing w:val="0"/>
                <w:position w:val="0"/>
                <w:sz w:val="21"/>
                <w:szCs w:val="21"/>
                <w:highlight w:val="none"/>
                <w:lang w:val="en-US" w:eastAsia="zh-CN"/>
              </w:rPr>
              <w:t>-6</w:t>
            </w:r>
            <w:r>
              <w:rPr>
                <w:rFonts w:hint="eastAsia" w:ascii="宋体" w:hAnsi="宋体" w:eastAsia="宋体" w:cs="宋体"/>
                <w:caps w:val="0"/>
                <w:color w:val="auto"/>
                <w:spacing w:val="0"/>
                <w:position w:val="0"/>
                <w:sz w:val="21"/>
                <w:szCs w:val="21"/>
                <w:highlight w:val="none"/>
              </w:rPr>
              <w:t>分；</w:t>
            </w:r>
            <w:r>
              <w:rPr>
                <w:rFonts w:hint="eastAsia" w:ascii="宋体" w:hAnsi="宋体" w:eastAsia="宋体" w:cs="宋体"/>
                <w:caps w:val="0"/>
                <w:color w:val="auto"/>
                <w:spacing w:val="0"/>
                <w:position w:val="0"/>
                <w:sz w:val="21"/>
                <w:szCs w:val="21"/>
                <w:highlight w:val="none"/>
                <w:lang w:eastAsia="zh-CN"/>
              </w:rPr>
              <w:t>应急</w:t>
            </w:r>
            <w:r>
              <w:rPr>
                <w:rFonts w:hint="eastAsia" w:ascii="宋体" w:hAnsi="宋体" w:eastAsia="宋体" w:cs="宋体"/>
                <w:caps w:val="0"/>
                <w:color w:val="auto"/>
                <w:spacing w:val="0"/>
                <w:position w:val="0"/>
                <w:sz w:val="21"/>
                <w:szCs w:val="21"/>
                <w:highlight w:val="none"/>
              </w:rPr>
              <w:t>预案基本完整，安排基本合理，基本满足</w:t>
            </w:r>
            <w:r>
              <w:rPr>
                <w:rFonts w:hint="eastAsia" w:ascii="宋体" w:hAnsi="宋体" w:eastAsia="宋体" w:cs="宋体"/>
                <w:caps w:val="0"/>
                <w:color w:val="auto"/>
                <w:spacing w:val="0"/>
                <w:position w:val="0"/>
                <w:sz w:val="21"/>
                <w:szCs w:val="21"/>
                <w:highlight w:val="none"/>
                <w:lang w:eastAsia="zh-CN"/>
              </w:rPr>
              <w:t>应急</w:t>
            </w:r>
            <w:r>
              <w:rPr>
                <w:rFonts w:hint="eastAsia" w:ascii="宋体" w:hAnsi="宋体" w:eastAsia="宋体" w:cs="宋体"/>
                <w:caps w:val="0"/>
                <w:color w:val="auto"/>
                <w:spacing w:val="0"/>
                <w:position w:val="0"/>
                <w:sz w:val="21"/>
                <w:szCs w:val="21"/>
                <w:highlight w:val="none"/>
              </w:rPr>
              <w:t>需求得</w:t>
            </w:r>
            <w:r>
              <w:rPr>
                <w:rFonts w:hint="eastAsia" w:ascii="宋体" w:hAnsi="宋体" w:eastAsia="宋体" w:cs="宋体"/>
                <w:caps w:val="0"/>
                <w:color w:val="auto"/>
                <w:spacing w:val="0"/>
                <w:position w:val="0"/>
                <w:sz w:val="21"/>
                <w:szCs w:val="21"/>
                <w:highlight w:val="none"/>
                <w:lang w:val="en-US" w:eastAsia="zh-CN"/>
              </w:rPr>
              <w:t>5</w:t>
            </w:r>
            <w:r>
              <w:rPr>
                <w:rFonts w:hint="eastAsia" w:ascii="宋体" w:hAnsi="宋体" w:cs="宋体"/>
                <w:caps w:val="0"/>
                <w:color w:val="auto"/>
                <w:spacing w:val="0"/>
                <w:position w:val="0"/>
                <w:sz w:val="21"/>
                <w:szCs w:val="21"/>
                <w:highlight w:val="none"/>
                <w:lang w:val="en-US" w:eastAsia="zh-CN"/>
              </w:rPr>
              <w:t>-3</w:t>
            </w:r>
            <w:r>
              <w:rPr>
                <w:rFonts w:hint="eastAsia" w:ascii="宋体" w:hAnsi="宋体" w:eastAsia="宋体" w:cs="宋体"/>
                <w:caps w:val="0"/>
                <w:color w:val="auto"/>
                <w:spacing w:val="0"/>
                <w:position w:val="0"/>
                <w:sz w:val="21"/>
                <w:szCs w:val="21"/>
                <w:highlight w:val="none"/>
              </w:rPr>
              <w:t>分；</w:t>
            </w:r>
            <w:r>
              <w:rPr>
                <w:rFonts w:hint="eastAsia" w:ascii="宋体" w:hAnsi="宋体" w:eastAsia="宋体" w:cs="宋体"/>
                <w:caps w:val="0"/>
                <w:color w:val="auto"/>
                <w:spacing w:val="0"/>
                <w:position w:val="0"/>
                <w:sz w:val="21"/>
                <w:szCs w:val="21"/>
                <w:highlight w:val="none"/>
                <w:lang w:eastAsia="zh-CN"/>
              </w:rPr>
              <w:t>应急</w:t>
            </w:r>
            <w:r>
              <w:rPr>
                <w:rFonts w:hint="eastAsia" w:ascii="宋体" w:hAnsi="宋体" w:eastAsia="宋体" w:cs="宋体"/>
                <w:caps w:val="0"/>
                <w:color w:val="auto"/>
                <w:spacing w:val="0"/>
                <w:position w:val="0"/>
                <w:sz w:val="21"/>
                <w:szCs w:val="21"/>
                <w:highlight w:val="none"/>
              </w:rPr>
              <w:t>预案不完整，安排不合理，不满足采购需求得</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cs="宋体"/>
                <w:caps w:val="0"/>
                <w:color w:val="auto"/>
                <w:spacing w:val="0"/>
                <w:position w:val="0"/>
                <w:sz w:val="21"/>
                <w:szCs w:val="21"/>
                <w:highlight w:val="none"/>
                <w:lang w:val="en-US" w:eastAsia="zh-CN"/>
              </w:rPr>
              <w:t>-1</w:t>
            </w:r>
            <w:r>
              <w:rPr>
                <w:rFonts w:hint="eastAsia" w:ascii="宋体" w:hAnsi="宋体" w:eastAsia="宋体" w:cs="宋体"/>
                <w:caps w:val="0"/>
                <w:color w:val="auto"/>
                <w:spacing w:val="0"/>
                <w:position w:val="0"/>
                <w:sz w:val="21"/>
                <w:szCs w:val="21"/>
                <w:highlight w:val="none"/>
              </w:rPr>
              <w:t>分</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rPr>
              <w:t>未提供得0分。</w:t>
            </w:r>
          </w:p>
        </w:tc>
      </w:tr>
      <w:tr w14:paraId="3777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trPr>
        <w:tc>
          <w:tcPr>
            <w:tcW w:w="1147" w:type="dxa"/>
            <w:vMerge w:val="continue"/>
            <w:vAlign w:val="center"/>
          </w:tcPr>
          <w:p w14:paraId="497F6A2B">
            <w:pPr>
              <w:jc w:val="center"/>
              <w:rPr>
                <w:rFonts w:hint="eastAsia" w:ascii="宋体" w:hAnsi="宋体" w:eastAsia="宋体" w:cs="宋体"/>
                <w:sz w:val="21"/>
                <w:szCs w:val="21"/>
                <w:highlight w:val="none"/>
              </w:rPr>
            </w:pPr>
          </w:p>
        </w:tc>
        <w:tc>
          <w:tcPr>
            <w:tcW w:w="1245" w:type="dxa"/>
            <w:vAlign w:val="center"/>
          </w:tcPr>
          <w:p w14:paraId="0FA5F4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color w:val="auto"/>
                <w:kern w:val="0"/>
                <w:sz w:val="21"/>
                <w:szCs w:val="21"/>
                <w:highlight w:val="none"/>
                <w:lang w:val="en-US" w:eastAsia="zh-CN"/>
              </w:rPr>
              <w:t>培训方案（8分）</w:t>
            </w:r>
          </w:p>
        </w:tc>
        <w:tc>
          <w:tcPr>
            <w:tcW w:w="8107" w:type="dxa"/>
            <w:vAlign w:val="center"/>
          </w:tcPr>
          <w:p w14:paraId="133B0F0A">
            <w:pPr>
              <w:pStyle w:val="79"/>
              <w:widowControl/>
              <w:jc w:val="left"/>
              <w:rPr>
                <w:rFonts w:hint="eastAsia" w:ascii="宋体" w:hAnsi="宋体" w:eastAsia="宋体" w:cs="宋体"/>
                <w:caps w:val="0"/>
                <w:color w:val="auto"/>
                <w:spacing w:val="0"/>
                <w:position w:val="0"/>
                <w:sz w:val="21"/>
                <w:szCs w:val="21"/>
                <w:highlight w:val="none"/>
              </w:rPr>
            </w:pPr>
            <w:r>
              <w:rPr>
                <w:rFonts w:hint="eastAsia" w:ascii="宋体" w:hAnsi="宋体" w:eastAsia="宋体" w:cs="宋体"/>
                <w:caps w:val="0"/>
                <w:color w:val="auto"/>
                <w:spacing w:val="0"/>
                <w:position w:val="0"/>
                <w:sz w:val="21"/>
                <w:szCs w:val="21"/>
                <w:highlight w:val="none"/>
              </w:rPr>
              <w:t xml:space="preserve">对培训内容、培训对象、培训时间做出计划，包括培训时间、地点、人次、 方式、预计培训结果，保证采购人技术人员、操作人员掌握仪器的基本操作和日常维护。 </w:t>
            </w:r>
          </w:p>
          <w:p w14:paraId="29D42CF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caps w:val="0"/>
                <w:color w:val="auto"/>
                <w:spacing w:val="0"/>
                <w:position w:val="0"/>
                <w:sz w:val="21"/>
                <w:szCs w:val="21"/>
                <w:highlight w:val="none"/>
              </w:rPr>
              <w:t>培训方案全面，安排科学，能正确理解培训要求，满足采购要求得</w:t>
            </w:r>
            <w:r>
              <w:rPr>
                <w:rFonts w:hint="eastAsia" w:ascii="宋体" w:hAnsi="宋体" w:eastAsia="宋体" w:cs="宋体"/>
                <w:caps w:val="0"/>
                <w:color w:val="auto"/>
                <w:spacing w:val="0"/>
                <w:position w:val="0"/>
                <w:sz w:val="21"/>
                <w:szCs w:val="21"/>
                <w:highlight w:val="none"/>
                <w:lang w:val="en-US" w:eastAsia="zh-CN"/>
              </w:rPr>
              <w:t>8</w:t>
            </w:r>
            <w:r>
              <w:rPr>
                <w:rFonts w:hint="eastAsia" w:ascii="宋体" w:hAnsi="宋体" w:cs="宋体"/>
                <w:caps w:val="0"/>
                <w:color w:val="auto"/>
                <w:spacing w:val="0"/>
                <w:position w:val="0"/>
                <w:sz w:val="21"/>
                <w:szCs w:val="21"/>
                <w:highlight w:val="none"/>
                <w:lang w:val="en-US" w:eastAsia="zh-CN"/>
              </w:rPr>
              <w:t>-6</w:t>
            </w:r>
            <w:r>
              <w:rPr>
                <w:rFonts w:hint="eastAsia" w:ascii="宋体" w:hAnsi="宋体" w:eastAsia="宋体" w:cs="宋体"/>
                <w:caps w:val="0"/>
                <w:color w:val="auto"/>
                <w:spacing w:val="0"/>
                <w:position w:val="0"/>
                <w:sz w:val="21"/>
                <w:szCs w:val="21"/>
                <w:highlight w:val="none"/>
              </w:rPr>
              <w:t>分；培训方案基本完整，安排基本合理，基本满足培训需求得</w:t>
            </w:r>
            <w:r>
              <w:rPr>
                <w:rFonts w:hint="eastAsia" w:ascii="宋体" w:hAnsi="宋体" w:eastAsia="宋体" w:cs="宋体"/>
                <w:caps w:val="0"/>
                <w:color w:val="auto"/>
                <w:spacing w:val="0"/>
                <w:position w:val="0"/>
                <w:sz w:val="21"/>
                <w:szCs w:val="21"/>
                <w:highlight w:val="none"/>
                <w:lang w:val="en-US" w:eastAsia="zh-CN"/>
              </w:rPr>
              <w:t>5</w:t>
            </w:r>
            <w:r>
              <w:rPr>
                <w:rFonts w:hint="eastAsia" w:ascii="宋体" w:hAnsi="宋体" w:cs="宋体"/>
                <w:caps w:val="0"/>
                <w:color w:val="auto"/>
                <w:spacing w:val="0"/>
                <w:position w:val="0"/>
                <w:sz w:val="21"/>
                <w:szCs w:val="21"/>
                <w:highlight w:val="none"/>
                <w:lang w:val="en-US" w:eastAsia="zh-CN"/>
              </w:rPr>
              <w:t>-3</w:t>
            </w:r>
            <w:r>
              <w:rPr>
                <w:rFonts w:hint="eastAsia" w:ascii="宋体" w:hAnsi="宋体" w:eastAsia="宋体" w:cs="宋体"/>
                <w:caps w:val="0"/>
                <w:color w:val="auto"/>
                <w:spacing w:val="0"/>
                <w:position w:val="0"/>
                <w:sz w:val="21"/>
                <w:szCs w:val="21"/>
                <w:highlight w:val="none"/>
              </w:rPr>
              <w:t>分；培训方案不完整，安排不合理，不满足采购需求，得</w:t>
            </w:r>
            <w:r>
              <w:rPr>
                <w:rFonts w:hint="eastAsia" w:ascii="宋体" w:hAnsi="宋体" w:eastAsia="宋体" w:cs="宋体"/>
                <w:caps w:val="0"/>
                <w:color w:val="auto"/>
                <w:spacing w:val="0"/>
                <w:position w:val="0"/>
                <w:sz w:val="21"/>
                <w:szCs w:val="21"/>
                <w:highlight w:val="none"/>
                <w:lang w:val="en-US" w:eastAsia="zh-CN"/>
              </w:rPr>
              <w:t>2</w:t>
            </w:r>
            <w:r>
              <w:rPr>
                <w:rFonts w:hint="eastAsia" w:ascii="宋体" w:hAnsi="宋体" w:cs="宋体"/>
                <w:caps w:val="0"/>
                <w:color w:val="auto"/>
                <w:spacing w:val="0"/>
                <w:position w:val="0"/>
                <w:sz w:val="21"/>
                <w:szCs w:val="21"/>
                <w:highlight w:val="none"/>
                <w:lang w:val="en-US" w:eastAsia="zh-CN"/>
              </w:rPr>
              <w:t>-1</w:t>
            </w:r>
            <w:r>
              <w:rPr>
                <w:rFonts w:hint="eastAsia" w:ascii="宋体" w:hAnsi="宋体" w:eastAsia="宋体" w:cs="宋体"/>
                <w:caps w:val="0"/>
                <w:color w:val="auto"/>
                <w:spacing w:val="0"/>
                <w:position w:val="0"/>
                <w:sz w:val="21"/>
                <w:szCs w:val="21"/>
                <w:highlight w:val="none"/>
              </w:rPr>
              <w:t>分</w:t>
            </w:r>
            <w:r>
              <w:rPr>
                <w:rFonts w:hint="eastAsia" w:ascii="宋体" w:hAnsi="宋体" w:eastAsia="宋体" w:cs="宋体"/>
                <w:caps w:val="0"/>
                <w:color w:val="auto"/>
                <w:spacing w:val="0"/>
                <w:position w:val="0"/>
                <w:sz w:val="21"/>
                <w:szCs w:val="21"/>
                <w:highlight w:val="none"/>
                <w:lang w:eastAsia="zh-CN"/>
              </w:rPr>
              <w:t>，</w:t>
            </w:r>
            <w:r>
              <w:rPr>
                <w:rFonts w:hint="eastAsia" w:ascii="宋体" w:hAnsi="宋体" w:eastAsia="宋体" w:cs="宋体"/>
                <w:caps w:val="0"/>
                <w:color w:val="auto"/>
                <w:spacing w:val="0"/>
                <w:position w:val="0"/>
                <w:sz w:val="21"/>
                <w:szCs w:val="21"/>
                <w:highlight w:val="none"/>
              </w:rPr>
              <w:t>未提供得0分。</w:t>
            </w:r>
          </w:p>
        </w:tc>
      </w:tr>
    </w:tbl>
    <w:p w14:paraId="38F429D6">
      <w:pPr>
        <w:autoSpaceDN w:val="0"/>
        <w:adjustRightInd w:val="0"/>
        <w:snapToGrid w:val="0"/>
        <w:spacing w:line="360" w:lineRule="auto"/>
        <w:rPr>
          <w:rFonts w:hint="eastAsia" w:ascii="宋体" w:hAnsi="宋体" w:eastAsia="宋体" w:cs="宋体"/>
          <w:b/>
          <w:bCs/>
          <w:color w:val="auto"/>
          <w:sz w:val="24"/>
          <w:highlight w:val="none"/>
        </w:rPr>
      </w:pPr>
    </w:p>
    <w:p w14:paraId="600BAD50">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 说  明</w:t>
      </w:r>
    </w:p>
    <w:p w14:paraId="38A97253">
      <w:pPr>
        <w:keepNext w:val="0"/>
        <w:keepLines w:val="0"/>
        <w:pageBreakBefore w:val="0"/>
        <w:kinsoku/>
        <w:wordWrap/>
        <w:overflowPunct/>
        <w:topLinePunct w:val="0"/>
        <w:autoSpaceDE/>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为排名第一的中标候选人</w:t>
      </w:r>
      <w:r>
        <w:rPr>
          <w:rFonts w:hint="eastAsia" w:ascii="宋体" w:hAnsi="宋体" w:eastAsia="宋体" w:cs="宋体"/>
          <w:color w:val="auto"/>
          <w:szCs w:val="21"/>
          <w:highlight w:val="none"/>
          <w:lang w:eastAsia="zh-CN"/>
        </w:rPr>
        <w:t>。</w:t>
      </w:r>
    </w:p>
    <w:p w14:paraId="7E41DD37">
      <w:pPr>
        <w:keepNext w:val="0"/>
        <w:keepLines w:val="0"/>
        <w:pageBreakBefore w:val="0"/>
        <w:widowControl/>
        <w:kinsoku/>
        <w:wordWrap/>
        <w:overflowPunct/>
        <w:topLinePunct w:val="0"/>
        <w:autoSpaceDE/>
        <w:bidi w:val="0"/>
        <w:spacing w:line="360" w:lineRule="auto"/>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16FBD773">
      <w:pPr>
        <w:spacing w:line="312"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2CEB878E">
      <w:pPr>
        <w:spacing w:line="280" w:lineRule="exact"/>
        <w:ind w:firstLine="480" w:firstLineChars="200"/>
        <w:jc w:val="center"/>
        <w:rPr>
          <w:rFonts w:hint="eastAsia" w:ascii="宋体" w:hAnsi="宋体" w:cs="宋体"/>
          <w:sz w:val="24"/>
          <w:highlight w:val="none"/>
        </w:rPr>
      </w:pPr>
      <w:r>
        <w:rPr>
          <w:rFonts w:hint="eastAsia" w:ascii="宋体" w:hAnsi="宋体" w:cs="宋体"/>
          <w:sz w:val="24"/>
          <w:highlight w:val="none"/>
        </w:rPr>
        <w:t>关于印发《政府采购促进中小企业发展管理办法》的通知</w:t>
      </w:r>
    </w:p>
    <w:p w14:paraId="15730043">
      <w:pPr>
        <w:spacing w:line="280" w:lineRule="exact"/>
        <w:ind w:firstLine="480" w:firstLineChars="200"/>
        <w:jc w:val="center"/>
        <w:rPr>
          <w:rFonts w:hint="eastAsia" w:ascii="宋体" w:hAnsi="宋体" w:cs="宋体"/>
          <w:sz w:val="24"/>
          <w:highlight w:val="none"/>
        </w:rPr>
      </w:pPr>
      <w:r>
        <w:rPr>
          <w:rFonts w:hint="eastAsia" w:ascii="宋体" w:hAnsi="宋体" w:cs="宋体"/>
          <w:sz w:val="24"/>
          <w:highlight w:val="none"/>
        </w:rPr>
        <w:t>财库〔2020〕46号</w:t>
      </w:r>
    </w:p>
    <w:p w14:paraId="62D65E3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第一条</w:t>
      </w:r>
    </w:p>
    <w:p w14:paraId="63E8E04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为了发挥政府采购的政策功能，促进中小企业健康发展，根据《中华人民共和国政府采购法》、《中华人民共和国中小企业促进法》等有关法律法规，制定本办法。</w:t>
      </w:r>
    </w:p>
    <w:p w14:paraId="2BAEBE1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第二条</w:t>
      </w:r>
    </w:p>
    <w:p w14:paraId="2D9CA8F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C1DFEC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BCA1BC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第三条</w:t>
      </w:r>
    </w:p>
    <w:p w14:paraId="312F641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采购人在政府采购活动中应当通过加强采购需求管理，落实预留采购份额、价格评审优惠、优先采购等措施，提高中小企业在政府采购中的份额，支持中小企业发展。</w:t>
      </w:r>
    </w:p>
    <w:p w14:paraId="20E5480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第四条</w:t>
      </w:r>
    </w:p>
    <w:p w14:paraId="310D167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在政府采购活动中，供应商提供的货物、工程或者服务符合下列情形的，享受本办法规定的中小企业扶持政策：</w:t>
      </w:r>
    </w:p>
    <w:p w14:paraId="2E634A9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（一）在货物采购项目中，货物由中小企业制造，即货物由中小企业生产且使用该中小企业商号或者注册商标；</w:t>
      </w:r>
    </w:p>
    <w:p w14:paraId="38F2626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（二）在工程采购项目中，工程由中小企业承建，即工程施工单位为中小企业；</w:t>
      </w:r>
    </w:p>
    <w:p w14:paraId="379F66F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A27E34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以联合体形式参加政府采购活动，联合体各方均为中小企业的，联合体视同中小企业。其中，联合体各方均为小微企业的，联合体视同小微企业。</w:t>
      </w:r>
    </w:p>
    <w:p w14:paraId="130D94D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第五条</w:t>
      </w:r>
    </w:p>
    <w:p w14:paraId="2278D68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23B9EF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第六条</w:t>
      </w:r>
    </w:p>
    <w:p w14:paraId="707BE34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01D6DD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符合下列情形之一的，可不专门面向中小企业预留采购份额：</w:t>
      </w:r>
    </w:p>
    <w:p w14:paraId="252FF95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（一）法律法规和国家有关政策明确规定优先或者应当面向事业单位、社会组织等非企业主体采购的；</w:t>
      </w:r>
    </w:p>
    <w:p w14:paraId="6DDCF88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（二）因确需使用不可替代的专利、专有技术，基础设施限制，或者提供特定公共服务等原因，只能从中小企业之外的供应商处采购的；</w:t>
      </w:r>
    </w:p>
    <w:p w14:paraId="672032D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（三）按照本办法规定预留采购份额无法确保充分供应、充分竞争，或者存在可能影响政府采购目标实现的情形；</w:t>
      </w:r>
    </w:p>
    <w:p w14:paraId="2AE813C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（四）框架协议采购项目；</w:t>
      </w:r>
    </w:p>
    <w:p w14:paraId="0BEA7FB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（五）省级以上人民政府财政部门规定的其他情形。</w:t>
      </w:r>
    </w:p>
    <w:p w14:paraId="15A983F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除上述情形外，其他均为适宜由中小企业提供的情形。</w:t>
      </w:r>
    </w:p>
    <w:p w14:paraId="54FE117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第七条</w:t>
      </w:r>
    </w:p>
    <w:p w14:paraId="116884B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采购限额标准以上，200 万元以下的货物和服务采购项目、400 万元以下的工程采购项目，适宜由中小企业提供的，采购人应当专门面向中小企业采购。</w:t>
      </w:r>
    </w:p>
    <w:p w14:paraId="45155DE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第八条</w:t>
      </w:r>
    </w:p>
    <w:p w14:paraId="686BA18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350B55C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（一）将采购项目整体或者设置采购包专门面向中小企业采购；</w:t>
      </w:r>
    </w:p>
    <w:p w14:paraId="6D3F8FD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（二）要求供应商以联合体形式参加采购活动，且联合体中中小企业承担的部分达到一定比例；</w:t>
      </w:r>
    </w:p>
    <w:p w14:paraId="5A14CC9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782E77B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第九条</w:t>
      </w:r>
    </w:p>
    <w:p w14:paraId="1A3948F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35D81B1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D70BAC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第十条</w:t>
      </w:r>
    </w:p>
    <w:p w14:paraId="7415F53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15FC23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第十一条</w:t>
      </w:r>
    </w:p>
    <w:p w14:paraId="5E8B94B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603E6D9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第十二条</w:t>
      </w:r>
    </w:p>
    <w:p w14:paraId="4C8A1DB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采购项目涉及中小企业采购的，采购文件应当明确以下内容：</w:t>
      </w:r>
    </w:p>
    <w:p w14:paraId="5DDDC7A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（一）预留份额的采购项目或者采购包，明确该项目或相关采购包专门面向中小企业采购，以及相关标的及预算金额；</w:t>
      </w:r>
    </w:p>
    <w:p w14:paraId="1D0CB0C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（二）要求以联合体形式参加或者合同分包的，明确联合协议或者分包意向协议中中小企业合同金额应当达到的比例，并作为供应商资格条件；</w:t>
      </w:r>
    </w:p>
    <w:p w14:paraId="5FD2A41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（三）非预留份额的采购项目或者采购包，明确有关价格扣除比例或者价格分加分比例；</w:t>
      </w:r>
    </w:p>
    <w:p w14:paraId="3549647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（四）规定依据本办法规定享受扶持政策获得政府采购合同的，小微企业不得将合同分包给大中型企业，中型企业不得将合同分包给大型企业；</w:t>
      </w:r>
    </w:p>
    <w:p w14:paraId="1F2850E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（五）采购人认为具备相关条件的，明确对中小企业在资金支付期限、预付款比例等方面的优惠措施；</w:t>
      </w:r>
    </w:p>
    <w:p w14:paraId="0AFADC4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（六）明确采购标的对应的中小企业划分标准所属行业；</w:t>
      </w:r>
    </w:p>
    <w:p w14:paraId="52FC376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（七）法律法规和省级以上人民政府财政部门规定的其他事项。</w:t>
      </w:r>
    </w:p>
    <w:p w14:paraId="043F611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第十三条</w:t>
      </w:r>
    </w:p>
    <w:p w14:paraId="298A0EC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3727093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第十四条</w:t>
      </w:r>
    </w:p>
    <w:p w14:paraId="1444A0B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FDC01E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第十五条</w:t>
      </w:r>
    </w:p>
    <w:p w14:paraId="6F07F48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00D1FB9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第十六条</w:t>
      </w:r>
    </w:p>
    <w:p w14:paraId="247D35D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2322041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第十七条</w:t>
      </w:r>
    </w:p>
    <w:p w14:paraId="19D0B0D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5B64C31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第十八条</w:t>
      </w:r>
    </w:p>
    <w:p w14:paraId="74BCC27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718831D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第十九条</w:t>
      </w:r>
    </w:p>
    <w:p w14:paraId="5D6B3F1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3DBF132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第二十条</w:t>
      </w:r>
    </w:p>
    <w:p w14:paraId="6027BA6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0FAA54A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第二十一条</w:t>
      </w:r>
    </w:p>
    <w:p w14:paraId="126990C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D2DBBB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第二十二条</w:t>
      </w:r>
    </w:p>
    <w:p w14:paraId="447F889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对外援助项目、国家相关资格或者资质管理制度另有规定的项目，不适用本办法。</w:t>
      </w:r>
    </w:p>
    <w:p w14:paraId="0B06A1D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第二十三条</w:t>
      </w:r>
    </w:p>
    <w:p w14:paraId="06D0EF0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关于视同中小企业的其他主体的政府采购扶持政策，由财政部会同有关部门另行规定。</w:t>
      </w:r>
    </w:p>
    <w:p w14:paraId="194A353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第二十四条</w:t>
      </w:r>
    </w:p>
    <w:p w14:paraId="452EEB6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省级财政部门可以会同中小企业主管部门根据本办法的规定制定具体实施办法。</w:t>
      </w:r>
    </w:p>
    <w:p w14:paraId="0714FB9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第二十五条</w:t>
      </w:r>
    </w:p>
    <w:p w14:paraId="60CE66B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本办法自2021 年1月1日起施行。 财政部工业和信息化部关于印发〈政府采购促进中小企业发展暂行办法〉的通知》（财库﹝2011﹞181 号）同时废止。</w:t>
      </w:r>
    </w:p>
    <w:p w14:paraId="33C49C9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 xml:space="preserve">  （一）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05E9E35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 xml:space="preserve">（二）对财政部、国家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2E96A89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三）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7B9C46E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（四）投标产品同时列入上述多个清单的，将上述规定的价格扣除比例叠加后计算价格扣除。</w:t>
      </w:r>
    </w:p>
    <w:p w14:paraId="55BCB0E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五）根据《关于进一步加大政府采购支持中小企业力度的通知》（财库〔2022〕19号）文件规定，货物服务采购项目给予小微企业的价格扣除优惠，按“工信部联企业〔2011〕300号”通知标准划分的小型和微型企业的投标报价给予10%的扣除，用扣除后的价格参加评审；根据《政府采购促进中小企业发展管理办法》（财库〔2020〕46号）文件规定，工程项目给予小微企业的价格扣除优惠，按“工信部联企业〔2011〕300号”通知标准划分的小型和微型企业的投标报价给予3%的扣除，用扣除后的价格参加评审。适用招标投标法的政府采购工程建设项目，采用综合评估法但未采用低价优先法计算价格分的，评标时应当在采用原报价进行评分的基础上增加其价格得分的3%作为其价格分（需提供中小企业声明函）。</w:t>
      </w:r>
    </w:p>
    <w:p w14:paraId="648FDB8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（六）</w:t>
      </w:r>
      <w:r>
        <w:rPr>
          <w:rFonts w:hint="eastAsia" w:ascii="宋体" w:hAnsi="宋体" w:cs="宋体"/>
          <w:sz w:val="24"/>
          <w:highlight w:val="none"/>
          <w:lang w:val="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sz w:val="24"/>
          <w:highlight w:val="none"/>
        </w:rPr>
        <w:t xml:space="preserve">监狱企业应当提供由省级以上监狱管理局、戒毒管理局（含新疆生产建设兵团）出具的属于监狱企业的证明文件。 </w:t>
      </w:r>
    </w:p>
    <w:p w14:paraId="12E6AC6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（七）</w:t>
      </w:r>
      <w:r>
        <w:rPr>
          <w:rFonts w:hint="eastAsia" w:ascii="宋体" w:hAnsi="宋体" w:cs="宋体"/>
          <w:kern w:val="0"/>
          <w:sz w:val="24"/>
          <w:highlight w:val="none"/>
          <w:lang w:val="zh-CN"/>
        </w:rPr>
        <w:t>按照《三部</w:t>
      </w:r>
      <w:r>
        <w:rPr>
          <w:rFonts w:hint="eastAsia" w:ascii="宋体" w:hAnsi="宋体" w:cs="宋体"/>
          <w:sz w:val="24"/>
          <w:highlight w:val="none"/>
          <w:lang w:val="zh-CN"/>
        </w:rPr>
        <w:t>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供应商符合残疾人福利性单位条件的，在评定时视同中小企业。残疾人福利性单位属于小型、微型企业的，不重复享受政策。</w:t>
      </w:r>
      <w:r>
        <w:rPr>
          <w:rFonts w:hint="eastAsia" w:ascii="宋体" w:hAnsi="宋体" w:cs="宋体"/>
          <w:sz w:val="24"/>
          <w:highlight w:val="none"/>
        </w:rPr>
        <w:t xml:space="preserve"> </w:t>
      </w:r>
    </w:p>
    <w:p w14:paraId="602CCA4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lang w:val="zh-CN"/>
        </w:rPr>
      </w:pPr>
      <w:r>
        <w:rPr>
          <w:rFonts w:hint="eastAsia" w:ascii="宋体" w:hAnsi="宋体" w:cs="宋体"/>
          <w:sz w:val="24"/>
          <w:highlight w:val="none"/>
        </w:rPr>
        <w:t>（八）</w:t>
      </w:r>
      <w:r>
        <w:rPr>
          <w:rFonts w:hint="eastAsia" w:ascii="宋体" w:hAnsi="宋体" w:cs="宋体"/>
          <w:sz w:val="24"/>
          <w:highlight w:val="none"/>
          <w:lang w:val="zh-CN"/>
        </w:rPr>
        <w:t>价格扣除的依据：第（一）至（四）条提供投标货物相关认证证书复印件加盖供应商公章。第（五）条属于中小微企业投标的应按照关于印发《政府采购促进中小企业发展管理办法》的通知（财库〔2020〕46号）附</w:t>
      </w:r>
      <w:r>
        <w:rPr>
          <w:rFonts w:hint="eastAsia" w:ascii="宋体" w:hAnsi="宋体" w:cs="宋体"/>
          <w:sz w:val="24"/>
          <w:highlight w:val="none"/>
        </w:rPr>
        <w:t>1中小企业声明函</w:t>
      </w:r>
      <w:r>
        <w:rPr>
          <w:rFonts w:hint="eastAsia" w:ascii="宋体" w:hAnsi="宋体" w:cs="宋体"/>
          <w:sz w:val="24"/>
          <w:highlight w:val="none"/>
          <w:lang w:val="zh-CN"/>
        </w:rPr>
        <w:t>（工程、服务）格式规定提供格式正确的《中小企业声明函》，第（六）条提供符合该文件要求且格式正确的《监狱企业证明文件》，第（七）条提供符合该文件要求且格式正确的《残疾人福利性单位声明函》。不提供相应证明文件或提供的证明文件格式不正确，则不享受政府采购中小企业扶持政策。</w:t>
      </w:r>
    </w:p>
    <w:p w14:paraId="1EF651C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（九）依据《政府采购促进中小企业发展政策问答》文件要求，专门面向中小企业采购的项目或者采购包，不再执行价格评审优惠的扶持政策。</w:t>
      </w:r>
    </w:p>
    <w:p w14:paraId="0926B6CB">
      <w:pPr>
        <w:pStyle w:val="46"/>
        <w:keepNext w:val="0"/>
        <w:keepLines w:val="0"/>
        <w:pageBreakBefore w:val="0"/>
        <w:widowControl w:val="0"/>
        <w:kinsoku/>
        <w:wordWrap/>
        <w:overflowPunct/>
        <w:topLinePunct w:val="0"/>
        <w:bidi w:val="0"/>
        <w:snapToGrid/>
        <w:spacing w:line="500" w:lineRule="exact"/>
        <w:textAlignment w:val="auto"/>
        <w:rPr>
          <w:rFonts w:hint="eastAsia" w:ascii="宋体" w:hAnsi="宋体" w:cs="宋体"/>
          <w:color w:val="auto"/>
          <w:highlight w:val="none"/>
        </w:rPr>
      </w:pPr>
    </w:p>
    <w:p w14:paraId="13DBAB2D">
      <w:pPr>
        <w:pStyle w:val="24"/>
        <w:keepNext w:val="0"/>
        <w:keepLines w:val="0"/>
        <w:pageBreakBefore w:val="0"/>
        <w:widowControl w:val="0"/>
        <w:kinsoku/>
        <w:wordWrap/>
        <w:overflowPunct/>
        <w:topLinePunct w:val="0"/>
        <w:bidi w:val="0"/>
        <w:snapToGrid/>
        <w:spacing w:before="0" w:beforeAutospacing="0" w:after="0" w:afterAutospacing="0" w:line="500" w:lineRule="exact"/>
        <w:jc w:val="center"/>
        <w:textAlignment w:val="auto"/>
        <w:rPr>
          <w:rFonts w:hint="eastAsia" w:cs="宋体"/>
          <w:sz w:val="24"/>
          <w:szCs w:val="24"/>
          <w:highlight w:val="none"/>
        </w:rPr>
      </w:pPr>
      <w:r>
        <w:rPr>
          <w:rFonts w:hint="eastAsia" w:cs="宋体"/>
          <w:sz w:val="24"/>
          <w:szCs w:val="24"/>
          <w:highlight w:val="none"/>
        </w:rPr>
        <w:br w:type="page"/>
      </w:r>
      <w:r>
        <w:rPr>
          <w:rFonts w:hint="eastAsia" w:cs="宋体"/>
          <w:sz w:val="24"/>
          <w:szCs w:val="24"/>
          <w:highlight w:val="none"/>
        </w:rPr>
        <w:t>关于进一步加大政府采购支持中小企业力度的通知</w:t>
      </w:r>
    </w:p>
    <w:p w14:paraId="1C2B1A0B">
      <w:pPr>
        <w:pStyle w:val="24"/>
        <w:keepNext w:val="0"/>
        <w:keepLines w:val="0"/>
        <w:pageBreakBefore w:val="0"/>
        <w:widowControl w:val="0"/>
        <w:kinsoku/>
        <w:wordWrap/>
        <w:overflowPunct/>
        <w:topLinePunct w:val="0"/>
        <w:bidi w:val="0"/>
        <w:snapToGrid/>
        <w:spacing w:before="0" w:beforeAutospacing="0" w:after="0" w:afterAutospacing="0" w:line="500" w:lineRule="exact"/>
        <w:jc w:val="center"/>
        <w:textAlignment w:val="auto"/>
        <w:rPr>
          <w:rFonts w:hint="eastAsia" w:cs="宋体"/>
          <w:sz w:val="24"/>
          <w:szCs w:val="24"/>
          <w:highlight w:val="none"/>
        </w:rPr>
      </w:pPr>
      <w:r>
        <w:rPr>
          <w:rFonts w:hint="eastAsia" w:cs="宋体"/>
          <w:sz w:val="24"/>
          <w:szCs w:val="24"/>
          <w:highlight w:val="none"/>
        </w:rPr>
        <w:t>财库〔2022〕19号</w:t>
      </w:r>
    </w:p>
    <w:p w14:paraId="5EBEBB2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各中央预算单位，各省、自治区、直辖市、计划单列市财政厅（局），新疆生产建设兵团财政局：</w:t>
      </w:r>
    </w:p>
    <w:p w14:paraId="33B2F80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C72C2D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D05627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7CF832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E73FD4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四、认真做好组织实施。各地区、各部门应当加强组织领导，明确工作责任，细化执行要求，强化监督检查，确保国务院部署落实到位，对通知执行中出现的问题要及时向财政部报告。</w:t>
      </w:r>
    </w:p>
    <w:p w14:paraId="777B396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本通知自2022年7月1日起执行。</w:t>
      </w:r>
    </w:p>
    <w:p w14:paraId="584D74AB">
      <w:pPr>
        <w:pStyle w:val="15"/>
        <w:keepNext w:val="0"/>
        <w:keepLines w:val="0"/>
        <w:pageBreakBefore w:val="0"/>
        <w:widowControl w:val="0"/>
        <w:kinsoku/>
        <w:wordWrap/>
        <w:overflowPunct/>
        <w:topLinePunct w:val="0"/>
        <w:bidi w:val="0"/>
        <w:snapToGrid/>
        <w:spacing w:line="500" w:lineRule="exact"/>
        <w:jc w:val="right"/>
        <w:textAlignment w:val="auto"/>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财政部</w:t>
      </w:r>
    </w:p>
    <w:p w14:paraId="474D42C1">
      <w:pPr>
        <w:pStyle w:val="15"/>
        <w:keepNext w:val="0"/>
        <w:keepLines w:val="0"/>
        <w:pageBreakBefore w:val="0"/>
        <w:widowControl w:val="0"/>
        <w:kinsoku/>
        <w:wordWrap/>
        <w:overflowPunct/>
        <w:topLinePunct w:val="0"/>
        <w:bidi w:val="0"/>
        <w:snapToGrid/>
        <w:spacing w:line="500" w:lineRule="exact"/>
        <w:jc w:val="right"/>
        <w:textAlignment w:val="auto"/>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2022年5月30日</w:t>
      </w:r>
    </w:p>
    <w:p w14:paraId="5EC348F0">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08154E72">
      <w:pPr>
        <w:pStyle w:val="25"/>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shd w:val="clear" w:color="auto" w:fill="FFFFFF"/>
        </w:rPr>
      </w:pPr>
    </w:p>
    <w:p w14:paraId="3DF44F98">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54F94C54">
      <w:pPr>
        <w:pStyle w:val="25"/>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shd w:val="clear" w:color="auto" w:fill="FFFFFF"/>
        </w:rPr>
      </w:pPr>
    </w:p>
    <w:p w14:paraId="1D65FA5A">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65FEFA0D">
      <w:pPr>
        <w:pStyle w:val="25"/>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rPr>
      </w:pPr>
    </w:p>
    <w:p w14:paraId="2C00D316">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rPr>
      </w:pPr>
    </w:p>
    <w:p w14:paraId="0C0DF2F8">
      <w:pPr>
        <w:pStyle w:val="74"/>
        <w:shd w:val="clear" w:color="auto" w:fill="FFFFFF"/>
        <w:spacing w:line="600" w:lineRule="atLeast"/>
        <w:jc w:val="center"/>
        <w:rPr>
          <w:rFonts w:hint="eastAsia" w:ascii="宋体" w:hAnsi="宋体" w:eastAsia="宋体" w:cs="宋体"/>
          <w:b/>
          <w:bCs/>
          <w:color w:val="auto"/>
          <w:highlight w:val="none"/>
        </w:rPr>
      </w:pPr>
      <w:r>
        <w:rPr>
          <w:rFonts w:hint="eastAsia" w:ascii="宋体" w:hAnsi="宋体" w:cs="宋体"/>
          <w:b w:val="0"/>
          <w:bCs w:val="0"/>
          <w:kern w:val="0"/>
          <w:sz w:val="24"/>
          <w:szCs w:val="24"/>
          <w:highlight w:val="none"/>
        </w:rPr>
        <w:br w:type="page"/>
      </w:r>
      <w:r>
        <w:rPr>
          <w:rFonts w:hint="eastAsia" w:ascii="宋体" w:hAnsi="宋体" w:eastAsia="宋体" w:cs="宋体"/>
          <w:b/>
          <w:bCs/>
          <w:color w:val="auto"/>
          <w:highlight w:val="none"/>
        </w:rPr>
        <w:t>国家统计局关于印发《统计上大中小微型企业划分办法（2017）》的通知</w:t>
      </w:r>
    </w:p>
    <w:p w14:paraId="6224AA13">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各省、自治区、直辖市统计局，新疆生产建设兵团统计局，国务院各有关部门，国家统计局各调查总队：</w:t>
      </w:r>
    </w:p>
    <w:p w14:paraId="005ABDF6">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316264F">
      <w:pPr>
        <w:shd w:val="clear" w:color="auto" w:fill="FFFFFF"/>
        <w:spacing w:before="100" w:beforeAutospacing="1" w:after="100" w:afterAutospacing="1"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附件：《统计上大中小微型企业划分办法（2017）》修订说明</w:t>
      </w:r>
    </w:p>
    <w:p w14:paraId="062E76BA">
      <w:pPr>
        <w:shd w:val="clear" w:color="auto" w:fill="FFFFFF"/>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国家统计局  </w:t>
      </w:r>
    </w:p>
    <w:p w14:paraId="383EE8C4">
      <w:pPr>
        <w:shd w:val="clear" w:color="auto" w:fill="FFFFFF"/>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2017年12月28日</w:t>
      </w:r>
    </w:p>
    <w:p w14:paraId="1328FB6D">
      <w:pPr>
        <w:shd w:val="clear" w:color="auto" w:fill="FFFFFF"/>
        <w:spacing w:line="48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统计上大中小微型企业划分办法（2017）</w:t>
      </w:r>
    </w:p>
    <w:p w14:paraId="7522F014">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236F325">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二、本办法适用对象为在中华人民共和国境内依法设立的各种组织形式的法人企业或单位。个体工商户参照本办法进行划分。</w:t>
      </w:r>
    </w:p>
    <w:p w14:paraId="1C5464D4">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04A0BED">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3895EC71">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五、企业划分由政府综合统计部门根据统计年报每年确定一次，定报统计原则上不进行调整。</w:t>
      </w:r>
    </w:p>
    <w:p w14:paraId="050BC9DD">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六、本办法自印发之日起执行，国家统计局2011年印发的《统计上大中小微型企业划分办法》（国统字〔2011〕75号）同时废止。</w:t>
      </w:r>
    </w:p>
    <w:p w14:paraId="07E5F411">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附表：统计上大中小微型企业划分标准</w:t>
      </w:r>
    </w:p>
    <w:p w14:paraId="74467371">
      <w:pPr>
        <w:shd w:val="clear" w:color="auto" w:fill="FFFFFF"/>
        <w:spacing w:line="48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统计上大中小微型企业划分标准</w:t>
      </w:r>
    </w:p>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14:paraId="1C68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4" w:type="dxa"/>
            <w:noWrap w:val="0"/>
            <w:vAlign w:val="center"/>
          </w:tcPr>
          <w:p w14:paraId="0CE76630">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行业名称</w:t>
            </w:r>
          </w:p>
        </w:tc>
        <w:tc>
          <w:tcPr>
            <w:tcW w:w="1494" w:type="dxa"/>
            <w:noWrap w:val="0"/>
            <w:vAlign w:val="center"/>
          </w:tcPr>
          <w:p w14:paraId="6D0C5D84">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指标名称</w:t>
            </w:r>
          </w:p>
        </w:tc>
        <w:tc>
          <w:tcPr>
            <w:tcW w:w="994" w:type="dxa"/>
            <w:noWrap w:val="0"/>
            <w:vAlign w:val="center"/>
          </w:tcPr>
          <w:p w14:paraId="494AD083">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计量单位</w:t>
            </w:r>
          </w:p>
        </w:tc>
        <w:tc>
          <w:tcPr>
            <w:tcW w:w="1493" w:type="dxa"/>
            <w:noWrap w:val="0"/>
            <w:vAlign w:val="center"/>
          </w:tcPr>
          <w:p w14:paraId="6BB22FA2">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大型</w:t>
            </w:r>
          </w:p>
        </w:tc>
        <w:tc>
          <w:tcPr>
            <w:tcW w:w="1493" w:type="dxa"/>
            <w:noWrap w:val="0"/>
            <w:vAlign w:val="center"/>
          </w:tcPr>
          <w:p w14:paraId="7B780210">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中型</w:t>
            </w:r>
          </w:p>
        </w:tc>
        <w:tc>
          <w:tcPr>
            <w:tcW w:w="1493" w:type="dxa"/>
            <w:noWrap w:val="0"/>
            <w:vAlign w:val="center"/>
          </w:tcPr>
          <w:p w14:paraId="38AE2EE0">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小型</w:t>
            </w:r>
          </w:p>
        </w:tc>
        <w:tc>
          <w:tcPr>
            <w:tcW w:w="990" w:type="dxa"/>
            <w:noWrap w:val="0"/>
            <w:vAlign w:val="center"/>
          </w:tcPr>
          <w:p w14:paraId="03BFF66C">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微型</w:t>
            </w:r>
          </w:p>
        </w:tc>
      </w:tr>
      <w:tr w14:paraId="68EC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681BB39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农、林、牧、渔业</w:t>
            </w:r>
          </w:p>
        </w:tc>
        <w:tc>
          <w:tcPr>
            <w:tcW w:w="1494" w:type="dxa"/>
            <w:noWrap w:val="0"/>
            <w:vAlign w:val="center"/>
          </w:tcPr>
          <w:p w14:paraId="63EBB83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4DDBB7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77B95A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493" w:type="dxa"/>
            <w:noWrap w:val="0"/>
            <w:vAlign w:val="center"/>
          </w:tcPr>
          <w:p w14:paraId="25B414B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493" w:type="dxa"/>
            <w:noWrap w:val="0"/>
            <w:vAlign w:val="center"/>
          </w:tcPr>
          <w:p w14:paraId="79338BA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990" w:type="dxa"/>
            <w:noWrap w:val="0"/>
            <w:vAlign w:val="center"/>
          </w:tcPr>
          <w:p w14:paraId="2E2E40B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2932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400C8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 *</w:t>
            </w:r>
          </w:p>
        </w:tc>
        <w:tc>
          <w:tcPr>
            <w:tcW w:w="1494" w:type="dxa"/>
            <w:noWrap w:val="0"/>
            <w:vAlign w:val="center"/>
          </w:tcPr>
          <w:p w14:paraId="79175D9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761B01D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74BAB34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5714CA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5996152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63D2B7F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4FD0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21B45D8">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731783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1A740C2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5B4D03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493" w:type="dxa"/>
            <w:noWrap w:val="0"/>
            <w:vAlign w:val="center"/>
          </w:tcPr>
          <w:p w14:paraId="6772464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1493" w:type="dxa"/>
            <w:noWrap w:val="0"/>
            <w:vAlign w:val="center"/>
          </w:tcPr>
          <w:p w14:paraId="290E3AB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990" w:type="dxa"/>
            <w:noWrap w:val="0"/>
            <w:vAlign w:val="center"/>
          </w:tcPr>
          <w:p w14:paraId="47BE98D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658B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E43CB4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1494" w:type="dxa"/>
            <w:noWrap w:val="0"/>
            <w:vAlign w:val="center"/>
          </w:tcPr>
          <w:p w14:paraId="77ABA09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61A67C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8D1023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Y≥80000</w:t>
            </w:r>
          </w:p>
        </w:tc>
        <w:tc>
          <w:tcPr>
            <w:tcW w:w="1493" w:type="dxa"/>
            <w:noWrap w:val="0"/>
            <w:vAlign w:val="center"/>
          </w:tcPr>
          <w:p w14:paraId="46A9527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1493" w:type="dxa"/>
            <w:noWrap w:val="0"/>
            <w:vAlign w:val="center"/>
          </w:tcPr>
          <w:p w14:paraId="7CB1C0C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990" w:type="dxa"/>
            <w:noWrap w:val="0"/>
            <w:vAlign w:val="center"/>
          </w:tcPr>
          <w:p w14:paraId="25246DE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3D0B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60DE6D3">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7E780F7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25BD271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74FC4D0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Z≥80000</w:t>
            </w:r>
          </w:p>
        </w:tc>
        <w:tc>
          <w:tcPr>
            <w:tcW w:w="1493" w:type="dxa"/>
            <w:noWrap w:val="0"/>
            <w:vAlign w:val="center"/>
          </w:tcPr>
          <w:p w14:paraId="2065790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1493" w:type="dxa"/>
            <w:noWrap w:val="0"/>
            <w:vAlign w:val="center"/>
          </w:tcPr>
          <w:p w14:paraId="5CCC8AA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990" w:type="dxa"/>
            <w:noWrap w:val="0"/>
            <w:vAlign w:val="center"/>
          </w:tcPr>
          <w:p w14:paraId="68B809C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6EFB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E63657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1494" w:type="dxa"/>
            <w:noWrap w:val="0"/>
            <w:vAlign w:val="center"/>
          </w:tcPr>
          <w:p w14:paraId="0DDB5FE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5D5FFE0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5122437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493" w:type="dxa"/>
            <w:noWrap w:val="0"/>
            <w:vAlign w:val="center"/>
          </w:tcPr>
          <w:p w14:paraId="690FD91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1493" w:type="dxa"/>
            <w:noWrap w:val="0"/>
            <w:vAlign w:val="center"/>
          </w:tcPr>
          <w:p w14:paraId="72C1F97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990" w:type="dxa"/>
            <w:noWrap w:val="0"/>
            <w:vAlign w:val="center"/>
          </w:tcPr>
          <w:p w14:paraId="6E9B8A9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1642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DFC60AB">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56B6CCD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1E84D71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9FEC5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493" w:type="dxa"/>
            <w:noWrap w:val="0"/>
            <w:vAlign w:val="center"/>
          </w:tcPr>
          <w:p w14:paraId="4CD573A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1493" w:type="dxa"/>
            <w:noWrap w:val="0"/>
            <w:vAlign w:val="center"/>
          </w:tcPr>
          <w:p w14:paraId="4E3DA26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990" w:type="dxa"/>
            <w:noWrap w:val="0"/>
            <w:vAlign w:val="center"/>
          </w:tcPr>
          <w:p w14:paraId="7765BAB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004B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2014B6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1494" w:type="dxa"/>
            <w:noWrap w:val="0"/>
            <w:vAlign w:val="center"/>
          </w:tcPr>
          <w:p w14:paraId="7D0BB9D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5E7A6D2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19114ED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2CF6CD1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1493" w:type="dxa"/>
            <w:noWrap w:val="0"/>
            <w:vAlign w:val="center"/>
          </w:tcPr>
          <w:p w14:paraId="32321D6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10≤X＜50</w:t>
            </w:r>
          </w:p>
        </w:tc>
        <w:tc>
          <w:tcPr>
            <w:tcW w:w="990" w:type="dxa"/>
            <w:noWrap w:val="0"/>
            <w:vAlign w:val="center"/>
          </w:tcPr>
          <w:p w14:paraId="5E6E971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85B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56DAB86">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E44FC1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1140B80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419010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493" w:type="dxa"/>
            <w:noWrap w:val="0"/>
            <w:vAlign w:val="center"/>
          </w:tcPr>
          <w:p w14:paraId="220FF8F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493" w:type="dxa"/>
            <w:noWrap w:val="0"/>
            <w:vAlign w:val="center"/>
          </w:tcPr>
          <w:p w14:paraId="5147B11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990" w:type="dxa"/>
            <w:noWrap w:val="0"/>
            <w:vAlign w:val="center"/>
          </w:tcPr>
          <w:p w14:paraId="741CB1C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7449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98F992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交通运输业 *</w:t>
            </w:r>
          </w:p>
        </w:tc>
        <w:tc>
          <w:tcPr>
            <w:tcW w:w="1494" w:type="dxa"/>
            <w:noWrap w:val="0"/>
            <w:vAlign w:val="center"/>
          </w:tcPr>
          <w:p w14:paraId="4AD231B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4EA3D18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4E6AFA3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75DA0AD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11C91C6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00342F6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72E1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0168A5F">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717C0F6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18D87BC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5CD8B3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410B08E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1493" w:type="dxa"/>
            <w:noWrap w:val="0"/>
            <w:vAlign w:val="center"/>
          </w:tcPr>
          <w:p w14:paraId="3110C00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990" w:type="dxa"/>
            <w:noWrap w:val="0"/>
            <w:vAlign w:val="center"/>
          </w:tcPr>
          <w:p w14:paraId="2E9D023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45A5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DDD64D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1494" w:type="dxa"/>
            <w:noWrap w:val="0"/>
            <w:vAlign w:val="center"/>
          </w:tcPr>
          <w:p w14:paraId="4418F11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2B116FA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2F1F51A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493" w:type="dxa"/>
            <w:noWrap w:val="0"/>
            <w:vAlign w:val="center"/>
          </w:tcPr>
          <w:p w14:paraId="244583C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1493" w:type="dxa"/>
            <w:noWrap w:val="0"/>
            <w:vAlign w:val="center"/>
          </w:tcPr>
          <w:p w14:paraId="7FACE28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990" w:type="dxa"/>
            <w:noWrap w:val="0"/>
            <w:vAlign w:val="center"/>
          </w:tcPr>
          <w:p w14:paraId="009D0EF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53CE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31ECB35">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5C5942A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2CBB514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26BF6BB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6381541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1493" w:type="dxa"/>
            <w:noWrap w:val="0"/>
            <w:vAlign w:val="center"/>
          </w:tcPr>
          <w:p w14:paraId="0627452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0BBAB47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435A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FB559F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1494" w:type="dxa"/>
            <w:noWrap w:val="0"/>
            <w:vAlign w:val="center"/>
          </w:tcPr>
          <w:p w14:paraId="769BD33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7B6CC64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5330255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552AF3B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3ABBA6E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6DD3355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773E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D1265CE">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8DE911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1A428AC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0DD5161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2B7776F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1493" w:type="dxa"/>
            <w:noWrap w:val="0"/>
            <w:vAlign w:val="center"/>
          </w:tcPr>
          <w:p w14:paraId="0035BCA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0DFDDE2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45B3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4FC0B1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1494" w:type="dxa"/>
            <w:noWrap w:val="0"/>
            <w:vAlign w:val="center"/>
          </w:tcPr>
          <w:p w14:paraId="1183C96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480AE4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14873B5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61AFB63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63E7B30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1EBB919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B89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569FCCA">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22E82D6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3509F1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25DD2D3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7C7F5EA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493" w:type="dxa"/>
            <w:noWrap w:val="0"/>
            <w:vAlign w:val="center"/>
          </w:tcPr>
          <w:p w14:paraId="6E3F737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5504360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3F3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C53ED3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1494" w:type="dxa"/>
            <w:noWrap w:val="0"/>
            <w:vAlign w:val="center"/>
          </w:tcPr>
          <w:p w14:paraId="414CC86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FA0600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9085CD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3FF4777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553DFDA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643815B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71A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99A7712">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6085A18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6B08830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6A16A13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6B3DA4E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493" w:type="dxa"/>
            <w:noWrap w:val="0"/>
            <w:vAlign w:val="center"/>
          </w:tcPr>
          <w:p w14:paraId="3FB3B3F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57DC631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014D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091DC9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 *</w:t>
            </w:r>
          </w:p>
        </w:tc>
        <w:tc>
          <w:tcPr>
            <w:tcW w:w="1494" w:type="dxa"/>
            <w:noWrap w:val="0"/>
            <w:vAlign w:val="center"/>
          </w:tcPr>
          <w:p w14:paraId="660C42C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63C4DE1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7FFB0BC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X≥2000</w:t>
            </w:r>
          </w:p>
        </w:tc>
        <w:tc>
          <w:tcPr>
            <w:tcW w:w="1493" w:type="dxa"/>
            <w:noWrap w:val="0"/>
            <w:vAlign w:val="center"/>
          </w:tcPr>
          <w:p w14:paraId="205E1A9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1493" w:type="dxa"/>
            <w:noWrap w:val="0"/>
            <w:vAlign w:val="center"/>
          </w:tcPr>
          <w:p w14:paraId="0CADBED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5BC0F33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568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09CA968">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76E72B6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0A3D3AA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AF6492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Y≥100000</w:t>
            </w:r>
          </w:p>
        </w:tc>
        <w:tc>
          <w:tcPr>
            <w:tcW w:w="1493" w:type="dxa"/>
            <w:noWrap w:val="0"/>
            <w:vAlign w:val="center"/>
          </w:tcPr>
          <w:p w14:paraId="76567D9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1493" w:type="dxa"/>
            <w:noWrap w:val="0"/>
            <w:vAlign w:val="center"/>
          </w:tcPr>
          <w:p w14:paraId="2E7A982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63B4777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3A85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A6B867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1494" w:type="dxa"/>
            <w:noWrap w:val="0"/>
            <w:vAlign w:val="center"/>
          </w:tcPr>
          <w:p w14:paraId="12AC119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471CD3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8C1E1A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005DDB6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014B266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77F5621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6FCA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25539B62">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20DC660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78297B9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2F90888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214C33F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1493" w:type="dxa"/>
            <w:noWrap w:val="0"/>
            <w:vAlign w:val="center"/>
          </w:tcPr>
          <w:p w14:paraId="2F449FF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990" w:type="dxa"/>
            <w:noWrap w:val="0"/>
            <w:vAlign w:val="center"/>
          </w:tcPr>
          <w:p w14:paraId="2E2E1C9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73E2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9CD644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1494" w:type="dxa"/>
            <w:noWrap w:val="0"/>
            <w:vAlign w:val="center"/>
          </w:tcPr>
          <w:p w14:paraId="50FEDAB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4E4D8F2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140C33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Y≥200000</w:t>
            </w:r>
          </w:p>
        </w:tc>
        <w:tc>
          <w:tcPr>
            <w:tcW w:w="1493" w:type="dxa"/>
            <w:noWrap w:val="0"/>
            <w:vAlign w:val="center"/>
          </w:tcPr>
          <w:p w14:paraId="48932D9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1493" w:type="dxa"/>
            <w:noWrap w:val="0"/>
            <w:vAlign w:val="center"/>
          </w:tcPr>
          <w:p w14:paraId="21A13B9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6D6E6A9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7F7F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2E435D9">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1EA002A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088E7F0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72EABC5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Z≥10000</w:t>
            </w:r>
          </w:p>
        </w:tc>
        <w:tc>
          <w:tcPr>
            <w:tcW w:w="1493" w:type="dxa"/>
            <w:noWrap w:val="0"/>
            <w:vAlign w:val="center"/>
          </w:tcPr>
          <w:p w14:paraId="236A31A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1493" w:type="dxa"/>
            <w:noWrap w:val="0"/>
            <w:vAlign w:val="center"/>
          </w:tcPr>
          <w:p w14:paraId="6EAB1F9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2000≤Z＜5000</w:t>
            </w:r>
          </w:p>
        </w:tc>
        <w:tc>
          <w:tcPr>
            <w:tcW w:w="990" w:type="dxa"/>
            <w:noWrap w:val="0"/>
            <w:vAlign w:val="center"/>
          </w:tcPr>
          <w:p w14:paraId="2DD8475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Z＜2000</w:t>
            </w:r>
          </w:p>
        </w:tc>
      </w:tr>
      <w:tr w14:paraId="1666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9984BE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1494" w:type="dxa"/>
            <w:noWrap w:val="0"/>
            <w:vAlign w:val="center"/>
          </w:tcPr>
          <w:p w14:paraId="5190A93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320C19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4DD57E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6ACF18B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5B536E0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90" w:type="dxa"/>
            <w:noWrap w:val="0"/>
            <w:vAlign w:val="center"/>
          </w:tcPr>
          <w:p w14:paraId="0873CB0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4E47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D6FC6A3">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22145CE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F8E7D3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0A162C5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Y≥5000</w:t>
            </w:r>
          </w:p>
        </w:tc>
        <w:tc>
          <w:tcPr>
            <w:tcW w:w="1493" w:type="dxa"/>
            <w:noWrap w:val="0"/>
            <w:vAlign w:val="center"/>
          </w:tcPr>
          <w:p w14:paraId="675D5BA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1493" w:type="dxa"/>
            <w:noWrap w:val="0"/>
            <w:vAlign w:val="center"/>
          </w:tcPr>
          <w:p w14:paraId="410FF38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990" w:type="dxa"/>
            <w:noWrap w:val="0"/>
            <w:vAlign w:val="center"/>
          </w:tcPr>
          <w:p w14:paraId="2742EBF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496F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1BF270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c>
          <w:tcPr>
            <w:tcW w:w="1494" w:type="dxa"/>
            <w:noWrap w:val="0"/>
            <w:vAlign w:val="center"/>
          </w:tcPr>
          <w:p w14:paraId="4637188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60AB9D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1B390F5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4A290E7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44BF728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0AF656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0E2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06F3A46">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4BBD656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1125D67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2E721A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Z≥120000</w:t>
            </w:r>
          </w:p>
        </w:tc>
        <w:tc>
          <w:tcPr>
            <w:tcW w:w="1493" w:type="dxa"/>
            <w:noWrap w:val="0"/>
            <w:vAlign w:val="center"/>
          </w:tcPr>
          <w:p w14:paraId="03DC0FF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1493" w:type="dxa"/>
            <w:noWrap w:val="0"/>
            <w:vAlign w:val="center"/>
          </w:tcPr>
          <w:p w14:paraId="72ECAE6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990" w:type="dxa"/>
            <w:noWrap w:val="0"/>
            <w:vAlign w:val="center"/>
          </w:tcPr>
          <w:p w14:paraId="109469F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w:t>
            </w:r>
          </w:p>
        </w:tc>
      </w:tr>
      <w:tr w14:paraId="3115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4BB2616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 *</w:t>
            </w:r>
          </w:p>
        </w:tc>
        <w:tc>
          <w:tcPr>
            <w:tcW w:w="1494" w:type="dxa"/>
            <w:noWrap w:val="0"/>
            <w:vAlign w:val="center"/>
          </w:tcPr>
          <w:p w14:paraId="02D6D30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441406B8">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BE7256F">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0B82F2CF">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4D121AA0">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159CF206">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7828BE22">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说明：1.大型、中型和小型企业须同时满足所列指标的下限，否则下划一档；微型企业只须满足所列指标中的一项即可。 　　   </w:t>
      </w:r>
    </w:p>
    <w:p w14:paraId="319814E3">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0CD2598">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3.企业划分指标以现行统计制度为准。 </w:t>
      </w:r>
    </w:p>
    <w:p w14:paraId="0D73DCD6">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（1）从业人员，是指期末从业人员数，没有期末从业人员数的，采用全年平均人员数代替。 </w:t>
      </w:r>
    </w:p>
    <w:p w14:paraId="6D3120B5">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BB090AA">
      <w:pPr>
        <w:shd w:val="clear" w:color="auto" w:fill="FFFFFF"/>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（3）资产总额，采用资产总计代替。</w:t>
      </w:r>
    </w:p>
    <w:p w14:paraId="40B2BC01">
      <w:pPr>
        <w:shd w:val="clear" w:color="auto" w:fill="FFFFFF"/>
        <w:spacing w:line="440" w:lineRule="exact"/>
        <w:jc w:val="left"/>
        <w:rPr>
          <w:rFonts w:hint="eastAsia" w:ascii="宋体" w:hAnsi="宋体" w:eastAsia="宋体" w:cs="宋体"/>
          <w:color w:val="auto"/>
          <w:szCs w:val="21"/>
          <w:highlight w:val="none"/>
        </w:rPr>
      </w:pPr>
    </w:p>
    <w:p w14:paraId="3DCBA480">
      <w:pPr>
        <w:shd w:val="clear" w:color="auto" w:fill="FFFFFF"/>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《统计上大中小微型企业划分办法（2017）》修订说明</w:t>
      </w:r>
    </w:p>
    <w:p w14:paraId="2514D08C">
      <w:pPr>
        <w:shd w:val="clear" w:color="auto" w:fill="FFFFFF"/>
        <w:spacing w:line="44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一、修订背景</w:t>
      </w:r>
    </w:p>
    <w:p w14:paraId="493302C4">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88F1631">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83E82F6">
      <w:pPr>
        <w:shd w:val="clear" w:color="auto" w:fill="FFFFFF"/>
        <w:spacing w:line="440" w:lineRule="exact"/>
        <w:ind w:firstLine="630" w:firstLineChars="3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二、修订主要内容</w:t>
      </w:r>
    </w:p>
    <w:p w14:paraId="4268C86F">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9E580B4">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将交通运输业中包括的“装卸搬运和运输代理业”修改为“多式联运和运输代理业、装卸搬运”。</w:t>
      </w:r>
    </w:p>
    <w:p w14:paraId="1513CF40">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仓储业所包括的行业中类，根据《国民经济行业分类》（GB/T4754—2017）调整为“通用仓储，低温仓储，危险品仓储，谷物、棉花等农产品仓储，中药材仓储和其他仓储业”。</w:t>
      </w:r>
    </w:p>
    <w:p w14:paraId="5FBD6F49">
      <w:pPr>
        <w:autoSpaceDN w:val="0"/>
        <w:adjustRightInd w:val="0"/>
        <w:snapToGrid w:val="0"/>
        <w:spacing w:line="360" w:lineRule="auto"/>
        <w:rPr>
          <w:rFonts w:hint="eastAsia" w:ascii="宋体" w:hAnsi="宋体" w:eastAsia="宋体" w:cs="宋体"/>
          <w:color w:val="auto"/>
          <w:szCs w:val="21"/>
          <w:highlight w:val="none"/>
        </w:rPr>
        <w:sectPr>
          <w:footerReference r:id="rId3" w:type="default"/>
          <w:pgSz w:w="11906" w:h="16838"/>
          <w:pgMar w:top="1418" w:right="1418" w:bottom="1418" w:left="1701" w:header="851" w:footer="851" w:gutter="0"/>
          <w:pgNumType w:start="1"/>
          <w:cols w:space="720" w:num="1"/>
          <w:docGrid w:linePitch="312" w:charSpace="0"/>
        </w:sectPr>
      </w:pPr>
      <w:r>
        <w:rPr>
          <w:rFonts w:hint="eastAsia" w:ascii="宋体" w:hAnsi="宋体" w:eastAsia="宋体" w:cs="宋体"/>
          <w:color w:val="auto"/>
          <w:szCs w:val="21"/>
          <w:highlight w:val="none"/>
        </w:rPr>
        <w:br w:type="page"/>
      </w:r>
    </w:p>
    <w:p w14:paraId="00992DC5">
      <w:pPr>
        <w:pStyle w:val="2"/>
        <w:numPr>
          <w:ilvl w:val="0"/>
          <w:numId w:val="5"/>
        </w:numPr>
        <w:autoSpaceDN w:val="0"/>
        <w:adjustRightInd w:val="0"/>
        <w:snapToGrid w:val="0"/>
        <w:spacing w:before="0" w:after="0" w:line="360" w:lineRule="auto"/>
        <w:jc w:val="center"/>
        <w:rPr>
          <w:rFonts w:hint="eastAsia" w:ascii="宋体" w:hAnsi="宋体" w:eastAsia="宋体" w:cs="宋体"/>
          <w:b/>
          <w:bCs/>
          <w:color w:val="auto"/>
          <w:kern w:val="44"/>
          <w:sz w:val="44"/>
          <w:szCs w:val="44"/>
          <w:highlight w:val="none"/>
          <w:lang w:val="en-US" w:eastAsia="zh-CN" w:bidi="ar-SA"/>
        </w:rPr>
      </w:pPr>
      <w:bookmarkStart w:id="80" w:name="_Toc30695"/>
      <w:bookmarkStart w:id="81" w:name="_Toc25829"/>
      <w:bookmarkStart w:id="82" w:name="_Toc48760974"/>
      <w:r>
        <w:rPr>
          <w:rFonts w:hint="eastAsia" w:ascii="宋体" w:hAnsi="宋体" w:eastAsia="宋体" w:cs="宋体"/>
          <w:color w:val="auto"/>
          <w:highlight w:val="none"/>
        </w:rPr>
        <w:t>采购需求</w:t>
      </w:r>
      <w:bookmarkEnd w:id="1"/>
      <w:bookmarkEnd w:id="2"/>
      <w:bookmarkEnd w:id="3"/>
      <w:bookmarkEnd w:id="80"/>
      <w:bookmarkEnd w:id="81"/>
      <w:bookmarkEnd w:id="82"/>
      <w:bookmarkStart w:id="83" w:name="_第五部分__"/>
      <w:bookmarkEnd w:id="83"/>
      <w:bookmarkStart w:id="84" w:name="_Toc179632789"/>
      <w:bookmarkStart w:id="85" w:name="_Toc152042554"/>
      <w:bookmarkStart w:id="86" w:name="_Toc144974834"/>
      <w:bookmarkStart w:id="87" w:name="_Toc247085855"/>
      <w:bookmarkStart w:id="88" w:name="_Toc502304490"/>
      <w:bookmarkStart w:id="89" w:name="_Toc2135"/>
      <w:bookmarkStart w:id="90" w:name="_Toc246997083"/>
      <w:bookmarkStart w:id="91" w:name="_Toc246996340"/>
      <w:bookmarkStart w:id="92" w:name="_Toc152045772"/>
    </w:p>
    <w:p w14:paraId="0D5833A6">
      <w:pPr>
        <w:keepNext w:val="0"/>
        <w:keepLines w:val="0"/>
        <w:pageBreakBefore w:val="0"/>
        <w:kinsoku/>
        <w:wordWrap/>
        <w:overflowPunct/>
        <w:topLinePunct w:val="0"/>
        <w:autoSpaceDE/>
        <w:autoSpaceDN/>
        <w:bidi w:val="0"/>
        <w:adjustRightInd/>
        <w:snapToGrid/>
        <w:spacing w:beforeAutospacing="0" w:afterAutospacing="0"/>
        <w:ind w:firstLine="3640" w:firstLineChars="1300"/>
        <w:textAlignment w:val="auto"/>
        <w:rPr>
          <w:rFonts w:hint="eastAsia" w:ascii="宋体" w:hAnsi="宋体" w:cs="宋体"/>
          <w:sz w:val="28"/>
          <w:szCs w:val="28"/>
          <w:highlight w:val="none"/>
          <w:vertAlign w:val="baseline"/>
          <w:lang w:eastAsia="zh-CN"/>
        </w:rPr>
      </w:pPr>
      <w:r>
        <w:rPr>
          <w:rFonts w:hint="eastAsia" w:ascii="宋体" w:hAnsi="宋体" w:cs="宋体"/>
          <w:sz w:val="28"/>
          <w:szCs w:val="28"/>
          <w:highlight w:val="none"/>
          <w:vertAlign w:val="baseline"/>
          <w:lang w:eastAsia="zh-CN"/>
        </w:rPr>
        <w:t>采购设备清单</w:t>
      </w:r>
    </w:p>
    <w:p w14:paraId="00C0F2EF">
      <w:pPr>
        <w:keepNext w:val="0"/>
        <w:keepLines w:val="0"/>
        <w:pageBreakBefore w:val="0"/>
        <w:kinsoku/>
        <w:wordWrap/>
        <w:overflowPunct/>
        <w:topLinePunct w:val="0"/>
        <w:autoSpaceDE/>
        <w:autoSpaceDN/>
        <w:bidi w:val="0"/>
        <w:adjustRightInd/>
        <w:snapToGrid/>
        <w:spacing w:beforeAutospacing="0" w:afterAutospacing="0"/>
        <w:ind w:firstLine="3640" w:firstLineChars="1300"/>
        <w:textAlignment w:val="auto"/>
        <w:rPr>
          <w:rFonts w:hint="eastAsia" w:ascii="宋体" w:hAnsi="宋体" w:cs="宋体"/>
          <w:sz w:val="28"/>
          <w:szCs w:val="28"/>
          <w:highlight w:val="green"/>
          <w:vertAlign w:val="baseline"/>
          <w:lang w:val="en-US" w:eastAsia="zh-CN"/>
        </w:rPr>
      </w:pPr>
    </w:p>
    <w:tbl>
      <w:tblPr>
        <w:tblStyle w:val="73"/>
        <w:tblW w:w="9357" w:type="dxa"/>
        <w:tblInd w:w="-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4359"/>
        <w:gridCol w:w="1054"/>
        <w:gridCol w:w="1514"/>
        <w:gridCol w:w="1651"/>
      </w:tblGrid>
      <w:tr w14:paraId="4DED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9" w:type="dxa"/>
            <w:noWrap w:val="0"/>
            <w:vAlign w:val="center"/>
          </w:tcPr>
          <w:p w14:paraId="710A366C">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序号</w:t>
            </w:r>
          </w:p>
        </w:tc>
        <w:tc>
          <w:tcPr>
            <w:tcW w:w="4359" w:type="dxa"/>
            <w:noWrap w:val="0"/>
            <w:vAlign w:val="center"/>
          </w:tcPr>
          <w:p w14:paraId="4C0883B5">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设备名称</w:t>
            </w:r>
          </w:p>
        </w:tc>
        <w:tc>
          <w:tcPr>
            <w:tcW w:w="1054" w:type="dxa"/>
            <w:noWrap w:val="0"/>
            <w:vAlign w:val="center"/>
          </w:tcPr>
          <w:p w14:paraId="23E2611B">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数量</w:t>
            </w:r>
          </w:p>
        </w:tc>
        <w:tc>
          <w:tcPr>
            <w:tcW w:w="1514" w:type="dxa"/>
            <w:noWrap w:val="0"/>
            <w:vAlign w:val="center"/>
          </w:tcPr>
          <w:p w14:paraId="55447192">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预算单价</w:t>
            </w:r>
          </w:p>
          <w:p w14:paraId="5D39992C">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(万元)</w:t>
            </w:r>
          </w:p>
        </w:tc>
        <w:tc>
          <w:tcPr>
            <w:tcW w:w="1651" w:type="dxa"/>
            <w:noWrap w:val="0"/>
            <w:vAlign w:val="center"/>
          </w:tcPr>
          <w:p w14:paraId="0C194BC9">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预算总价</w:t>
            </w:r>
          </w:p>
          <w:p w14:paraId="73183036">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(万元)</w:t>
            </w:r>
          </w:p>
        </w:tc>
      </w:tr>
      <w:tr w14:paraId="7D3D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9" w:type="dxa"/>
            <w:noWrap w:val="0"/>
            <w:vAlign w:val="center"/>
          </w:tcPr>
          <w:p w14:paraId="03801746">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4359" w:type="dxa"/>
            <w:noWrap w:val="0"/>
            <w:vAlign w:val="center"/>
          </w:tcPr>
          <w:p w14:paraId="7C51D80A">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红光治疗仪（肛肠科）</w:t>
            </w:r>
          </w:p>
        </w:tc>
        <w:tc>
          <w:tcPr>
            <w:tcW w:w="1054" w:type="dxa"/>
            <w:noWrap w:val="0"/>
            <w:vAlign w:val="center"/>
          </w:tcPr>
          <w:p w14:paraId="6F10CC4C">
            <w:pPr>
              <w:keepNext w:val="0"/>
              <w:keepLines w:val="0"/>
              <w:pageBreakBefore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p>
        </w:tc>
        <w:tc>
          <w:tcPr>
            <w:tcW w:w="1514" w:type="dxa"/>
            <w:noWrap w:val="0"/>
            <w:vAlign w:val="center"/>
          </w:tcPr>
          <w:p w14:paraId="67B3DBE1">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2.50</w:t>
            </w:r>
          </w:p>
        </w:tc>
        <w:tc>
          <w:tcPr>
            <w:tcW w:w="1651" w:type="dxa"/>
            <w:noWrap w:val="0"/>
            <w:vAlign w:val="center"/>
          </w:tcPr>
          <w:p w14:paraId="614AABA9">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5.00</w:t>
            </w:r>
          </w:p>
        </w:tc>
      </w:tr>
      <w:tr w14:paraId="71C5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79" w:type="dxa"/>
            <w:noWrap w:val="0"/>
            <w:vAlign w:val="center"/>
          </w:tcPr>
          <w:p w14:paraId="2CAADB1F">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p>
        </w:tc>
        <w:tc>
          <w:tcPr>
            <w:tcW w:w="4359" w:type="dxa"/>
            <w:noWrap w:val="0"/>
            <w:vAlign w:val="center"/>
          </w:tcPr>
          <w:p w14:paraId="60A0677E">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氦氖激光治疗仪</w:t>
            </w:r>
          </w:p>
        </w:tc>
        <w:tc>
          <w:tcPr>
            <w:tcW w:w="1054" w:type="dxa"/>
            <w:noWrap w:val="0"/>
            <w:vAlign w:val="center"/>
          </w:tcPr>
          <w:p w14:paraId="1A40EB04">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1A8DA62F">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8.00</w:t>
            </w:r>
          </w:p>
        </w:tc>
        <w:tc>
          <w:tcPr>
            <w:tcW w:w="1651" w:type="dxa"/>
            <w:noWrap w:val="0"/>
            <w:vAlign w:val="center"/>
          </w:tcPr>
          <w:p w14:paraId="4F15CD00">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8.00</w:t>
            </w:r>
          </w:p>
        </w:tc>
      </w:tr>
      <w:tr w14:paraId="05B8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9" w:type="dxa"/>
            <w:noWrap w:val="0"/>
            <w:vAlign w:val="center"/>
          </w:tcPr>
          <w:p w14:paraId="51F20B99">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w:t>
            </w:r>
          </w:p>
        </w:tc>
        <w:tc>
          <w:tcPr>
            <w:tcW w:w="4359" w:type="dxa"/>
            <w:noWrap w:val="0"/>
            <w:vAlign w:val="center"/>
          </w:tcPr>
          <w:p w14:paraId="47C06B41">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肌电生物反馈训练系统（肛肠科）</w:t>
            </w:r>
          </w:p>
        </w:tc>
        <w:tc>
          <w:tcPr>
            <w:tcW w:w="1054" w:type="dxa"/>
            <w:noWrap w:val="0"/>
            <w:vAlign w:val="center"/>
          </w:tcPr>
          <w:p w14:paraId="37F451CD">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26EF817F">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17.00</w:t>
            </w:r>
          </w:p>
        </w:tc>
        <w:tc>
          <w:tcPr>
            <w:tcW w:w="1651" w:type="dxa"/>
            <w:noWrap w:val="0"/>
            <w:vAlign w:val="center"/>
          </w:tcPr>
          <w:p w14:paraId="6E370B36">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17.00</w:t>
            </w:r>
          </w:p>
        </w:tc>
      </w:tr>
      <w:tr w14:paraId="2FD4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9" w:type="dxa"/>
            <w:noWrap w:val="0"/>
            <w:vAlign w:val="center"/>
          </w:tcPr>
          <w:p w14:paraId="2D8D6622">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w:t>
            </w:r>
          </w:p>
        </w:tc>
        <w:tc>
          <w:tcPr>
            <w:tcW w:w="4359" w:type="dxa"/>
            <w:noWrap w:val="0"/>
            <w:vAlign w:val="center"/>
          </w:tcPr>
          <w:p w14:paraId="3A7B5B6D">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医疗智能泥疗制造机（老年病科）</w:t>
            </w:r>
          </w:p>
        </w:tc>
        <w:tc>
          <w:tcPr>
            <w:tcW w:w="1054" w:type="dxa"/>
            <w:noWrap w:val="0"/>
            <w:vAlign w:val="center"/>
          </w:tcPr>
          <w:p w14:paraId="7A8AC255">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743E8C35">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24.00</w:t>
            </w:r>
          </w:p>
        </w:tc>
        <w:tc>
          <w:tcPr>
            <w:tcW w:w="1651" w:type="dxa"/>
            <w:noWrap w:val="0"/>
            <w:vAlign w:val="center"/>
          </w:tcPr>
          <w:p w14:paraId="5C1C20A6">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24.00</w:t>
            </w:r>
          </w:p>
        </w:tc>
      </w:tr>
      <w:tr w14:paraId="56A9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79" w:type="dxa"/>
            <w:noWrap w:val="0"/>
            <w:vAlign w:val="center"/>
          </w:tcPr>
          <w:p w14:paraId="6515033C">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w:t>
            </w:r>
          </w:p>
        </w:tc>
        <w:tc>
          <w:tcPr>
            <w:tcW w:w="4359" w:type="dxa"/>
            <w:noWrap w:val="0"/>
            <w:vAlign w:val="center"/>
          </w:tcPr>
          <w:p w14:paraId="01D8A40B">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中药熏蒸机</w:t>
            </w:r>
          </w:p>
        </w:tc>
        <w:tc>
          <w:tcPr>
            <w:tcW w:w="1054" w:type="dxa"/>
            <w:noWrap w:val="0"/>
            <w:vAlign w:val="center"/>
          </w:tcPr>
          <w:p w14:paraId="604084EB">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p>
        </w:tc>
        <w:tc>
          <w:tcPr>
            <w:tcW w:w="1514" w:type="dxa"/>
            <w:noWrap w:val="0"/>
            <w:vAlign w:val="center"/>
          </w:tcPr>
          <w:p w14:paraId="258BE855">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2.50</w:t>
            </w:r>
          </w:p>
        </w:tc>
        <w:tc>
          <w:tcPr>
            <w:tcW w:w="1651" w:type="dxa"/>
            <w:noWrap w:val="0"/>
            <w:vAlign w:val="center"/>
          </w:tcPr>
          <w:p w14:paraId="6DCD1AD1">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5.00</w:t>
            </w:r>
          </w:p>
        </w:tc>
      </w:tr>
      <w:tr w14:paraId="08C4B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9" w:type="dxa"/>
            <w:noWrap w:val="0"/>
            <w:vAlign w:val="center"/>
          </w:tcPr>
          <w:p w14:paraId="5B840B23">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6</w:t>
            </w:r>
          </w:p>
        </w:tc>
        <w:tc>
          <w:tcPr>
            <w:tcW w:w="4359" w:type="dxa"/>
            <w:noWrap w:val="0"/>
            <w:vAlign w:val="center"/>
          </w:tcPr>
          <w:p w14:paraId="5FFFD40E">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sz w:val="28"/>
                <w:szCs w:val="28"/>
                <w:highlight w:val="none"/>
              </w:rPr>
              <w:t>医疗智能泥疗制造机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康复科</w:t>
            </w:r>
            <w:r>
              <w:rPr>
                <w:rFonts w:hint="eastAsia" w:ascii="宋体" w:hAnsi="宋体" w:eastAsia="宋体" w:cs="宋体"/>
                <w:sz w:val="28"/>
                <w:szCs w:val="28"/>
                <w:highlight w:val="none"/>
                <w:lang w:eastAsia="zh-CN"/>
              </w:rPr>
              <w:t>）</w:t>
            </w:r>
          </w:p>
        </w:tc>
        <w:tc>
          <w:tcPr>
            <w:tcW w:w="1054" w:type="dxa"/>
            <w:noWrap w:val="0"/>
            <w:vAlign w:val="center"/>
          </w:tcPr>
          <w:p w14:paraId="2DB6531E">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7B063419">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24.00</w:t>
            </w:r>
          </w:p>
        </w:tc>
        <w:tc>
          <w:tcPr>
            <w:tcW w:w="1651" w:type="dxa"/>
            <w:noWrap w:val="0"/>
            <w:vAlign w:val="center"/>
          </w:tcPr>
          <w:p w14:paraId="43254F4E">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24.00</w:t>
            </w:r>
          </w:p>
        </w:tc>
      </w:tr>
      <w:tr w14:paraId="3D04D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9" w:type="dxa"/>
            <w:noWrap w:val="0"/>
            <w:vAlign w:val="center"/>
          </w:tcPr>
          <w:p w14:paraId="2BA1B5BB">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7</w:t>
            </w:r>
          </w:p>
        </w:tc>
        <w:tc>
          <w:tcPr>
            <w:tcW w:w="4359" w:type="dxa"/>
            <w:noWrap w:val="0"/>
            <w:vAlign w:val="center"/>
          </w:tcPr>
          <w:p w14:paraId="2A9C9FE1">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肌电生物反馈训练系统（妇科）</w:t>
            </w:r>
          </w:p>
        </w:tc>
        <w:tc>
          <w:tcPr>
            <w:tcW w:w="1054" w:type="dxa"/>
            <w:noWrap w:val="0"/>
            <w:vAlign w:val="center"/>
          </w:tcPr>
          <w:p w14:paraId="64F29298">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552A7422">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17.00</w:t>
            </w:r>
          </w:p>
        </w:tc>
        <w:tc>
          <w:tcPr>
            <w:tcW w:w="1651" w:type="dxa"/>
            <w:noWrap w:val="0"/>
            <w:vAlign w:val="center"/>
          </w:tcPr>
          <w:p w14:paraId="1CDF17D5">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17.00</w:t>
            </w:r>
          </w:p>
        </w:tc>
      </w:tr>
      <w:tr w14:paraId="5A6CE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79" w:type="dxa"/>
            <w:noWrap w:val="0"/>
            <w:vAlign w:val="center"/>
          </w:tcPr>
          <w:p w14:paraId="0841FEE4">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8</w:t>
            </w:r>
          </w:p>
        </w:tc>
        <w:tc>
          <w:tcPr>
            <w:tcW w:w="4359" w:type="dxa"/>
            <w:noWrap w:val="0"/>
            <w:vAlign w:val="center"/>
          </w:tcPr>
          <w:p w14:paraId="32D13BEE">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红外光灸疗机</w:t>
            </w:r>
          </w:p>
        </w:tc>
        <w:tc>
          <w:tcPr>
            <w:tcW w:w="1054" w:type="dxa"/>
            <w:noWrap w:val="0"/>
            <w:vAlign w:val="center"/>
          </w:tcPr>
          <w:p w14:paraId="34385EDD">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423463A0">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17.00</w:t>
            </w:r>
          </w:p>
        </w:tc>
        <w:tc>
          <w:tcPr>
            <w:tcW w:w="1651" w:type="dxa"/>
            <w:noWrap w:val="0"/>
            <w:vAlign w:val="center"/>
          </w:tcPr>
          <w:p w14:paraId="392B53F8">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17.00</w:t>
            </w:r>
          </w:p>
        </w:tc>
      </w:tr>
      <w:tr w14:paraId="101B7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79" w:type="dxa"/>
            <w:noWrap w:val="0"/>
            <w:vAlign w:val="center"/>
          </w:tcPr>
          <w:p w14:paraId="087A59F6">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9</w:t>
            </w:r>
          </w:p>
        </w:tc>
        <w:tc>
          <w:tcPr>
            <w:tcW w:w="4359" w:type="dxa"/>
            <w:noWrap w:val="0"/>
            <w:vAlign w:val="center"/>
          </w:tcPr>
          <w:p w14:paraId="39B1D579">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短波治疗仪</w:t>
            </w:r>
          </w:p>
        </w:tc>
        <w:tc>
          <w:tcPr>
            <w:tcW w:w="1054" w:type="dxa"/>
            <w:noWrap w:val="0"/>
            <w:vAlign w:val="center"/>
          </w:tcPr>
          <w:p w14:paraId="4EE56EFD">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514" w:type="dxa"/>
            <w:noWrap w:val="0"/>
            <w:vAlign w:val="center"/>
          </w:tcPr>
          <w:p w14:paraId="3CAA7D34">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10.00</w:t>
            </w:r>
          </w:p>
        </w:tc>
        <w:tc>
          <w:tcPr>
            <w:tcW w:w="1651" w:type="dxa"/>
            <w:noWrap w:val="0"/>
            <w:vAlign w:val="center"/>
          </w:tcPr>
          <w:p w14:paraId="00211854">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10.00</w:t>
            </w:r>
          </w:p>
        </w:tc>
      </w:tr>
      <w:tr w14:paraId="7F9F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779" w:type="dxa"/>
            <w:noWrap w:val="0"/>
            <w:vAlign w:val="center"/>
          </w:tcPr>
          <w:p w14:paraId="44035C5F">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10</w:t>
            </w:r>
          </w:p>
        </w:tc>
        <w:tc>
          <w:tcPr>
            <w:tcW w:w="4359" w:type="dxa"/>
            <w:noWrap w:val="0"/>
            <w:vAlign w:val="center"/>
          </w:tcPr>
          <w:p w14:paraId="5E46A512">
            <w:pPr>
              <w:keepNext w:val="0"/>
              <w:keepLines w:val="0"/>
              <w:pageBreakBefore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红光治疗仪（妇科）</w:t>
            </w:r>
          </w:p>
        </w:tc>
        <w:tc>
          <w:tcPr>
            <w:tcW w:w="1054" w:type="dxa"/>
            <w:noWrap w:val="0"/>
            <w:vAlign w:val="center"/>
          </w:tcPr>
          <w:p w14:paraId="38C5EAD8">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p>
        </w:tc>
        <w:tc>
          <w:tcPr>
            <w:tcW w:w="1514" w:type="dxa"/>
            <w:noWrap w:val="0"/>
            <w:vAlign w:val="center"/>
          </w:tcPr>
          <w:p w14:paraId="55909E40">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2.50</w:t>
            </w:r>
          </w:p>
        </w:tc>
        <w:tc>
          <w:tcPr>
            <w:tcW w:w="1651" w:type="dxa"/>
            <w:noWrap w:val="0"/>
            <w:vAlign w:val="center"/>
          </w:tcPr>
          <w:p w14:paraId="25CD3EAA">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5.00</w:t>
            </w:r>
          </w:p>
        </w:tc>
      </w:tr>
      <w:tr w14:paraId="349F3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7706" w:type="dxa"/>
            <w:gridSpan w:val="4"/>
            <w:noWrap w:val="0"/>
            <w:vAlign w:val="center"/>
          </w:tcPr>
          <w:p w14:paraId="32FFA30C">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合计</w:t>
            </w:r>
          </w:p>
        </w:tc>
        <w:tc>
          <w:tcPr>
            <w:tcW w:w="1651" w:type="dxa"/>
            <w:noWrap w:val="0"/>
            <w:vAlign w:val="center"/>
          </w:tcPr>
          <w:p w14:paraId="14DFDBF7">
            <w:pPr>
              <w:keepNext w:val="0"/>
              <w:keepLines w:val="0"/>
              <w:pageBreakBefore w:val="0"/>
              <w:kinsoku/>
              <w:wordWrap/>
              <w:overflowPunct/>
              <w:topLinePunct w:val="0"/>
              <w:autoSpaceDE/>
              <w:autoSpaceDN/>
              <w:bidi w:val="0"/>
              <w:adjustRightInd/>
              <w:snapToGrid/>
              <w:spacing w:beforeAutospacing="0" w:afterAutospacing="0"/>
              <w:ind w:firstLine="280" w:firstLineChars="10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132.00</w:t>
            </w:r>
          </w:p>
        </w:tc>
      </w:tr>
    </w:tbl>
    <w:p w14:paraId="2A6E47D2">
      <w:pPr>
        <w:jc w:val="both"/>
        <w:rPr>
          <w:rFonts w:hint="eastAsia" w:ascii="宋体" w:hAnsi="宋体" w:eastAsia="宋体" w:cs="宋体"/>
          <w:highlight w:val="none"/>
        </w:rPr>
      </w:pPr>
      <w:r>
        <w:rPr>
          <w:rFonts w:hint="eastAsia" w:ascii="宋体" w:hAnsi="宋体" w:eastAsia="宋体" w:cs="宋体"/>
          <w:highlight w:val="none"/>
        </w:rPr>
        <w:br w:type="page"/>
      </w:r>
    </w:p>
    <w:p w14:paraId="54839A60">
      <w:pPr>
        <w:ind w:firstLine="3360" w:firstLineChars="1200"/>
        <w:jc w:val="both"/>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设备功能及参数</w:t>
      </w:r>
    </w:p>
    <w:p w14:paraId="47A4263A">
      <w:pPr>
        <w:jc w:val="both"/>
        <w:rPr>
          <w:rFonts w:hint="eastAsia" w:ascii="宋体" w:hAnsi="宋体" w:eastAsia="宋体" w:cs="宋体"/>
          <w:highlight w:val="none"/>
        </w:rPr>
      </w:pPr>
    </w:p>
    <w:tbl>
      <w:tblPr>
        <w:tblStyle w:val="68"/>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103"/>
        <w:gridCol w:w="6617"/>
      </w:tblGrid>
      <w:tr w14:paraId="2E6A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922" w:type="dxa"/>
            <w:gridSpan w:val="2"/>
            <w:noWrap w:val="0"/>
            <w:vAlign w:val="center"/>
          </w:tcPr>
          <w:p w14:paraId="5BBEE0A7">
            <w:pPr>
              <w:keepNext w:val="0"/>
              <w:keepLines w:val="0"/>
              <w:pageBreakBefore w:val="0"/>
              <w:widowControl w:val="0"/>
              <w:kinsoku/>
              <w:wordWrap/>
              <w:overflowPunct/>
              <w:topLinePunct w:val="0"/>
              <w:autoSpaceDE/>
              <w:autoSpaceDN/>
              <w:bidi w:val="0"/>
              <w:adjustRightInd/>
              <w:spacing w:line="360" w:lineRule="auto"/>
              <w:ind w:firstLine="280" w:firstLineChars="10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617" w:type="dxa"/>
            <w:noWrap w:val="0"/>
            <w:vAlign w:val="center"/>
          </w:tcPr>
          <w:p w14:paraId="7E3AAB4C">
            <w:pPr>
              <w:keepNext w:val="0"/>
              <w:keepLines w:val="0"/>
              <w:pageBreakBefore w:val="0"/>
              <w:widowControl w:val="0"/>
              <w:kinsoku/>
              <w:wordWrap/>
              <w:overflowPunct/>
              <w:topLinePunct w:val="0"/>
              <w:autoSpaceDE/>
              <w:autoSpaceDN/>
              <w:bidi w:val="0"/>
              <w:adjustRightInd/>
              <w:spacing w:line="360" w:lineRule="auto"/>
              <w:ind w:firstLine="1680" w:firstLineChars="6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红光治疗仪（肛肠科）</w:t>
            </w:r>
          </w:p>
        </w:tc>
      </w:tr>
      <w:tr w14:paraId="4FA7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922" w:type="dxa"/>
            <w:gridSpan w:val="2"/>
            <w:noWrap w:val="0"/>
            <w:vAlign w:val="center"/>
          </w:tcPr>
          <w:p w14:paraId="76C20A7F">
            <w:pPr>
              <w:keepNext w:val="0"/>
              <w:keepLines w:val="0"/>
              <w:pageBreakBefore w:val="0"/>
              <w:widowControl w:val="0"/>
              <w:kinsoku/>
              <w:wordWrap/>
              <w:overflowPunct/>
              <w:topLinePunct w:val="0"/>
              <w:autoSpaceDE/>
              <w:autoSpaceDN/>
              <w:bidi w:val="0"/>
              <w:adjustRightInd/>
              <w:spacing w:line="360" w:lineRule="auto"/>
              <w:ind w:firstLine="280" w:firstLineChars="10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617" w:type="dxa"/>
            <w:noWrap w:val="0"/>
            <w:vAlign w:val="center"/>
          </w:tcPr>
          <w:p w14:paraId="30C3F3BC">
            <w:pPr>
              <w:keepNext w:val="0"/>
              <w:keepLines w:val="0"/>
              <w:pageBreakBefore w:val="0"/>
              <w:widowControl w:val="0"/>
              <w:kinsoku/>
              <w:wordWrap/>
              <w:overflowPunct/>
              <w:topLinePunct w:val="0"/>
              <w:autoSpaceDE/>
              <w:autoSpaceDN/>
              <w:bidi w:val="0"/>
              <w:adjustRightInd/>
              <w:spacing w:line="360" w:lineRule="auto"/>
              <w:ind w:firstLine="2240" w:firstLineChars="8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肛肠科</w:t>
            </w:r>
          </w:p>
        </w:tc>
      </w:tr>
      <w:tr w14:paraId="01E1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2" w:hRule="atLeast"/>
        </w:trPr>
        <w:tc>
          <w:tcPr>
            <w:tcW w:w="819" w:type="dxa"/>
            <w:noWrap w:val="0"/>
            <w:vAlign w:val="top"/>
          </w:tcPr>
          <w:p w14:paraId="29C741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p>
          <w:p w14:paraId="60EC5E89">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718C3B1C">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65B9CE6E">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6EEA40C4">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7F587297">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7B18D8A2">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4C5EEE12">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075559EF">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720" w:type="dxa"/>
            <w:gridSpan w:val="2"/>
            <w:noWrap w:val="0"/>
            <w:vAlign w:val="top"/>
          </w:tcPr>
          <w:p w14:paraId="116BAA44">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w:t>
            </w:r>
            <w:r>
              <w:rPr>
                <w:rFonts w:hint="eastAsia" w:ascii="宋体" w:hAnsi="宋体" w:eastAsia="宋体" w:cs="宋体"/>
                <w:sz w:val="28"/>
                <w:szCs w:val="28"/>
                <w:highlight w:val="none"/>
              </w:rPr>
              <w:t>适用于消炎、镇痛，对体表创面有止渗液、促进肉芽组织生长、加速愈合的作用</w:t>
            </w:r>
          </w:p>
          <w:p w14:paraId="20BE7E9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14B773BE">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1.光源材料：半导体固态光源（点阵芯片集成式）</w:t>
            </w:r>
          </w:p>
          <w:p w14:paraId="5947A927">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lang w:val="en-US" w:eastAsia="zh-CN"/>
              </w:rPr>
              <w:t>峰值波长   640nm±10nm</w:t>
            </w:r>
          </w:p>
          <w:p w14:paraId="51EF22F2">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3.</w:t>
            </w:r>
            <w:r>
              <w:rPr>
                <w:rFonts w:hint="eastAsia" w:ascii="宋体" w:hAnsi="宋体" w:eastAsia="宋体" w:cs="宋体"/>
                <w:sz w:val="28"/>
                <w:szCs w:val="28"/>
                <w:highlight w:val="none"/>
                <w:lang w:val="en-US" w:eastAsia="zh-CN"/>
              </w:rPr>
              <w:t>光功率密度（光源表面测量）≥1200mW/</w:t>
            </w:r>
            <w:r>
              <w:rPr>
                <w:rFonts w:hint="eastAsia" w:ascii="宋体" w:hAnsi="宋体" w:eastAsia="宋体" w:cs="宋体"/>
                <w:sz w:val="28"/>
                <w:szCs w:val="28"/>
                <w:highlight w:val="none"/>
                <w:vertAlign w:val="baseline"/>
                <w:lang w:val="en-US" w:eastAsia="zh-CN"/>
              </w:rPr>
              <w:t>cm²</w:t>
            </w:r>
          </w:p>
          <w:p w14:paraId="49475C35">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w:t>
            </w:r>
            <w:r>
              <w:rPr>
                <w:rFonts w:hint="eastAsia" w:ascii="宋体" w:hAnsi="宋体" w:eastAsia="宋体" w:cs="宋体"/>
                <w:sz w:val="28"/>
                <w:szCs w:val="28"/>
                <w:highlight w:val="none"/>
                <w:lang w:val="en-US" w:eastAsia="zh-CN"/>
              </w:rPr>
              <w:t>最大治疗面积   ≥150</w:t>
            </w:r>
            <w:r>
              <w:rPr>
                <w:rFonts w:hint="eastAsia" w:ascii="宋体" w:hAnsi="宋体" w:eastAsia="宋体" w:cs="宋体"/>
                <w:sz w:val="28"/>
                <w:szCs w:val="28"/>
                <w:highlight w:val="none"/>
                <w:vertAlign w:val="baseline"/>
                <w:lang w:val="en-US" w:eastAsia="zh-CN"/>
              </w:rPr>
              <w:t>cm²</w:t>
            </w:r>
          </w:p>
          <w:p w14:paraId="4ACBEF8E">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w:t>
            </w:r>
            <w:r>
              <w:rPr>
                <w:rFonts w:hint="eastAsia" w:ascii="宋体" w:hAnsi="宋体" w:eastAsia="宋体" w:cs="宋体"/>
                <w:sz w:val="28"/>
                <w:szCs w:val="28"/>
                <w:highlight w:val="none"/>
                <w:lang w:val="en-US" w:eastAsia="zh-CN"/>
              </w:rPr>
              <w:t>光杯口平面面积   ≥52</w:t>
            </w:r>
            <w:r>
              <w:rPr>
                <w:rFonts w:hint="eastAsia" w:ascii="宋体" w:hAnsi="宋体" w:eastAsia="宋体" w:cs="宋体"/>
                <w:sz w:val="28"/>
                <w:szCs w:val="28"/>
                <w:highlight w:val="none"/>
                <w:vertAlign w:val="baseline"/>
                <w:lang w:val="en-US" w:eastAsia="zh-CN"/>
              </w:rPr>
              <w:t>cm²</w:t>
            </w:r>
          </w:p>
          <w:p w14:paraId="715AD10A">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w:t>
            </w:r>
            <w:r>
              <w:rPr>
                <w:rFonts w:hint="eastAsia" w:ascii="宋体" w:hAnsi="宋体" w:eastAsia="宋体" w:cs="宋体"/>
                <w:sz w:val="28"/>
                <w:szCs w:val="28"/>
                <w:highlight w:val="none"/>
                <w:lang w:val="en-US" w:eastAsia="zh-CN"/>
              </w:rPr>
              <w:t>最大治疗深度   治疗仪最大治疗深度≥10cm</w:t>
            </w:r>
          </w:p>
          <w:p w14:paraId="0E414DDD">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7.</w:t>
            </w:r>
            <w:r>
              <w:rPr>
                <w:rFonts w:hint="eastAsia" w:ascii="宋体" w:hAnsi="宋体" w:eastAsia="宋体" w:cs="宋体"/>
                <w:sz w:val="28"/>
                <w:szCs w:val="28"/>
                <w:highlight w:val="none"/>
                <w:lang w:val="en-US" w:eastAsia="zh-CN"/>
              </w:rPr>
              <w:t>输出光功率（光杯口平面测量）≥8W</w:t>
            </w:r>
          </w:p>
          <w:p w14:paraId="41A07E8C">
            <w:pPr>
              <w:keepNext w:val="0"/>
              <w:keepLines w:val="0"/>
              <w:pageBreakBefore w:val="0"/>
              <w:widowControl w:val="0"/>
              <w:numPr>
                <w:ilvl w:val="0"/>
                <w:numId w:val="0"/>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8.光功率稳定度 ：距出光口10cm处≤10%</w:t>
            </w:r>
          </w:p>
        </w:tc>
      </w:tr>
      <w:tr w14:paraId="204A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819" w:type="dxa"/>
            <w:noWrap w:val="0"/>
            <w:vAlign w:val="top"/>
          </w:tcPr>
          <w:p w14:paraId="7B54D95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p>
          <w:p w14:paraId="546B81F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5E342F3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720" w:type="dxa"/>
            <w:gridSpan w:val="2"/>
            <w:noWrap w:val="0"/>
            <w:vAlign w:val="top"/>
          </w:tcPr>
          <w:p w14:paraId="63CF551B">
            <w:pPr>
              <w:keepNext w:val="0"/>
              <w:keepLines w:val="0"/>
              <w:pageBreakBefore w:val="0"/>
              <w:widowControl w:val="0"/>
              <w:numPr>
                <w:ilvl w:val="0"/>
                <w:numId w:val="6"/>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照射治疗模式：持续照射治疗</w:t>
            </w:r>
          </w:p>
          <w:p w14:paraId="4506D74A">
            <w:pPr>
              <w:keepNext w:val="0"/>
              <w:keepLines w:val="0"/>
              <w:pageBreakBefore w:val="0"/>
              <w:widowControl w:val="0"/>
              <w:numPr>
                <w:ilvl w:val="0"/>
                <w:numId w:val="0"/>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2.定时时间：可从0min～90min连续可调</w:t>
            </w:r>
          </w:p>
          <w:p w14:paraId="18EE74CB">
            <w:pPr>
              <w:keepNext w:val="0"/>
              <w:keepLines w:val="0"/>
              <w:pageBreakBefore w:val="0"/>
              <w:widowControl w:val="0"/>
              <w:numPr>
                <w:ilvl w:val="0"/>
                <w:numId w:val="0"/>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3.附带防护罩及防护眼镜</w:t>
            </w:r>
          </w:p>
          <w:p w14:paraId="34FDEDA0">
            <w:pPr>
              <w:keepNext w:val="0"/>
              <w:keepLines w:val="0"/>
              <w:pageBreakBefore w:val="0"/>
              <w:widowControl w:val="0"/>
              <w:numPr>
                <w:ilvl w:val="0"/>
                <w:numId w:val="0"/>
              </w:numPr>
              <w:kinsoku/>
              <w:wordWrap/>
              <w:overflowPunct/>
              <w:topLinePunct w:val="0"/>
              <w:autoSpaceDE/>
              <w:autoSpaceDN/>
              <w:bidi w:val="0"/>
              <w:adjustRightInd/>
              <w:spacing w:line="360" w:lineRule="auto"/>
              <w:ind w:firstLineChars="0"/>
              <w:textAlignment w:val="auto"/>
              <w:rPr>
                <w:rFonts w:hint="default" w:ascii="宋体" w:hAnsi="宋体" w:eastAsia="宋体" w:cs="宋体"/>
                <w:sz w:val="28"/>
                <w:szCs w:val="28"/>
                <w:highlight w:val="none"/>
                <w:lang w:val="en-US" w:eastAsia="zh-CN"/>
              </w:rPr>
            </w:pPr>
          </w:p>
        </w:tc>
      </w:tr>
    </w:tbl>
    <w:p w14:paraId="5D08365A">
      <w:pPr>
        <w:rPr>
          <w:rFonts w:hint="eastAsia" w:ascii="宋体" w:hAnsi="宋体" w:eastAsia="宋体" w:cs="宋体"/>
          <w:spacing w:val="20"/>
          <w:sz w:val="36"/>
          <w:szCs w:val="36"/>
          <w:highlight w:val="none"/>
          <w:lang w:eastAsia="zh-CN"/>
        </w:rPr>
      </w:pPr>
    </w:p>
    <w:tbl>
      <w:tblPr>
        <w:tblStyle w:val="68"/>
        <w:tblpPr w:leftFromText="180" w:rightFromText="180" w:vertAnchor="text" w:horzAnchor="page" w:tblpX="1965"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3"/>
        <w:gridCol w:w="6195"/>
      </w:tblGrid>
      <w:tr w14:paraId="55D7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064" w:type="dxa"/>
            <w:gridSpan w:val="2"/>
            <w:noWrap w:val="0"/>
            <w:vAlign w:val="center"/>
          </w:tcPr>
          <w:p w14:paraId="319118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195" w:type="dxa"/>
            <w:noWrap w:val="0"/>
            <w:vAlign w:val="center"/>
          </w:tcPr>
          <w:p w14:paraId="47AC8F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氦氖激光治疗仪</w:t>
            </w:r>
          </w:p>
        </w:tc>
      </w:tr>
      <w:tr w14:paraId="62F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064" w:type="dxa"/>
            <w:gridSpan w:val="2"/>
            <w:noWrap w:val="0"/>
            <w:vAlign w:val="center"/>
          </w:tcPr>
          <w:p w14:paraId="25508E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195" w:type="dxa"/>
            <w:noWrap w:val="0"/>
            <w:vAlign w:val="center"/>
          </w:tcPr>
          <w:p w14:paraId="2B715BC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肛肠科</w:t>
            </w:r>
          </w:p>
        </w:tc>
      </w:tr>
      <w:tr w14:paraId="2F27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5" w:hRule="atLeast"/>
        </w:trPr>
        <w:tc>
          <w:tcPr>
            <w:tcW w:w="1031" w:type="dxa"/>
            <w:noWrap w:val="0"/>
            <w:vAlign w:val="top"/>
          </w:tcPr>
          <w:p w14:paraId="12E4FD4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p>
          <w:p w14:paraId="4943BE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p>
          <w:p w14:paraId="2C56835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5E21E98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102B6DB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6A78BDF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2DE9FD9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42093DD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6F82A4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228" w:type="dxa"/>
            <w:gridSpan w:val="2"/>
            <w:noWrap w:val="0"/>
            <w:vAlign w:val="top"/>
          </w:tcPr>
          <w:p w14:paraId="29205C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功能：可进行体表及近体表病变部位照射治疗，</w:t>
            </w:r>
            <w:r>
              <w:rPr>
                <w:rFonts w:hint="eastAsia" w:ascii="宋体" w:hAnsi="宋体" w:eastAsia="宋体" w:cs="宋体"/>
                <w:sz w:val="28"/>
                <w:szCs w:val="28"/>
                <w:highlight w:val="none"/>
                <w:vertAlign w:val="baseline"/>
                <w:lang w:val="en-US" w:eastAsia="zh-CN"/>
              </w:rPr>
              <w:t>具有</w:t>
            </w:r>
            <w:r>
              <w:rPr>
                <w:rFonts w:hint="eastAsia" w:ascii="宋体" w:hAnsi="宋体" w:eastAsia="宋体" w:cs="宋体"/>
                <w:sz w:val="28"/>
                <w:szCs w:val="28"/>
                <w:highlight w:val="none"/>
                <w:vertAlign w:val="baseline"/>
                <w:lang w:eastAsia="zh-CN"/>
              </w:rPr>
              <w:t>消炎作用，促进对炎性渗出物的吸收，消除水肿，</w:t>
            </w:r>
            <w:r>
              <w:rPr>
                <w:rFonts w:hint="eastAsia" w:ascii="宋体" w:hAnsi="宋体" w:eastAsia="宋体" w:cs="宋体"/>
                <w:sz w:val="28"/>
                <w:szCs w:val="28"/>
                <w:highlight w:val="none"/>
                <w:vertAlign w:val="baseline"/>
                <w:lang w:val="en-US" w:eastAsia="zh-CN"/>
              </w:rPr>
              <w:t>具有</w:t>
            </w:r>
            <w:r>
              <w:rPr>
                <w:rFonts w:hint="eastAsia" w:ascii="宋体" w:hAnsi="宋体" w:eastAsia="宋体" w:cs="宋体"/>
                <w:sz w:val="28"/>
                <w:szCs w:val="28"/>
                <w:highlight w:val="none"/>
                <w:vertAlign w:val="baseline"/>
                <w:lang w:eastAsia="zh-CN"/>
              </w:rPr>
              <w:t>促进组织再生</w:t>
            </w:r>
            <w:r>
              <w:rPr>
                <w:rFonts w:hint="eastAsia" w:ascii="宋体" w:hAnsi="宋体" w:eastAsia="宋体" w:cs="宋体"/>
                <w:sz w:val="28"/>
                <w:szCs w:val="28"/>
                <w:highlight w:val="none"/>
                <w:vertAlign w:val="baseline"/>
                <w:lang w:val="en-US" w:eastAsia="zh-CN"/>
              </w:rPr>
              <w:t>作用，有利于伤口愈合。具有镇痛作用。</w:t>
            </w:r>
          </w:p>
          <w:p w14:paraId="37448F7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55F661C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1.激光器类型:封离型氦氖激光器</w:t>
            </w:r>
          </w:p>
          <w:p w14:paraId="69A2E2C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2.激光输出波长：632.8nm±10nm</w:t>
            </w:r>
          </w:p>
          <w:p w14:paraId="65C4946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3.额定功率≥30MW。</w:t>
            </w:r>
          </w:p>
          <w:p w14:paraId="11FD960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4.多光纤输出，外加多层保护套，配有聚光灯罩，配套光纤：光纤芯径：0.4mm，光纤长度：≥1.5m</w:t>
            </w:r>
          </w:p>
          <w:p w14:paraId="2C7CF5C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5.激光输出功率不稳定度不超过≤±10%</w:t>
            </w:r>
          </w:p>
          <w:p w14:paraId="75C37E2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6.治疗时间范围0-90分钟，工作定时器设备治疗时间结束，切断激光输出，具有断光报警功能</w:t>
            </w:r>
          </w:p>
          <w:p w14:paraId="20C3D85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7.整机车式，具有支臂，便于病房内移动使用</w:t>
            </w:r>
          </w:p>
          <w:p w14:paraId="5C0C910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8.预期使用寿命:≥7年</w:t>
            </w:r>
          </w:p>
        </w:tc>
      </w:tr>
      <w:tr w14:paraId="59AC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031" w:type="dxa"/>
            <w:noWrap w:val="0"/>
            <w:vAlign w:val="top"/>
          </w:tcPr>
          <w:p w14:paraId="52CFA62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7A07653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228" w:type="dxa"/>
            <w:gridSpan w:val="2"/>
            <w:noWrap w:val="0"/>
            <w:vAlign w:val="top"/>
          </w:tcPr>
          <w:p w14:paraId="62103E0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附件标配：</w:t>
            </w:r>
          </w:p>
          <w:p w14:paraId="630E5DD1">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激光防护眼镜一套</w:t>
            </w:r>
          </w:p>
          <w:p w14:paraId="69E263BF">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宋体" w:hAnsi="宋体" w:eastAsia="宋体" w:cs="宋体"/>
                <w:sz w:val="28"/>
                <w:szCs w:val="28"/>
                <w:highlight w:val="none"/>
                <w:vertAlign w:val="baseline"/>
                <w:lang w:val="en-US" w:eastAsia="zh-CN"/>
              </w:rPr>
            </w:pPr>
          </w:p>
        </w:tc>
      </w:tr>
    </w:tbl>
    <w:p w14:paraId="3263CE46">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pacing w:val="0"/>
          <w:w w:val="100"/>
          <w:position w:val="0"/>
          <w:sz w:val="24"/>
          <w:szCs w:val="24"/>
          <w:highlight w:val="none"/>
          <w:lang w:val="en-US" w:eastAsia="zh-CN"/>
        </w:rPr>
      </w:pPr>
    </w:p>
    <w:p w14:paraId="47F216CE">
      <w:pPr>
        <w:rPr>
          <w:rFonts w:hint="eastAsia" w:ascii="宋体" w:hAnsi="宋体" w:eastAsia="宋体" w:cs="宋体"/>
          <w:spacing w:val="20"/>
          <w:sz w:val="36"/>
          <w:szCs w:val="36"/>
          <w:highlight w:val="none"/>
          <w:lang w:eastAsia="zh-CN"/>
        </w:rPr>
      </w:pPr>
    </w:p>
    <w:p w14:paraId="528E64E5">
      <w:pPr>
        <w:rPr>
          <w:rFonts w:hint="eastAsia" w:ascii="宋体" w:hAnsi="宋体" w:eastAsia="宋体" w:cs="宋体"/>
          <w:spacing w:val="20"/>
          <w:sz w:val="36"/>
          <w:szCs w:val="36"/>
          <w:highlight w:val="none"/>
          <w:lang w:eastAsia="zh-CN"/>
        </w:rPr>
      </w:pPr>
    </w:p>
    <w:tbl>
      <w:tblPr>
        <w:tblStyle w:val="6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6392"/>
      </w:tblGrid>
      <w:tr w14:paraId="7A2E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30" w:type="dxa"/>
            <w:gridSpan w:val="2"/>
            <w:noWrap w:val="0"/>
            <w:vAlign w:val="center"/>
          </w:tcPr>
          <w:p w14:paraId="25ADD9C4">
            <w:pPr>
              <w:keepNext w:val="0"/>
              <w:keepLines w:val="0"/>
              <w:pageBreakBefore w:val="0"/>
              <w:kinsoku/>
              <w:wordWrap/>
              <w:overflowPunct/>
              <w:topLinePunct w:val="0"/>
              <w:autoSpaceDE/>
              <w:autoSpaceDN/>
              <w:bidi w:val="0"/>
              <w:adjustRightInd/>
              <w:spacing w:line="360" w:lineRule="auto"/>
              <w:ind w:firstLine="280" w:firstLineChars="10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392" w:type="dxa"/>
            <w:noWrap w:val="0"/>
            <w:vAlign w:val="center"/>
          </w:tcPr>
          <w:p w14:paraId="57C2609D">
            <w:pPr>
              <w:keepNext w:val="0"/>
              <w:keepLines w:val="0"/>
              <w:pageBreakBefore w:val="0"/>
              <w:kinsoku/>
              <w:wordWrap/>
              <w:overflowPunct/>
              <w:topLinePunct w:val="0"/>
              <w:autoSpaceDE/>
              <w:autoSpaceDN/>
              <w:bidi w:val="0"/>
              <w:adjustRightInd/>
              <w:spacing w:line="360" w:lineRule="auto"/>
              <w:ind w:firstLine="1120" w:firstLineChars="4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肌电生物反馈训练系统（肛肠科）</w:t>
            </w:r>
          </w:p>
        </w:tc>
      </w:tr>
      <w:tr w14:paraId="2D8F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30" w:type="dxa"/>
            <w:gridSpan w:val="2"/>
            <w:noWrap w:val="0"/>
            <w:vAlign w:val="center"/>
          </w:tcPr>
          <w:p w14:paraId="408E9DAF">
            <w:pPr>
              <w:keepNext w:val="0"/>
              <w:keepLines w:val="0"/>
              <w:pageBreakBefore w:val="0"/>
              <w:kinsoku/>
              <w:wordWrap/>
              <w:overflowPunct/>
              <w:topLinePunct w:val="0"/>
              <w:autoSpaceDE/>
              <w:autoSpaceDN/>
              <w:bidi w:val="0"/>
              <w:adjustRightInd/>
              <w:spacing w:line="360" w:lineRule="auto"/>
              <w:ind w:firstLine="280" w:firstLineChars="100"/>
              <w:jc w:val="both"/>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392" w:type="dxa"/>
            <w:noWrap w:val="0"/>
            <w:vAlign w:val="center"/>
          </w:tcPr>
          <w:p w14:paraId="09E685E6">
            <w:pPr>
              <w:keepNext w:val="0"/>
              <w:keepLines w:val="0"/>
              <w:pageBreakBefore w:val="0"/>
              <w:kinsoku/>
              <w:wordWrap/>
              <w:overflowPunct/>
              <w:topLinePunct w:val="0"/>
              <w:autoSpaceDE/>
              <w:autoSpaceDN/>
              <w:bidi w:val="0"/>
              <w:adjustRightInd/>
              <w:spacing w:line="360" w:lineRule="auto"/>
              <w:ind w:firstLine="2520" w:firstLineChars="9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肛肠科</w:t>
            </w:r>
          </w:p>
        </w:tc>
      </w:tr>
      <w:tr w14:paraId="0893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top"/>
          </w:tcPr>
          <w:p w14:paraId="41A01AB1">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27C42BFD">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63C447E7">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5DFF1F2C">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3B4615A2">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5B3924F7">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23117D57">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3517A9BD">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3CE9678A">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27F423EE">
            <w:pPr>
              <w:keepNext w:val="0"/>
              <w:keepLines w:val="0"/>
              <w:pageBreakBefore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57" w:type="dxa"/>
            <w:gridSpan w:val="2"/>
            <w:noWrap w:val="0"/>
            <w:vAlign w:val="top"/>
          </w:tcPr>
          <w:p w14:paraId="5E8ECEB6">
            <w:pPr>
              <w:pStyle w:val="81"/>
              <w:keepNext w:val="0"/>
              <w:keepLines w:val="0"/>
              <w:pageBreakBefore w:val="0"/>
              <w:widowControl/>
              <w:suppressLineNumbers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w:t>
            </w:r>
            <w:r>
              <w:rPr>
                <w:rFonts w:hint="eastAsia" w:ascii="宋体" w:hAnsi="宋体" w:eastAsia="宋体" w:cs="宋体"/>
                <w:sz w:val="28"/>
                <w:szCs w:val="28"/>
                <w:highlight w:val="none"/>
              </w:rPr>
              <w:t>通过采集患者的肌肉（盆底）电信号或盆底肌肉收缩的压力信号，对肌肉状态进行评</w:t>
            </w:r>
            <w:r>
              <w:rPr>
                <w:rFonts w:hint="eastAsia" w:ascii="宋体" w:hAnsi="宋体" w:eastAsia="宋体" w:cs="宋体"/>
                <w:sz w:val="28"/>
                <w:szCs w:val="28"/>
                <w:highlight w:val="none"/>
                <w:lang w:val="en-US" w:eastAsia="zh-CN"/>
              </w:rPr>
              <w:t>估，</w:t>
            </w:r>
            <w:r>
              <w:rPr>
                <w:rFonts w:hint="eastAsia" w:ascii="宋体" w:hAnsi="宋体" w:eastAsia="宋体" w:cs="宋体"/>
                <w:sz w:val="28"/>
                <w:szCs w:val="28"/>
                <w:highlight w:val="none"/>
              </w:rPr>
              <w:t>评估结果输出电刺激脉冲，从而进行治疗或者提供图形训练模板或多媒体训练模板做肌肉收缩和放松运动，达到肌肉康复目的。</w:t>
            </w:r>
          </w:p>
          <w:p w14:paraId="592D11F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02C956F6">
            <w:pPr>
              <w:keepNext w:val="0"/>
              <w:keepLines w:val="0"/>
              <w:pageBreakBefore w:val="0"/>
              <w:numPr>
                <w:ilvl w:val="0"/>
                <w:numId w:val="7"/>
              </w:numPr>
              <w:tabs>
                <w:tab w:val="clear" w:pos="420"/>
              </w:tabs>
              <w:kinsoku/>
              <w:wordWrap/>
              <w:overflowPunct/>
              <w:topLinePunct w:val="0"/>
              <w:autoSpaceDE/>
              <w:autoSpaceDN/>
              <w:bidi w:val="0"/>
              <w:adjustRightInd/>
              <w:spacing w:line="360" w:lineRule="auto"/>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设备治疗和评估通道数</w:t>
            </w:r>
            <w:r>
              <w:rPr>
                <w:rFonts w:hint="eastAsia" w:ascii="宋体" w:hAnsi="宋体" w:eastAsia="宋体" w:cs="宋体"/>
                <w:color w:val="000000"/>
                <w:sz w:val="28"/>
                <w:szCs w:val="28"/>
                <w:highlight w:val="none"/>
              </w:rPr>
              <w:t>量≥</w:t>
            </w:r>
            <w:r>
              <w:rPr>
                <w:rFonts w:hint="eastAsia" w:ascii="宋体" w:hAnsi="宋体" w:eastAsia="宋体" w:cs="宋体"/>
                <w:color w:val="000000"/>
                <w:kern w:val="0"/>
                <w:sz w:val="28"/>
                <w:szCs w:val="28"/>
                <w:highlight w:val="none"/>
                <w:lang w:val="en-US" w:eastAsia="zh-CN"/>
              </w:rPr>
              <w:t>5</w:t>
            </w:r>
            <w:r>
              <w:rPr>
                <w:rFonts w:hint="eastAsia" w:ascii="宋体" w:hAnsi="宋体" w:eastAsia="宋体" w:cs="宋体"/>
                <w:color w:val="000000"/>
                <w:sz w:val="28"/>
                <w:szCs w:val="28"/>
                <w:highlight w:val="none"/>
              </w:rPr>
              <w:t>个，</w:t>
            </w:r>
            <w:r>
              <w:rPr>
                <w:rFonts w:hint="eastAsia" w:ascii="宋体" w:hAnsi="宋体" w:eastAsia="宋体" w:cs="宋体"/>
                <w:color w:val="000000"/>
                <w:kern w:val="0"/>
                <w:sz w:val="28"/>
                <w:szCs w:val="28"/>
                <w:highlight w:val="none"/>
              </w:rPr>
              <w:t>独立的治疗通道</w:t>
            </w:r>
          </w:p>
          <w:p w14:paraId="0EC4CF38">
            <w:pPr>
              <w:keepNext w:val="0"/>
              <w:keepLines w:val="0"/>
              <w:pageBreakBefore w:val="0"/>
              <w:numPr>
                <w:ilvl w:val="0"/>
                <w:numId w:val="7"/>
              </w:numPr>
              <w:tabs>
                <w:tab w:val="clear" w:pos="420"/>
              </w:tabs>
              <w:kinsoku/>
              <w:wordWrap/>
              <w:overflowPunct/>
              <w:topLinePunct w:val="0"/>
              <w:autoSpaceDE/>
              <w:autoSpaceDN/>
              <w:bidi w:val="0"/>
              <w:adjustRightInd/>
              <w:spacing w:line="360" w:lineRule="auto"/>
              <w:textAlignment w:val="auto"/>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电刺激、反馈刺激、</w:t>
            </w:r>
            <w:r>
              <w:rPr>
                <w:rFonts w:hint="eastAsia" w:ascii="宋体" w:hAnsi="宋体" w:eastAsia="宋体" w:cs="宋体"/>
                <w:bCs/>
                <w:color w:val="000000"/>
                <w:kern w:val="0"/>
                <w:sz w:val="28"/>
                <w:szCs w:val="28"/>
                <w:highlight w:val="none"/>
                <w:lang w:val="en-US" w:eastAsia="zh-CN"/>
              </w:rPr>
              <w:t>模板训练、</w:t>
            </w:r>
            <w:r>
              <w:rPr>
                <w:rFonts w:hint="eastAsia" w:ascii="宋体" w:hAnsi="宋体" w:eastAsia="宋体" w:cs="宋体"/>
                <w:bCs/>
                <w:color w:val="000000"/>
                <w:kern w:val="0"/>
                <w:sz w:val="28"/>
                <w:szCs w:val="28"/>
                <w:highlight w:val="none"/>
              </w:rPr>
              <w:t>多媒体场景动画生物反馈训练</w:t>
            </w:r>
            <w:r>
              <w:rPr>
                <w:rFonts w:hint="eastAsia" w:ascii="宋体" w:hAnsi="宋体" w:eastAsia="宋体" w:cs="宋体"/>
                <w:bCs/>
                <w:color w:val="000000"/>
                <w:kern w:val="0"/>
                <w:sz w:val="28"/>
                <w:szCs w:val="28"/>
                <w:highlight w:val="none"/>
                <w:lang w:val="en-US" w:eastAsia="zh-CN"/>
              </w:rPr>
              <w:t>等多种方式</w:t>
            </w:r>
            <w:r>
              <w:rPr>
                <w:rFonts w:hint="eastAsia" w:ascii="宋体" w:hAnsi="宋体" w:eastAsia="宋体" w:cs="宋体"/>
                <w:bCs/>
                <w:color w:val="000000"/>
                <w:kern w:val="0"/>
                <w:sz w:val="28"/>
                <w:szCs w:val="28"/>
                <w:highlight w:val="none"/>
              </w:rPr>
              <w:t>。</w:t>
            </w:r>
          </w:p>
          <w:p w14:paraId="6E4955B3">
            <w:pPr>
              <w:keepNext w:val="0"/>
              <w:keepLines w:val="0"/>
              <w:pageBreakBefore w:val="0"/>
              <w:numPr>
                <w:ilvl w:val="0"/>
                <w:numId w:val="7"/>
              </w:numPr>
              <w:tabs>
                <w:tab w:val="clear" w:pos="420"/>
              </w:tabs>
              <w:kinsoku/>
              <w:wordWrap/>
              <w:overflowPunct/>
              <w:topLinePunct w:val="0"/>
              <w:autoSpaceDE/>
              <w:autoSpaceDN/>
              <w:bidi w:val="0"/>
              <w:adjustRightInd/>
              <w:spacing w:line="360"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设备具有快速肌电评估、标准肌电评估、压力评估等评估方式，</w:t>
            </w:r>
            <w:r>
              <w:rPr>
                <w:rFonts w:hint="eastAsia" w:ascii="宋体" w:hAnsi="宋体" w:eastAsia="宋体" w:cs="宋体"/>
                <w:color w:val="000000"/>
                <w:sz w:val="28"/>
                <w:szCs w:val="28"/>
                <w:highlight w:val="none"/>
                <w:lang w:val="en-US" w:eastAsia="zh-CN"/>
              </w:rPr>
              <w:t>评估过程中</w:t>
            </w:r>
            <w:r>
              <w:rPr>
                <w:rFonts w:hint="eastAsia" w:ascii="宋体" w:hAnsi="宋体" w:eastAsia="宋体" w:cs="宋体"/>
                <w:color w:val="000000"/>
                <w:sz w:val="28"/>
                <w:szCs w:val="28"/>
                <w:highlight w:val="none"/>
              </w:rPr>
              <w:t>，波形采集界面灵敏度和扫描速度可根据需要进行调节，滤除工频和通频带外的信号干扰，对盆腔Ⅰ类肌Ⅱ类肌的肌张力、肌耐力、肌肉协调性进行快速筛查检测，并自动计算检测项单项和总评估得分。</w:t>
            </w:r>
          </w:p>
          <w:p w14:paraId="0DC5BDB3">
            <w:pPr>
              <w:keepNext w:val="0"/>
              <w:keepLines w:val="0"/>
              <w:pageBreakBefore w:val="0"/>
              <w:numPr>
                <w:ilvl w:val="0"/>
                <w:numId w:val="7"/>
              </w:numPr>
              <w:tabs>
                <w:tab w:val="clear" w:pos="420"/>
              </w:tabs>
              <w:kinsoku/>
              <w:wordWrap/>
              <w:overflowPunct/>
              <w:topLinePunct w:val="0"/>
              <w:autoSpaceDE/>
              <w:autoSpaceDN/>
              <w:bidi w:val="0"/>
              <w:adjustRightInd/>
              <w:spacing w:line="360" w:lineRule="auto"/>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评估结果输出标准评估报告，包括多种评估指标数值、参考范围、盆底肌电图以及腹肌参与度、报告解读。</w:t>
            </w:r>
          </w:p>
          <w:p w14:paraId="2893BEFC">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EMG检测范围：5-</w:t>
            </w:r>
            <w:r>
              <w:rPr>
                <w:rFonts w:hint="eastAsia" w:ascii="宋体" w:hAnsi="宋体" w:eastAsia="宋体" w:cs="宋体"/>
                <w:bCs/>
                <w:color w:val="000000"/>
                <w:sz w:val="28"/>
                <w:szCs w:val="28"/>
                <w:highlight w:val="none"/>
                <w:lang w:val="en-US" w:eastAsia="zh-CN"/>
              </w:rPr>
              <w:t>2000</w:t>
            </w:r>
            <w:r>
              <w:rPr>
                <w:rFonts w:hint="eastAsia" w:ascii="宋体" w:hAnsi="宋体" w:eastAsia="宋体" w:cs="宋体"/>
                <w:bCs/>
                <w:color w:val="000000"/>
                <w:sz w:val="28"/>
                <w:szCs w:val="28"/>
                <w:highlight w:val="none"/>
              </w:rPr>
              <w:t>µV</w:t>
            </w:r>
            <w:r>
              <w:rPr>
                <w:rFonts w:hint="eastAsia" w:ascii="宋体" w:hAnsi="宋体" w:eastAsia="宋体" w:cs="宋体"/>
                <w:color w:val="000000"/>
                <w:sz w:val="28"/>
                <w:szCs w:val="28"/>
                <w:highlight w:val="none"/>
              </w:rPr>
              <w:t>。</w:t>
            </w:r>
          </w:p>
          <w:p w14:paraId="25B417A9">
            <w:pPr>
              <w:pStyle w:val="71"/>
              <w:keepNext w:val="0"/>
              <w:keepLines w:val="0"/>
              <w:pageBreakBefore w:val="0"/>
              <w:numPr>
                <w:ilvl w:val="0"/>
                <w:numId w:val="7"/>
              </w:numPr>
              <w:tabs>
                <w:tab w:val="clear" w:pos="420"/>
              </w:tabs>
              <w:kinsoku/>
              <w:wordWrap/>
              <w:overflowPunct/>
              <w:topLinePunct w:val="0"/>
              <w:autoSpaceDE/>
              <w:autoSpaceDN/>
              <w:bidi w:val="0"/>
              <w:adjustRightInd/>
              <w:spacing w:line="360" w:lineRule="auto"/>
              <w:ind w:firstLineChars="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通频带：20Hz～500Hz(-3dB)。</w:t>
            </w:r>
          </w:p>
          <w:p w14:paraId="7363BFC5">
            <w:pPr>
              <w:pStyle w:val="71"/>
              <w:keepNext w:val="0"/>
              <w:keepLines w:val="0"/>
              <w:pageBreakBefore w:val="0"/>
              <w:numPr>
                <w:ilvl w:val="0"/>
                <w:numId w:val="7"/>
              </w:numPr>
              <w:tabs>
                <w:tab w:val="clear" w:pos="420"/>
              </w:tabs>
              <w:kinsoku/>
              <w:wordWrap/>
              <w:overflowPunct/>
              <w:topLinePunct w:val="0"/>
              <w:autoSpaceDE/>
              <w:autoSpaceDN/>
              <w:bidi w:val="0"/>
              <w:adjustRightInd/>
              <w:spacing w:line="360" w:lineRule="auto"/>
              <w:ind w:firstLineChars="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差模输入阻抗：大于</w:t>
            </w:r>
            <w:r>
              <w:rPr>
                <w:rFonts w:hint="eastAsia" w:ascii="宋体" w:hAnsi="宋体" w:eastAsia="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rPr>
              <w:t>MΩ。</w:t>
            </w:r>
          </w:p>
          <w:p w14:paraId="648D438A">
            <w:pPr>
              <w:pStyle w:val="71"/>
              <w:keepNext w:val="0"/>
              <w:keepLines w:val="0"/>
              <w:pageBreakBefore w:val="0"/>
              <w:numPr>
                <w:ilvl w:val="0"/>
                <w:numId w:val="7"/>
              </w:numPr>
              <w:tabs>
                <w:tab w:val="clear" w:pos="420"/>
              </w:tabs>
              <w:kinsoku/>
              <w:wordWrap/>
              <w:overflowPunct/>
              <w:topLinePunct w:val="0"/>
              <w:autoSpaceDE/>
              <w:autoSpaceDN/>
              <w:bidi w:val="0"/>
              <w:adjustRightInd/>
              <w:spacing w:line="360" w:lineRule="auto"/>
              <w:ind w:firstLineChars="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共模抑制比：大于</w:t>
            </w:r>
            <w:r>
              <w:rPr>
                <w:rFonts w:hint="eastAsia" w:ascii="宋体" w:hAnsi="宋体" w:eastAsia="宋体" w:cs="宋体"/>
                <w:color w:val="000000"/>
                <w:kern w:val="0"/>
                <w:sz w:val="28"/>
                <w:szCs w:val="28"/>
                <w:highlight w:val="none"/>
                <w:lang w:val="en-US" w:eastAsia="zh-CN"/>
              </w:rPr>
              <w:t>100</w:t>
            </w:r>
            <w:r>
              <w:rPr>
                <w:rFonts w:hint="eastAsia" w:ascii="宋体" w:hAnsi="宋体" w:eastAsia="宋体" w:cs="宋体"/>
                <w:color w:val="000000"/>
                <w:kern w:val="0"/>
                <w:sz w:val="28"/>
                <w:szCs w:val="28"/>
                <w:highlight w:val="none"/>
              </w:rPr>
              <w:t>dB。</w:t>
            </w:r>
          </w:p>
          <w:p w14:paraId="7170400A">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电刺激脉宽：50-1000us可调。</w:t>
            </w:r>
          </w:p>
          <w:p w14:paraId="1EC70E3C">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电刺激频率：1-250H</w:t>
            </w:r>
            <w:r>
              <w:rPr>
                <w:rFonts w:hint="eastAsia" w:ascii="宋体" w:hAnsi="宋体" w:eastAsia="宋体" w:cs="宋体"/>
                <w:color w:val="000000"/>
                <w:sz w:val="28"/>
                <w:szCs w:val="28"/>
                <w:highlight w:val="none"/>
                <w:lang w:val="en-US" w:eastAsia="zh-CN"/>
              </w:rPr>
              <w:t>z</w:t>
            </w:r>
            <w:r>
              <w:rPr>
                <w:rFonts w:hint="eastAsia" w:ascii="宋体" w:hAnsi="宋体" w:eastAsia="宋体" w:cs="宋体"/>
                <w:color w:val="000000"/>
                <w:sz w:val="28"/>
                <w:szCs w:val="28"/>
                <w:highlight w:val="none"/>
              </w:rPr>
              <w:t xml:space="preserve">可调； </w:t>
            </w:r>
          </w:p>
          <w:p w14:paraId="3AE88B7A">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电刺激强度范围：0-100mA可调。</w:t>
            </w:r>
          </w:p>
          <w:p w14:paraId="76E70C5A">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系统内置</w:t>
            </w:r>
            <w:r>
              <w:rPr>
                <w:rFonts w:hint="eastAsia" w:ascii="宋体" w:hAnsi="宋体" w:eastAsia="宋体" w:cs="宋体"/>
                <w:color w:val="000000"/>
                <w:sz w:val="28"/>
                <w:szCs w:val="28"/>
                <w:highlight w:val="none"/>
              </w:rPr>
              <w:t>临床常用盆底康复治疗方案</w:t>
            </w:r>
            <w:r>
              <w:rPr>
                <w:rFonts w:hint="eastAsia" w:ascii="宋体" w:hAnsi="宋体" w:eastAsia="宋体" w:cs="宋体"/>
                <w:color w:val="000000"/>
                <w:sz w:val="28"/>
                <w:szCs w:val="28"/>
                <w:highlight w:val="none"/>
                <w:lang w:eastAsia="zh-CN"/>
              </w:rPr>
              <w:t>，</w:t>
            </w:r>
          </w:p>
          <w:p w14:paraId="7CB394BC">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预置多媒体场景动画</w:t>
            </w:r>
            <w:r>
              <w:rPr>
                <w:rFonts w:hint="eastAsia" w:ascii="宋体" w:hAnsi="宋体" w:eastAsia="宋体" w:cs="宋体"/>
                <w:color w:val="000000"/>
                <w:kern w:val="0"/>
                <w:sz w:val="28"/>
                <w:szCs w:val="28"/>
                <w:highlight w:val="none"/>
              </w:rPr>
              <w:t>治疗方案，</w:t>
            </w:r>
          </w:p>
          <w:p w14:paraId="7C2CCC4E">
            <w:pPr>
              <w:keepNext w:val="0"/>
              <w:keepLines w:val="0"/>
              <w:pageBreakBefore w:val="0"/>
              <w:numPr>
                <w:ilvl w:val="0"/>
                <w:numId w:val="7"/>
              </w:numPr>
              <w:tabs>
                <w:tab w:val="clear" w:pos="420"/>
              </w:tabs>
              <w:kinsoku/>
              <w:wordWrap/>
              <w:overflowPunct/>
              <w:topLinePunct w:val="0"/>
              <w:autoSpaceDE/>
              <w:autoSpaceDN/>
              <w:bidi w:val="0"/>
              <w:adjustRightInd/>
              <w:spacing w:line="360" w:lineRule="auto"/>
              <w:ind w:left="360" w:hanging="560" w:hanging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至少</w:t>
            </w:r>
            <w:r>
              <w:rPr>
                <w:rFonts w:hint="eastAsia" w:ascii="宋体" w:hAnsi="宋体" w:eastAsia="宋体" w:cs="宋体"/>
                <w:color w:val="auto"/>
                <w:sz w:val="28"/>
                <w:szCs w:val="28"/>
                <w:highlight w:val="none"/>
                <w:lang w:val="en-US" w:eastAsia="zh-CN"/>
              </w:rPr>
              <w:t>有</w:t>
            </w:r>
            <w:r>
              <w:rPr>
                <w:rFonts w:hint="eastAsia" w:ascii="宋体" w:hAnsi="宋体" w:eastAsia="宋体" w:cs="宋体"/>
                <w:color w:val="auto"/>
                <w:sz w:val="28"/>
                <w:szCs w:val="28"/>
                <w:highlight w:val="none"/>
                <w:vertAlign w:val="baseline"/>
                <w:lang w:val="en-US" w:eastAsia="zh-CN"/>
              </w:rPr>
              <w:t>单向方波、双向方波和交替波</w:t>
            </w:r>
            <w:r>
              <w:rPr>
                <w:rFonts w:hint="eastAsia" w:ascii="宋体" w:hAnsi="宋体" w:eastAsia="宋体" w:cs="宋体"/>
                <w:color w:val="auto"/>
                <w:sz w:val="28"/>
                <w:szCs w:val="28"/>
                <w:highlight w:val="none"/>
                <w:lang w:val="en-US" w:eastAsia="zh-CN"/>
              </w:rPr>
              <w:t>三种电</w:t>
            </w:r>
            <w:r>
              <w:rPr>
                <w:rFonts w:hint="eastAsia" w:ascii="宋体" w:hAnsi="宋体" w:eastAsia="宋体" w:cs="宋体"/>
                <w:color w:val="000000"/>
                <w:sz w:val="28"/>
                <w:szCs w:val="28"/>
                <w:highlight w:val="none"/>
                <w:lang w:val="en-US" w:eastAsia="zh-CN"/>
              </w:rPr>
              <w:t>刺激输出波形</w:t>
            </w:r>
            <w:r>
              <w:rPr>
                <w:rFonts w:hint="eastAsia" w:ascii="宋体" w:hAnsi="宋体" w:eastAsia="宋体" w:cs="宋体"/>
                <w:color w:val="000000"/>
                <w:sz w:val="28"/>
                <w:szCs w:val="28"/>
                <w:highlight w:val="none"/>
              </w:rPr>
              <w:t>。可自定义编辑电刺激治疗参数和方案，</w:t>
            </w:r>
          </w:p>
          <w:p w14:paraId="17CB3610">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15.</w:t>
            </w:r>
            <w:r>
              <w:rPr>
                <w:rFonts w:hint="eastAsia" w:ascii="宋体" w:hAnsi="宋体" w:eastAsia="宋体" w:cs="宋体"/>
                <w:color w:val="000000"/>
                <w:sz w:val="28"/>
                <w:szCs w:val="28"/>
                <w:highlight w:val="none"/>
              </w:rPr>
              <w:t>治疗方案提供</w:t>
            </w:r>
            <w:r>
              <w:rPr>
                <w:rFonts w:hint="eastAsia" w:ascii="宋体" w:hAnsi="宋体" w:eastAsia="宋体" w:cs="宋体"/>
                <w:color w:val="000000"/>
                <w:sz w:val="28"/>
                <w:szCs w:val="28"/>
                <w:highlight w:val="none"/>
                <w:lang w:val="en-US" w:eastAsia="zh-CN"/>
              </w:rPr>
              <w:t>治疗</w:t>
            </w:r>
            <w:r>
              <w:rPr>
                <w:rFonts w:hint="eastAsia" w:ascii="宋体" w:hAnsi="宋体" w:eastAsia="宋体" w:cs="宋体"/>
                <w:color w:val="000000"/>
                <w:sz w:val="28"/>
                <w:szCs w:val="28"/>
                <w:highlight w:val="none"/>
              </w:rPr>
              <w:t>部位示意图</w:t>
            </w:r>
            <w:r>
              <w:rPr>
                <w:rFonts w:hint="eastAsia" w:ascii="宋体" w:hAnsi="宋体" w:eastAsia="宋体" w:cs="宋体"/>
                <w:color w:val="000000"/>
                <w:sz w:val="28"/>
                <w:szCs w:val="28"/>
                <w:highlight w:val="none"/>
                <w:lang w:eastAsia="zh-CN"/>
              </w:rPr>
              <w:t>。</w:t>
            </w:r>
          </w:p>
        </w:tc>
      </w:tr>
      <w:tr w14:paraId="24A8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065" w:type="dxa"/>
            <w:noWrap w:val="0"/>
            <w:vAlign w:val="top"/>
          </w:tcPr>
          <w:p w14:paraId="60813C6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282A8CC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57" w:type="dxa"/>
            <w:gridSpan w:val="2"/>
            <w:noWrap w:val="0"/>
            <w:vAlign w:val="top"/>
          </w:tcPr>
          <w:p w14:paraId="788988EA">
            <w:pPr>
              <w:pStyle w:val="71"/>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r>
              <w:rPr>
                <w:rFonts w:hint="eastAsia" w:ascii="宋体" w:hAnsi="宋体" w:eastAsia="宋体" w:cs="宋体"/>
                <w:color w:val="000000"/>
                <w:kern w:val="0"/>
                <w:sz w:val="28"/>
                <w:szCs w:val="28"/>
                <w:highlight w:val="none"/>
              </w:rPr>
              <w:t>系统噪声：≤1µV。</w:t>
            </w:r>
          </w:p>
          <w:p w14:paraId="142851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rPr>
              <w:t>评估、训练</w:t>
            </w:r>
            <w:r>
              <w:rPr>
                <w:rFonts w:hint="eastAsia" w:ascii="宋体" w:hAnsi="宋体" w:eastAsia="宋体" w:cs="宋体"/>
                <w:color w:val="000000"/>
                <w:sz w:val="28"/>
                <w:szCs w:val="28"/>
                <w:highlight w:val="none"/>
                <w:lang w:val="en-US" w:eastAsia="zh-CN"/>
              </w:rPr>
              <w:t>具有</w:t>
            </w:r>
            <w:r>
              <w:rPr>
                <w:rFonts w:hint="eastAsia" w:ascii="宋体" w:hAnsi="宋体" w:eastAsia="宋体" w:cs="宋体"/>
                <w:color w:val="000000"/>
                <w:sz w:val="28"/>
                <w:szCs w:val="28"/>
                <w:highlight w:val="none"/>
              </w:rPr>
              <w:t>语音提示功能</w:t>
            </w:r>
          </w:p>
          <w:p w14:paraId="75BB5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default" w:ascii="宋体" w:hAnsi="宋体" w:eastAsia="宋体" w:cs="宋体"/>
                <w:color w:val="000000"/>
                <w:sz w:val="28"/>
                <w:szCs w:val="28"/>
                <w:highlight w:val="none"/>
                <w:lang w:val="en-US" w:eastAsia="zh-CN"/>
              </w:rPr>
            </w:pPr>
          </w:p>
        </w:tc>
      </w:tr>
    </w:tbl>
    <w:p w14:paraId="6BFCC5B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color w:val="000000"/>
          <w:spacing w:val="0"/>
          <w:w w:val="100"/>
          <w:position w:val="0"/>
          <w:sz w:val="24"/>
          <w:szCs w:val="24"/>
          <w:highlight w:val="none"/>
          <w:lang w:val="en-US" w:eastAsia="zh-CN"/>
        </w:rPr>
        <w:br w:type="page"/>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6392"/>
      </w:tblGrid>
      <w:tr w14:paraId="4BD0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gridSpan w:val="2"/>
            <w:noWrap w:val="0"/>
            <w:vAlign w:val="center"/>
          </w:tcPr>
          <w:p w14:paraId="2451C3B2">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392" w:type="dxa"/>
            <w:noWrap w:val="0"/>
            <w:vAlign w:val="center"/>
          </w:tcPr>
          <w:p w14:paraId="40B0E30D">
            <w:pPr>
              <w:keepNext w:val="0"/>
              <w:keepLines w:val="0"/>
              <w:pageBreakBefore w:val="0"/>
              <w:widowControl w:val="0"/>
              <w:kinsoku/>
              <w:wordWrap/>
              <w:overflowPunct/>
              <w:topLinePunct w:val="0"/>
              <w:autoSpaceDE/>
              <w:autoSpaceDN/>
              <w:bidi w:val="0"/>
              <w:adjustRightInd/>
              <w:spacing w:line="360" w:lineRule="auto"/>
              <w:ind w:firstLine="1120" w:firstLineChars="4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医疗智能泥疗制造机（老年病科）</w:t>
            </w:r>
          </w:p>
        </w:tc>
      </w:tr>
      <w:tr w14:paraId="4B20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0" w:type="dxa"/>
            <w:gridSpan w:val="2"/>
            <w:noWrap w:val="0"/>
            <w:vAlign w:val="center"/>
          </w:tcPr>
          <w:p w14:paraId="785CA626">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392" w:type="dxa"/>
            <w:noWrap w:val="0"/>
            <w:vAlign w:val="center"/>
          </w:tcPr>
          <w:p w14:paraId="3D2854C9">
            <w:pPr>
              <w:keepNext w:val="0"/>
              <w:keepLines w:val="0"/>
              <w:pageBreakBefore w:val="0"/>
              <w:widowControl w:val="0"/>
              <w:kinsoku/>
              <w:wordWrap/>
              <w:overflowPunct/>
              <w:topLinePunct w:val="0"/>
              <w:autoSpaceDE/>
              <w:autoSpaceDN/>
              <w:bidi w:val="0"/>
              <w:adjustRightInd/>
              <w:spacing w:line="360" w:lineRule="auto"/>
              <w:ind w:firstLine="2240" w:firstLineChars="8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老年病科</w:t>
            </w:r>
          </w:p>
        </w:tc>
      </w:tr>
      <w:tr w14:paraId="68F0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65" w:type="dxa"/>
            <w:noWrap w:val="0"/>
            <w:vAlign w:val="top"/>
          </w:tcPr>
          <w:p w14:paraId="69602020">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41501A65">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2132A2B6">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16BFC828">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7341F039">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79A6E9C1">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6ADD6F94">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1A7CE3B2">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62209745">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49C460D8">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57" w:type="dxa"/>
            <w:gridSpan w:val="2"/>
            <w:noWrap w:val="0"/>
            <w:vAlign w:val="top"/>
          </w:tcPr>
          <w:p w14:paraId="27F736B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功能：该仪器能智能搅拌，确保矿物泥混合均匀，并加热至熔融状态，同时通过智能温控系统维持恒温</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制饼</w:t>
            </w:r>
            <w:r>
              <w:rPr>
                <w:rFonts w:hint="eastAsia" w:ascii="宋体" w:hAnsi="宋体" w:eastAsia="宋体" w:cs="宋体"/>
                <w:color w:val="auto"/>
                <w:sz w:val="28"/>
                <w:szCs w:val="28"/>
                <w:highlight w:val="none"/>
              </w:rPr>
              <w:t>。</w:t>
            </w:r>
          </w:p>
          <w:p w14:paraId="1F3F320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主要参数：</w:t>
            </w:r>
          </w:p>
          <w:p w14:paraId="5EE5B3A2">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主要组成：融泥箱、搅拌系统、泥饼制作箱；</w:t>
            </w:r>
          </w:p>
          <w:p w14:paraId="55DF94F6">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2.注册证适用范围：用于促进局部血液循环，促进上皮组织生长，软化松解瘢痕，消除肿胀，松解粘连，镇痛解痉的辅助治疗；</w:t>
            </w:r>
          </w:p>
          <w:p w14:paraId="0818840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3.智能显示：智能液晶屏显示，仪器工作状态全程实时显示；</w:t>
            </w:r>
          </w:p>
          <w:p w14:paraId="26AB4017">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融泥箱：温度范围：30℃-138℃，一键高温消毒；自动出泥装置、一键搅拌装置（间歇、持续搅拌模式可选），搅拌器有电机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电机具有过热保护功能；</w:t>
            </w:r>
          </w:p>
          <w:p w14:paraId="011B88AF">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泥饼制作箱：温度范围：30℃-98℃，智能温控；</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个盘；具有急融急冷及恒温控制装置；</w:t>
            </w:r>
          </w:p>
          <w:p w14:paraId="59E8012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智能控制：时间、温度、工作参数设置记忆保存，无需重复设置</w:t>
            </w:r>
            <w:r>
              <w:rPr>
                <w:rFonts w:hint="eastAsia" w:ascii="宋体" w:hAnsi="宋体" w:eastAsia="宋体" w:cs="宋体"/>
                <w:color w:val="auto"/>
                <w:sz w:val="28"/>
                <w:szCs w:val="28"/>
                <w:highlight w:val="none"/>
                <w:lang w:eastAsia="zh-CN"/>
              </w:rPr>
              <w:t>；</w:t>
            </w:r>
          </w:p>
          <w:p w14:paraId="3835F978">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消毒方式：</w:t>
            </w:r>
            <w:r>
              <w:rPr>
                <w:rFonts w:hint="eastAsia" w:ascii="宋体" w:hAnsi="宋体" w:eastAsia="宋体" w:cs="宋体"/>
                <w:color w:val="auto"/>
                <w:sz w:val="28"/>
                <w:szCs w:val="28"/>
                <w:highlight w:val="none"/>
                <w:lang w:val="en-US" w:eastAsia="zh-CN"/>
              </w:rPr>
              <w:t>高温消毒全面彻底</w:t>
            </w:r>
            <w:r>
              <w:rPr>
                <w:rFonts w:hint="eastAsia" w:ascii="宋体" w:hAnsi="宋体" w:eastAsia="宋体" w:cs="宋体"/>
                <w:color w:val="auto"/>
                <w:sz w:val="28"/>
                <w:szCs w:val="28"/>
                <w:highlight w:val="none"/>
                <w:lang w:eastAsia="zh-CN"/>
              </w:rPr>
              <w:t>；</w:t>
            </w:r>
          </w:p>
          <w:p w14:paraId="04FB8F57">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智能一键功能：消毒、搅拌</w:t>
            </w:r>
            <w:r>
              <w:rPr>
                <w:rFonts w:hint="eastAsia" w:ascii="宋体" w:hAnsi="宋体" w:eastAsia="宋体" w:cs="宋体"/>
                <w:color w:val="auto"/>
                <w:sz w:val="28"/>
                <w:szCs w:val="28"/>
                <w:highlight w:val="none"/>
                <w:lang w:eastAsia="zh-CN"/>
              </w:rPr>
              <w:t>；</w:t>
            </w:r>
          </w:p>
          <w:p w14:paraId="7F8825D4">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防堵塞设计；有安全保护装置</w:t>
            </w:r>
          </w:p>
          <w:p w14:paraId="25B36353">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sz w:val="28"/>
                <w:szCs w:val="28"/>
                <w:highlight w:val="none"/>
                <w:vertAlign w:val="baseline"/>
                <w:lang w:val="en-US" w:eastAsia="zh-CN"/>
              </w:rPr>
            </w:pPr>
          </w:p>
        </w:tc>
      </w:tr>
      <w:tr w14:paraId="5720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065" w:type="dxa"/>
            <w:noWrap w:val="0"/>
            <w:vAlign w:val="top"/>
          </w:tcPr>
          <w:p w14:paraId="23BEC3A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p>
          <w:p w14:paraId="09A026F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0B4C68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57" w:type="dxa"/>
            <w:gridSpan w:val="2"/>
            <w:noWrap w:val="0"/>
            <w:vAlign w:val="top"/>
          </w:tcPr>
          <w:p w14:paraId="7A463F2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安全保护：多重安全保护装置，确保使用更安全。</w:t>
            </w:r>
          </w:p>
          <w:p w14:paraId="025A7E3F">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实行</w:t>
            </w:r>
            <w:r>
              <w:rPr>
                <w:rFonts w:hint="eastAsia" w:ascii="宋体" w:hAnsi="宋体" w:eastAsia="宋体" w:cs="宋体"/>
                <w:sz w:val="28"/>
                <w:szCs w:val="28"/>
                <w:highlight w:val="none"/>
                <w:lang w:val="en-US" w:eastAsia="zh-CN"/>
              </w:rPr>
              <w:t>24</w:t>
            </w:r>
            <w:r>
              <w:rPr>
                <w:rFonts w:hint="eastAsia" w:ascii="宋体" w:hAnsi="宋体" w:eastAsia="宋体" w:cs="宋体"/>
                <w:sz w:val="28"/>
                <w:szCs w:val="28"/>
                <w:highlight w:val="none"/>
              </w:rPr>
              <w:t>个月保修服务,终生维修。</w:t>
            </w:r>
          </w:p>
        </w:tc>
      </w:tr>
    </w:tbl>
    <w:p w14:paraId="02361A1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0"/>
          <w:w w:val="100"/>
          <w:position w:val="0"/>
          <w:sz w:val="24"/>
          <w:szCs w:val="24"/>
          <w:highlight w:val="no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92"/>
        <w:gridCol w:w="6365"/>
      </w:tblGrid>
      <w:tr w14:paraId="5E09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57" w:type="dxa"/>
            <w:gridSpan w:val="2"/>
            <w:noWrap w:val="0"/>
            <w:vAlign w:val="center"/>
          </w:tcPr>
          <w:p w14:paraId="59598C6F">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365" w:type="dxa"/>
            <w:noWrap w:val="0"/>
            <w:vAlign w:val="center"/>
          </w:tcPr>
          <w:p w14:paraId="7A77CC39">
            <w:pPr>
              <w:keepNext w:val="0"/>
              <w:keepLines w:val="0"/>
              <w:pageBreakBefore w:val="0"/>
              <w:widowControl w:val="0"/>
              <w:kinsoku/>
              <w:wordWrap/>
              <w:overflowPunct/>
              <w:topLinePunct w:val="0"/>
              <w:autoSpaceDE/>
              <w:autoSpaceDN/>
              <w:bidi w:val="0"/>
              <w:adjustRightInd/>
              <w:spacing w:line="360" w:lineRule="auto"/>
              <w:ind w:firstLine="1960" w:firstLineChars="7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中药熏蒸机</w:t>
            </w:r>
          </w:p>
        </w:tc>
      </w:tr>
      <w:tr w14:paraId="1CA9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57" w:type="dxa"/>
            <w:gridSpan w:val="2"/>
            <w:noWrap w:val="0"/>
            <w:vAlign w:val="center"/>
          </w:tcPr>
          <w:p w14:paraId="0D57066E">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365" w:type="dxa"/>
            <w:noWrap w:val="0"/>
            <w:vAlign w:val="center"/>
          </w:tcPr>
          <w:p w14:paraId="780F6F2D">
            <w:pPr>
              <w:keepNext w:val="0"/>
              <w:keepLines w:val="0"/>
              <w:pageBreakBefore w:val="0"/>
              <w:widowControl w:val="0"/>
              <w:kinsoku/>
              <w:wordWrap/>
              <w:overflowPunct/>
              <w:topLinePunct w:val="0"/>
              <w:autoSpaceDE/>
              <w:autoSpaceDN/>
              <w:bidi w:val="0"/>
              <w:adjustRightInd/>
              <w:spacing w:line="360" w:lineRule="auto"/>
              <w:ind w:firstLine="2240" w:firstLineChars="8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老年病科</w:t>
            </w:r>
          </w:p>
        </w:tc>
      </w:tr>
      <w:tr w14:paraId="19F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1065" w:type="dxa"/>
            <w:noWrap w:val="0"/>
            <w:vAlign w:val="top"/>
          </w:tcPr>
          <w:p w14:paraId="65C8F8A7">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5623E63F">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16A274B6">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62372ACB">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153B9451">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6F95F8C6">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51B75391">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0BA2167E">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1ABD4F44">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7EB773E0">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57" w:type="dxa"/>
            <w:gridSpan w:val="2"/>
            <w:noWrap w:val="0"/>
            <w:vAlign w:val="top"/>
          </w:tcPr>
          <w:p w14:paraId="4D48956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功能：仪器</w:t>
            </w:r>
            <w:r>
              <w:rPr>
                <w:rFonts w:hint="eastAsia" w:ascii="宋体" w:hAnsi="宋体" w:eastAsia="宋体" w:cs="宋体"/>
                <w:sz w:val="28"/>
                <w:szCs w:val="28"/>
                <w:highlight w:val="none"/>
                <w:vertAlign w:val="baseline"/>
                <w:lang w:val="en-US" w:eastAsia="zh-CN"/>
              </w:rPr>
              <w:t>具有</w:t>
            </w:r>
            <w:r>
              <w:rPr>
                <w:rFonts w:hint="eastAsia" w:ascii="宋体" w:hAnsi="宋体" w:eastAsia="宋体" w:cs="宋体"/>
                <w:sz w:val="28"/>
                <w:szCs w:val="28"/>
                <w:highlight w:val="none"/>
                <w:vertAlign w:val="baseline"/>
                <w:lang w:eastAsia="zh-CN"/>
              </w:rPr>
              <w:t>多重安全防护措施，对超温、超压、</w:t>
            </w:r>
            <w:r>
              <w:rPr>
                <w:rFonts w:hint="eastAsia" w:ascii="宋体" w:hAnsi="宋体" w:eastAsia="宋体" w:cs="宋体"/>
                <w:sz w:val="28"/>
                <w:szCs w:val="28"/>
                <w:highlight w:val="none"/>
                <w:vertAlign w:val="baseline"/>
                <w:lang w:val="en-US" w:eastAsia="zh-CN"/>
              </w:rPr>
              <w:t>漏电、</w:t>
            </w:r>
            <w:r>
              <w:rPr>
                <w:rFonts w:hint="eastAsia" w:ascii="宋体" w:hAnsi="宋体" w:eastAsia="宋体" w:cs="宋体"/>
                <w:sz w:val="28"/>
                <w:szCs w:val="28"/>
                <w:highlight w:val="none"/>
                <w:vertAlign w:val="baseline"/>
                <w:lang w:eastAsia="zh-CN"/>
              </w:rPr>
              <w:t>缺液</w:t>
            </w:r>
            <w:r>
              <w:rPr>
                <w:rFonts w:hint="eastAsia" w:ascii="宋体" w:hAnsi="宋体" w:eastAsia="宋体" w:cs="宋体"/>
                <w:sz w:val="28"/>
                <w:szCs w:val="28"/>
                <w:highlight w:val="none"/>
                <w:vertAlign w:val="baseline"/>
                <w:lang w:val="en-US" w:eastAsia="zh-CN"/>
              </w:rPr>
              <w:t>及干烧</w:t>
            </w:r>
            <w:r>
              <w:rPr>
                <w:rFonts w:hint="eastAsia" w:ascii="宋体" w:hAnsi="宋体" w:eastAsia="宋体" w:cs="宋体"/>
                <w:sz w:val="28"/>
                <w:szCs w:val="28"/>
                <w:highlight w:val="none"/>
                <w:vertAlign w:val="baseline"/>
                <w:lang w:eastAsia="zh-CN"/>
              </w:rPr>
              <w:t>等进行有效防护。</w:t>
            </w:r>
          </w:p>
          <w:p w14:paraId="2A3E5C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3734B429">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1.</w:t>
            </w:r>
            <w:r>
              <w:rPr>
                <w:rFonts w:hint="eastAsia" w:ascii="宋体" w:hAnsi="宋体" w:eastAsia="宋体" w:cs="宋体"/>
                <w:sz w:val="28"/>
                <w:szCs w:val="28"/>
                <w:highlight w:val="none"/>
                <w:vertAlign w:val="baseline"/>
                <w:lang w:eastAsia="zh-CN"/>
              </w:rPr>
              <w:t>通道数：双通道（二个喷头），</w:t>
            </w:r>
            <w:r>
              <w:rPr>
                <w:rFonts w:hint="eastAsia" w:ascii="宋体" w:hAnsi="宋体" w:eastAsia="宋体" w:cs="宋体"/>
                <w:sz w:val="28"/>
                <w:szCs w:val="28"/>
                <w:highlight w:val="none"/>
                <w:vertAlign w:val="baseline"/>
                <w:lang w:val="en-US" w:eastAsia="zh-CN"/>
              </w:rPr>
              <w:t>独立控制</w:t>
            </w:r>
            <w:r>
              <w:rPr>
                <w:rFonts w:hint="eastAsia" w:ascii="宋体" w:hAnsi="宋体" w:eastAsia="宋体" w:cs="宋体"/>
                <w:sz w:val="28"/>
                <w:szCs w:val="28"/>
                <w:highlight w:val="none"/>
                <w:vertAlign w:val="baseline"/>
                <w:lang w:eastAsia="zh-CN"/>
              </w:rPr>
              <w:t>；</w:t>
            </w:r>
          </w:p>
          <w:p w14:paraId="58422762">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val="en-US" w:eastAsia="zh-CN"/>
              </w:rPr>
              <w:t>2.</w:t>
            </w:r>
            <w:r>
              <w:rPr>
                <w:rFonts w:hint="eastAsia" w:ascii="宋体" w:hAnsi="宋体" w:eastAsia="宋体" w:cs="宋体"/>
                <w:color w:val="auto"/>
                <w:sz w:val="28"/>
                <w:szCs w:val="28"/>
                <w:highlight w:val="none"/>
                <w:vertAlign w:val="baseline"/>
                <w:lang w:eastAsia="zh-CN"/>
              </w:rPr>
              <w:t>药液从常温加热到95℃时间≤15分钟；</w:t>
            </w:r>
          </w:p>
          <w:p w14:paraId="5B7406C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vertAlign w:val="baseline"/>
                <w:lang w:eastAsia="zh-CN"/>
              </w:rPr>
            </w:pPr>
            <w:r>
              <w:rPr>
                <w:rFonts w:hint="eastAsia" w:ascii="宋体" w:hAnsi="宋体" w:eastAsia="宋体" w:cs="宋体"/>
                <w:color w:val="auto"/>
                <w:sz w:val="28"/>
                <w:szCs w:val="28"/>
                <w:highlight w:val="none"/>
                <w:vertAlign w:val="baseline"/>
                <w:lang w:val="en-US" w:eastAsia="zh-CN"/>
              </w:rPr>
              <w:t>3.</w:t>
            </w:r>
            <w:r>
              <w:rPr>
                <w:rFonts w:hint="eastAsia" w:ascii="宋体" w:hAnsi="宋体" w:eastAsia="宋体" w:cs="宋体"/>
                <w:color w:val="auto"/>
                <w:sz w:val="28"/>
                <w:szCs w:val="28"/>
                <w:highlight w:val="none"/>
                <w:vertAlign w:val="baseline"/>
                <w:lang w:eastAsia="zh-CN"/>
              </w:rPr>
              <w:t>治疗时间1-</w:t>
            </w:r>
            <w:r>
              <w:rPr>
                <w:rFonts w:hint="eastAsia" w:ascii="宋体" w:hAnsi="宋体" w:eastAsia="宋体" w:cs="宋体"/>
                <w:color w:val="auto"/>
                <w:sz w:val="28"/>
                <w:szCs w:val="28"/>
                <w:highlight w:val="none"/>
                <w:vertAlign w:val="baseline"/>
                <w:lang w:val="en-US" w:eastAsia="zh-CN"/>
              </w:rPr>
              <w:t>40</w:t>
            </w:r>
            <w:r>
              <w:rPr>
                <w:rFonts w:hint="eastAsia" w:ascii="宋体" w:hAnsi="宋体" w:eastAsia="宋体" w:cs="宋体"/>
                <w:color w:val="auto"/>
                <w:sz w:val="28"/>
                <w:szCs w:val="28"/>
                <w:highlight w:val="none"/>
                <w:vertAlign w:val="baseline"/>
                <w:lang w:eastAsia="zh-CN"/>
              </w:rPr>
              <w:t>分钟可调；</w:t>
            </w:r>
          </w:p>
          <w:p w14:paraId="1EFD2527">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4.具有温度保护开关；</w:t>
            </w:r>
          </w:p>
          <w:p w14:paraId="27B27818">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5.设备具有保温功能，保温温度50-70℃可调；</w:t>
            </w:r>
          </w:p>
          <w:p w14:paraId="10203AB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6.具有温度监测功能，可实时监测体表温度，超温具有提示音或自动切断电源功能</w:t>
            </w:r>
          </w:p>
          <w:p w14:paraId="2B46696D">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7.治疗结束、预热达到设定温度及缺液时具有声音提示</w:t>
            </w:r>
            <w:r>
              <w:rPr>
                <w:rFonts w:hint="eastAsia" w:ascii="宋体" w:hAnsi="宋体" w:eastAsia="宋体" w:cs="宋体"/>
                <w:sz w:val="28"/>
                <w:szCs w:val="28"/>
                <w:highlight w:val="none"/>
                <w:vertAlign w:val="baseline"/>
                <w:lang w:eastAsia="zh-CN"/>
              </w:rPr>
              <w:t>；</w:t>
            </w:r>
          </w:p>
          <w:p w14:paraId="48E5F47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8.</w:t>
            </w:r>
            <w:r>
              <w:rPr>
                <w:rFonts w:hint="eastAsia" w:ascii="宋体" w:hAnsi="宋体" w:eastAsia="宋体" w:cs="宋体"/>
                <w:sz w:val="28"/>
                <w:szCs w:val="28"/>
                <w:highlight w:val="none"/>
                <w:vertAlign w:val="baseline"/>
                <w:lang w:eastAsia="zh-CN"/>
              </w:rPr>
              <w:t>当熏蒸机加热容器中气压大于0.0</w:t>
            </w:r>
            <w:r>
              <w:rPr>
                <w:rFonts w:hint="eastAsia" w:ascii="宋体" w:hAnsi="宋体" w:eastAsia="宋体" w:cs="宋体"/>
                <w:sz w:val="28"/>
                <w:szCs w:val="28"/>
                <w:highlight w:val="none"/>
                <w:vertAlign w:val="baseline"/>
                <w:lang w:val="en-US" w:eastAsia="zh-CN"/>
              </w:rPr>
              <w:t>6</w:t>
            </w:r>
            <w:r>
              <w:rPr>
                <w:rFonts w:hint="eastAsia" w:ascii="宋体" w:hAnsi="宋体" w:eastAsia="宋体" w:cs="宋体"/>
                <w:sz w:val="28"/>
                <w:szCs w:val="28"/>
                <w:highlight w:val="none"/>
                <w:vertAlign w:val="baseline"/>
                <w:lang w:eastAsia="zh-CN"/>
              </w:rPr>
              <w:t>MPa时，减压阀排气减压；</w:t>
            </w:r>
          </w:p>
          <w:p w14:paraId="51D1952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9.喷杆可进行多角度治疗</w:t>
            </w:r>
            <w:r>
              <w:rPr>
                <w:rFonts w:hint="eastAsia" w:ascii="宋体" w:hAnsi="宋体" w:eastAsia="宋体" w:cs="宋体"/>
                <w:sz w:val="28"/>
                <w:szCs w:val="28"/>
                <w:highlight w:val="none"/>
                <w:vertAlign w:val="baseline"/>
                <w:lang w:eastAsia="zh-CN"/>
              </w:rPr>
              <w:t>；</w:t>
            </w:r>
          </w:p>
          <w:p w14:paraId="0AAE7FE9">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10.</w:t>
            </w:r>
            <w:r>
              <w:rPr>
                <w:rFonts w:hint="eastAsia" w:ascii="宋体" w:hAnsi="宋体" w:eastAsia="宋体" w:cs="宋体"/>
                <w:sz w:val="28"/>
                <w:szCs w:val="28"/>
                <w:highlight w:val="none"/>
                <w:vertAlign w:val="baseline"/>
                <w:lang w:eastAsia="zh-CN"/>
              </w:rPr>
              <w:t>额定装药最大容量：5L ；</w:t>
            </w:r>
          </w:p>
          <w:p w14:paraId="7FA8199D">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11.具有</w:t>
            </w:r>
            <w:r>
              <w:rPr>
                <w:rFonts w:hint="eastAsia" w:ascii="宋体" w:hAnsi="宋体" w:eastAsia="宋体" w:cs="宋体"/>
                <w:sz w:val="28"/>
                <w:szCs w:val="28"/>
                <w:highlight w:val="none"/>
                <w:vertAlign w:val="baseline"/>
                <w:lang w:eastAsia="zh-CN"/>
              </w:rPr>
              <w:t>智能倒计时功能；</w:t>
            </w:r>
          </w:p>
          <w:p w14:paraId="6970A689">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FFFFFF"/>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12.采用直径≥10mm排液管路；</w:t>
            </w:r>
          </w:p>
          <w:p w14:paraId="36CF2DFA">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sz w:val="28"/>
                <w:szCs w:val="28"/>
                <w:highlight w:val="none"/>
                <w:vertAlign w:val="baseline"/>
                <w:lang w:val="en-US" w:eastAsia="zh-CN"/>
              </w:rPr>
            </w:pPr>
          </w:p>
        </w:tc>
      </w:tr>
      <w:tr w14:paraId="40D9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65" w:type="dxa"/>
            <w:noWrap w:val="0"/>
            <w:vAlign w:val="top"/>
          </w:tcPr>
          <w:p w14:paraId="6222B0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13E6339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57" w:type="dxa"/>
            <w:gridSpan w:val="2"/>
            <w:noWrap w:val="0"/>
            <w:vAlign w:val="top"/>
          </w:tcPr>
          <w:p w14:paraId="62CFCD6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1、实行12个月保修服务,终生维修:</w:t>
            </w:r>
          </w:p>
        </w:tc>
      </w:tr>
    </w:tbl>
    <w:p w14:paraId="72EFE3BB">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pacing w:val="0"/>
          <w:w w:val="100"/>
          <w:position w:val="0"/>
          <w:sz w:val="24"/>
          <w:szCs w:val="24"/>
          <w:highlight w:val="none"/>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6392"/>
      </w:tblGrid>
      <w:tr w14:paraId="02E8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30" w:type="dxa"/>
            <w:gridSpan w:val="2"/>
            <w:noWrap w:val="0"/>
            <w:vAlign w:val="center"/>
          </w:tcPr>
          <w:p w14:paraId="59079420">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设备名称</w:t>
            </w:r>
          </w:p>
        </w:tc>
        <w:tc>
          <w:tcPr>
            <w:tcW w:w="6392" w:type="dxa"/>
            <w:noWrap w:val="0"/>
            <w:vAlign w:val="center"/>
          </w:tcPr>
          <w:p w14:paraId="46C233E4">
            <w:pPr>
              <w:keepNext w:val="0"/>
              <w:keepLines w:val="0"/>
              <w:pageBreakBefore w:val="0"/>
              <w:widowControl w:val="0"/>
              <w:kinsoku/>
              <w:wordWrap/>
              <w:overflowPunct/>
              <w:topLinePunct w:val="0"/>
              <w:autoSpaceDE/>
              <w:autoSpaceDN/>
              <w:bidi w:val="0"/>
              <w:adjustRightInd/>
              <w:spacing w:line="360" w:lineRule="auto"/>
              <w:ind w:firstLine="1120" w:firstLineChars="4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医疗智能泥疗制造机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康复科</w:t>
            </w:r>
            <w:r>
              <w:rPr>
                <w:rFonts w:hint="eastAsia" w:ascii="宋体" w:hAnsi="宋体" w:eastAsia="宋体" w:cs="宋体"/>
                <w:sz w:val="28"/>
                <w:szCs w:val="28"/>
                <w:highlight w:val="none"/>
                <w:lang w:eastAsia="zh-CN"/>
              </w:rPr>
              <w:t>）</w:t>
            </w:r>
          </w:p>
        </w:tc>
      </w:tr>
      <w:tr w14:paraId="7FAB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30" w:type="dxa"/>
            <w:gridSpan w:val="2"/>
            <w:noWrap w:val="0"/>
            <w:vAlign w:val="center"/>
          </w:tcPr>
          <w:p w14:paraId="42654E9A">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使用科室</w:t>
            </w:r>
          </w:p>
        </w:tc>
        <w:tc>
          <w:tcPr>
            <w:tcW w:w="6392" w:type="dxa"/>
            <w:noWrap w:val="0"/>
            <w:vAlign w:val="center"/>
          </w:tcPr>
          <w:p w14:paraId="0F3EDF04">
            <w:pPr>
              <w:keepNext w:val="0"/>
              <w:keepLines w:val="0"/>
              <w:pageBreakBefore w:val="0"/>
              <w:widowControl w:val="0"/>
              <w:kinsoku/>
              <w:wordWrap/>
              <w:overflowPunct/>
              <w:topLinePunct w:val="0"/>
              <w:autoSpaceDE/>
              <w:autoSpaceDN/>
              <w:bidi w:val="0"/>
              <w:adjustRightInd/>
              <w:spacing w:line="360" w:lineRule="auto"/>
              <w:ind w:firstLine="2240" w:firstLineChars="8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康复科</w:t>
            </w:r>
          </w:p>
        </w:tc>
      </w:tr>
      <w:tr w14:paraId="78E4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65" w:type="dxa"/>
            <w:noWrap w:val="0"/>
            <w:vAlign w:val="top"/>
          </w:tcPr>
          <w:p w14:paraId="765EB5CF">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p>
          <w:p w14:paraId="7375A3AE">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p>
          <w:p w14:paraId="26B15124">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p>
          <w:p w14:paraId="7567F62D">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p>
          <w:p w14:paraId="464D32C9">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核</w:t>
            </w:r>
          </w:p>
          <w:p w14:paraId="4D4BDDB1">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心</w:t>
            </w:r>
          </w:p>
          <w:p w14:paraId="210ADBCF">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功</w:t>
            </w:r>
          </w:p>
          <w:p w14:paraId="13DE2D51">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能</w:t>
            </w:r>
          </w:p>
          <w:p w14:paraId="75E3087C">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及</w:t>
            </w:r>
          </w:p>
          <w:p w14:paraId="4C0C6BC9">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参</w:t>
            </w:r>
          </w:p>
          <w:p w14:paraId="51EAC59F">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数</w:t>
            </w:r>
          </w:p>
        </w:tc>
        <w:tc>
          <w:tcPr>
            <w:tcW w:w="7457" w:type="dxa"/>
            <w:gridSpan w:val="2"/>
            <w:noWrap w:val="0"/>
            <w:vAlign w:val="top"/>
          </w:tcPr>
          <w:p w14:paraId="544D32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功能：该仪器能智能搅拌，确保矿物泥混合均匀，并加热至熔融状态，同时通过智能温控系统维持恒温</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制饼</w:t>
            </w:r>
            <w:r>
              <w:rPr>
                <w:rFonts w:hint="eastAsia" w:ascii="宋体" w:hAnsi="宋体" w:eastAsia="宋体" w:cs="宋体"/>
                <w:color w:val="auto"/>
                <w:sz w:val="28"/>
                <w:szCs w:val="28"/>
                <w:highlight w:val="none"/>
              </w:rPr>
              <w:t>。</w:t>
            </w:r>
          </w:p>
          <w:p w14:paraId="18F09A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主要参数：</w:t>
            </w:r>
          </w:p>
          <w:p w14:paraId="14E2A51D">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主要组成：融泥箱、搅拌系统、泥饼制作箱；</w:t>
            </w:r>
          </w:p>
          <w:p w14:paraId="6191B791">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2.注册证适用范围：用于促进局部血液循环，促进上皮组织生长，软化松解瘢痕，消除肿胀，松解粘连，镇痛解痉的辅助治疗；</w:t>
            </w:r>
          </w:p>
          <w:p w14:paraId="6066D76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3.智能显示：智能液晶屏显示，仪器工作状态全程实时显示；</w:t>
            </w:r>
          </w:p>
          <w:p w14:paraId="0372E7F8">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融泥箱：温度范围：30℃-138℃，一键高温消毒；自动出泥装置、一键搅拌装置（间歇、持续搅拌模式可选），搅拌器有电机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电机具有过热保护功能；</w:t>
            </w:r>
          </w:p>
          <w:p w14:paraId="70072958">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泥饼制作箱：温度范围：30℃-98℃，智能温控；</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个盘；具有急融急冷及恒温控制装置；</w:t>
            </w:r>
          </w:p>
          <w:p w14:paraId="5D1A5EDA">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智能控制：时间、温度、工作参数设置记忆保存，无需重复设置</w:t>
            </w:r>
            <w:r>
              <w:rPr>
                <w:rFonts w:hint="eastAsia" w:ascii="宋体" w:hAnsi="宋体" w:eastAsia="宋体" w:cs="宋体"/>
                <w:color w:val="auto"/>
                <w:sz w:val="28"/>
                <w:szCs w:val="28"/>
                <w:highlight w:val="none"/>
                <w:lang w:eastAsia="zh-CN"/>
              </w:rPr>
              <w:t>；</w:t>
            </w:r>
          </w:p>
          <w:p w14:paraId="07D0D2F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消毒方式：</w:t>
            </w:r>
            <w:r>
              <w:rPr>
                <w:rFonts w:hint="eastAsia" w:ascii="宋体" w:hAnsi="宋体" w:eastAsia="宋体" w:cs="宋体"/>
                <w:color w:val="auto"/>
                <w:sz w:val="28"/>
                <w:szCs w:val="28"/>
                <w:highlight w:val="none"/>
                <w:lang w:val="en-US" w:eastAsia="zh-CN"/>
              </w:rPr>
              <w:t>高温消毒全面彻底</w:t>
            </w:r>
            <w:r>
              <w:rPr>
                <w:rFonts w:hint="eastAsia" w:ascii="宋体" w:hAnsi="宋体" w:eastAsia="宋体" w:cs="宋体"/>
                <w:color w:val="auto"/>
                <w:sz w:val="28"/>
                <w:szCs w:val="28"/>
                <w:highlight w:val="none"/>
                <w:lang w:eastAsia="zh-CN"/>
              </w:rPr>
              <w:t>；</w:t>
            </w:r>
          </w:p>
          <w:p w14:paraId="5091AEA5">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智能一键功能：消毒、搅拌</w:t>
            </w:r>
            <w:r>
              <w:rPr>
                <w:rFonts w:hint="eastAsia" w:ascii="宋体" w:hAnsi="宋体" w:eastAsia="宋体" w:cs="宋体"/>
                <w:color w:val="auto"/>
                <w:sz w:val="28"/>
                <w:szCs w:val="28"/>
                <w:highlight w:val="none"/>
                <w:lang w:eastAsia="zh-CN"/>
              </w:rPr>
              <w:t>；</w:t>
            </w:r>
          </w:p>
          <w:p w14:paraId="437CE0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防堵塞设计；有安全保护装置</w:t>
            </w:r>
          </w:p>
          <w:p w14:paraId="279EB433">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sz w:val="28"/>
                <w:szCs w:val="28"/>
                <w:highlight w:val="none"/>
                <w:lang w:val="en-US" w:eastAsia="zh-CN"/>
              </w:rPr>
            </w:pPr>
          </w:p>
        </w:tc>
      </w:tr>
      <w:tr w14:paraId="1500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065" w:type="dxa"/>
            <w:noWrap w:val="0"/>
            <w:vAlign w:val="top"/>
          </w:tcPr>
          <w:p w14:paraId="58E593C4">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辅助</w:t>
            </w:r>
          </w:p>
          <w:p w14:paraId="228CEB8E">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参数</w:t>
            </w:r>
          </w:p>
        </w:tc>
        <w:tc>
          <w:tcPr>
            <w:tcW w:w="7457" w:type="dxa"/>
            <w:gridSpan w:val="2"/>
            <w:noWrap w:val="0"/>
            <w:vAlign w:val="top"/>
          </w:tcPr>
          <w:p w14:paraId="6BD39D9E">
            <w:pPr>
              <w:keepNext w:val="0"/>
              <w:keepLines w:val="0"/>
              <w:pageBreakBefore w:val="0"/>
              <w:widowControl w:val="0"/>
              <w:numPr>
                <w:ilvl w:val="0"/>
                <w:numId w:val="8"/>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安全保护：多重安全保护装置，确保使用更安全。</w:t>
            </w:r>
          </w:p>
          <w:p w14:paraId="1917C3A5">
            <w:pPr>
              <w:keepNext w:val="0"/>
              <w:keepLines w:val="0"/>
              <w:pageBreakBefore w:val="0"/>
              <w:widowControl w:val="0"/>
              <w:numPr>
                <w:ilvl w:val="0"/>
                <w:numId w:val="8"/>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实行</w:t>
            </w:r>
            <w:r>
              <w:rPr>
                <w:rFonts w:hint="eastAsia" w:ascii="宋体" w:hAnsi="宋体" w:eastAsia="宋体" w:cs="宋体"/>
                <w:sz w:val="28"/>
                <w:szCs w:val="28"/>
                <w:highlight w:val="none"/>
                <w:lang w:val="en-US" w:eastAsia="zh-CN"/>
              </w:rPr>
              <w:t>24</w:t>
            </w:r>
            <w:r>
              <w:rPr>
                <w:rFonts w:hint="eastAsia" w:ascii="宋体" w:hAnsi="宋体" w:eastAsia="宋体" w:cs="宋体"/>
                <w:sz w:val="28"/>
                <w:szCs w:val="28"/>
                <w:highlight w:val="none"/>
              </w:rPr>
              <w:t>个月保修服务,终生维修。</w:t>
            </w:r>
          </w:p>
        </w:tc>
      </w:tr>
    </w:tbl>
    <w:p w14:paraId="6739C9F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color w:val="000000"/>
          <w:spacing w:val="0"/>
          <w:w w:val="100"/>
          <w:position w:val="0"/>
          <w:sz w:val="24"/>
          <w:szCs w:val="24"/>
          <w:highlight w:val="none"/>
          <w:lang w:val="en-US" w:eastAsia="zh-CN"/>
        </w:rPr>
        <w:br w:type="page"/>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6392"/>
      </w:tblGrid>
      <w:tr w14:paraId="78F6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130" w:type="dxa"/>
            <w:gridSpan w:val="2"/>
            <w:noWrap w:val="0"/>
            <w:vAlign w:val="center"/>
          </w:tcPr>
          <w:p w14:paraId="3F927E39">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392" w:type="dxa"/>
            <w:noWrap w:val="0"/>
            <w:vAlign w:val="center"/>
          </w:tcPr>
          <w:p w14:paraId="46E6527B">
            <w:pPr>
              <w:keepNext w:val="0"/>
              <w:keepLines w:val="0"/>
              <w:pageBreakBefore w:val="0"/>
              <w:widowControl w:val="0"/>
              <w:tabs>
                <w:tab w:val="left" w:pos="2308"/>
              </w:tabs>
              <w:kinsoku/>
              <w:wordWrap/>
              <w:overflowPunct/>
              <w:topLinePunct w:val="0"/>
              <w:autoSpaceDE/>
              <w:autoSpaceDN/>
              <w:bidi w:val="0"/>
              <w:adjustRightInd/>
              <w:snapToGrid/>
              <w:spacing w:line="360" w:lineRule="auto"/>
              <w:ind w:firstLine="1120" w:firstLineChars="4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肌电生物反馈训练系统（妇科）</w:t>
            </w:r>
          </w:p>
        </w:tc>
      </w:tr>
      <w:tr w14:paraId="01F8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gridSpan w:val="2"/>
            <w:noWrap w:val="0"/>
            <w:vAlign w:val="center"/>
          </w:tcPr>
          <w:p w14:paraId="153E8FEE">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392" w:type="dxa"/>
            <w:noWrap w:val="0"/>
            <w:vAlign w:val="center"/>
          </w:tcPr>
          <w:p w14:paraId="4D31C1A7">
            <w:pPr>
              <w:keepNext w:val="0"/>
              <w:keepLines w:val="0"/>
              <w:pageBreakBefore w:val="0"/>
              <w:widowControl w:val="0"/>
              <w:kinsoku/>
              <w:wordWrap/>
              <w:overflowPunct/>
              <w:topLinePunct w:val="0"/>
              <w:autoSpaceDE/>
              <w:autoSpaceDN/>
              <w:bidi w:val="0"/>
              <w:adjustRightInd/>
              <w:snapToGrid/>
              <w:spacing w:line="360" w:lineRule="auto"/>
              <w:ind w:firstLine="2520" w:firstLineChars="9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妇科</w:t>
            </w:r>
          </w:p>
        </w:tc>
      </w:tr>
      <w:tr w14:paraId="0CB3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0" w:hRule="atLeast"/>
        </w:trPr>
        <w:tc>
          <w:tcPr>
            <w:tcW w:w="1065" w:type="dxa"/>
            <w:noWrap w:val="0"/>
            <w:vAlign w:val="top"/>
          </w:tcPr>
          <w:p w14:paraId="51A1FB31">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352CC91E">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4C941BD1">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6F9C9AFA">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079DB7F3">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19AD1665">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736E0DC3">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7E410BC6">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57" w:type="dxa"/>
            <w:gridSpan w:val="2"/>
            <w:noWrap w:val="0"/>
            <w:vAlign w:val="top"/>
          </w:tcPr>
          <w:p w14:paraId="1484C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w:t>
            </w:r>
            <w:r>
              <w:rPr>
                <w:rFonts w:hint="eastAsia" w:ascii="宋体" w:hAnsi="宋体" w:eastAsia="宋体" w:cs="宋体"/>
                <w:sz w:val="28"/>
                <w:szCs w:val="28"/>
                <w:highlight w:val="none"/>
                <w:vertAlign w:val="baseline"/>
                <w:lang w:val="en-US" w:eastAsia="zh-CN"/>
              </w:rPr>
              <w:t>治疗</w:t>
            </w:r>
            <w:r>
              <w:rPr>
                <w:rFonts w:hint="eastAsia" w:ascii="宋体" w:hAnsi="宋体" w:eastAsia="宋体" w:cs="宋体"/>
                <w:sz w:val="28"/>
                <w:szCs w:val="28"/>
                <w:highlight w:val="none"/>
                <w:lang w:val="en-US" w:eastAsia="zh-CN"/>
              </w:rPr>
              <w:t>各种类型尿失禁、轻、中度子宫脱垂、阴道壁膨出、产后妇女常规的盆底肌肉锻炼。生物刺激反馈仪可以进行盆底评估、肌电评估、电刺激治疗，使肌肉被动进行收放锻炼，患者可以直观了解自身盆底肌的状态。</w:t>
            </w:r>
          </w:p>
          <w:p w14:paraId="4C0E24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39E46F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1.包括电刺激、反馈刺激、模块训练、生物反馈刺激。</w:t>
            </w:r>
          </w:p>
          <w:p w14:paraId="1EDB83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2.具备快速肌电评估、标准肌电评估。</w:t>
            </w:r>
          </w:p>
          <w:p w14:paraId="570EF1A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3.评估结果输出标准评估报告，包括评估指标数值、参考范围、盆底肌电图、报告解读。</w:t>
            </w:r>
          </w:p>
          <w:p w14:paraId="6E9932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4.有</w:t>
            </w:r>
            <w:r>
              <w:rPr>
                <w:rFonts w:hint="eastAsia" w:ascii="宋体" w:hAnsi="宋体" w:eastAsia="宋体" w:cs="宋体"/>
                <w:color w:val="auto"/>
                <w:sz w:val="28"/>
                <w:szCs w:val="28"/>
                <w:highlight w:val="none"/>
                <w:vertAlign w:val="baseline"/>
                <w:lang w:val="en-US" w:eastAsia="zh-CN"/>
              </w:rPr>
              <w:t>单</w:t>
            </w:r>
            <w:r>
              <w:rPr>
                <w:rFonts w:hint="eastAsia" w:ascii="宋体" w:hAnsi="宋体" w:cs="宋体"/>
                <w:color w:val="auto"/>
                <w:sz w:val="28"/>
                <w:szCs w:val="28"/>
                <w:highlight w:val="none"/>
                <w:vertAlign w:val="baseline"/>
                <w:lang w:val="en-US" w:eastAsia="zh-CN"/>
              </w:rPr>
              <w:t>向</w:t>
            </w:r>
            <w:r>
              <w:rPr>
                <w:rFonts w:hint="eastAsia" w:ascii="宋体" w:hAnsi="宋体" w:eastAsia="宋体" w:cs="宋体"/>
                <w:color w:val="auto"/>
                <w:sz w:val="28"/>
                <w:szCs w:val="28"/>
                <w:highlight w:val="none"/>
                <w:vertAlign w:val="baseline"/>
                <w:lang w:val="en-US" w:eastAsia="zh-CN"/>
              </w:rPr>
              <w:t>方波、双向方波、交替波三种</w:t>
            </w:r>
            <w:r>
              <w:rPr>
                <w:rFonts w:hint="eastAsia" w:ascii="宋体" w:hAnsi="宋体" w:eastAsia="宋体" w:cs="宋体"/>
                <w:sz w:val="28"/>
                <w:szCs w:val="28"/>
                <w:highlight w:val="none"/>
                <w:vertAlign w:val="baseline"/>
                <w:lang w:val="en-US" w:eastAsia="zh-CN"/>
              </w:rPr>
              <w:t>电刺激输出波形。</w:t>
            </w:r>
          </w:p>
        </w:tc>
      </w:tr>
      <w:tr w14:paraId="37CA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1065" w:type="dxa"/>
            <w:noWrap w:val="0"/>
            <w:vAlign w:val="top"/>
          </w:tcPr>
          <w:p w14:paraId="17797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lang w:eastAsia="zh-CN"/>
              </w:rPr>
            </w:pPr>
          </w:p>
          <w:p w14:paraId="38A21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2298AA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57" w:type="dxa"/>
            <w:gridSpan w:val="2"/>
            <w:noWrap w:val="0"/>
            <w:vAlign w:val="top"/>
          </w:tcPr>
          <w:p w14:paraId="103C1079">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电刺激脉宽：50--1000us</w:t>
            </w:r>
          </w:p>
          <w:p w14:paraId="16EF661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电刺激频率：1--250HZ</w:t>
            </w:r>
          </w:p>
          <w:p w14:paraId="5564D01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电刺激强度：0--100mA</w:t>
            </w:r>
          </w:p>
          <w:p w14:paraId="50F85B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8"/>
                <w:szCs w:val="28"/>
                <w:highlight w:val="none"/>
                <w:vertAlign w:val="baseline"/>
                <w:lang w:val="en-US" w:eastAsia="zh-CN"/>
              </w:rPr>
            </w:pPr>
          </w:p>
        </w:tc>
      </w:tr>
    </w:tbl>
    <w:p w14:paraId="72E06291">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4"/>
          <w:highlight w:val="none"/>
          <w:lang w:eastAsia="zh-CN"/>
        </w:rPr>
      </w:pPr>
    </w:p>
    <w:p w14:paraId="154117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6360"/>
      </w:tblGrid>
      <w:tr w14:paraId="5ACA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20" w:type="dxa"/>
            <w:gridSpan w:val="2"/>
            <w:noWrap w:val="0"/>
            <w:vAlign w:val="center"/>
          </w:tcPr>
          <w:p w14:paraId="2F7B0722">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360" w:type="dxa"/>
            <w:noWrap w:val="0"/>
            <w:vAlign w:val="center"/>
          </w:tcPr>
          <w:p w14:paraId="53D49D7F">
            <w:pPr>
              <w:keepNext w:val="0"/>
              <w:keepLines w:val="0"/>
              <w:pageBreakBefore w:val="0"/>
              <w:widowControl w:val="0"/>
              <w:tabs>
                <w:tab w:val="left" w:pos="2308"/>
              </w:tabs>
              <w:kinsoku/>
              <w:wordWrap/>
              <w:overflowPunct/>
              <w:topLinePunct w:val="0"/>
              <w:autoSpaceDE/>
              <w:autoSpaceDN/>
              <w:bidi w:val="0"/>
              <w:adjustRightInd/>
              <w:spacing w:line="360" w:lineRule="auto"/>
              <w:ind w:firstLine="1960" w:firstLineChars="7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红外光灸疗机</w:t>
            </w:r>
          </w:p>
        </w:tc>
      </w:tr>
      <w:tr w14:paraId="62B8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20" w:type="dxa"/>
            <w:gridSpan w:val="2"/>
            <w:noWrap w:val="0"/>
            <w:vAlign w:val="center"/>
          </w:tcPr>
          <w:p w14:paraId="6E4ED161">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360" w:type="dxa"/>
            <w:noWrap w:val="0"/>
            <w:vAlign w:val="center"/>
          </w:tcPr>
          <w:p w14:paraId="0693AB84">
            <w:pPr>
              <w:keepNext w:val="0"/>
              <w:keepLines w:val="0"/>
              <w:pageBreakBefore w:val="0"/>
              <w:widowControl w:val="0"/>
              <w:kinsoku/>
              <w:wordWrap/>
              <w:overflowPunct/>
              <w:topLinePunct w:val="0"/>
              <w:autoSpaceDE/>
              <w:autoSpaceDN/>
              <w:bidi w:val="0"/>
              <w:adjustRightInd/>
              <w:spacing w:line="360" w:lineRule="auto"/>
              <w:ind w:firstLine="2520" w:firstLineChars="9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妇科</w:t>
            </w:r>
          </w:p>
        </w:tc>
      </w:tr>
      <w:tr w14:paraId="2DD0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4" w:hRule="atLeast"/>
        </w:trPr>
        <w:tc>
          <w:tcPr>
            <w:tcW w:w="1060" w:type="dxa"/>
            <w:noWrap w:val="0"/>
            <w:vAlign w:val="top"/>
          </w:tcPr>
          <w:p w14:paraId="04D8C46E">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5E0D4FDB">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30CC5E63">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3DD0373A">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059B7707">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64FED7F8">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2E61335D">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2402BD25">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20" w:type="dxa"/>
            <w:gridSpan w:val="2"/>
            <w:noWrap w:val="0"/>
            <w:vAlign w:val="top"/>
          </w:tcPr>
          <w:p w14:paraId="71EA982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功能：红外光灸疗机利用红外线的热效应和艾灸作用照射于患处，使组织温度升高，毛细血管扩张，血流加快，增加细胞的新陈代谢，促进炎症消散，还有通经络、温阳扶正的作用。</w:t>
            </w:r>
          </w:p>
          <w:p w14:paraId="488B818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76A0B26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1.输入功率≥600VA；</w:t>
            </w:r>
          </w:p>
          <w:p w14:paraId="2D2A28B4">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2.红外光波长范围：760--1000nm；</w:t>
            </w:r>
          </w:p>
          <w:p w14:paraId="27F07DC7">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3.无烟灸疗；</w:t>
            </w:r>
          </w:p>
          <w:p w14:paraId="1C566A98">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4.红光和艾灸可同时使用。</w:t>
            </w:r>
          </w:p>
          <w:p w14:paraId="4A79E8B0">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5.输出通道≥2通道</w:t>
            </w:r>
          </w:p>
          <w:p w14:paraId="2D7060EF">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sz w:val="28"/>
                <w:szCs w:val="28"/>
                <w:highlight w:val="none"/>
                <w:vertAlign w:val="baseline"/>
                <w:lang w:val="en-US" w:eastAsia="zh-CN"/>
              </w:rPr>
            </w:pPr>
          </w:p>
        </w:tc>
      </w:tr>
      <w:tr w14:paraId="2587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1060" w:type="dxa"/>
            <w:noWrap w:val="0"/>
            <w:vAlign w:val="top"/>
          </w:tcPr>
          <w:p w14:paraId="3149C4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7D0C40A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20" w:type="dxa"/>
            <w:gridSpan w:val="2"/>
            <w:noWrap w:val="0"/>
            <w:vAlign w:val="top"/>
          </w:tcPr>
          <w:p w14:paraId="7DE97D2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p>
        </w:tc>
      </w:tr>
    </w:tbl>
    <w:p w14:paraId="711BDDA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highlight w:val="none"/>
        </w:rPr>
      </w:pPr>
    </w:p>
    <w:p w14:paraId="78798B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20"/>
          <w:sz w:val="36"/>
          <w:szCs w:val="36"/>
          <w:highlight w:val="none"/>
          <w:lang w:eastAsia="zh-CN"/>
        </w:rPr>
      </w:pPr>
    </w:p>
    <w:p w14:paraId="5E3D90B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20"/>
          <w:sz w:val="36"/>
          <w:szCs w:val="36"/>
          <w:highlight w:val="none"/>
          <w:lang w:eastAsia="zh-CN"/>
        </w:rPr>
      </w:pPr>
    </w:p>
    <w:p w14:paraId="4EF81A0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20"/>
          <w:sz w:val="36"/>
          <w:szCs w:val="36"/>
          <w:highlight w:val="none"/>
          <w:lang w:eastAsia="zh-CN"/>
        </w:rPr>
      </w:pPr>
    </w:p>
    <w:tbl>
      <w:tblPr>
        <w:tblStyle w:val="3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6390"/>
      </w:tblGrid>
      <w:tr w14:paraId="5005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30" w:type="dxa"/>
            <w:gridSpan w:val="2"/>
            <w:noWrap w:val="0"/>
            <w:vAlign w:val="center"/>
          </w:tcPr>
          <w:p w14:paraId="2FED8396">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390" w:type="dxa"/>
            <w:noWrap w:val="0"/>
            <w:vAlign w:val="center"/>
          </w:tcPr>
          <w:p w14:paraId="44F707D6">
            <w:pPr>
              <w:keepNext w:val="0"/>
              <w:keepLines w:val="0"/>
              <w:pageBreakBefore w:val="0"/>
              <w:widowControl w:val="0"/>
              <w:tabs>
                <w:tab w:val="left" w:pos="2308"/>
              </w:tabs>
              <w:kinsoku/>
              <w:wordWrap/>
              <w:overflowPunct/>
              <w:topLinePunct w:val="0"/>
              <w:autoSpaceDE/>
              <w:autoSpaceDN/>
              <w:bidi w:val="0"/>
              <w:adjustRightInd/>
              <w:spacing w:line="360" w:lineRule="auto"/>
              <w:ind w:firstLine="1960" w:firstLineChars="7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短波治疗仪</w:t>
            </w:r>
          </w:p>
        </w:tc>
      </w:tr>
      <w:tr w14:paraId="05CA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130" w:type="dxa"/>
            <w:gridSpan w:val="2"/>
            <w:noWrap w:val="0"/>
            <w:vAlign w:val="center"/>
          </w:tcPr>
          <w:p w14:paraId="64D80681">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390" w:type="dxa"/>
            <w:noWrap w:val="0"/>
            <w:vAlign w:val="center"/>
          </w:tcPr>
          <w:p w14:paraId="3AEC8C23">
            <w:pPr>
              <w:keepNext w:val="0"/>
              <w:keepLines w:val="0"/>
              <w:pageBreakBefore w:val="0"/>
              <w:widowControl w:val="0"/>
              <w:kinsoku/>
              <w:wordWrap/>
              <w:overflowPunct/>
              <w:topLinePunct w:val="0"/>
              <w:autoSpaceDE/>
              <w:autoSpaceDN/>
              <w:bidi w:val="0"/>
              <w:adjustRightInd/>
              <w:spacing w:line="360" w:lineRule="auto"/>
              <w:ind w:firstLine="2240" w:firstLineChars="8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妇科</w:t>
            </w:r>
          </w:p>
        </w:tc>
      </w:tr>
      <w:tr w14:paraId="4068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7" w:hRule="atLeast"/>
        </w:trPr>
        <w:tc>
          <w:tcPr>
            <w:tcW w:w="1065" w:type="dxa"/>
            <w:noWrap w:val="0"/>
            <w:vAlign w:val="top"/>
          </w:tcPr>
          <w:p w14:paraId="325E48B6">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76F57C31">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1ED4F29A">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225E99C7">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2C5DFBA8">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2BF5BC10">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4562A8E9">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54BA46C6">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261A20FA">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55" w:type="dxa"/>
            <w:gridSpan w:val="2"/>
            <w:noWrap w:val="0"/>
            <w:vAlign w:val="top"/>
          </w:tcPr>
          <w:p w14:paraId="24F030F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eastAsia="zh-CN"/>
              </w:rPr>
              <w:t>功能：</w:t>
            </w:r>
            <w:r>
              <w:rPr>
                <w:rFonts w:hint="eastAsia" w:ascii="宋体" w:hAnsi="宋体" w:eastAsia="宋体" w:cs="宋体"/>
                <w:sz w:val="28"/>
                <w:szCs w:val="28"/>
                <w:highlight w:val="none"/>
                <w:lang w:val="en-US" w:eastAsia="zh-CN"/>
              </w:rPr>
              <w:t>治疗盆腔炎性疾病、痛经等中药保留灌肠的辅助仪器。短波治疗仪，是利用生物物理的方法治疗的仪器，可以进行止痛、解痉、消炎的辅助治疗。</w:t>
            </w:r>
          </w:p>
          <w:p w14:paraId="06F377F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601CAC14">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1.工作频率≥27.12MH±1.5%；</w:t>
            </w:r>
          </w:p>
          <w:p w14:paraId="018B8E6A">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2.最大输出功率：≥150W±20%；</w:t>
            </w:r>
          </w:p>
          <w:p w14:paraId="3A3B3A8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3.输出功率稳定性：连续工作30min，输出功率变化不大于±10%。</w:t>
            </w:r>
          </w:p>
          <w:p w14:paraId="67118FB5">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4.配置治疗头数量≥2个</w:t>
            </w:r>
          </w:p>
          <w:p w14:paraId="19990EFB">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sz w:val="28"/>
                <w:szCs w:val="28"/>
                <w:highlight w:val="none"/>
                <w:vertAlign w:val="baseline"/>
                <w:lang w:val="en-US" w:eastAsia="zh-CN"/>
              </w:rPr>
            </w:pPr>
          </w:p>
        </w:tc>
      </w:tr>
      <w:tr w14:paraId="169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1065" w:type="dxa"/>
            <w:noWrap w:val="0"/>
            <w:vAlign w:val="top"/>
          </w:tcPr>
          <w:p w14:paraId="71325E6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3CEADCE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55" w:type="dxa"/>
            <w:gridSpan w:val="2"/>
            <w:noWrap w:val="0"/>
            <w:vAlign w:val="top"/>
          </w:tcPr>
          <w:p w14:paraId="6565CB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p>
        </w:tc>
      </w:tr>
    </w:tbl>
    <w:p w14:paraId="6E8C81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0"/>
          <w:w w:val="100"/>
          <w:position w:val="0"/>
          <w:sz w:val="24"/>
          <w:szCs w:val="24"/>
          <w:highlight w:val="none"/>
          <w:lang w:val="en-US" w:eastAsia="zh-CN"/>
        </w:rPr>
      </w:pPr>
    </w:p>
    <w:p w14:paraId="700C39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20"/>
          <w:sz w:val="36"/>
          <w:szCs w:val="36"/>
          <w:highlight w:val="none"/>
          <w:lang w:eastAsia="zh-CN"/>
        </w:rPr>
      </w:pPr>
    </w:p>
    <w:p w14:paraId="4D79D9F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20"/>
          <w:sz w:val="36"/>
          <w:szCs w:val="36"/>
          <w:highlight w:val="none"/>
          <w:lang w:eastAsia="zh-CN"/>
        </w:rPr>
      </w:pPr>
    </w:p>
    <w:p w14:paraId="318C3E7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20"/>
          <w:sz w:val="36"/>
          <w:szCs w:val="36"/>
          <w:highlight w:val="none"/>
          <w:lang w:eastAsia="zh-CN"/>
        </w:rPr>
      </w:pPr>
    </w:p>
    <w:p w14:paraId="248C4E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pacing w:val="0"/>
          <w:w w:val="100"/>
          <w:position w:val="0"/>
          <w:sz w:val="24"/>
          <w:szCs w:val="24"/>
          <w:highlight w:val="none"/>
          <w:lang w:val="en-US" w:eastAsia="zh-CN"/>
        </w:rPr>
      </w:pPr>
    </w:p>
    <w:tbl>
      <w:tblPr>
        <w:tblStyle w:val="30"/>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067"/>
        <w:gridCol w:w="6405"/>
      </w:tblGrid>
      <w:tr w14:paraId="3919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135" w:type="dxa"/>
            <w:gridSpan w:val="2"/>
            <w:noWrap w:val="0"/>
            <w:vAlign w:val="center"/>
          </w:tcPr>
          <w:p w14:paraId="7B785EBE">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设备名称</w:t>
            </w:r>
          </w:p>
        </w:tc>
        <w:tc>
          <w:tcPr>
            <w:tcW w:w="6405" w:type="dxa"/>
            <w:noWrap w:val="0"/>
            <w:vAlign w:val="center"/>
          </w:tcPr>
          <w:p w14:paraId="7DBC06A4">
            <w:pPr>
              <w:keepNext w:val="0"/>
              <w:keepLines w:val="0"/>
              <w:pageBreakBefore w:val="0"/>
              <w:widowControl w:val="0"/>
              <w:tabs>
                <w:tab w:val="left" w:pos="2308"/>
              </w:tabs>
              <w:kinsoku/>
              <w:wordWrap/>
              <w:overflowPunct/>
              <w:topLinePunct w:val="0"/>
              <w:autoSpaceDE/>
              <w:autoSpaceDN/>
              <w:bidi w:val="0"/>
              <w:adjustRightInd/>
              <w:spacing w:line="360" w:lineRule="auto"/>
              <w:ind w:firstLine="1680" w:firstLineChars="6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红光治疗仪（妇科）</w:t>
            </w:r>
          </w:p>
        </w:tc>
      </w:tr>
      <w:tr w14:paraId="2A7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135" w:type="dxa"/>
            <w:gridSpan w:val="2"/>
            <w:noWrap w:val="0"/>
            <w:vAlign w:val="center"/>
          </w:tcPr>
          <w:p w14:paraId="2936E8D7">
            <w:pPr>
              <w:keepNext w:val="0"/>
              <w:keepLines w:val="0"/>
              <w:pageBreakBefore w:val="0"/>
              <w:widowControl w:val="0"/>
              <w:kinsoku/>
              <w:wordWrap/>
              <w:overflowPunct/>
              <w:topLinePunct w:val="0"/>
              <w:autoSpaceDE/>
              <w:autoSpaceDN/>
              <w:bidi w:val="0"/>
              <w:adjustRightInd/>
              <w:spacing w:line="360" w:lineRule="auto"/>
              <w:ind w:firstLine="280" w:firstLineChars="100"/>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使用科室</w:t>
            </w:r>
          </w:p>
        </w:tc>
        <w:tc>
          <w:tcPr>
            <w:tcW w:w="6405" w:type="dxa"/>
            <w:noWrap w:val="0"/>
            <w:vAlign w:val="center"/>
          </w:tcPr>
          <w:p w14:paraId="73369190">
            <w:pPr>
              <w:keepNext w:val="0"/>
              <w:keepLines w:val="0"/>
              <w:pageBreakBefore w:val="0"/>
              <w:widowControl w:val="0"/>
              <w:kinsoku/>
              <w:wordWrap/>
              <w:overflowPunct/>
              <w:topLinePunct w:val="0"/>
              <w:autoSpaceDE/>
              <w:autoSpaceDN/>
              <w:bidi w:val="0"/>
              <w:adjustRightInd/>
              <w:spacing w:line="360" w:lineRule="auto"/>
              <w:ind w:firstLine="2520" w:firstLineChars="90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妇科</w:t>
            </w:r>
          </w:p>
        </w:tc>
      </w:tr>
      <w:tr w14:paraId="31F7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1" w:hRule="atLeast"/>
        </w:trPr>
        <w:tc>
          <w:tcPr>
            <w:tcW w:w="1068" w:type="dxa"/>
            <w:noWrap w:val="0"/>
            <w:vAlign w:val="top"/>
          </w:tcPr>
          <w:p w14:paraId="5795CAB9">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1FB0EDAF">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p>
          <w:p w14:paraId="51234560">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核</w:t>
            </w:r>
          </w:p>
          <w:p w14:paraId="50FA0587">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心</w:t>
            </w:r>
          </w:p>
          <w:p w14:paraId="0402EDCB">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w:t>
            </w:r>
          </w:p>
          <w:p w14:paraId="67A6B583">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能</w:t>
            </w:r>
          </w:p>
          <w:p w14:paraId="0B2D0D33">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及</w:t>
            </w:r>
          </w:p>
          <w:p w14:paraId="467F1FB3">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w:t>
            </w:r>
          </w:p>
          <w:p w14:paraId="594CD346">
            <w:pPr>
              <w:keepNext w:val="0"/>
              <w:keepLines w:val="0"/>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数</w:t>
            </w:r>
          </w:p>
        </w:tc>
        <w:tc>
          <w:tcPr>
            <w:tcW w:w="7472" w:type="dxa"/>
            <w:gridSpan w:val="2"/>
            <w:noWrap w:val="0"/>
            <w:vAlign w:val="top"/>
          </w:tcPr>
          <w:p w14:paraId="79CCF7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功能：</w:t>
            </w:r>
            <w:r>
              <w:rPr>
                <w:rFonts w:hint="eastAsia" w:ascii="宋体" w:hAnsi="宋体" w:eastAsia="宋体" w:cs="宋体"/>
                <w:sz w:val="28"/>
                <w:szCs w:val="28"/>
                <w:highlight w:val="none"/>
              </w:rPr>
              <w:t>用于宫颈炎、外阴营养不良、慢性外阴炎、慢性阴道炎、产后感染及手术后创面愈合、急性乳腺炎等治疗。在促进炎症清除、伤口及溃疡的愈合同时减少药物的使用量和频率</w:t>
            </w:r>
            <w:r>
              <w:rPr>
                <w:rFonts w:hint="eastAsia" w:ascii="宋体" w:hAnsi="宋体" w:eastAsia="宋体" w:cs="宋体"/>
                <w:sz w:val="28"/>
                <w:szCs w:val="28"/>
                <w:highlight w:val="none"/>
                <w:lang w:eastAsia="zh-CN"/>
              </w:rPr>
              <w:t>。</w:t>
            </w:r>
          </w:p>
          <w:p w14:paraId="1483547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主要参数：</w:t>
            </w:r>
          </w:p>
          <w:p w14:paraId="2E336169">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1.半导体固态冷光源</w:t>
            </w:r>
          </w:p>
          <w:p w14:paraId="436BB30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2.峰值波长：640nm±10nm</w:t>
            </w:r>
          </w:p>
          <w:p w14:paraId="0BE55597">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3.光功率密度：≧1200mw/cm²</w:t>
            </w:r>
          </w:p>
          <w:p w14:paraId="05E972B6">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4.出光口最大光功率密度≧200mw/cm²</w:t>
            </w:r>
          </w:p>
          <w:p w14:paraId="6FFEFAC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5.最大治疗深度:≧10cm</w:t>
            </w:r>
          </w:p>
          <w:p w14:paraId="7D0F24C5">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val="en-US" w:eastAsia="zh-CN"/>
              </w:rPr>
              <w:t>6.有效红光辐射度≧30mw/cm²</w:t>
            </w:r>
          </w:p>
        </w:tc>
      </w:tr>
      <w:tr w14:paraId="7AA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068" w:type="dxa"/>
            <w:noWrap w:val="0"/>
            <w:vAlign w:val="top"/>
          </w:tcPr>
          <w:p w14:paraId="035955B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辅助</w:t>
            </w:r>
          </w:p>
          <w:p w14:paraId="730E3B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8"/>
                <w:szCs w:val="28"/>
                <w:highlight w:val="none"/>
                <w:vertAlign w:val="baseline"/>
                <w:lang w:eastAsia="zh-CN"/>
              </w:rPr>
            </w:pPr>
            <w:r>
              <w:rPr>
                <w:rFonts w:hint="eastAsia" w:ascii="宋体" w:hAnsi="宋体" w:eastAsia="宋体" w:cs="宋体"/>
                <w:sz w:val="28"/>
                <w:szCs w:val="28"/>
                <w:highlight w:val="none"/>
                <w:vertAlign w:val="baseline"/>
                <w:lang w:eastAsia="zh-CN"/>
              </w:rPr>
              <w:t>参数</w:t>
            </w:r>
          </w:p>
        </w:tc>
        <w:tc>
          <w:tcPr>
            <w:tcW w:w="7472" w:type="dxa"/>
            <w:gridSpan w:val="2"/>
            <w:noWrap w:val="0"/>
            <w:vAlign w:val="top"/>
          </w:tcPr>
          <w:p w14:paraId="09ADBCE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能量调节方式：三级能量调节</w:t>
            </w:r>
          </w:p>
          <w:p w14:paraId="7716B3A4">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sz w:val="28"/>
                <w:szCs w:val="28"/>
                <w:highlight w:val="none"/>
                <w:vertAlign w:val="baseline"/>
                <w:lang w:val="en-US" w:eastAsia="zh-CN"/>
              </w:rPr>
            </w:pPr>
          </w:p>
        </w:tc>
      </w:tr>
    </w:tbl>
    <w:p w14:paraId="468588C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highlight w:val="none"/>
        </w:rPr>
      </w:pPr>
    </w:p>
    <w:p w14:paraId="463AB4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highlight w:val="none"/>
        </w:rPr>
      </w:pPr>
    </w:p>
    <w:p w14:paraId="2D32973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highlight w:val="none"/>
        </w:rPr>
      </w:pPr>
    </w:p>
    <w:p w14:paraId="0314C191">
      <w:pPr>
        <w:jc w:val="both"/>
        <w:rPr>
          <w:rFonts w:hint="eastAsia" w:ascii="宋体" w:hAnsi="宋体" w:eastAsia="宋体" w:cs="宋体"/>
          <w:b/>
          <w:bCs/>
          <w:color w:val="auto"/>
          <w:kern w:val="44"/>
          <w:sz w:val="44"/>
          <w:szCs w:val="44"/>
          <w:highlight w:val="none"/>
          <w:lang w:val="en-US" w:eastAsia="zh-CN" w:bidi="ar-SA"/>
        </w:rPr>
      </w:pPr>
    </w:p>
    <w:p w14:paraId="2D570897">
      <w:pPr>
        <w:pStyle w:val="2"/>
        <w:numPr>
          <w:ilvl w:val="0"/>
          <w:numId w:val="5"/>
        </w:numPr>
        <w:autoSpaceDN w:val="0"/>
        <w:adjustRightInd w:val="0"/>
        <w:snapToGrid w:val="0"/>
        <w:spacing w:before="0" w:after="0" w:line="360" w:lineRule="auto"/>
        <w:jc w:val="center"/>
        <w:rPr>
          <w:rFonts w:hint="eastAsia" w:ascii="宋体" w:hAnsi="宋体" w:eastAsia="宋体" w:cs="宋体"/>
          <w:color w:val="auto"/>
          <w:highlight w:val="none"/>
          <w:lang w:eastAsia="zh-CN"/>
        </w:rPr>
      </w:pPr>
      <w:bookmarkStart w:id="93" w:name="_Toc29783"/>
      <w:r>
        <w:rPr>
          <w:rFonts w:hint="eastAsia" w:ascii="宋体" w:hAnsi="宋体" w:eastAsia="宋体" w:cs="宋体"/>
          <w:color w:val="auto"/>
          <w:highlight w:val="none"/>
          <w:lang w:val="en-US" w:eastAsia="zh-CN"/>
        </w:rPr>
        <w:t>合同条款及格式</w:t>
      </w:r>
      <w:bookmarkEnd w:id="84"/>
      <w:bookmarkEnd w:id="85"/>
      <w:bookmarkEnd w:id="86"/>
      <w:bookmarkEnd w:id="87"/>
      <w:bookmarkEnd w:id="88"/>
      <w:bookmarkEnd w:id="89"/>
      <w:bookmarkEnd w:id="90"/>
      <w:bookmarkEnd w:id="91"/>
      <w:bookmarkEnd w:id="92"/>
      <w:bookmarkEnd w:id="93"/>
      <w:bookmarkStart w:id="94" w:name="_Toc502304491"/>
    </w:p>
    <w:p w14:paraId="09F4182A">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95" w:name="_Toc9722"/>
    </w:p>
    <w:p w14:paraId="1B3C0AEE">
      <w:pPr>
        <w:pStyle w:val="25"/>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lang w:eastAsia="zh-CN"/>
        </w:rPr>
      </w:pPr>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95"/>
      <w:r>
        <w:rPr>
          <w:rFonts w:hint="eastAsia" w:ascii="宋体" w:hAnsi="宋体" w:cs="宋体"/>
          <w:b/>
          <w:bCs/>
          <w:caps w:val="0"/>
          <w:color w:val="auto"/>
          <w:sz w:val="28"/>
          <w:szCs w:val="28"/>
          <w:highlight w:val="none"/>
          <w:vertAlign w:val="baseline"/>
          <w:lang w:eastAsia="zh-CN"/>
        </w:rPr>
        <w:t>。</w:t>
      </w:r>
    </w:p>
    <w:p w14:paraId="007B20DD">
      <w:pPr>
        <w:autoSpaceDN w:val="0"/>
        <w:adjustRightInd w:val="0"/>
        <w:snapToGrid w:val="0"/>
        <w:spacing w:line="360" w:lineRule="auto"/>
        <w:jc w:val="center"/>
        <w:rPr>
          <w:rFonts w:hint="eastAsia" w:ascii="宋体" w:hAnsi="宋体" w:eastAsia="宋体" w:cs="宋体"/>
          <w:b/>
          <w:bCs/>
          <w:color w:val="auto"/>
          <w:sz w:val="32"/>
          <w:szCs w:val="32"/>
          <w:highlight w:val="none"/>
        </w:rPr>
      </w:pPr>
    </w:p>
    <w:p w14:paraId="00E9AE0E">
      <w:pPr>
        <w:rPr>
          <w:rFonts w:hint="eastAsia" w:ascii="宋体" w:hAnsi="宋体" w:eastAsia="宋体" w:cs="宋体"/>
          <w:b/>
          <w:bCs/>
          <w:color w:val="auto"/>
          <w:kern w:val="44"/>
          <w:sz w:val="44"/>
          <w:szCs w:val="44"/>
          <w:highlight w:val="none"/>
        </w:rPr>
      </w:pPr>
      <w:bookmarkStart w:id="96" w:name="_Toc9933"/>
      <w:r>
        <w:rPr>
          <w:rFonts w:hint="eastAsia" w:ascii="宋体" w:hAnsi="宋体" w:eastAsia="宋体" w:cs="宋体"/>
          <w:b/>
          <w:bCs/>
          <w:color w:val="auto"/>
          <w:kern w:val="44"/>
          <w:sz w:val="44"/>
          <w:szCs w:val="44"/>
          <w:highlight w:val="none"/>
        </w:rPr>
        <w:br w:type="page"/>
      </w:r>
    </w:p>
    <w:p w14:paraId="0166CB7D">
      <w:pPr>
        <w:autoSpaceDN w:val="0"/>
        <w:adjustRightInd w:val="0"/>
        <w:snapToGrid w:val="0"/>
        <w:spacing w:line="360" w:lineRule="auto"/>
        <w:jc w:val="center"/>
        <w:outlineLvl w:val="0"/>
        <w:rPr>
          <w:rFonts w:hint="eastAsia" w:ascii="宋体" w:hAnsi="宋体" w:eastAsia="宋体" w:cs="宋体"/>
          <w:color w:val="auto"/>
          <w:szCs w:val="21"/>
          <w:highlight w:val="none"/>
        </w:rPr>
      </w:pPr>
      <w:bookmarkStart w:id="97" w:name="_Toc22814"/>
      <w:r>
        <w:rPr>
          <w:rFonts w:hint="eastAsia" w:ascii="宋体" w:hAnsi="宋体" w:eastAsia="宋体" w:cs="宋体"/>
          <w:b/>
          <w:bCs/>
          <w:color w:val="auto"/>
          <w:kern w:val="44"/>
          <w:sz w:val="44"/>
          <w:szCs w:val="44"/>
          <w:highlight w:val="none"/>
        </w:rPr>
        <w:t xml:space="preserve">第六部分 </w:t>
      </w:r>
      <w:bookmarkEnd w:id="94"/>
      <w:r>
        <w:rPr>
          <w:rFonts w:hint="eastAsia" w:ascii="宋体" w:hAnsi="宋体" w:eastAsia="宋体" w:cs="宋体"/>
          <w:b/>
          <w:bCs/>
          <w:color w:val="auto"/>
          <w:kern w:val="44"/>
          <w:sz w:val="44"/>
          <w:szCs w:val="44"/>
          <w:highlight w:val="none"/>
        </w:rPr>
        <w:t>投标文件格式</w:t>
      </w:r>
      <w:bookmarkEnd w:id="96"/>
      <w:bookmarkEnd w:id="97"/>
    </w:p>
    <w:p w14:paraId="5F169807">
      <w:pPr>
        <w:autoSpaceDN w:val="0"/>
        <w:adjustRightInd w:val="0"/>
        <w:snapToGrid w:val="0"/>
        <w:spacing w:line="360" w:lineRule="auto"/>
        <w:rPr>
          <w:rFonts w:hint="eastAsia" w:ascii="宋体" w:hAnsi="宋体" w:eastAsia="宋体" w:cs="宋体"/>
          <w:color w:val="auto"/>
          <w:szCs w:val="21"/>
          <w:highlight w:val="none"/>
        </w:rPr>
      </w:pPr>
      <w:bookmarkStart w:id="98" w:name="_Toc246996354"/>
      <w:bookmarkStart w:id="99" w:name="_Toc152042575"/>
      <w:bookmarkStart w:id="100" w:name="_Toc152045786"/>
      <w:bookmarkStart w:id="101" w:name="_Toc247085872"/>
      <w:bookmarkStart w:id="102" w:name="_Toc246997097"/>
      <w:bookmarkStart w:id="103" w:name="_Toc179632806"/>
      <w:bookmarkStart w:id="104" w:name="_Toc144974855"/>
    </w:p>
    <w:p w14:paraId="4842F8C4">
      <w:pPr>
        <w:pStyle w:val="47"/>
        <w:widowControl w:val="0"/>
        <w:numPr>
          <w:ilvl w:val="0"/>
          <w:numId w:val="0"/>
        </w:numPr>
        <w:spacing w:line="360" w:lineRule="auto"/>
        <w:jc w:val="both"/>
        <w:rPr>
          <w:rFonts w:hint="eastAsia" w:ascii="宋体" w:hAnsi="宋体" w:eastAsia="宋体" w:cs="宋体"/>
          <w:color w:val="auto"/>
          <w:szCs w:val="21"/>
          <w:highlight w:val="none"/>
        </w:rPr>
      </w:pPr>
    </w:p>
    <w:p w14:paraId="51B92750">
      <w:pPr>
        <w:pStyle w:val="47"/>
        <w:widowControl w:val="0"/>
        <w:numPr>
          <w:ilvl w:val="0"/>
          <w:numId w:val="0"/>
        </w:numPr>
        <w:spacing w:line="360" w:lineRule="auto"/>
        <w:jc w:val="both"/>
        <w:rPr>
          <w:rFonts w:hint="eastAsia" w:ascii="宋体" w:hAnsi="宋体" w:eastAsia="宋体" w:cs="宋体"/>
          <w:color w:val="auto"/>
          <w:szCs w:val="21"/>
          <w:highlight w:val="none"/>
        </w:rPr>
      </w:pPr>
    </w:p>
    <w:p w14:paraId="22236D8C">
      <w:pPr>
        <w:pStyle w:val="47"/>
        <w:widowControl w:val="0"/>
        <w:numPr>
          <w:ilvl w:val="0"/>
          <w:numId w:val="0"/>
        </w:numPr>
        <w:spacing w:line="360" w:lineRule="auto"/>
        <w:jc w:val="both"/>
        <w:rPr>
          <w:rFonts w:hint="eastAsia" w:ascii="宋体" w:hAnsi="宋体" w:eastAsia="宋体" w:cs="宋体"/>
          <w:color w:val="auto"/>
          <w:szCs w:val="21"/>
          <w:highlight w:val="none"/>
        </w:rPr>
      </w:pPr>
    </w:p>
    <w:p w14:paraId="3A04F7E8">
      <w:pPr>
        <w:pStyle w:val="47"/>
        <w:widowControl w:val="0"/>
        <w:numPr>
          <w:ilvl w:val="0"/>
          <w:numId w:val="0"/>
        </w:numPr>
        <w:spacing w:line="360" w:lineRule="auto"/>
        <w:jc w:val="both"/>
        <w:rPr>
          <w:rFonts w:hint="eastAsia" w:ascii="宋体" w:hAnsi="宋体" w:eastAsia="宋体" w:cs="宋体"/>
          <w:color w:val="auto"/>
          <w:szCs w:val="21"/>
          <w:highlight w:val="none"/>
        </w:rPr>
      </w:pPr>
    </w:p>
    <w:p w14:paraId="57A1EBD6">
      <w:pPr>
        <w:autoSpaceDN w:val="0"/>
        <w:adjustRightInd w:val="0"/>
        <w:snapToGrid w:val="0"/>
        <w:spacing w:line="360" w:lineRule="auto"/>
        <w:rPr>
          <w:rFonts w:hint="eastAsia" w:ascii="宋体" w:hAnsi="宋体" w:eastAsia="宋体" w:cs="宋体"/>
          <w:color w:val="auto"/>
          <w:sz w:val="24"/>
          <w:highlight w:val="none"/>
        </w:rPr>
      </w:pPr>
    </w:p>
    <w:p w14:paraId="327D6ED0">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66F492">
      <w:pPr>
        <w:spacing w:line="300" w:lineRule="auto"/>
        <w:rPr>
          <w:rFonts w:hint="eastAsia" w:ascii="宋体" w:hAnsi="宋体" w:eastAsia="宋体" w:cs="宋体"/>
          <w:color w:val="auto"/>
          <w:sz w:val="20"/>
          <w:szCs w:val="20"/>
          <w:highlight w:val="none"/>
        </w:rPr>
      </w:pPr>
    </w:p>
    <w:p w14:paraId="1A2F246A">
      <w:pPr>
        <w:spacing w:line="300" w:lineRule="auto"/>
        <w:rPr>
          <w:rFonts w:hint="eastAsia" w:ascii="宋体" w:hAnsi="宋体" w:eastAsia="宋体" w:cs="宋体"/>
          <w:color w:val="auto"/>
          <w:sz w:val="20"/>
          <w:szCs w:val="20"/>
          <w:highlight w:val="none"/>
        </w:rPr>
      </w:pPr>
    </w:p>
    <w:p w14:paraId="49BCD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144"/>
          <w:szCs w:val="144"/>
          <w:highlight w:val="none"/>
          <w:vertAlign w:val="baseline"/>
          <w:lang w:val="en-US" w:eastAsia="zh-CN" w:bidi="ar"/>
        </w:rPr>
      </w:pPr>
      <w:r>
        <w:rPr>
          <w:rFonts w:hint="eastAsia" w:ascii="宋体" w:hAnsi="宋体" w:eastAsia="宋体" w:cs="宋体"/>
          <w:b w:val="0"/>
          <w:bCs w:val="0"/>
          <w:caps w:val="0"/>
          <w:color w:val="000000"/>
          <w:kern w:val="0"/>
          <w:sz w:val="84"/>
          <w:szCs w:val="84"/>
          <w:highlight w:val="none"/>
          <w:vertAlign w:val="baseline"/>
          <w:lang w:val="en-US" w:eastAsia="zh-CN" w:bidi="ar"/>
        </w:rPr>
        <w:t>投 标 文 件</w:t>
      </w:r>
    </w:p>
    <w:p w14:paraId="1C142C9F">
      <w:pPr>
        <w:spacing w:line="300" w:lineRule="auto"/>
        <w:rPr>
          <w:rFonts w:hint="eastAsia" w:ascii="宋体" w:hAnsi="宋体" w:eastAsia="宋体" w:cs="宋体"/>
          <w:color w:val="auto"/>
          <w:sz w:val="28"/>
          <w:szCs w:val="28"/>
          <w:highlight w:val="none"/>
        </w:rPr>
      </w:pPr>
    </w:p>
    <w:p w14:paraId="032D8C26">
      <w:pPr>
        <w:spacing w:line="300" w:lineRule="auto"/>
        <w:rPr>
          <w:rFonts w:hint="eastAsia" w:ascii="宋体" w:hAnsi="宋体" w:eastAsia="宋体" w:cs="宋体"/>
          <w:color w:val="auto"/>
          <w:sz w:val="28"/>
          <w:szCs w:val="28"/>
          <w:highlight w:val="none"/>
        </w:rPr>
      </w:pPr>
    </w:p>
    <w:p w14:paraId="19B12EC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25AFED69">
      <w:pPr>
        <w:spacing w:line="300" w:lineRule="auto"/>
        <w:rPr>
          <w:rFonts w:hint="eastAsia" w:ascii="宋体" w:hAnsi="宋体" w:eastAsia="宋体" w:cs="宋体"/>
          <w:color w:val="auto"/>
          <w:sz w:val="28"/>
          <w:szCs w:val="28"/>
          <w:highlight w:val="none"/>
        </w:rPr>
      </w:pPr>
    </w:p>
    <w:p w14:paraId="7BA020F0">
      <w:pPr>
        <w:spacing w:line="300" w:lineRule="auto"/>
        <w:rPr>
          <w:rFonts w:hint="eastAsia" w:ascii="宋体" w:hAnsi="宋体" w:eastAsia="宋体" w:cs="宋体"/>
          <w:color w:val="auto"/>
          <w:sz w:val="28"/>
          <w:szCs w:val="28"/>
          <w:highlight w:val="none"/>
        </w:rPr>
      </w:pPr>
    </w:p>
    <w:p w14:paraId="26B8C8EA">
      <w:pPr>
        <w:spacing w:line="300" w:lineRule="auto"/>
        <w:rPr>
          <w:rFonts w:hint="eastAsia" w:ascii="宋体" w:hAnsi="宋体" w:eastAsia="宋体" w:cs="宋体"/>
          <w:color w:val="auto"/>
          <w:sz w:val="28"/>
          <w:szCs w:val="28"/>
          <w:highlight w:val="none"/>
        </w:rPr>
      </w:pPr>
    </w:p>
    <w:p w14:paraId="018F37CF">
      <w:pPr>
        <w:spacing w:line="300" w:lineRule="auto"/>
        <w:rPr>
          <w:rFonts w:hint="eastAsia" w:ascii="宋体" w:hAnsi="宋体" w:eastAsia="宋体" w:cs="宋体"/>
          <w:color w:val="auto"/>
          <w:sz w:val="28"/>
          <w:szCs w:val="28"/>
          <w:highlight w:val="none"/>
        </w:rPr>
      </w:pPr>
    </w:p>
    <w:p w14:paraId="54A86B00">
      <w:pPr>
        <w:spacing w:line="300" w:lineRule="auto"/>
        <w:rPr>
          <w:rFonts w:hint="eastAsia" w:ascii="宋体" w:hAnsi="宋体" w:eastAsia="宋体" w:cs="宋体"/>
          <w:color w:val="auto"/>
          <w:sz w:val="28"/>
          <w:szCs w:val="28"/>
          <w:highlight w:val="none"/>
        </w:rPr>
      </w:pPr>
    </w:p>
    <w:p w14:paraId="650BABAE">
      <w:pPr>
        <w:spacing w:line="300" w:lineRule="auto"/>
        <w:rPr>
          <w:rFonts w:hint="eastAsia" w:ascii="宋体" w:hAnsi="宋体" w:eastAsia="宋体" w:cs="宋体"/>
          <w:color w:val="auto"/>
          <w:sz w:val="28"/>
          <w:szCs w:val="28"/>
          <w:highlight w:val="none"/>
        </w:rPr>
      </w:pPr>
    </w:p>
    <w:p w14:paraId="32C10CA1">
      <w:pPr>
        <w:spacing w:line="300" w:lineRule="auto"/>
        <w:rPr>
          <w:rFonts w:hint="eastAsia" w:ascii="宋体" w:hAnsi="宋体" w:eastAsia="宋体" w:cs="宋体"/>
          <w:color w:val="auto"/>
          <w:sz w:val="28"/>
          <w:szCs w:val="28"/>
          <w:highlight w:val="none"/>
        </w:rPr>
      </w:pPr>
    </w:p>
    <w:p w14:paraId="44E9FFE9">
      <w:pPr>
        <w:spacing w:line="300" w:lineRule="auto"/>
        <w:rPr>
          <w:rFonts w:hint="eastAsia" w:ascii="宋体" w:hAnsi="宋体" w:eastAsia="宋体" w:cs="宋体"/>
          <w:color w:val="auto"/>
          <w:sz w:val="28"/>
          <w:szCs w:val="28"/>
          <w:highlight w:val="none"/>
        </w:rPr>
      </w:pPr>
    </w:p>
    <w:p w14:paraId="18B265FF">
      <w:pPr>
        <w:spacing w:line="300" w:lineRule="auto"/>
        <w:rPr>
          <w:rFonts w:hint="eastAsia" w:ascii="宋体" w:hAnsi="宋体" w:eastAsia="宋体" w:cs="宋体"/>
          <w:color w:val="auto"/>
          <w:sz w:val="28"/>
          <w:szCs w:val="28"/>
          <w:highlight w:val="none"/>
        </w:rPr>
      </w:pPr>
    </w:p>
    <w:p w14:paraId="43D1CCF9">
      <w:pPr>
        <w:spacing w:line="30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cs="宋体"/>
          <w:color w:val="auto"/>
          <w:sz w:val="28"/>
          <w:szCs w:val="28"/>
          <w:highlight w:val="none"/>
          <w:lang w:val="en-US" w:eastAsia="zh-CN"/>
        </w:rPr>
        <w:t xml:space="preserve"> 名 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E07DED2">
      <w:pPr>
        <w:spacing w:line="30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14:paraId="3A2FB84D">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19C4852F">
      <w:pPr>
        <w:spacing w:line="300" w:lineRule="auto"/>
        <w:jc w:val="center"/>
        <w:rPr>
          <w:rFonts w:hint="eastAsia" w:ascii="宋体" w:hAnsi="宋体" w:eastAsia="宋体" w:cs="宋体"/>
          <w:color w:val="auto"/>
          <w:sz w:val="28"/>
          <w:szCs w:val="28"/>
          <w:highlight w:val="none"/>
          <w:u w:val="single"/>
        </w:rPr>
      </w:pPr>
    </w:p>
    <w:p w14:paraId="6BA44EDB">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F37B0C8">
      <w:pPr>
        <w:spacing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105" w:name="_Toc351644310"/>
      <w:bookmarkStart w:id="106" w:name="_Toc350070692"/>
    </w:p>
    <w:p w14:paraId="695B71EB">
      <w:pPr>
        <w:pStyle w:val="3"/>
        <w:spacing w:before="0" w:after="0" w:line="300" w:lineRule="auto"/>
        <w:jc w:val="center"/>
        <w:rPr>
          <w:rFonts w:hint="eastAsia" w:ascii="宋体" w:hAnsi="宋体" w:eastAsia="宋体" w:cs="宋体"/>
          <w:color w:val="auto"/>
          <w:highlight w:val="none"/>
        </w:rPr>
      </w:pPr>
      <w:bookmarkStart w:id="107" w:name="_Toc409424403"/>
      <w:bookmarkStart w:id="108" w:name="_Toc468267480"/>
      <w:bookmarkStart w:id="109" w:name="_Toc6886"/>
      <w:bookmarkStart w:id="110" w:name="_Toc409424342"/>
      <w:r>
        <w:rPr>
          <w:rFonts w:hint="eastAsia" w:ascii="宋体" w:hAnsi="宋体" w:eastAsia="宋体" w:cs="宋体"/>
          <w:color w:val="auto"/>
          <w:highlight w:val="none"/>
        </w:rPr>
        <w:t>目    录</w:t>
      </w:r>
      <w:bookmarkEnd w:id="105"/>
      <w:bookmarkEnd w:id="106"/>
      <w:bookmarkEnd w:id="107"/>
      <w:bookmarkEnd w:id="108"/>
      <w:bookmarkEnd w:id="109"/>
      <w:bookmarkEnd w:id="110"/>
    </w:p>
    <w:p w14:paraId="720586DE">
      <w:pPr>
        <w:spacing w:line="300" w:lineRule="auto"/>
        <w:rPr>
          <w:rFonts w:hint="eastAsia" w:ascii="宋体" w:hAnsi="宋体" w:eastAsia="宋体" w:cs="宋体"/>
          <w:color w:val="auto"/>
          <w:highlight w:val="none"/>
        </w:rPr>
      </w:pPr>
    </w:p>
    <w:p w14:paraId="2B67E0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5E9854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一、投标函及投标函附录 </w:t>
      </w:r>
    </w:p>
    <w:p w14:paraId="3DF3BA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二、开标一览表</w:t>
      </w:r>
    </w:p>
    <w:p w14:paraId="3CC33D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三、法定代表人身份证明、授权委托书 </w:t>
      </w:r>
    </w:p>
    <w:p w14:paraId="37212C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四、投标报价表</w:t>
      </w:r>
    </w:p>
    <w:p w14:paraId="1981E6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五、服务承诺</w:t>
      </w:r>
    </w:p>
    <w:p w14:paraId="53229B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六、资格审查资料 </w:t>
      </w:r>
    </w:p>
    <w:p w14:paraId="752757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七、中小企业声明函</w:t>
      </w:r>
    </w:p>
    <w:p w14:paraId="7BB20F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八、</w:t>
      </w:r>
      <w:r>
        <w:rPr>
          <w:rFonts w:hint="eastAsia" w:ascii="宋体" w:hAnsi="宋体" w:cs="宋体"/>
          <w:b w:val="0"/>
          <w:bCs w:val="0"/>
          <w:caps w:val="0"/>
          <w:color w:val="auto"/>
          <w:kern w:val="0"/>
          <w:sz w:val="24"/>
          <w:szCs w:val="24"/>
          <w:highlight w:val="none"/>
          <w:vertAlign w:val="baseline"/>
          <w:lang w:val="en-US" w:eastAsia="zh-CN" w:bidi="ar"/>
        </w:rPr>
        <w:t>技术</w:t>
      </w:r>
      <w:r>
        <w:rPr>
          <w:rFonts w:hint="eastAsia" w:ascii="宋体" w:hAnsi="宋体" w:eastAsia="宋体" w:cs="宋体"/>
          <w:b w:val="0"/>
          <w:bCs w:val="0"/>
          <w:caps w:val="0"/>
          <w:color w:val="auto"/>
          <w:kern w:val="0"/>
          <w:sz w:val="24"/>
          <w:szCs w:val="24"/>
          <w:highlight w:val="none"/>
          <w:vertAlign w:val="baseline"/>
          <w:lang w:val="en-US" w:eastAsia="zh-CN" w:bidi="ar"/>
        </w:rPr>
        <w:t>方案</w:t>
      </w:r>
    </w:p>
    <w:p w14:paraId="4DD3C2C4">
      <w:pPr>
        <w:pStyle w:val="47"/>
        <w:numPr>
          <w:ilvl w:val="0"/>
          <w:numId w:val="0"/>
        </w:numPr>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aps w:val="0"/>
          <w:color w:val="auto"/>
          <w:kern w:val="0"/>
          <w:sz w:val="24"/>
          <w:szCs w:val="24"/>
          <w:highlight w:val="none"/>
          <w:vertAlign w:val="baseline"/>
          <w:lang w:val="en-US" w:eastAsia="zh-CN" w:bidi="ar"/>
        </w:rPr>
        <w:t>九、其他材料</w:t>
      </w:r>
    </w:p>
    <w:p w14:paraId="0DC9EC2D">
      <w:pPr>
        <w:spacing w:line="600" w:lineRule="auto"/>
        <w:rPr>
          <w:rFonts w:hint="eastAsia" w:ascii="宋体" w:hAnsi="宋体" w:eastAsia="宋体" w:cs="宋体"/>
          <w:color w:val="auto"/>
          <w:sz w:val="20"/>
          <w:szCs w:val="20"/>
          <w:highlight w:val="none"/>
        </w:rPr>
      </w:pPr>
      <w:r>
        <w:rPr>
          <w:rFonts w:hint="eastAsia" w:ascii="宋体" w:hAnsi="宋体" w:eastAsia="宋体" w:cs="宋体"/>
          <w:color w:val="auto"/>
          <w:highlight w:val="none"/>
        </w:rPr>
        <w:br w:type="page"/>
      </w:r>
    </w:p>
    <w:p w14:paraId="65CD8511">
      <w:pPr>
        <w:pStyle w:val="3"/>
        <w:spacing w:before="0" w:after="0" w:line="300" w:lineRule="auto"/>
        <w:jc w:val="center"/>
        <w:rPr>
          <w:rFonts w:hint="eastAsia" w:ascii="宋体" w:hAnsi="宋体" w:eastAsia="宋体" w:cs="宋体"/>
          <w:color w:val="auto"/>
          <w:highlight w:val="none"/>
        </w:rPr>
      </w:pPr>
      <w:bookmarkStart w:id="111" w:name="_Toc409424404"/>
      <w:bookmarkStart w:id="112" w:name="_Toc351644311"/>
      <w:bookmarkStart w:id="113" w:name="_Toc18663"/>
      <w:bookmarkStart w:id="114" w:name="_Toc468267481"/>
      <w:bookmarkStart w:id="115" w:name="_Toc350070693"/>
      <w:bookmarkStart w:id="116" w:name="_Toc409424343"/>
      <w:r>
        <w:rPr>
          <w:rFonts w:hint="eastAsia" w:ascii="宋体" w:hAnsi="宋体" w:eastAsia="宋体" w:cs="宋体"/>
          <w:color w:val="auto"/>
          <w:highlight w:val="none"/>
        </w:rPr>
        <w:t>一、投标函及投标函附录</w:t>
      </w:r>
      <w:bookmarkEnd w:id="111"/>
      <w:bookmarkEnd w:id="112"/>
      <w:bookmarkEnd w:id="113"/>
      <w:bookmarkEnd w:id="114"/>
      <w:bookmarkEnd w:id="115"/>
      <w:bookmarkEnd w:id="116"/>
    </w:p>
    <w:p w14:paraId="0CCC6A60">
      <w:pPr>
        <w:pStyle w:val="4"/>
        <w:spacing w:before="0" w:after="0" w:line="300" w:lineRule="auto"/>
        <w:jc w:val="center"/>
        <w:rPr>
          <w:rFonts w:hint="eastAsia" w:ascii="宋体" w:hAnsi="宋体" w:eastAsia="宋体" w:cs="宋体"/>
          <w:color w:val="auto"/>
          <w:highlight w:val="none"/>
        </w:rPr>
      </w:pPr>
      <w:bookmarkStart w:id="117" w:name="_Toc468267482"/>
      <w:bookmarkStart w:id="118" w:name="_Toc409424405"/>
      <w:bookmarkStart w:id="119" w:name="_Toc350070694"/>
      <w:bookmarkStart w:id="120" w:name="_Toc409424344"/>
      <w:bookmarkStart w:id="121" w:name="_Toc22985"/>
      <w:bookmarkStart w:id="122" w:name="_Toc351644312"/>
      <w:r>
        <w:rPr>
          <w:rFonts w:hint="eastAsia" w:ascii="宋体" w:hAnsi="宋体" w:eastAsia="宋体" w:cs="宋体"/>
          <w:color w:val="auto"/>
          <w:highlight w:val="none"/>
        </w:rPr>
        <w:t>（一）投标函</w:t>
      </w:r>
      <w:bookmarkEnd w:id="117"/>
      <w:bookmarkEnd w:id="118"/>
      <w:bookmarkEnd w:id="119"/>
      <w:bookmarkEnd w:id="120"/>
      <w:bookmarkEnd w:id="121"/>
      <w:bookmarkEnd w:id="122"/>
    </w:p>
    <w:p w14:paraId="404305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7756545D">
      <w:pPr>
        <w:spacing w:line="360" w:lineRule="auto"/>
        <w:rPr>
          <w:rFonts w:hint="eastAsia" w:ascii="宋体" w:hAnsi="宋体" w:eastAsia="宋体" w:cs="宋体"/>
          <w:color w:val="auto"/>
          <w:sz w:val="24"/>
          <w:szCs w:val="24"/>
          <w:highlight w:val="none"/>
        </w:rPr>
      </w:pPr>
    </w:p>
    <w:p w14:paraId="366A19C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项目       </w:t>
      </w:r>
      <w:r>
        <w:rPr>
          <w:rFonts w:hint="eastAsia" w:ascii="宋体" w:hAnsi="宋体" w:eastAsia="宋体" w:cs="宋体"/>
          <w:color w:val="auto"/>
          <w:sz w:val="24"/>
          <w:szCs w:val="24"/>
          <w:highlight w:val="none"/>
        </w:rPr>
        <w:t>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）的价格投标，</w:t>
      </w:r>
      <w:r>
        <w:rPr>
          <w:rFonts w:hint="eastAsia" w:ascii="宋体" w:hAnsi="宋体" w:cs="宋体"/>
          <w:color w:val="auto"/>
          <w:sz w:val="24"/>
          <w:szCs w:val="24"/>
          <w:highlight w:val="none"/>
          <w:lang w:eastAsia="zh-CN"/>
        </w:rPr>
        <w:t>供货期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，按合同约定实施和完成承包项目，质量达到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8683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2．我方承诺在招标文件规定的投标有效期内不修改、撤销投标文件。</w:t>
      </w:r>
    </w:p>
    <w:p w14:paraId="5C5A166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如我方中标：</w:t>
      </w:r>
    </w:p>
    <w:p w14:paraId="688D45B9">
      <w:pPr>
        <w:spacing w:line="48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006CD9EB">
      <w:pPr>
        <w:spacing w:line="48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 附录属于合同文件的组成部分。</w:t>
      </w:r>
    </w:p>
    <w:p w14:paraId="764F3242">
      <w:pPr>
        <w:spacing w:line="48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（3）我方承诺在合同约定的期限内完成并移交全部合同项目。</w:t>
      </w:r>
    </w:p>
    <w:p w14:paraId="3CB876AE">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．我方在此声明，所递交的投标文件及有关资料内容完整、真实和准确</w:t>
      </w:r>
      <w:r>
        <w:rPr>
          <w:rFonts w:hint="eastAsia" w:ascii="宋体" w:hAnsi="宋体" w:eastAsia="宋体" w:cs="宋体"/>
          <w:color w:val="auto"/>
          <w:sz w:val="24"/>
          <w:szCs w:val="24"/>
          <w:highlight w:val="none"/>
          <w:lang w:eastAsia="zh-CN"/>
        </w:rPr>
        <w:t>。</w:t>
      </w:r>
    </w:p>
    <w:p w14:paraId="04E8FEE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10C59BA3">
      <w:pPr>
        <w:pStyle w:val="47"/>
        <w:widowControl w:val="0"/>
        <w:numPr>
          <w:ilvl w:val="0"/>
          <w:numId w:val="0"/>
        </w:numPr>
        <w:spacing w:line="360" w:lineRule="auto"/>
        <w:jc w:val="both"/>
        <w:rPr>
          <w:rFonts w:hint="eastAsia" w:ascii="宋体" w:hAnsi="宋体" w:eastAsia="宋体" w:cs="宋体"/>
          <w:color w:val="auto"/>
          <w:sz w:val="24"/>
          <w:szCs w:val="24"/>
          <w:highlight w:val="none"/>
        </w:rPr>
      </w:pPr>
    </w:p>
    <w:p w14:paraId="2D052D4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17582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E7519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1E85F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5BB4A2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015DAA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43E099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15BC24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658EB4">
      <w:pPr>
        <w:spacing w:line="300" w:lineRule="auto"/>
        <w:rPr>
          <w:rFonts w:hint="eastAsia" w:ascii="宋体" w:hAnsi="宋体" w:eastAsia="宋体" w:cs="宋体"/>
          <w:color w:val="auto"/>
          <w:szCs w:val="21"/>
          <w:highlight w:val="none"/>
        </w:rPr>
      </w:pPr>
    </w:p>
    <w:p w14:paraId="5380E0A1">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13D551ED">
      <w:pPr>
        <w:pStyle w:val="4"/>
        <w:spacing w:before="0" w:after="0" w:line="300" w:lineRule="auto"/>
        <w:jc w:val="center"/>
        <w:rPr>
          <w:rFonts w:hint="eastAsia" w:ascii="宋体" w:hAnsi="宋体" w:eastAsia="宋体" w:cs="宋体"/>
          <w:color w:val="auto"/>
          <w:highlight w:val="none"/>
        </w:rPr>
      </w:pPr>
      <w:bookmarkStart w:id="123" w:name="_Toc468267483"/>
      <w:bookmarkStart w:id="124" w:name="_Toc409424406"/>
      <w:bookmarkStart w:id="125" w:name="_Toc409424345"/>
      <w:bookmarkStart w:id="126" w:name="_Toc351644313"/>
      <w:bookmarkStart w:id="127" w:name="_Toc14240"/>
      <w:bookmarkStart w:id="128" w:name="_Toc350070695"/>
      <w:r>
        <w:rPr>
          <w:rFonts w:hint="eastAsia" w:ascii="宋体" w:hAnsi="宋体" w:eastAsia="宋体" w:cs="宋体"/>
          <w:color w:val="auto"/>
          <w:highlight w:val="none"/>
        </w:rPr>
        <w:t>（二）投标函附录</w:t>
      </w:r>
      <w:bookmarkEnd w:id="123"/>
      <w:bookmarkEnd w:id="124"/>
      <w:bookmarkEnd w:id="125"/>
      <w:bookmarkEnd w:id="126"/>
      <w:bookmarkEnd w:id="127"/>
      <w:bookmarkEnd w:id="128"/>
    </w:p>
    <w:p w14:paraId="5543AB27">
      <w:pPr>
        <w:spacing w:line="300" w:lineRule="auto"/>
        <w:rPr>
          <w:rFonts w:hint="eastAsia" w:ascii="宋体" w:hAnsi="宋体" w:eastAsia="宋体" w:cs="宋体"/>
          <w:color w:val="auto"/>
          <w:sz w:val="20"/>
          <w:szCs w:val="20"/>
          <w:highlight w:val="none"/>
        </w:rPr>
      </w:pPr>
    </w:p>
    <w:tbl>
      <w:tblPr>
        <w:tblStyle w:val="29"/>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110"/>
        <w:gridCol w:w="4676"/>
        <w:gridCol w:w="1618"/>
      </w:tblGrid>
      <w:tr w14:paraId="39DD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502269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0" w:type="dxa"/>
            <w:vAlign w:val="center"/>
          </w:tcPr>
          <w:p w14:paraId="0668AD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4676" w:type="dxa"/>
            <w:vAlign w:val="center"/>
          </w:tcPr>
          <w:p w14:paraId="7F8E9C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1618" w:type="dxa"/>
            <w:vAlign w:val="center"/>
          </w:tcPr>
          <w:p w14:paraId="170CEB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r>
      <w:tr w14:paraId="25E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14242B55">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0" w:type="dxa"/>
            <w:vAlign w:val="center"/>
          </w:tcPr>
          <w:p w14:paraId="71A91B99">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4676" w:type="dxa"/>
            <w:vAlign w:val="center"/>
          </w:tcPr>
          <w:p w14:paraId="787FE9B1">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p>
        </w:tc>
        <w:tc>
          <w:tcPr>
            <w:tcW w:w="1618" w:type="dxa"/>
            <w:vAlign w:val="center"/>
          </w:tcPr>
          <w:p w14:paraId="383B6170">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6DB7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28FD164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0" w:type="dxa"/>
            <w:vAlign w:val="center"/>
          </w:tcPr>
          <w:p w14:paraId="32074560">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4676" w:type="dxa"/>
            <w:vAlign w:val="center"/>
          </w:tcPr>
          <w:p w14:paraId="196944A7">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90天</w:t>
            </w:r>
          </w:p>
        </w:tc>
        <w:tc>
          <w:tcPr>
            <w:tcW w:w="1618" w:type="dxa"/>
            <w:vAlign w:val="center"/>
          </w:tcPr>
          <w:p w14:paraId="4D494571">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2121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4BC4AAAB">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110" w:type="dxa"/>
            <w:shd w:val="clear" w:color="auto" w:fill="auto"/>
            <w:vAlign w:val="center"/>
          </w:tcPr>
          <w:p w14:paraId="0CC53FAA">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权利义务</w:t>
            </w:r>
          </w:p>
        </w:tc>
        <w:tc>
          <w:tcPr>
            <w:tcW w:w="4676" w:type="dxa"/>
            <w:vAlign w:val="center"/>
          </w:tcPr>
          <w:p w14:paraId="0461B255">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18" w:type="dxa"/>
            <w:vAlign w:val="center"/>
          </w:tcPr>
          <w:p w14:paraId="2601FAB2">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471A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75A20954">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10" w:type="dxa"/>
            <w:shd w:val="clear" w:color="auto" w:fill="auto"/>
            <w:vAlign w:val="center"/>
          </w:tcPr>
          <w:p w14:paraId="383092D1">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服务地点</w:t>
            </w:r>
          </w:p>
        </w:tc>
        <w:tc>
          <w:tcPr>
            <w:tcW w:w="4676" w:type="dxa"/>
            <w:vAlign w:val="center"/>
          </w:tcPr>
          <w:p w14:paraId="64523DF2">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18" w:type="dxa"/>
            <w:vAlign w:val="center"/>
          </w:tcPr>
          <w:p w14:paraId="210511ED">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63D7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4FD09C8B">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10" w:type="dxa"/>
            <w:vAlign w:val="center"/>
          </w:tcPr>
          <w:p w14:paraId="2082B619">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p>
        </w:tc>
        <w:tc>
          <w:tcPr>
            <w:tcW w:w="4676" w:type="dxa"/>
            <w:vAlign w:val="center"/>
          </w:tcPr>
          <w:p w14:paraId="7C9D6506">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bCs/>
                <w:color w:val="auto"/>
                <w:sz w:val="24"/>
                <w:szCs w:val="24"/>
                <w:highlight w:val="none"/>
                <w:lang w:val="zh-CN"/>
              </w:rPr>
            </w:pPr>
          </w:p>
        </w:tc>
        <w:tc>
          <w:tcPr>
            <w:tcW w:w="1618" w:type="dxa"/>
            <w:vAlign w:val="center"/>
          </w:tcPr>
          <w:p w14:paraId="3DD18FC4">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6B3F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874" w:type="dxa"/>
            <w:vAlign w:val="center"/>
          </w:tcPr>
          <w:p w14:paraId="788B7976">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10" w:type="dxa"/>
            <w:vAlign w:val="center"/>
          </w:tcPr>
          <w:p w14:paraId="2AB323A9">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p>
        </w:tc>
        <w:tc>
          <w:tcPr>
            <w:tcW w:w="4676" w:type="dxa"/>
            <w:vAlign w:val="center"/>
          </w:tcPr>
          <w:p w14:paraId="22E5BC9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lang w:val="zh-CN"/>
              </w:rPr>
            </w:pPr>
          </w:p>
        </w:tc>
        <w:tc>
          <w:tcPr>
            <w:tcW w:w="1618" w:type="dxa"/>
            <w:vAlign w:val="center"/>
          </w:tcPr>
          <w:p w14:paraId="59FD227F">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r w14:paraId="6162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874" w:type="dxa"/>
            <w:vAlign w:val="center"/>
          </w:tcPr>
          <w:p w14:paraId="2F013D4B">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10" w:type="dxa"/>
            <w:vAlign w:val="center"/>
          </w:tcPr>
          <w:p w14:paraId="423C0733">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76" w:type="dxa"/>
            <w:vAlign w:val="center"/>
          </w:tcPr>
          <w:p w14:paraId="3EEC2FDA">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18" w:type="dxa"/>
            <w:vAlign w:val="center"/>
          </w:tcPr>
          <w:p w14:paraId="7BD1952B">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bl>
    <w:p w14:paraId="6A3F0A7D">
      <w:pPr>
        <w:spacing w:line="300" w:lineRule="auto"/>
        <w:ind w:left="840" w:leftChars="400" w:firstLine="2200" w:firstLineChars="1100"/>
        <w:rPr>
          <w:rFonts w:hint="eastAsia" w:ascii="宋体" w:hAnsi="宋体" w:eastAsia="宋体" w:cs="宋体"/>
          <w:color w:val="auto"/>
          <w:sz w:val="20"/>
          <w:szCs w:val="20"/>
          <w:highlight w:val="none"/>
        </w:rPr>
      </w:pPr>
    </w:p>
    <w:p w14:paraId="003A20AA">
      <w:pPr>
        <w:pStyle w:val="3"/>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highlight w:val="none"/>
        </w:rPr>
        <w:t xml:space="preserve"> </w:t>
      </w:r>
      <w:bookmarkStart w:id="129" w:name="_Toc409424407"/>
      <w:bookmarkStart w:id="130" w:name="_Toc468267484"/>
      <w:bookmarkStart w:id="131" w:name="_Toc409424346"/>
      <w:bookmarkStart w:id="132" w:name="_Toc2326"/>
      <w:bookmarkStart w:id="133" w:name="_Toc350070696"/>
      <w:bookmarkStart w:id="134" w:name="_Toc351644314"/>
      <w:r>
        <w:rPr>
          <w:rFonts w:hint="eastAsia" w:ascii="宋体" w:hAnsi="宋体" w:eastAsia="宋体" w:cs="宋体"/>
          <w:color w:val="auto"/>
          <w:highlight w:val="none"/>
        </w:rPr>
        <w:t>二、开标一览表</w:t>
      </w:r>
      <w:bookmarkEnd w:id="129"/>
      <w:bookmarkEnd w:id="130"/>
      <w:bookmarkEnd w:id="131"/>
      <w:bookmarkEnd w:id="132"/>
      <w:bookmarkEnd w:id="133"/>
      <w:bookmarkEnd w:id="134"/>
    </w:p>
    <w:p w14:paraId="36A4A5B5">
      <w:pPr>
        <w:spacing w:line="300" w:lineRule="auto"/>
        <w:ind w:left="13" w:leftChars="-51" w:hanging="120" w:hanging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6BACBFB4">
      <w:pPr>
        <w:spacing w:line="300" w:lineRule="auto"/>
        <w:ind w:left="13" w:leftChars="-51"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29"/>
        <w:tblW w:w="95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9"/>
        <w:gridCol w:w="7900"/>
      </w:tblGrid>
      <w:tr w14:paraId="583AC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30120823">
            <w:pPr>
              <w:spacing w:line="30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名称</w:t>
            </w:r>
          </w:p>
        </w:tc>
        <w:tc>
          <w:tcPr>
            <w:tcW w:w="7900" w:type="dxa"/>
            <w:tcBorders>
              <w:top w:val="single" w:color="auto" w:sz="4" w:space="0"/>
              <w:left w:val="single" w:color="auto" w:sz="4" w:space="0"/>
              <w:bottom w:val="single" w:color="auto" w:sz="4" w:space="0"/>
              <w:right w:val="single" w:color="auto" w:sz="4" w:space="0"/>
            </w:tcBorders>
            <w:vAlign w:val="center"/>
          </w:tcPr>
          <w:p w14:paraId="3D6CD3D8">
            <w:pPr>
              <w:spacing w:line="300" w:lineRule="auto"/>
              <w:jc w:val="center"/>
              <w:rPr>
                <w:rFonts w:hint="eastAsia" w:ascii="宋体" w:hAnsi="宋体" w:eastAsia="宋体" w:cs="宋体"/>
                <w:color w:val="auto"/>
                <w:sz w:val="24"/>
                <w:szCs w:val="24"/>
                <w:highlight w:val="none"/>
              </w:rPr>
            </w:pPr>
          </w:p>
        </w:tc>
      </w:tr>
      <w:tr w14:paraId="4FB19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00AD32FE">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900" w:type="dxa"/>
            <w:tcBorders>
              <w:top w:val="single" w:color="auto" w:sz="4" w:space="0"/>
              <w:left w:val="single" w:color="auto" w:sz="4" w:space="0"/>
              <w:bottom w:val="single" w:color="auto" w:sz="4" w:space="0"/>
              <w:right w:val="single" w:color="auto" w:sz="4" w:space="0"/>
            </w:tcBorders>
            <w:vAlign w:val="center"/>
          </w:tcPr>
          <w:p w14:paraId="476A903E">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元</w:t>
            </w:r>
          </w:p>
        </w:tc>
      </w:tr>
      <w:tr w14:paraId="03552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6D12BFD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900" w:type="dxa"/>
            <w:tcBorders>
              <w:top w:val="single" w:color="auto" w:sz="4" w:space="0"/>
              <w:left w:val="single" w:color="auto" w:sz="4" w:space="0"/>
              <w:bottom w:val="single" w:color="auto" w:sz="4" w:space="0"/>
              <w:right w:val="single" w:color="auto" w:sz="4" w:space="0"/>
            </w:tcBorders>
            <w:vAlign w:val="center"/>
          </w:tcPr>
          <w:p w14:paraId="370A2487">
            <w:pPr>
              <w:spacing w:line="300" w:lineRule="auto"/>
              <w:rPr>
                <w:rFonts w:hint="eastAsia" w:ascii="宋体" w:hAnsi="宋体" w:eastAsia="宋体" w:cs="宋体"/>
                <w:color w:val="auto"/>
                <w:sz w:val="24"/>
                <w:szCs w:val="24"/>
                <w:highlight w:val="none"/>
              </w:rPr>
            </w:pPr>
          </w:p>
        </w:tc>
      </w:tr>
      <w:tr w14:paraId="1A3AE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7DEFAB2C">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供货期</w:t>
            </w:r>
          </w:p>
        </w:tc>
        <w:tc>
          <w:tcPr>
            <w:tcW w:w="7900" w:type="dxa"/>
            <w:tcBorders>
              <w:top w:val="single" w:color="auto" w:sz="4" w:space="0"/>
              <w:left w:val="single" w:color="auto" w:sz="4" w:space="0"/>
              <w:bottom w:val="single" w:color="auto" w:sz="4" w:space="0"/>
              <w:right w:val="single" w:color="auto" w:sz="4" w:space="0"/>
            </w:tcBorders>
            <w:vAlign w:val="center"/>
          </w:tcPr>
          <w:p w14:paraId="5B7FD018">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0E755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6C48CCB5">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7900" w:type="dxa"/>
            <w:tcBorders>
              <w:top w:val="single" w:color="auto" w:sz="4" w:space="0"/>
              <w:left w:val="single" w:color="auto" w:sz="4" w:space="0"/>
              <w:bottom w:val="single" w:color="auto" w:sz="4" w:space="0"/>
              <w:right w:val="single" w:color="auto" w:sz="4" w:space="0"/>
            </w:tcBorders>
            <w:vAlign w:val="center"/>
          </w:tcPr>
          <w:p w14:paraId="0E4CEC9A">
            <w:pPr>
              <w:spacing w:line="300" w:lineRule="auto"/>
              <w:jc w:val="center"/>
              <w:rPr>
                <w:rFonts w:hint="eastAsia" w:ascii="宋体" w:hAnsi="宋体" w:eastAsia="宋体" w:cs="宋体"/>
                <w:color w:val="auto"/>
                <w:sz w:val="24"/>
                <w:szCs w:val="24"/>
                <w:highlight w:val="none"/>
              </w:rPr>
            </w:pPr>
          </w:p>
        </w:tc>
      </w:tr>
      <w:tr w14:paraId="3C7FB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3" w:hRule="atLeast"/>
          <w:jc w:val="center"/>
        </w:trPr>
        <w:tc>
          <w:tcPr>
            <w:tcW w:w="1699" w:type="dxa"/>
            <w:tcBorders>
              <w:top w:val="single" w:color="auto" w:sz="4" w:space="0"/>
              <w:left w:val="single" w:color="auto" w:sz="4" w:space="0"/>
              <w:bottom w:val="single" w:color="auto" w:sz="4" w:space="0"/>
              <w:right w:val="single" w:color="auto" w:sz="4" w:space="0"/>
            </w:tcBorders>
            <w:vAlign w:val="center"/>
          </w:tcPr>
          <w:p w14:paraId="5E1809E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00" w:type="dxa"/>
            <w:tcBorders>
              <w:top w:val="single" w:color="auto" w:sz="4" w:space="0"/>
              <w:left w:val="single" w:color="auto" w:sz="4" w:space="0"/>
              <w:bottom w:val="single" w:color="auto" w:sz="4" w:space="0"/>
              <w:right w:val="single" w:color="auto" w:sz="4" w:space="0"/>
            </w:tcBorders>
          </w:tcPr>
          <w:p w14:paraId="78C77399">
            <w:pPr>
              <w:numPr>
                <w:ilvl w:val="0"/>
                <w:numId w:val="10"/>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填报的内容必须和投标文件及投标函中的内容一致。</w:t>
            </w:r>
          </w:p>
          <w:p w14:paraId="5C2C4280">
            <w:pPr>
              <w:numPr>
                <w:ilvl w:val="0"/>
                <w:numId w:val="10"/>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服务承诺详细内容必须在投标书中载明，如内容较多，本表只填写“有”“无”即可。</w:t>
            </w:r>
          </w:p>
          <w:p w14:paraId="39A52F3C">
            <w:pPr>
              <w:numPr>
                <w:ilvl w:val="0"/>
                <w:numId w:val="10"/>
              </w:numPr>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投标报价以元为单位，最多保留小数点后两位有效数字。</w:t>
            </w:r>
          </w:p>
        </w:tc>
      </w:tr>
      <w:tr w14:paraId="039A2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6" w:hRule="atLeast"/>
          <w:jc w:val="center"/>
        </w:trPr>
        <w:tc>
          <w:tcPr>
            <w:tcW w:w="9599" w:type="dxa"/>
            <w:gridSpan w:val="2"/>
            <w:tcBorders>
              <w:top w:val="single" w:color="auto" w:sz="4" w:space="0"/>
              <w:left w:val="single" w:color="auto" w:sz="4" w:space="0"/>
              <w:bottom w:val="single" w:color="auto" w:sz="4" w:space="0"/>
              <w:right w:val="single" w:color="auto" w:sz="4" w:space="0"/>
            </w:tcBorders>
            <w:vAlign w:val="center"/>
          </w:tcPr>
          <w:p w14:paraId="47B11BEF">
            <w:pPr>
              <w:spacing w:line="300" w:lineRule="auto"/>
              <w:rPr>
                <w:rFonts w:hint="eastAsia" w:ascii="宋体" w:hAnsi="宋体" w:eastAsia="宋体" w:cs="宋体"/>
                <w:color w:val="auto"/>
                <w:sz w:val="24"/>
                <w:szCs w:val="24"/>
                <w:highlight w:val="none"/>
              </w:rPr>
            </w:pPr>
          </w:p>
          <w:p w14:paraId="40DF8E8F">
            <w:pPr>
              <w:spacing w:line="3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        （盖章）         法定代表人或被授权人：        （签字或盖章）</w:t>
            </w:r>
          </w:p>
          <w:p w14:paraId="60532145">
            <w:pPr>
              <w:spacing w:line="300" w:lineRule="auto"/>
              <w:rPr>
                <w:rFonts w:hint="eastAsia" w:ascii="宋体" w:hAnsi="宋体" w:eastAsia="宋体" w:cs="宋体"/>
                <w:color w:val="auto"/>
                <w:sz w:val="24"/>
                <w:szCs w:val="24"/>
                <w:highlight w:val="none"/>
              </w:rPr>
            </w:pPr>
          </w:p>
        </w:tc>
      </w:tr>
    </w:tbl>
    <w:p w14:paraId="67D0A256">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5E87D0E5">
      <w:pPr>
        <w:pStyle w:val="3"/>
        <w:spacing w:before="0" w:after="0" w:line="300" w:lineRule="auto"/>
        <w:jc w:val="center"/>
        <w:rPr>
          <w:rFonts w:hint="eastAsia" w:ascii="宋体" w:hAnsi="宋体" w:eastAsia="宋体" w:cs="宋体"/>
          <w:color w:val="auto"/>
          <w:highlight w:val="none"/>
        </w:rPr>
      </w:pPr>
      <w:bookmarkStart w:id="135" w:name="_Toc409424347"/>
      <w:bookmarkStart w:id="136" w:name="_Toc409424408"/>
      <w:bookmarkStart w:id="137" w:name="_Toc468267485"/>
      <w:bookmarkStart w:id="138" w:name="_Toc15986"/>
      <w:bookmarkStart w:id="139" w:name="_Toc351644315"/>
      <w:bookmarkStart w:id="140" w:name="_Toc350070697"/>
      <w:r>
        <w:rPr>
          <w:rFonts w:hint="eastAsia" w:ascii="宋体" w:hAnsi="宋体" w:eastAsia="宋体" w:cs="宋体"/>
          <w:color w:val="auto"/>
          <w:highlight w:val="none"/>
        </w:rPr>
        <w:t>三、法定代表人身份证明或附有法定代表人身份证明的授权委托书</w:t>
      </w:r>
      <w:bookmarkEnd w:id="135"/>
      <w:bookmarkEnd w:id="136"/>
      <w:bookmarkEnd w:id="137"/>
      <w:bookmarkEnd w:id="138"/>
    </w:p>
    <w:p w14:paraId="6BD821E8">
      <w:pPr>
        <w:pStyle w:val="3"/>
        <w:spacing w:before="0" w:after="0" w:line="300" w:lineRule="auto"/>
        <w:jc w:val="center"/>
        <w:rPr>
          <w:rFonts w:hint="eastAsia" w:ascii="宋体" w:hAnsi="宋体" w:eastAsia="宋体" w:cs="宋体"/>
          <w:color w:val="auto"/>
          <w:highlight w:val="none"/>
        </w:rPr>
      </w:pPr>
      <w:bookmarkStart w:id="141" w:name="_Toc409424409"/>
      <w:bookmarkStart w:id="142" w:name="_Toc468267486"/>
      <w:bookmarkStart w:id="143" w:name="_Toc409424348"/>
      <w:bookmarkStart w:id="144" w:name="_Toc8466"/>
      <w:r>
        <w:rPr>
          <w:rFonts w:hint="eastAsia" w:ascii="宋体" w:hAnsi="宋体" w:eastAsia="宋体" w:cs="宋体"/>
          <w:color w:val="auto"/>
          <w:highlight w:val="none"/>
        </w:rPr>
        <w:t>（一）法定代表人身份证明</w:t>
      </w:r>
      <w:bookmarkEnd w:id="139"/>
      <w:bookmarkEnd w:id="140"/>
      <w:bookmarkEnd w:id="141"/>
      <w:bookmarkEnd w:id="142"/>
      <w:bookmarkEnd w:id="143"/>
      <w:bookmarkEnd w:id="144"/>
    </w:p>
    <w:p w14:paraId="5E4921EF">
      <w:pPr>
        <w:spacing w:line="300" w:lineRule="auto"/>
        <w:rPr>
          <w:rFonts w:hint="eastAsia" w:ascii="宋体" w:hAnsi="宋体" w:eastAsia="宋体" w:cs="宋体"/>
          <w:color w:val="auto"/>
          <w:sz w:val="20"/>
          <w:szCs w:val="20"/>
          <w:highlight w:val="none"/>
        </w:rPr>
      </w:pPr>
    </w:p>
    <w:p w14:paraId="68D42A59">
      <w:pPr>
        <w:spacing w:line="360" w:lineRule="auto"/>
        <w:rPr>
          <w:rFonts w:hint="eastAsia" w:ascii="宋体" w:hAnsi="宋体" w:eastAsia="宋体" w:cs="宋体"/>
          <w:color w:val="auto"/>
          <w:sz w:val="24"/>
          <w:szCs w:val="24"/>
          <w:highlight w:val="none"/>
        </w:rPr>
      </w:pPr>
    </w:p>
    <w:p w14:paraId="335BF2A5">
      <w:pPr>
        <w:spacing w:line="6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B9D86A">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C5A4332">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BBB15D1">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AAC317D">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224384DA">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395CF5A">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14:paraId="47DAF62B">
      <w:pPr>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472AFA1">
      <w:pPr>
        <w:spacing w:line="600" w:lineRule="auto"/>
        <w:rPr>
          <w:rFonts w:hint="eastAsia" w:ascii="宋体" w:hAnsi="宋体" w:eastAsia="宋体" w:cs="宋体"/>
          <w:color w:val="auto"/>
          <w:sz w:val="24"/>
          <w:szCs w:val="24"/>
          <w:highlight w:val="none"/>
        </w:rPr>
      </w:pPr>
    </w:p>
    <w:p w14:paraId="1FA8F689">
      <w:pPr>
        <w:spacing w:line="600" w:lineRule="auto"/>
        <w:rPr>
          <w:rFonts w:hint="eastAsia" w:ascii="宋体" w:hAnsi="宋体" w:eastAsia="宋体" w:cs="宋体"/>
          <w:color w:val="auto"/>
          <w:sz w:val="24"/>
          <w:szCs w:val="24"/>
          <w:highlight w:val="none"/>
        </w:rPr>
      </w:pPr>
    </w:p>
    <w:p w14:paraId="4B3F294A">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D6B94DE">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5F1DE9BA">
      <w:pPr>
        <w:spacing w:line="6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1FEB8AE">
      <w:pPr>
        <w:pStyle w:val="3"/>
        <w:spacing w:before="0" w:after="0" w:line="300" w:lineRule="auto"/>
        <w:jc w:val="center"/>
        <w:rPr>
          <w:rFonts w:hint="eastAsia" w:ascii="宋体" w:hAnsi="宋体" w:eastAsia="宋体" w:cs="宋体"/>
          <w:color w:val="auto"/>
          <w:highlight w:val="none"/>
        </w:rPr>
      </w:pPr>
      <w:bookmarkStart w:id="145" w:name="_Toc409424349"/>
      <w:bookmarkStart w:id="146" w:name="_Toc350070698"/>
      <w:bookmarkStart w:id="147" w:name="_Toc351644316"/>
      <w:bookmarkStart w:id="148" w:name="_Toc12620"/>
      <w:bookmarkStart w:id="149" w:name="_Toc468267487"/>
      <w:bookmarkStart w:id="150" w:name="_Toc409424410"/>
      <w:r>
        <w:rPr>
          <w:rFonts w:hint="eastAsia" w:ascii="宋体" w:hAnsi="宋体" w:eastAsia="宋体" w:cs="宋体"/>
          <w:color w:val="auto"/>
          <w:highlight w:val="none"/>
        </w:rPr>
        <w:t>（二）授权委托书</w:t>
      </w:r>
      <w:bookmarkEnd w:id="145"/>
      <w:bookmarkEnd w:id="146"/>
      <w:bookmarkEnd w:id="147"/>
      <w:bookmarkEnd w:id="148"/>
      <w:bookmarkEnd w:id="149"/>
      <w:bookmarkEnd w:id="150"/>
    </w:p>
    <w:p w14:paraId="423BAC8F">
      <w:pPr>
        <w:spacing w:line="300" w:lineRule="auto"/>
        <w:rPr>
          <w:rFonts w:hint="eastAsia" w:ascii="宋体" w:hAnsi="宋体" w:eastAsia="宋体" w:cs="宋体"/>
          <w:color w:val="auto"/>
          <w:szCs w:val="21"/>
          <w:highlight w:val="none"/>
        </w:rPr>
      </w:pPr>
    </w:p>
    <w:p w14:paraId="0090726B">
      <w:pPr>
        <w:topLinePunct/>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7A7094EB">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B832DB">
      <w:pPr>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32ABEC2D">
      <w:pPr>
        <w:spacing w:line="6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附：法定代表人及授权代理人身份证复印件</w:t>
      </w:r>
    </w:p>
    <w:p w14:paraId="584DEBE8">
      <w:pPr>
        <w:spacing w:line="600" w:lineRule="auto"/>
        <w:rPr>
          <w:rFonts w:hint="eastAsia" w:ascii="宋体" w:hAnsi="宋体" w:eastAsia="宋体" w:cs="宋体"/>
          <w:color w:val="auto"/>
          <w:sz w:val="24"/>
          <w:szCs w:val="24"/>
          <w:highlight w:val="none"/>
        </w:rPr>
      </w:pPr>
    </w:p>
    <w:p w14:paraId="139BCB73">
      <w:pPr>
        <w:spacing w:line="360" w:lineRule="auto"/>
        <w:rPr>
          <w:rFonts w:hint="eastAsia" w:ascii="宋体" w:hAnsi="宋体" w:eastAsia="宋体" w:cs="宋体"/>
          <w:color w:val="auto"/>
          <w:sz w:val="24"/>
          <w:szCs w:val="24"/>
          <w:highlight w:val="none"/>
        </w:rPr>
      </w:pPr>
    </w:p>
    <w:p w14:paraId="38CB9D82">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D1157F9">
      <w:pPr>
        <w:spacing w:line="360" w:lineRule="auto"/>
        <w:rPr>
          <w:rFonts w:hint="eastAsia" w:ascii="宋体" w:hAnsi="宋体" w:eastAsia="宋体" w:cs="宋体"/>
          <w:color w:val="auto"/>
          <w:sz w:val="24"/>
          <w:szCs w:val="24"/>
          <w:highlight w:val="none"/>
        </w:rPr>
      </w:pPr>
    </w:p>
    <w:p w14:paraId="493839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（签字、盖章）</w:t>
      </w:r>
    </w:p>
    <w:p w14:paraId="46153B23">
      <w:pPr>
        <w:spacing w:line="360" w:lineRule="auto"/>
        <w:rPr>
          <w:rFonts w:hint="eastAsia" w:ascii="宋体" w:hAnsi="宋体" w:eastAsia="宋体" w:cs="宋体"/>
          <w:color w:val="auto"/>
          <w:sz w:val="24"/>
          <w:szCs w:val="24"/>
          <w:highlight w:val="none"/>
        </w:rPr>
      </w:pPr>
    </w:p>
    <w:p w14:paraId="0BE459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EA5EB8B">
      <w:pPr>
        <w:spacing w:line="360" w:lineRule="auto"/>
        <w:rPr>
          <w:rFonts w:hint="eastAsia" w:ascii="宋体" w:hAnsi="宋体" w:eastAsia="宋体" w:cs="宋体"/>
          <w:color w:val="auto"/>
          <w:sz w:val="24"/>
          <w:szCs w:val="24"/>
          <w:highlight w:val="none"/>
        </w:rPr>
      </w:pPr>
    </w:p>
    <w:p w14:paraId="10E627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02A47524">
      <w:pPr>
        <w:spacing w:line="360" w:lineRule="auto"/>
        <w:rPr>
          <w:rFonts w:hint="eastAsia" w:ascii="宋体" w:hAnsi="宋体" w:eastAsia="宋体" w:cs="宋体"/>
          <w:color w:val="auto"/>
          <w:sz w:val="24"/>
          <w:szCs w:val="24"/>
          <w:highlight w:val="none"/>
        </w:rPr>
      </w:pPr>
    </w:p>
    <w:p w14:paraId="5E00B7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76CCFA9">
      <w:pPr>
        <w:spacing w:line="360" w:lineRule="auto"/>
        <w:rPr>
          <w:rFonts w:hint="eastAsia" w:ascii="宋体" w:hAnsi="宋体" w:eastAsia="宋体" w:cs="宋体"/>
          <w:color w:val="auto"/>
          <w:sz w:val="24"/>
          <w:szCs w:val="24"/>
          <w:highlight w:val="none"/>
        </w:rPr>
      </w:pPr>
    </w:p>
    <w:p w14:paraId="542B51EB">
      <w:pPr>
        <w:spacing w:line="360" w:lineRule="auto"/>
        <w:rPr>
          <w:rFonts w:hint="eastAsia" w:ascii="宋体" w:hAnsi="宋体" w:eastAsia="宋体" w:cs="宋体"/>
          <w:color w:val="auto"/>
          <w:sz w:val="24"/>
          <w:szCs w:val="24"/>
          <w:highlight w:val="none"/>
        </w:rPr>
      </w:pPr>
    </w:p>
    <w:p w14:paraId="16670AD1">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21EF44A">
      <w:pPr>
        <w:spacing w:line="300" w:lineRule="auto"/>
        <w:rPr>
          <w:rFonts w:hint="eastAsia" w:ascii="宋体" w:hAnsi="宋体" w:eastAsia="宋体" w:cs="宋体"/>
          <w:color w:val="auto"/>
          <w:sz w:val="27"/>
          <w:szCs w:val="27"/>
          <w:highlight w:val="none"/>
        </w:rPr>
      </w:pPr>
      <w:r>
        <w:rPr>
          <w:rFonts w:hint="eastAsia" w:ascii="宋体" w:hAnsi="宋体" w:eastAsia="宋体" w:cs="宋体"/>
          <w:color w:val="auto"/>
          <w:sz w:val="20"/>
          <w:szCs w:val="20"/>
          <w:highlight w:val="none"/>
        </w:rPr>
        <w:br w:type="page"/>
      </w:r>
    </w:p>
    <w:p w14:paraId="0A363CC8">
      <w:pPr>
        <w:pStyle w:val="3"/>
        <w:spacing w:before="0" w:after="0" w:line="300" w:lineRule="auto"/>
        <w:jc w:val="center"/>
        <w:rPr>
          <w:rFonts w:hint="eastAsia" w:ascii="宋体" w:hAnsi="宋体" w:eastAsia="宋体" w:cs="宋体"/>
          <w:color w:val="auto"/>
          <w:highlight w:val="none"/>
          <w:lang w:val="zh-CN" w:eastAsia="zh-CN"/>
        </w:rPr>
      </w:pPr>
      <w:bookmarkStart w:id="151" w:name="_Toc22466"/>
      <w:bookmarkStart w:id="152" w:name="_Toc350070701"/>
      <w:bookmarkStart w:id="153" w:name="_Toc409424413"/>
      <w:bookmarkStart w:id="154" w:name="_Toc409424352"/>
      <w:bookmarkStart w:id="155" w:name="_Toc351644319"/>
      <w:bookmarkStart w:id="156" w:name="_Toc468267491"/>
      <w:r>
        <w:rPr>
          <w:rFonts w:hint="eastAsia" w:ascii="宋体" w:hAnsi="宋体" w:eastAsia="宋体" w:cs="宋体"/>
          <w:color w:val="auto"/>
          <w:highlight w:val="none"/>
          <w:lang w:val="zh-CN" w:eastAsia="zh-CN"/>
        </w:rPr>
        <w:t>四、投标报价表</w:t>
      </w:r>
      <w:bookmarkEnd w:id="151"/>
    </w:p>
    <w:p w14:paraId="3D7A15D9">
      <w:pPr>
        <w:spacing w:line="360" w:lineRule="auto"/>
        <w:jc w:val="center"/>
        <w:rPr>
          <w:b/>
          <w:bCs/>
          <w:color w:val="000000"/>
          <w:sz w:val="28"/>
          <w:szCs w:val="28"/>
          <w:highlight w:val="none"/>
        </w:rPr>
      </w:pPr>
      <w:r>
        <w:rPr>
          <w:rFonts w:hint="eastAsia" w:ascii="宋体" w:hAnsi="宋体" w:eastAsia="宋体" w:cs="宋体"/>
          <w:caps w:val="0"/>
          <w:color w:val="auto"/>
          <w:spacing w:val="14"/>
          <w:sz w:val="24"/>
          <w:szCs w:val="24"/>
          <w:highlight w:val="none"/>
          <w:vertAlign w:val="baseline"/>
          <w:lang w:val="en-US" w:eastAsia="zh-CN" w:bidi="ar"/>
        </w:rPr>
        <w:t xml:space="preserve"> </w:t>
      </w:r>
    </w:p>
    <w:p w14:paraId="1698951C">
      <w:pPr>
        <w:wordWrap w:val="0"/>
        <w:spacing w:line="360" w:lineRule="auto"/>
        <w:rPr>
          <w:sz w:val="24"/>
          <w:szCs w:val="24"/>
          <w:highlight w:val="none"/>
          <w:u w:val="single"/>
        </w:rPr>
      </w:pPr>
      <w:r>
        <w:rPr>
          <w:rFonts w:hint="eastAsia"/>
          <w:sz w:val="24"/>
          <w:szCs w:val="24"/>
          <w:highlight w:val="none"/>
        </w:rPr>
        <w:t>项目名称：</w:t>
      </w:r>
      <w:r>
        <w:rPr>
          <w:rFonts w:hint="eastAsia"/>
          <w:sz w:val="24"/>
          <w:szCs w:val="24"/>
          <w:highlight w:val="none"/>
          <w:u w:val="single"/>
        </w:rPr>
        <w:t xml:space="preserve">                </w:t>
      </w:r>
    </w:p>
    <w:p w14:paraId="4202B793">
      <w:pPr>
        <w:wordWrap w:val="0"/>
        <w:spacing w:afterLines="50" w:line="360" w:lineRule="auto"/>
        <w:rPr>
          <w:sz w:val="24"/>
          <w:szCs w:val="24"/>
          <w:highlight w:val="none"/>
          <w:u w:val="single"/>
        </w:rPr>
      </w:pPr>
      <w:r>
        <w:rPr>
          <w:rFonts w:hint="eastAsia"/>
          <w:sz w:val="24"/>
          <w:szCs w:val="24"/>
          <w:highlight w:val="none"/>
        </w:rPr>
        <w:t>项目编号：</w:t>
      </w:r>
      <w:r>
        <w:rPr>
          <w:rFonts w:hint="eastAsia"/>
          <w:sz w:val="24"/>
          <w:szCs w:val="24"/>
          <w:highlight w:val="none"/>
          <w:u w:val="single"/>
        </w:rPr>
        <w:t xml:space="preserve">                </w:t>
      </w:r>
    </w:p>
    <w:tbl>
      <w:tblPr>
        <w:tblStyle w:val="29"/>
        <w:tblW w:w="9035" w:type="dxa"/>
        <w:jc w:val="center"/>
        <w:tblLayout w:type="fixed"/>
        <w:tblCellMar>
          <w:top w:w="0" w:type="dxa"/>
          <w:left w:w="108" w:type="dxa"/>
          <w:bottom w:w="0" w:type="dxa"/>
          <w:right w:w="108" w:type="dxa"/>
        </w:tblCellMar>
      </w:tblPr>
      <w:tblGrid>
        <w:gridCol w:w="1006"/>
        <w:gridCol w:w="1224"/>
        <w:gridCol w:w="806"/>
        <w:gridCol w:w="1229"/>
        <w:gridCol w:w="1341"/>
        <w:gridCol w:w="859"/>
        <w:gridCol w:w="777"/>
        <w:gridCol w:w="985"/>
        <w:gridCol w:w="808"/>
      </w:tblGrid>
      <w:tr w14:paraId="220CEAD2">
        <w:tblPrEx>
          <w:tblCellMar>
            <w:top w:w="0" w:type="dxa"/>
            <w:left w:w="108" w:type="dxa"/>
            <w:bottom w:w="0" w:type="dxa"/>
            <w:right w:w="108" w:type="dxa"/>
          </w:tblCellMar>
        </w:tblPrEx>
        <w:trPr>
          <w:trHeight w:val="1815" w:hRule="atLeast"/>
          <w:jc w:val="center"/>
        </w:trPr>
        <w:tc>
          <w:tcPr>
            <w:tcW w:w="1006" w:type="dxa"/>
            <w:tcBorders>
              <w:top w:val="single" w:color="auto" w:sz="6" w:space="0"/>
              <w:left w:val="single" w:color="auto" w:sz="6" w:space="0"/>
              <w:bottom w:val="single" w:color="auto" w:sz="6" w:space="0"/>
              <w:right w:val="single" w:color="auto" w:sz="6" w:space="0"/>
            </w:tcBorders>
            <w:vAlign w:val="center"/>
          </w:tcPr>
          <w:p w14:paraId="516BEF86">
            <w:pPr>
              <w:wordWrap w:val="0"/>
              <w:adjustRightInd w:val="0"/>
              <w:jc w:val="center"/>
              <w:rPr>
                <w:b/>
                <w:bCs/>
                <w:sz w:val="24"/>
                <w:highlight w:val="none"/>
                <w:lang w:val="zh-CN"/>
              </w:rPr>
            </w:pPr>
            <w:r>
              <w:rPr>
                <w:rFonts w:hint="eastAsia"/>
                <w:b/>
                <w:bCs/>
                <w:sz w:val="24"/>
                <w:highlight w:val="none"/>
                <w:lang w:val="zh-CN"/>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04206DE9">
            <w:pPr>
              <w:wordWrap w:val="0"/>
              <w:adjustRightInd w:val="0"/>
              <w:jc w:val="center"/>
              <w:rPr>
                <w:b/>
                <w:bCs/>
                <w:sz w:val="24"/>
                <w:highlight w:val="none"/>
                <w:lang w:val="zh-CN"/>
              </w:rPr>
            </w:pPr>
            <w:r>
              <w:rPr>
                <w:rFonts w:hint="eastAsia"/>
                <w:b/>
                <w:bCs/>
                <w:sz w:val="24"/>
                <w:highlight w:val="none"/>
                <w:lang w:val="zh-CN"/>
              </w:rPr>
              <w:t>货物名称</w:t>
            </w:r>
          </w:p>
        </w:tc>
        <w:tc>
          <w:tcPr>
            <w:tcW w:w="806" w:type="dxa"/>
            <w:tcBorders>
              <w:top w:val="single" w:color="auto" w:sz="6" w:space="0"/>
              <w:left w:val="single" w:color="auto" w:sz="6" w:space="0"/>
              <w:bottom w:val="single" w:color="auto" w:sz="6" w:space="0"/>
              <w:right w:val="single" w:color="auto" w:sz="4" w:space="0"/>
            </w:tcBorders>
            <w:vAlign w:val="center"/>
          </w:tcPr>
          <w:p w14:paraId="7E4D5F82">
            <w:pPr>
              <w:wordWrap w:val="0"/>
              <w:adjustRightInd w:val="0"/>
              <w:jc w:val="center"/>
              <w:rPr>
                <w:b/>
                <w:bCs/>
                <w:sz w:val="24"/>
                <w:highlight w:val="none"/>
                <w:lang w:val="zh-CN"/>
              </w:rPr>
            </w:pPr>
            <w:r>
              <w:rPr>
                <w:rFonts w:hint="eastAsia"/>
                <w:b/>
                <w:bCs/>
                <w:sz w:val="24"/>
                <w:highlight w:val="none"/>
                <w:lang w:val="zh-CN"/>
              </w:rPr>
              <w:t>品牌</w:t>
            </w:r>
          </w:p>
        </w:tc>
        <w:tc>
          <w:tcPr>
            <w:tcW w:w="1229" w:type="dxa"/>
            <w:tcBorders>
              <w:top w:val="single" w:color="auto" w:sz="6" w:space="0"/>
              <w:left w:val="single" w:color="auto" w:sz="6" w:space="0"/>
              <w:bottom w:val="single" w:color="auto" w:sz="6" w:space="0"/>
              <w:right w:val="single" w:color="auto" w:sz="4" w:space="0"/>
            </w:tcBorders>
            <w:vAlign w:val="center"/>
          </w:tcPr>
          <w:p w14:paraId="7CF522C1">
            <w:pPr>
              <w:wordWrap w:val="0"/>
              <w:adjustRightInd w:val="0"/>
              <w:jc w:val="center"/>
              <w:rPr>
                <w:b/>
                <w:bCs/>
                <w:sz w:val="24"/>
                <w:highlight w:val="none"/>
                <w:lang w:val="zh-CN"/>
              </w:rPr>
            </w:pPr>
            <w:r>
              <w:rPr>
                <w:rFonts w:hint="eastAsia"/>
                <w:b/>
                <w:bCs/>
                <w:sz w:val="24"/>
                <w:highlight w:val="none"/>
                <w:lang w:eastAsia="zh-CN"/>
              </w:rPr>
              <w:t>规格</w:t>
            </w:r>
            <w:r>
              <w:rPr>
                <w:rFonts w:hint="eastAsia"/>
                <w:b/>
                <w:bCs/>
                <w:sz w:val="24"/>
                <w:highlight w:val="none"/>
                <w:lang w:val="zh-CN"/>
              </w:rPr>
              <w:t>型号</w:t>
            </w:r>
          </w:p>
        </w:tc>
        <w:tc>
          <w:tcPr>
            <w:tcW w:w="1341" w:type="dxa"/>
            <w:tcBorders>
              <w:top w:val="single" w:color="auto" w:sz="6" w:space="0"/>
              <w:left w:val="single" w:color="auto" w:sz="4" w:space="0"/>
              <w:bottom w:val="single" w:color="auto" w:sz="6" w:space="0"/>
              <w:right w:val="single" w:color="auto" w:sz="6" w:space="0"/>
            </w:tcBorders>
            <w:vAlign w:val="center"/>
          </w:tcPr>
          <w:p w14:paraId="506510BB">
            <w:pPr>
              <w:wordWrap w:val="0"/>
              <w:adjustRightInd w:val="0"/>
              <w:jc w:val="center"/>
              <w:rPr>
                <w:b/>
                <w:bCs/>
                <w:sz w:val="24"/>
                <w:highlight w:val="none"/>
                <w:lang w:val="zh-CN"/>
              </w:rPr>
            </w:pPr>
            <w:r>
              <w:rPr>
                <w:rFonts w:hint="eastAsia"/>
                <w:b/>
                <w:bCs/>
                <w:sz w:val="24"/>
                <w:highlight w:val="none"/>
                <w:lang w:val="zh-CN"/>
              </w:rPr>
              <w:t>原产地及制造厂商</w:t>
            </w:r>
          </w:p>
        </w:tc>
        <w:tc>
          <w:tcPr>
            <w:tcW w:w="859" w:type="dxa"/>
            <w:tcBorders>
              <w:top w:val="single" w:color="auto" w:sz="6" w:space="0"/>
              <w:left w:val="single" w:color="auto" w:sz="6" w:space="0"/>
              <w:bottom w:val="single" w:color="auto" w:sz="6" w:space="0"/>
              <w:right w:val="single" w:color="auto" w:sz="6" w:space="0"/>
            </w:tcBorders>
            <w:vAlign w:val="center"/>
          </w:tcPr>
          <w:p w14:paraId="7F63989F">
            <w:pPr>
              <w:wordWrap w:val="0"/>
              <w:adjustRightInd w:val="0"/>
              <w:jc w:val="center"/>
              <w:rPr>
                <w:b/>
                <w:bCs/>
                <w:sz w:val="24"/>
                <w:highlight w:val="none"/>
                <w:lang w:val="zh-CN"/>
              </w:rPr>
            </w:pPr>
            <w:r>
              <w:rPr>
                <w:rFonts w:hint="eastAsia"/>
                <w:b/>
                <w:bCs/>
                <w:sz w:val="24"/>
                <w:highlight w:val="none"/>
                <w:lang w:val="zh-CN"/>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6A76E7D7">
            <w:pPr>
              <w:wordWrap w:val="0"/>
              <w:adjustRightInd w:val="0"/>
              <w:jc w:val="center"/>
              <w:rPr>
                <w:b/>
                <w:bCs/>
                <w:sz w:val="24"/>
                <w:highlight w:val="none"/>
                <w:lang w:val="zh-CN"/>
              </w:rPr>
            </w:pPr>
            <w:r>
              <w:rPr>
                <w:rFonts w:hint="eastAsia"/>
                <w:b/>
                <w:bCs/>
                <w:sz w:val="24"/>
                <w:highlight w:val="none"/>
                <w:lang w:val="zh-CN"/>
              </w:rPr>
              <w:t>单位</w:t>
            </w:r>
          </w:p>
        </w:tc>
        <w:tc>
          <w:tcPr>
            <w:tcW w:w="985" w:type="dxa"/>
            <w:tcBorders>
              <w:top w:val="single" w:color="auto" w:sz="6" w:space="0"/>
              <w:left w:val="single" w:color="auto" w:sz="6" w:space="0"/>
              <w:bottom w:val="single" w:color="auto" w:sz="6" w:space="0"/>
              <w:right w:val="single" w:color="auto" w:sz="6" w:space="0"/>
            </w:tcBorders>
            <w:vAlign w:val="center"/>
          </w:tcPr>
          <w:p w14:paraId="298B17A1">
            <w:pPr>
              <w:wordWrap w:val="0"/>
              <w:adjustRightInd w:val="0"/>
              <w:jc w:val="center"/>
              <w:rPr>
                <w:b/>
                <w:bCs/>
                <w:sz w:val="24"/>
                <w:highlight w:val="none"/>
                <w:lang w:val="zh-CN"/>
              </w:rPr>
            </w:pPr>
            <w:r>
              <w:rPr>
                <w:rFonts w:hint="eastAsia"/>
                <w:b/>
                <w:bCs/>
                <w:sz w:val="24"/>
                <w:highlight w:val="none"/>
                <w:lang w:val="zh-CN"/>
              </w:rPr>
              <w:t>单价（元）</w:t>
            </w:r>
          </w:p>
        </w:tc>
        <w:tc>
          <w:tcPr>
            <w:tcW w:w="808" w:type="dxa"/>
            <w:tcBorders>
              <w:top w:val="single" w:color="auto" w:sz="6" w:space="0"/>
              <w:left w:val="single" w:color="auto" w:sz="6" w:space="0"/>
              <w:bottom w:val="single" w:color="auto" w:sz="6" w:space="0"/>
              <w:right w:val="single" w:color="auto" w:sz="4" w:space="0"/>
            </w:tcBorders>
            <w:vAlign w:val="center"/>
          </w:tcPr>
          <w:p w14:paraId="60153925">
            <w:pPr>
              <w:wordWrap w:val="0"/>
              <w:adjustRightInd w:val="0"/>
              <w:jc w:val="center"/>
              <w:rPr>
                <w:b/>
                <w:bCs/>
                <w:sz w:val="24"/>
                <w:highlight w:val="none"/>
                <w:lang w:val="zh-CN"/>
              </w:rPr>
            </w:pPr>
            <w:r>
              <w:rPr>
                <w:rFonts w:hint="eastAsia"/>
                <w:b/>
                <w:bCs/>
                <w:sz w:val="24"/>
                <w:highlight w:val="none"/>
                <w:lang w:val="zh-CN"/>
              </w:rPr>
              <w:t>备注</w:t>
            </w:r>
          </w:p>
        </w:tc>
      </w:tr>
      <w:tr w14:paraId="6C1BB292">
        <w:tblPrEx>
          <w:tblCellMar>
            <w:top w:w="0" w:type="dxa"/>
            <w:left w:w="108" w:type="dxa"/>
            <w:bottom w:w="0" w:type="dxa"/>
            <w:right w:w="108" w:type="dxa"/>
          </w:tblCellMar>
        </w:tblPrEx>
        <w:trPr>
          <w:trHeight w:val="1723" w:hRule="atLeast"/>
          <w:jc w:val="center"/>
        </w:trPr>
        <w:tc>
          <w:tcPr>
            <w:tcW w:w="1006" w:type="dxa"/>
            <w:tcBorders>
              <w:top w:val="single" w:color="auto" w:sz="6" w:space="0"/>
              <w:left w:val="single" w:color="auto" w:sz="6" w:space="0"/>
              <w:bottom w:val="single" w:color="auto" w:sz="6" w:space="0"/>
              <w:right w:val="single" w:color="auto" w:sz="6" w:space="0"/>
            </w:tcBorders>
            <w:vAlign w:val="center"/>
          </w:tcPr>
          <w:p w14:paraId="1B42991C">
            <w:pPr>
              <w:wordWrap w:val="0"/>
              <w:adjustRightInd w:val="0"/>
              <w:jc w:val="center"/>
              <w:rPr>
                <w:bCs/>
                <w:sz w:val="24"/>
                <w:szCs w:val="28"/>
                <w:highlight w:val="none"/>
                <w:lang w:val="zh-CN"/>
              </w:rPr>
            </w:pPr>
          </w:p>
        </w:tc>
        <w:tc>
          <w:tcPr>
            <w:tcW w:w="1224" w:type="dxa"/>
            <w:tcBorders>
              <w:top w:val="single" w:color="auto" w:sz="6" w:space="0"/>
              <w:left w:val="single" w:color="auto" w:sz="6" w:space="0"/>
              <w:bottom w:val="single" w:color="auto" w:sz="6" w:space="0"/>
              <w:right w:val="single" w:color="auto" w:sz="6" w:space="0"/>
            </w:tcBorders>
            <w:vAlign w:val="center"/>
          </w:tcPr>
          <w:p w14:paraId="0B78CF9D">
            <w:pPr>
              <w:wordWrap w:val="0"/>
              <w:adjustRightInd w:val="0"/>
              <w:jc w:val="center"/>
              <w:rPr>
                <w:bCs/>
                <w:sz w:val="24"/>
                <w:szCs w:val="28"/>
                <w:highlight w:val="none"/>
                <w:lang w:val="zh-CN"/>
              </w:rPr>
            </w:pPr>
          </w:p>
        </w:tc>
        <w:tc>
          <w:tcPr>
            <w:tcW w:w="806" w:type="dxa"/>
            <w:tcBorders>
              <w:top w:val="single" w:color="auto" w:sz="6" w:space="0"/>
              <w:left w:val="single" w:color="auto" w:sz="6" w:space="0"/>
              <w:bottom w:val="single" w:color="auto" w:sz="6" w:space="0"/>
              <w:right w:val="single" w:color="auto" w:sz="4" w:space="0"/>
            </w:tcBorders>
            <w:vAlign w:val="center"/>
          </w:tcPr>
          <w:p w14:paraId="4B8145CF">
            <w:pPr>
              <w:wordWrap w:val="0"/>
              <w:adjustRightInd w:val="0"/>
              <w:jc w:val="center"/>
              <w:rPr>
                <w:bCs/>
                <w:sz w:val="24"/>
                <w:szCs w:val="28"/>
                <w:highlight w:val="none"/>
                <w:lang w:val="zh-CN"/>
              </w:rPr>
            </w:pPr>
          </w:p>
        </w:tc>
        <w:tc>
          <w:tcPr>
            <w:tcW w:w="1229" w:type="dxa"/>
            <w:tcBorders>
              <w:top w:val="single" w:color="auto" w:sz="6" w:space="0"/>
              <w:left w:val="single" w:color="auto" w:sz="6" w:space="0"/>
              <w:bottom w:val="single" w:color="auto" w:sz="6" w:space="0"/>
              <w:right w:val="single" w:color="auto" w:sz="4" w:space="0"/>
            </w:tcBorders>
            <w:vAlign w:val="center"/>
          </w:tcPr>
          <w:p w14:paraId="7B9DDA0D">
            <w:pPr>
              <w:wordWrap w:val="0"/>
              <w:adjustRightInd w:val="0"/>
              <w:jc w:val="center"/>
              <w:rPr>
                <w:bCs/>
                <w:sz w:val="24"/>
                <w:szCs w:val="28"/>
                <w:highlight w:val="none"/>
                <w:lang w:val="zh-CN"/>
              </w:rPr>
            </w:pPr>
          </w:p>
        </w:tc>
        <w:tc>
          <w:tcPr>
            <w:tcW w:w="1341" w:type="dxa"/>
            <w:tcBorders>
              <w:top w:val="single" w:color="auto" w:sz="6" w:space="0"/>
              <w:left w:val="single" w:color="auto" w:sz="4" w:space="0"/>
              <w:bottom w:val="single" w:color="auto" w:sz="6" w:space="0"/>
              <w:right w:val="single" w:color="auto" w:sz="6" w:space="0"/>
            </w:tcBorders>
            <w:vAlign w:val="center"/>
          </w:tcPr>
          <w:p w14:paraId="470A31E0">
            <w:pPr>
              <w:wordWrap w:val="0"/>
              <w:adjustRightInd w:val="0"/>
              <w:jc w:val="center"/>
              <w:rPr>
                <w:bCs/>
                <w:sz w:val="24"/>
                <w:szCs w:val="28"/>
                <w:highlight w:val="none"/>
                <w:lang w:val="zh-CN"/>
              </w:rPr>
            </w:pPr>
          </w:p>
        </w:tc>
        <w:tc>
          <w:tcPr>
            <w:tcW w:w="859" w:type="dxa"/>
            <w:tcBorders>
              <w:top w:val="single" w:color="auto" w:sz="6" w:space="0"/>
              <w:left w:val="single" w:color="auto" w:sz="6" w:space="0"/>
              <w:bottom w:val="single" w:color="auto" w:sz="6" w:space="0"/>
              <w:right w:val="single" w:color="auto" w:sz="6" w:space="0"/>
            </w:tcBorders>
            <w:vAlign w:val="center"/>
          </w:tcPr>
          <w:p w14:paraId="77FAA0C5">
            <w:pPr>
              <w:wordWrap w:val="0"/>
              <w:adjustRightInd w:val="0"/>
              <w:jc w:val="center"/>
              <w:rPr>
                <w:bCs/>
                <w:sz w:val="24"/>
                <w:szCs w:val="28"/>
                <w:highlight w:val="none"/>
                <w:lang w:val="zh-CN"/>
              </w:rPr>
            </w:pPr>
          </w:p>
        </w:tc>
        <w:tc>
          <w:tcPr>
            <w:tcW w:w="777" w:type="dxa"/>
            <w:tcBorders>
              <w:top w:val="single" w:color="auto" w:sz="6" w:space="0"/>
              <w:left w:val="single" w:color="auto" w:sz="6" w:space="0"/>
              <w:bottom w:val="single" w:color="auto" w:sz="6" w:space="0"/>
              <w:right w:val="single" w:color="auto" w:sz="6" w:space="0"/>
            </w:tcBorders>
            <w:vAlign w:val="center"/>
          </w:tcPr>
          <w:p w14:paraId="6C189B36">
            <w:pPr>
              <w:wordWrap w:val="0"/>
              <w:adjustRightInd w:val="0"/>
              <w:jc w:val="center"/>
              <w:rPr>
                <w:bCs/>
                <w:sz w:val="24"/>
                <w:szCs w:val="28"/>
                <w:highlight w:val="none"/>
                <w:lang w:val="zh-CN"/>
              </w:rPr>
            </w:pPr>
          </w:p>
        </w:tc>
        <w:tc>
          <w:tcPr>
            <w:tcW w:w="985" w:type="dxa"/>
            <w:tcBorders>
              <w:top w:val="single" w:color="auto" w:sz="6" w:space="0"/>
              <w:left w:val="single" w:color="auto" w:sz="6" w:space="0"/>
              <w:bottom w:val="single" w:color="auto" w:sz="6" w:space="0"/>
              <w:right w:val="single" w:color="auto" w:sz="6" w:space="0"/>
            </w:tcBorders>
            <w:vAlign w:val="center"/>
          </w:tcPr>
          <w:p w14:paraId="3BA9A86C">
            <w:pPr>
              <w:wordWrap w:val="0"/>
              <w:adjustRightInd w:val="0"/>
              <w:jc w:val="center"/>
              <w:rPr>
                <w:bCs/>
                <w:sz w:val="24"/>
                <w:szCs w:val="28"/>
                <w:highlight w:val="none"/>
                <w:lang w:val="zh-CN"/>
              </w:rPr>
            </w:pPr>
          </w:p>
        </w:tc>
        <w:tc>
          <w:tcPr>
            <w:tcW w:w="808" w:type="dxa"/>
            <w:tcBorders>
              <w:top w:val="single" w:color="auto" w:sz="6" w:space="0"/>
              <w:left w:val="single" w:color="auto" w:sz="6" w:space="0"/>
              <w:bottom w:val="single" w:color="auto" w:sz="6" w:space="0"/>
              <w:right w:val="single" w:color="auto" w:sz="4" w:space="0"/>
            </w:tcBorders>
            <w:vAlign w:val="center"/>
          </w:tcPr>
          <w:p w14:paraId="31CE4718">
            <w:pPr>
              <w:wordWrap w:val="0"/>
              <w:adjustRightInd w:val="0"/>
              <w:jc w:val="center"/>
              <w:rPr>
                <w:bCs/>
                <w:sz w:val="24"/>
                <w:szCs w:val="28"/>
                <w:highlight w:val="none"/>
                <w:lang w:val="zh-CN"/>
              </w:rPr>
            </w:pPr>
          </w:p>
        </w:tc>
      </w:tr>
      <w:tr w14:paraId="22183BD6">
        <w:tblPrEx>
          <w:tblCellMar>
            <w:top w:w="0" w:type="dxa"/>
            <w:left w:w="108" w:type="dxa"/>
            <w:bottom w:w="0" w:type="dxa"/>
            <w:right w:w="108" w:type="dxa"/>
          </w:tblCellMar>
        </w:tblPrEx>
        <w:trPr>
          <w:trHeight w:val="1723" w:hRule="atLeast"/>
          <w:jc w:val="center"/>
        </w:trPr>
        <w:tc>
          <w:tcPr>
            <w:tcW w:w="1006" w:type="dxa"/>
            <w:tcBorders>
              <w:top w:val="single" w:color="auto" w:sz="6" w:space="0"/>
              <w:left w:val="single" w:color="auto" w:sz="6" w:space="0"/>
              <w:bottom w:val="single" w:color="auto" w:sz="6" w:space="0"/>
              <w:right w:val="single" w:color="auto" w:sz="6" w:space="0"/>
            </w:tcBorders>
            <w:vAlign w:val="center"/>
          </w:tcPr>
          <w:p w14:paraId="34C1CD65">
            <w:pPr>
              <w:wordWrap w:val="0"/>
              <w:adjustRightInd w:val="0"/>
              <w:jc w:val="center"/>
              <w:rPr>
                <w:bCs/>
                <w:sz w:val="24"/>
                <w:szCs w:val="28"/>
                <w:highlight w:val="none"/>
              </w:rPr>
            </w:pPr>
          </w:p>
        </w:tc>
        <w:tc>
          <w:tcPr>
            <w:tcW w:w="1224" w:type="dxa"/>
            <w:tcBorders>
              <w:top w:val="single" w:color="auto" w:sz="6" w:space="0"/>
              <w:left w:val="single" w:color="auto" w:sz="6" w:space="0"/>
              <w:bottom w:val="single" w:color="auto" w:sz="6" w:space="0"/>
              <w:right w:val="single" w:color="auto" w:sz="6" w:space="0"/>
            </w:tcBorders>
            <w:vAlign w:val="center"/>
          </w:tcPr>
          <w:p w14:paraId="0D61728C">
            <w:pPr>
              <w:wordWrap w:val="0"/>
              <w:adjustRightInd w:val="0"/>
              <w:jc w:val="center"/>
              <w:rPr>
                <w:bCs/>
                <w:sz w:val="24"/>
                <w:szCs w:val="28"/>
                <w:highlight w:val="none"/>
              </w:rPr>
            </w:pPr>
          </w:p>
        </w:tc>
        <w:tc>
          <w:tcPr>
            <w:tcW w:w="806" w:type="dxa"/>
            <w:tcBorders>
              <w:top w:val="single" w:color="auto" w:sz="6" w:space="0"/>
              <w:left w:val="single" w:color="auto" w:sz="6" w:space="0"/>
              <w:bottom w:val="single" w:color="auto" w:sz="6" w:space="0"/>
              <w:right w:val="single" w:color="auto" w:sz="4" w:space="0"/>
            </w:tcBorders>
            <w:vAlign w:val="center"/>
          </w:tcPr>
          <w:p w14:paraId="730BFADC">
            <w:pPr>
              <w:wordWrap w:val="0"/>
              <w:adjustRightInd w:val="0"/>
              <w:jc w:val="center"/>
              <w:rPr>
                <w:bCs/>
                <w:sz w:val="24"/>
                <w:szCs w:val="28"/>
                <w:highlight w:val="none"/>
              </w:rPr>
            </w:pPr>
          </w:p>
        </w:tc>
        <w:tc>
          <w:tcPr>
            <w:tcW w:w="1229" w:type="dxa"/>
            <w:tcBorders>
              <w:top w:val="single" w:color="auto" w:sz="6" w:space="0"/>
              <w:left w:val="single" w:color="auto" w:sz="6" w:space="0"/>
              <w:bottom w:val="single" w:color="auto" w:sz="6" w:space="0"/>
              <w:right w:val="single" w:color="auto" w:sz="4" w:space="0"/>
            </w:tcBorders>
            <w:vAlign w:val="center"/>
          </w:tcPr>
          <w:p w14:paraId="5E6FE935">
            <w:pPr>
              <w:wordWrap w:val="0"/>
              <w:adjustRightInd w:val="0"/>
              <w:jc w:val="center"/>
              <w:rPr>
                <w:bCs/>
                <w:sz w:val="24"/>
                <w:szCs w:val="28"/>
                <w:highlight w:val="none"/>
              </w:rPr>
            </w:pPr>
          </w:p>
        </w:tc>
        <w:tc>
          <w:tcPr>
            <w:tcW w:w="1341" w:type="dxa"/>
            <w:tcBorders>
              <w:top w:val="single" w:color="auto" w:sz="6" w:space="0"/>
              <w:left w:val="single" w:color="auto" w:sz="4" w:space="0"/>
              <w:bottom w:val="single" w:color="auto" w:sz="6" w:space="0"/>
              <w:right w:val="single" w:color="auto" w:sz="6" w:space="0"/>
            </w:tcBorders>
            <w:vAlign w:val="center"/>
          </w:tcPr>
          <w:p w14:paraId="1B4F21D6">
            <w:pPr>
              <w:wordWrap w:val="0"/>
              <w:adjustRightInd w:val="0"/>
              <w:jc w:val="center"/>
              <w:rPr>
                <w:bCs/>
                <w:sz w:val="24"/>
                <w:szCs w:val="28"/>
                <w:highlight w:val="none"/>
              </w:rPr>
            </w:pPr>
          </w:p>
        </w:tc>
        <w:tc>
          <w:tcPr>
            <w:tcW w:w="859" w:type="dxa"/>
            <w:tcBorders>
              <w:top w:val="single" w:color="auto" w:sz="6" w:space="0"/>
              <w:left w:val="single" w:color="auto" w:sz="6" w:space="0"/>
              <w:bottom w:val="single" w:color="auto" w:sz="6" w:space="0"/>
              <w:right w:val="single" w:color="auto" w:sz="6" w:space="0"/>
            </w:tcBorders>
            <w:vAlign w:val="center"/>
          </w:tcPr>
          <w:p w14:paraId="11E2B904">
            <w:pPr>
              <w:wordWrap w:val="0"/>
              <w:adjustRightInd w:val="0"/>
              <w:jc w:val="center"/>
              <w:rPr>
                <w:bCs/>
                <w:sz w:val="24"/>
                <w:szCs w:val="28"/>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18AA544E">
            <w:pPr>
              <w:wordWrap w:val="0"/>
              <w:adjustRightInd w:val="0"/>
              <w:jc w:val="center"/>
              <w:rPr>
                <w:bCs/>
                <w:sz w:val="24"/>
                <w:szCs w:val="28"/>
                <w:highlight w:val="none"/>
              </w:rPr>
            </w:pPr>
          </w:p>
        </w:tc>
        <w:tc>
          <w:tcPr>
            <w:tcW w:w="985" w:type="dxa"/>
            <w:tcBorders>
              <w:top w:val="single" w:color="auto" w:sz="6" w:space="0"/>
              <w:left w:val="single" w:color="auto" w:sz="6" w:space="0"/>
              <w:bottom w:val="single" w:color="auto" w:sz="6" w:space="0"/>
              <w:right w:val="single" w:color="auto" w:sz="6" w:space="0"/>
            </w:tcBorders>
            <w:vAlign w:val="center"/>
          </w:tcPr>
          <w:p w14:paraId="328DA6B6">
            <w:pPr>
              <w:wordWrap w:val="0"/>
              <w:adjustRightInd w:val="0"/>
              <w:jc w:val="center"/>
              <w:rPr>
                <w:bCs/>
                <w:sz w:val="24"/>
                <w:szCs w:val="28"/>
                <w:highlight w:val="none"/>
              </w:rPr>
            </w:pPr>
          </w:p>
        </w:tc>
        <w:tc>
          <w:tcPr>
            <w:tcW w:w="808" w:type="dxa"/>
            <w:tcBorders>
              <w:top w:val="single" w:color="auto" w:sz="6" w:space="0"/>
              <w:left w:val="single" w:color="auto" w:sz="6" w:space="0"/>
              <w:bottom w:val="single" w:color="auto" w:sz="6" w:space="0"/>
              <w:right w:val="single" w:color="auto" w:sz="4" w:space="0"/>
            </w:tcBorders>
            <w:vAlign w:val="center"/>
          </w:tcPr>
          <w:p w14:paraId="0A1DE6FF">
            <w:pPr>
              <w:wordWrap w:val="0"/>
              <w:adjustRightInd w:val="0"/>
              <w:jc w:val="center"/>
              <w:rPr>
                <w:bCs/>
                <w:sz w:val="24"/>
                <w:szCs w:val="28"/>
                <w:highlight w:val="none"/>
              </w:rPr>
            </w:pPr>
          </w:p>
        </w:tc>
      </w:tr>
      <w:tr w14:paraId="1E1A56FF">
        <w:tblPrEx>
          <w:tblCellMar>
            <w:top w:w="0" w:type="dxa"/>
            <w:left w:w="108" w:type="dxa"/>
            <w:bottom w:w="0" w:type="dxa"/>
            <w:right w:w="108" w:type="dxa"/>
          </w:tblCellMar>
        </w:tblPrEx>
        <w:trPr>
          <w:trHeight w:val="1809" w:hRule="atLeast"/>
          <w:jc w:val="center"/>
        </w:trPr>
        <w:tc>
          <w:tcPr>
            <w:tcW w:w="1006" w:type="dxa"/>
            <w:tcBorders>
              <w:top w:val="single" w:color="auto" w:sz="6" w:space="0"/>
              <w:left w:val="single" w:color="auto" w:sz="6" w:space="0"/>
              <w:bottom w:val="single" w:color="auto" w:sz="6" w:space="0"/>
              <w:right w:val="single" w:color="auto" w:sz="6" w:space="0"/>
            </w:tcBorders>
            <w:vAlign w:val="center"/>
          </w:tcPr>
          <w:p w14:paraId="0D9B6612">
            <w:pPr>
              <w:wordWrap w:val="0"/>
              <w:adjustRightInd w:val="0"/>
              <w:jc w:val="center"/>
              <w:rPr>
                <w:rFonts w:hint="default" w:eastAsia="宋体"/>
                <w:bCs/>
                <w:sz w:val="24"/>
                <w:szCs w:val="28"/>
                <w:highlight w:val="none"/>
                <w:lang w:val="en-US" w:eastAsia="zh-CN"/>
              </w:rPr>
            </w:pPr>
            <w:r>
              <w:rPr>
                <w:rFonts w:hint="eastAsia"/>
                <w:bCs/>
                <w:sz w:val="24"/>
                <w:szCs w:val="28"/>
                <w:highlight w:val="none"/>
                <w:lang w:val="en-US" w:eastAsia="zh-CN"/>
              </w:rPr>
              <w:t>···</w:t>
            </w:r>
          </w:p>
        </w:tc>
        <w:tc>
          <w:tcPr>
            <w:tcW w:w="1224" w:type="dxa"/>
            <w:tcBorders>
              <w:top w:val="single" w:color="auto" w:sz="6" w:space="0"/>
              <w:left w:val="single" w:color="auto" w:sz="6" w:space="0"/>
              <w:bottom w:val="single" w:color="auto" w:sz="6" w:space="0"/>
              <w:right w:val="single" w:color="auto" w:sz="6" w:space="0"/>
            </w:tcBorders>
            <w:vAlign w:val="center"/>
          </w:tcPr>
          <w:p w14:paraId="628E5F35">
            <w:pPr>
              <w:wordWrap w:val="0"/>
              <w:adjustRightInd w:val="0"/>
              <w:jc w:val="center"/>
              <w:rPr>
                <w:bCs/>
                <w:sz w:val="24"/>
                <w:szCs w:val="28"/>
                <w:highlight w:val="none"/>
              </w:rPr>
            </w:pPr>
          </w:p>
        </w:tc>
        <w:tc>
          <w:tcPr>
            <w:tcW w:w="806" w:type="dxa"/>
            <w:tcBorders>
              <w:top w:val="single" w:color="auto" w:sz="6" w:space="0"/>
              <w:left w:val="single" w:color="auto" w:sz="6" w:space="0"/>
              <w:bottom w:val="single" w:color="auto" w:sz="6" w:space="0"/>
              <w:right w:val="single" w:color="auto" w:sz="4" w:space="0"/>
            </w:tcBorders>
            <w:vAlign w:val="center"/>
          </w:tcPr>
          <w:p w14:paraId="771EDE4E">
            <w:pPr>
              <w:wordWrap w:val="0"/>
              <w:adjustRightInd w:val="0"/>
              <w:jc w:val="center"/>
              <w:rPr>
                <w:bCs/>
                <w:sz w:val="24"/>
                <w:szCs w:val="28"/>
                <w:highlight w:val="none"/>
              </w:rPr>
            </w:pPr>
          </w:p>
        </w:tc>
        <w:tc>
          <w:tcPr>
            <w:tcW w:w="1229" w:type="dxa"/>
            <w:tcBorders>
              <w:top w:val="single" w:color="auto" w:sz="6" w:space="0"/>
              <w:left w:val="single" w:color="auto" w:sz="6" w:space="0"/>
              <w:bottom w:val="single" w:color="auto" w:sz="6" w:space="0"/>
              <w:right w:val="single" w:color="auto" w:sz="4" w:space="0"/>
            </w:tcBorders>
            <w:vAlign w:val="center"/>
          </w:tcPr>
          <w:p w14:paraId="4090B73A">
            <w:pPr>
              <w:wordWrap w:val="0"/>
              <w:adjustRightInd w:val="0"/>
              <w:jc w:val="center"/>
              <w:rPr>
                <w:bCs/>
                <w:sz w:val="24"/>
                <w:szCs w:val="28"/>
                <w:highlight w:val="none"/>
              </w:rPr>
            </w:pPr>
          </w:p>
        </w:tc>
        <w:tc>
          <w:tcPr>
            <w:tcW w:w="1341" w:type="dxa"/>
            <w:tcBorders>
              <w:top w:val="single" w:color="auto" w:sz="6" w:space="0"/>
              <w:left w:val="single" w:color="auto" w:sz="4" w:space="0"/>
              <w:bottom w:val="single" w:color="auto" w:sz="6" w:space="0"/>
              <w:right w:val="single" w:color="auto" w:sz="6" w:space="0"/>
            </w:tcBorders>
            <w:vAlign w:val="center"/>
          </w:tcPr>
          <w:p w14:paraId="4838A3C7">
            <w:pPr>
              <w:wordWrap w:val="0"/>
              <w:adjustRightInd w:val="0"/>
              <w:jc w:val="center"/>
              <w:rPr>
                <w:bCs/>
                <w:sz w:val="24"/>
                <w:szCs w:val="28"/>
                <w:highlight w:val="none"/>
              </w:rPr>
            </w:pPr>
          </w:p>
        </w:tc>
        <w:tc>
          <w:tcPr>
            <w:tcW w:w="859" w:type="dxa"/>
            <w:tcBorders>
              <w:top w:val="single" w:color="auto" w:sz="6" w:space="0"/>
              <w:left w:val="single" w:color="auto" w:sz="6" w:space="0"/>
              <w:bottom w:val="single" w:color="auto" w:sz="6" w:space="0"/>
              <w:right w:val="single" w:color="auto" w:sz="6" w:space="0"/>
            </w:tcBorders>
            <w:vAlign w:val="center"/>
          </w:tcPr>
          <w:p w14:paraId="000C3EA5">
            <w:pPr>
              <w:wordWrap w:val="0"/>
              <w:adjustRightInd w:val="0"/>
              <w:jc w:val="center"/>
              <w:rPr>
                <w:bCs/>
                <w:sz w:val="24"/>
                <w:szCs w:val="28"/>
                <w:highlight w:val="none"/>
              </w:rPr>
            </w:pPr>
          </w:p>
        </w:tc>
        <w:tc>
          <w:tcPr>
            <w:tcW w:w="777" w:type="dxa"/>
            <w:tcBorders>
              <w:top w:val="single" w:color="auto" w:sz="6" w:space="0"/>
              <w:left w:val="single" w:color="auto" w:sz="6" w:space="0"/>
              <w:bottom w:val="single" w:color="auto" w:sz="6" w:space="0"/>
              <w:right w:val="single" w:color="auto" w:sz="6" w:space="0"/>
            </w:tcBorders>
            <w:vAlign w:val="center"/>
          </w:tcPr>
          <w:p w14:paraId="14AC482C">
            <w:pPr>
              <w:wordWrap w:val="0"/>
              <w:adjustRightInd w:val="0"/>
              <w:jc w:val="center"/>
              <w:rPr>
                <w:bCs/>
                <w:sz w:val="24"/>
                <w:szCs w:val="28"/>
                <w:highlight w:val="none"/>
              </w:rPr>
            </w:pPr>
          </w:p>
        </w:tc>
        <w:tc>
          <w:tcPr>
            <w:tcW w:w="985" w:type="dxa"/>
            <w:tcBorders>
              <w:top w:val="single" w:color="auto" w:sz="6" w:space="0"/>
              <w:left w:val="single" w:color="auto" w:sz="6" w:space="0"/>
              <w:bottom w:val="single" w:color="auto" w:sz="6" w:space="0"/>
              <w:right w:val="single" w:color="auto" w:sz="6" w:space="0"/>
            </w:tcBorders>
            <w:vAlign w:val="center"/>
          </w:tcPr>
          <w:p w14:paraId="27934A42">
            <w:pPr>
              <w:wordWrap w:val="0"/>
              <w:adjustRightInd w:val="0"/>
              <w:jc w:val="center"/>
              <w:rPr>
                <w:bCs/>
                <w:sz w:val="24"/>
                <w:szCs w:val="28"/>
                <w:highlight w:val="none"/>
              </w:rPr>
            </w:pPr>
          </w:p>
        </w:tc>
        <w:tc>
          <w:tcPr>
            <w:tcW w:w="808" w:type="dxa"/>
            <w:tcBorders>
              <w:top w:val="single" w:color="auto" w:sz="6" w:space="0"/>
              <w:left w:val="single" w:color="auto" w:sz="6" w:space="0"/>
              <w:bottom w:val="single" w:color="auto" w:sz="6" w:space="0"/>
              <w:right w:val="single" w:color="auto" w:sz="4" w:space="0"/>
            </w:tcBorders>
            <w:vAlign w:val="center"/>
          </w:tcPr>
          <w:p w14:paraId="3AF17BF8">
            <w:pPr>
              <w:wordWrap w:val="0"/>
              <w:adjustRightInd w:val="0"/>
              <w:jc w:val="center"/>
              <w:rPr>
                <w:bCs/>
                <w:sz w:val="24"/>
                <w:szCs w:val="28"/>
                <w:highlight w:val="none"/>
              </w:rPr>
            </w:pPr>
          </w:p>
        </w:tc>
      </w:tr>
    </w:tbl>
    <w:p w14:paraId="7B36A684">
      <w:pPr>
        <w:pStyle w:val="10"/>
        <w:rPr>
          <w:sz w:val="28"/>
          <w:szCs w:val="28"/>
          <w:highlight w:val="none"/>
        </w:rPr>
      </w:pPr>
    </w:p>
    <w:p w14:paraId="0D0ADB45">
      <w:pPr>
        <w:pStyle w:val="10"/>
        <w:rPr>
          <w:sz w:val="28"/>
          <w:szCs w:val="28"/>
          <w:highlight w:val="none"/>
        </w:rPr>
      </w:pPr>
    </w:p>
    <w:p w14:paraId="7A9E36B2">
      <w:pPr>
        <w:pStyle w:val="10"/>
        <w:rPr>
          <w:sz w:val="28"/>
          <w:szCs w:val="28"/>
          <w:highlight w:val="none"/>
        </w:rPr>
      </w:pPr>
    </w:p>
    <w:p w14:paraId="63FF4E3E">
      <w:pPr>
        <w:wordWrap w:val="0"/>
        <w:spacing w:line="480" w:lineRule="auto"/>
        <w:ind w:firstLine="2880" w:firstLineChars="1200"/>
        <w:rPr>
          <w:sz w:val="24"/>
          <w:szCs w:val="24"/>
          <w:highlight w:val="none"/>
        </w:rPr>
      </w:pPr>
      <w:r>
        <w:rPr>
          <w:rFonts w:hint="eastAsia" w:ascii="宋体" w:hAnsi="宋体" w:cs="宋体"/>
          <w:color w:val="auto"/>
          <w:sz w:val="24"/>
          <w:szCs w:val="24"/>
          <w:highlight w:val="none"/>
          <w:lang w:val="en-US" w:eastAsia="zh-CN"/>
        </w:rPr>
        <w:t>供应商名称</w:t>
      </w:r>
      <w:r>
        <w:rPr>
          <w:rFonts w:hint="eastAsia"/>
          <w:sz w:val="24"/>
          <w:szCs w:val="24"/>
          <w:highlight w:val="none"/>
        </w:rPr>
        <w:t>：</w:t>
      </w:r>
      <w:r>
        <w:rPr>
          <w:rFonts w:hint="eastAsia"/>
          <w:sz w:val="24"/>
          <w:szCs w:val="21"/>
          <w:highlight w:val="none"/>
          <w:u w:val="single"/>
        </w:rPr>
        <w:t xml:space="preserve">                      </w:t>
      </w:r>
      <w:r>
        <w:rPr>
          <w:rFonts w:hint="eastAsia"/>
          <w:sz w:val="24"/>
          <w:szCs w:val="24"/>
          <w:highlight w:val="none"/>
        </w:rPr>
        <w:t>（盖公章）</w:t>
      </w:r>
    </w:p>
    <w:p w14:paraId="77D6767A">
      <w:pPr>
        <w:wordWrap w:val="0"/>
        <w:spacing w:line="480" w:lineRule="auto"/>
        <w:ind w:firstLine="2880" w:firstLineChars="1200"/>
        <w:rPr>
          <w:sz w:val="24"/>
          <w:szCs w:val="24"/>
          <w:highlight w:val="none"/>
        </w:rPr>
      </w:pPr>
      <w:r>
        <w:rPr>
          <w:rFonts w:hint="eastAsia"/>
          <w:bCs/>
          <w:sz w:val="24"/>
          <w:szCs w:val="24"/>
          <w:highlight w:val="none"/>
        </w:rPr>
        <w:t>法定代表人或委托代理人</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u w:val="single"/>
          <w:lang w:eastAsia="zh-CN"/>
        </w:rPr>
        <w:t xml:space="preserve">      </w:t>
      </w:r>
      <w:r>
        <w:rPr>
          <w:rFonts w:hint="eastAsia"/>
          <w:sz w:val="24"/>
          <w:szCs w:val="24"/>
          <w:highlight w:val="none"/>
          <w:u w:val="single"/>
        </w:rPr>
        <w:t xml:space="preserve">  </w:t>
      </w:r>
      <w:r>
        <w:rPr>
          <w:rFonts w:hint="eastAsia"/>
          <w:sz w:val="24"/>
          <w:szCs w:val="24"/>
          <w:highlight w:val="none"/>
        </w:rPr>
        <w:t>（签字）</w:t>
      </w:r>
    </w:p>
    <w:p w14:paraId="6811B01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360" w:lineRule="auto"/>
        <w:ind w:left="0" w:right="0" w:firstLine="720" w:firstLineChars="300"/>
        <w:jc w:val="right"/>
        <w:outlineLvl w:val="9"/>
        <w:rPr>
          <w:rFonts w:hint="eastAsia" w:ascii="宋体" w:hAnsi="宋体" w:eastAsia="宋体" w:cs="宋体"/>
          <w:caps w:val="0"/>
          <w:color w:val="000000"/>
          <w:sz w:val="24"/>
          <w:szCs w:val="24"/>
          <w:highlight w:val="none"/>
          <w:vertAlign w:val="baseline"/>
          <w:lang w:bidi="ar"/>
        </w:rPr>
      </w:pP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06346171">
      <w:pPr>
        <w:pStyle w:val="3"/>
        <w:spacing w:before="0" w:after="0" w:line="300" w:lineRule="auto"/>
        <w:jc w:val="both"/>
        <w:rPr>
          <w:rFonts w:hint="eastAsia" w:ascii="宋体" w:hAnsi="宋体" w:eastAsia="宋体" w:cs="宋体"/>
          <w:color w:val="auto"/>
          <w:highlight w:val="none"/>
          <w:lang w:val="zh-CN" w:eastAsia="zh-CN"/>
        </w:rPr>
      </w:pPr>
      <w:bookmarkStart w:id="157" w:name="_Toc8354"/>
    </w:p>
    <w:p w14:paraId="6E8DEB0E">
      <w:pPr>
        <w:rPr>
          <w:rFonts w:hint="eastAsia"/>
          <w:lang w:val="zh-CN" w:eastAsia="zh-CN"/>
        </w:rPr>
      </w:pPr>
    </w:p>
    <w:p w14:paraId="136900A0">
      <w:pPr>
        <w:pStyle w:val="3"/>
        <w:spacing w:before="0" w:after="0" w:line="300" w:lineRule="auto"/>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五、服务承诺</w:t>
      </w:r>
      <w:bookmarkEnd w:id="157"/>
    </w:p>
    <w:p w14:paraId="0B98AB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val="en-US" w:eastAsia="zh-CN" w:bidi="ar"/>
        </w:rPr>
      </w:pPr>
    </w:p>
    <w:p w14:paraId="0A9C04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val="en-US" w:eastAsia="zh-CN" w:bidi="ar"/>
        </w:rPr>
      </w:pPr>
    </w:p>
    <w:p w14:paraId="01E8B7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val="en-US" w:eastAsia="zh-CN" w:bidi="ar"/>
        </w:rPr>
      </w:pPr>
    </w:p>
    <w:p w14:paraId="1F7755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val="en-US" w:eastAsia="zh-CN" w:bidi="ar"/>
        </w:rPr>
      </w:pPr>
    </w:p>
    <w:p w14:paraId="5B2D50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eastAsia="zh-CN" w:bidi="ar"/>
        </w:rPr>
      </w:pPr>
      <w:r>
        <w:rPr>
          <w:rFonts w:hint="eastAsia" w:ascii="宋体" w:hAnsi="宋体" w:eastAsia="宋体" w:cs="宋体"/>
          <w:caps w:val="0"/>
          <w:color w:val="auto"/>
          <w:spacing w:val="14"/>
          <w:sz w:val="24"/>
          <w:szCs w:val="24"/>
          <w:highlight w:val="none"/>
          <w:vertAlign w:val="baseline"/>
          <w:lang w:val="en-US" w:eastAsia="zh-CN" w:bidi="ar"/>
        </w:rPr>
        <w:t xml:space="preserve">   </w:t>
      </w:r>
      <w:r>
        <w:rPr>
          <w:rFonts w:hint="eastAsia" w:ascii="宋体" w:hAnsi="宋体" w:eastAsia="宋体" w:cs="宋体"/>
          <w:caps w:val="0"/>
          <w:color w:val="auto"/>
          <w:spacing w:val="14"/>
          <w:sz w:val="24"/>
          <w:szCs w:val="24"/>
          <w:highlight w:val="none"/>
          <w:vertAlign w:val="baseline"/>
          <w:lang w:eastAsia="zh-CN" w:bidi="ar"/>
        </w:rPr>
        <w:t>格式自拟</w:t>
      </w:r>
    </w:p>
    <w:p w14:paraId="5E45D72A">
      <w:pPr>
        <w:pStyle w:val="47"/>
        <w:numPr>
          <w:ilvl w:val="0"/>
          <w:numId w:val="0"/>
        </w:numPr>
        <w:ind w:left="540" w:leftChars="0"/>
        <w:rPr>
          <w:rFonts w:hint="eastAsia" w:ascii="宋体" w:hAnsi="宋体" w:eastAsia="宋体" w:cs="宋体"/>
          <w:sz w:val="24"/>
          <w:szCs w:val="24"/>
          <w:highlight w:val="none"/>
          <w:lang w:val="zh-CN" w:eastAsia="zh-CN"/>
        </w:rPr>
      </w:pPr>
    </w:p>
    <w:p w14:paraId="156C31E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C7FFD6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515FC3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FEB4DE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7FB1F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1318F1B">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828C99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425B80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05C822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7A0401D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A38C0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cs="宋体"/>
          <w:color w:val="auto"/>
          <w:sz w:val="24"/>
          <w:szCs w:val="24"/>
          <w:highlight w:val="none"/>
          <w:lang w:val="en-US" w:eastAsia="zh-CN"/>
        </w:rPr>
        <w:t>供应商名称</w:t>
      </w:r>
      <w:r>
        <w:rPr>
          <w:rFonts w:hint="eastAsia" w:ascii="宋体" w:hAnsi="宋体" w:eastAsia="宋体" w:cs="宋体"/>
          <w:b w:val="0"/>
          <w:bCs w:val="0"/>
          <w:caps w:val="0"/>
          <w:color w:val="000000"/>
          <w:kern w:val="0"/>
          <w:sz w:val="24"/>
          <w:szCs w:val="24"/>
          <w:highlight w:val="none"/>
          <w:vertAlign w:val="baseline"/>
          <w:lang w:val="en-US" w:eastAsia="zh-CN" w:bidi="ar"/>
        </w:rPr>
        <w:t>：                （公章）</w:t>
      </w:r>
    </w:p>
    <w:p w14:paraId="518886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517BA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158779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57D7FE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                （签字）</w:t>
      </w:r>
    </w:p>
    <w:p w14:paraId="27CFEDFB">
      <w:pPr>
        <w:pStyle w:val="47"/>
        <w:numPr>
          <w:ilvl w:val="0"/>
          <w:numId w:val="0"/>
        </w:numPr>
        <w:ind w:left="540" w:leftChars="0"/>
        <w:rPr>
          <w:rFonts w:hint="eastAsia" w:ascii="宋体" w:hAnsi="宋体" w:eastAsia="宋体" w:cs="宋体"/>
          <w:sz w:val="24"/>
          <w:szCs w:val="24"/>
          <w:highlight w:val="none"/>
        </w:rPr>
      </w:pPr>
    </w:p>
    <w:p w14:paraId="329695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 日      期：      年      月      日</w:t>
      </w:r>
    </w:p>
    <w:p w14:paraId="7E3E7857">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49DC6D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52FCAE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7C000B7D">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bookmarkEnd w:id="152"/>
    <w:bookmarkEnd w:id="153"/>
    <w:bookmarkEnd w:id="154"/>
    <w:bookmarkEnd w:id="155"/>
    <w:bookmarkEnd w:id="156"/>
    <w:p w14:paraId="5710C07D">
      <w:pPr>
        <w:pStyle w:val="3"/>
        <w:spacing w:before="0" w:after="0" w:line="300" w:lineRule="auto"/>
        <w:jc w:val="center"/>
        <w:rPr>
          <w:rFonts w:hint="eastAsia" w:ascii="宋体" w:hAnsi="宋体" w:eastAsia="宋体" w:cs="宋体"/>
          <w:color w:val="auto"/>
          <w:highlight w:val="none"/>
          <w:lang w:val="zh-CN" w:eastAsia="zh-CN"/>
        </w:rPr>
      </w:pPr>
      <w:bookmarkStart w:id="158" w:name="_Toc409424360"/>
      <w:bookmarkStart w:id="159" w:name="_Toc350070708"/>
      <w:bookmarkStart w:id="160" w:name="_Toc409424421"/>
      <w:bookmarkStart w:id="161" w:name="_Toc351644326"/>
      <w:bookmarkStart w:id="162" w:name="_Toc3115"/>
      <w:bookmarkStart w:id="163" w:name="_Toc468267493"/>
      <w:r>
        <w:rPr>
          <w:rFonts w:hint="eastAsia" w:ascii="宋体" w:hAnsi="宋体" w:eastAsia="宋体" w:cs="宋体"/>
          <w:color w:val="auto"/>
          <w:highlight w:val="none"/>
          <w:lang w:val="zh-CN" w:eastAsia="zh-CN"/>
        </w:rPr>
        <w:t>六、资格审查资料</w:t>
      </w:r>
      <w:bookmarkEnd w:id="158"/>
      <w:bookmarkEnd w:id="159"/>
      <w:bookmarkEnd w:id="160"/>
      <w:bookmarkEnd w:id="161"/>
      <w:bookmarkEnd w:id="162"/>
      <w:bookmarkEnd w:id="163"/>
    </w:p>
    <w:p w14:paraId="34524C83">
      <w:pPr>
        <w:pStyle w:val="4"/>
        <w:spacing w:before="0" w:after="0" w:line="300" w:lineRule="auto"/>
        <w:jc w:val="center"/>
        <w:rPr>
          <w:rFonts w:hint="eastAsia" w:ascii="宋体" w:hAnsi="宋体" w:eastAsia="宋体" w:cs="宋体"/>
          <w:color w:val="auto"/>
          <w:highlight w:val="none"/>
        </w:rPr>
      </w:pPr>
      <w:bookmarkStart w:id="164" w:name="_Toc468267494"/>
      <w:bookmarkStart w:id="165" w:name="_Toc17987"/>
      <w:bookmarkStart w:id="166" w:name="_Toc409424422"/>
      <w:bookmarkStart w:id="167" w:name="_Toc409424361"/>
      <w:r>
        <w:rPr>
          <w:rFonts w:hint="eastAsia" w:ascii="宋体" w:hAnsi="宋体" w:eastAsia="宋体" w:cs="宋体"/>
          <w:color w:val="auto"/>
          <w:highlight w:val="none"/>
        </w:rPr>
        <w:t>（一）</w:t>
      </w:r>
      <w:bookmarkEnd w:id="164"/>
      <w:r>
        <w:rPr>
          <w:rFonts w:hint="eastAsia" w:ascii="宋体" w:hAnsi="宋体" w:cs="宋体"/>
          <w:color w:val="auto"/>
          <w:highlight w:val="none"/>
          <w:lang w:eastAsia="zh-CN"/>
        </w:rPr>
        <w:t>供应商</w:t>
      </w:r>
      <w:r>
        <w:rPr>
          <w:rFonts w:hint="eastAsia" w:ascii="宋体" w:hAnsi="宋体" w:eastAsia="宋体" w:cs="宋体"/>
          <w:color w:val="auto"/>
          <w:highlight w:val="none"/>
        </w:rPr>
        <w:t>基本情况表</w:t>
      </w:r>
      <w:bookmarkEnd w:id="165"/>
    </w:p>
    <w:bookmarkEnd w:id="166"/>
    <w:bookmarkEnd w:id="167"/>
    <w:tbl>
      <w:tblPr>
        <w:tblStyle w:val="29"/>
        <w:tblW w:w="8839"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1150"/>
        <w:gridCol w:w="2169"/>
        <w:gridCol w:w="1444"/>
        <w:gridCol w:w="1924"/>
      </w:tblGrid>
      <w:tr w14:paraId="25F0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64E93AB7">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687" w:type="dxa"/>
            <w:gridSpan w:val="4"/>
            <w:tcBorders>
              <w:top w:val="single" w:color="000000" w:sz="4" w:space="0"/>
              <w:left w:val="single" w:color="000000" w:sz="4" w:space="0"/>
              <w:bottom w:val="single" w:color="000000" w:sz="4" w:space="0"/>
              <w:right w:val="single" w:color="000000" w:sz="4" w:space="0"/>
            </w:tcBorders>
            <w:vAlign w:val="center"/>
          </w:tcPr>
          <w:p w14:paraId="0500431B">
            <w:pPr>
              <w:spacing w:line="240" w:lineRule="auto"/>
              <w:jc w:val="center"/>
              <w:rPr>
                <w:rFonts w:hint="eastAsia" w:ascii="宋体" w:hAnsi="宋体" w:eastAsia="宋体" w:cs="宋体"/>
                <w:color w:val="auto"/>
                <w:sz w:val="24"/>
                <w:szCs w:val="24"/>
                <w:highlight w:val="none"/>
                <w:lang w:eastAsia="en-US"/>
              </w:rPr>
            </w:pPr>
          </w:p>
        </w:tc>
      </w:tr>
      <w:tr w14:paraId="06F3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6500429F">
            <w:pPr>
              <w:pStyle w:val="69"/>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注册资金</w:t>
            </w:r>
          </w:p>
        </w:tc>
        <w:tc>
          <w:tcPr>
            <w:tcW w:w="3319" w:type="dxa"/>
            <w:gridSpan w:val="2"/>
            <w:tcBorders>
              <w:top w:val="single" w:color="000000" w:sz="4" w:space="0"/>
              <w:left w:val="single" w:color="000000" w:sz="4" w:space="0"/>
              <w:bottom w:val="single" w:color="000000" w:sz="4" w:space="0"/>
              <w:right w:val="single" w:color="000000" w:sz="4" w:space="0"/>
            </w:tcBorders>
            <w:vAlign w:val="center"/>
          </w:tcPr>
          <w:p w14:paraId="3D0352EB">
            <w:pPr>
              <w:spacing w:line="240" w:lineRule="auto"/>
              <w:jc w:val="center"/>
              <w:rPr>
                <w:rFonts w:hint="eastAsia" w:ascii="宋体" w:hAnsi="宋体" w:eastAsia="宋体" w:cs="宋体"/>
                <w:color w:val="auto"/>
                <w:sz w:val="24"/>
                <w:szCs w:val="24"/>
                <w:highlight w:val="none"/>
                <w:lang w:eastAsia="en-US"/>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1C198BA4">
            <w:pPr>
              <w:pStyle w:val="69"/>
              <w:spacing w:before="107"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成立时间</w:t>
            </w:r>
          </w:p>
        </w:tc>
        <w:tc>
          <w:tcPr>
            <w:tcW w:w="1924" w:type="dxa"/>
            <w:tcBorders>
              <w:top w:val="single" w:color="000000" w:sz="4" w:space="0"/>
              <w:left w:val="single" w:color="000000" w:sz="4" w:space="0"/>
              <w:bottom w:val="single" w:color="000000" w:sz="4" w:space="0"/>
              <w:right w:val="single" w:color="000000" w:sz="4" w:space="0"/>
            </w:tcBorders>
            <w:vAlign w:val="center"/>
          </w:tcPr>
          <w:p w14:paraId="4A7008DD">
            <w:pPr>
              <w:spacing w:line="240" w:lineRule="auto"/>
              <w:jc w:val="center"/>
              <w:rPr>
                <w:rFonts w:hint="eastAsia" w:ascii="宋体" w:hAnsi="宋体" w:eastAsia="宋体" w:cs="宋体"/>
                <w:color w:val="auto"/>
                <w:sz w:val="24"/>
                <w:szCs w:val="24"/>
                <w:highlight w:val="none"/>
                <w:lang w:eastAsia="en-US"/>
              </w:rPr>
            </w:pPr>
          </w:p>
        </w:tc>
      </w:tr>
      <w:tr w14:paraId="7305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2A52A869">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注册地址</w:t>
            </w:r>
          </w:p>
        </w:tc>
        <w:tc>
          <w:tcPr>
            <w:tcW w:w="6687" w:type="dxa"/>
            <w:gridSpan w:val="4"/>
            <w:tcBorders>
              <w:top w:val="single" w:color="000000" w:sz="4" w:space="0"/>
              <w:left w:val="single" w:color="000000" w:sz="4" w:space="0"/>
              <w:bottom w:val="single" w:color="000000" w:sz="4" w:space="0"/>
              <w:right w:val="single" w:color="000000" w:sz="4" w:space="0"/>
            </w:tcBorders>
            <w:vAlign w:val="center"/>
          </w:tcPr>
          <w:p w14:paraId="2F6A68A5">
            <w:pPr>
              <w:spacing w:line="240" w:lineRule="auto"/>
              <w:jc w:val="center"/>
              <w:rPr>
                <w:rFonts w:hint="eastAsia" w:ascii="宋体" w:hAnsi="宋体" w:eastAsia="宋体" w:cs="宋体"/>
                <w:color w:val="auto"/>
                <w:sz w:val="24"/>
                <w:szCs w:val="24"/>
                <w:highlight w:val="none"/>
                <w:lang w:eastAsia="en-US"/>
              </w:rPr>
            </w:pPr>
          </w:p>
        </w:tc>
      </w:tr>
      <w:tr w14:paraId="05F5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69D93D1B">
            <w:pPr>
              <w:pStyle w:val="69"/>
              <w:spacing w:before="108"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邮政编码</w:t>
            </w:r>
          </w:p>
        </w:tc>
        <w:tc>
          <w:tcPr>
            <w:tcW w:w="3319" w:type="dxa"/>
            <w:gridSpan w:val="2"/>
            <w:tcBorders>
              <w:top w:val="single" w:color="000000" w:sz="4" w:space="0"/>
              <w:left w:val="single" w:color="000000" w:sz="4" w:space="0"/>
              <w:bottom w:val="single" w:color="000000" w:sz="4" w:space="0"/>
              <w:right w:val="single" w:color="000000" w:sz="4" w:space="0"/>
            </w:tcBorders>
            <w:vAlign w:val="center"/>
          </w:tcPr>
          <w:p w14:paraId="5D724850">
            <w:pPr>
              <w:spacing w:line="240" w:lineRule="auto"/>
              <w:jc w:val="center"/>
              <w:rPr>
                <w:rFonts w:hint="eastAsia" w:ascii="宋体" w:hAnsi="宋体" w:eastAsia="宋体" w:cs="宋体"/>
                <w:color w:val="auto"/>
                <w:sz w:val="24"/>
                <w:szCs w:val="24"/>
                <w:highlight w:val="none"/>
                <w:lang w:eastAsia="en-US"/>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50124F80">
            <w:pPr>
              <w:pStyle w:val="69"/>
              <w:spacing w:before="108"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员工总数</w:t>
            </w:r>
          </w:p>
        </w:tc>
        <w:tc>
          <w:tcPr>
            <w:tcW w:w="1924" w:type="dxa"/>
            <w:tcBorders>
              <w:top w:val="single" w:color="000000" w:sz="4" w:space="0"/>
              <w:left w:val="single" w:color="000000" w:sz="4" w:space="0"/>
              <w:bottom w:val="single" w:color="000000" w:sz="4" w:space="0"/>
              <w:right w:val="single" w:color="000000" w:sz="4" w:space="0"/>
            </w:tcBorders>
            <w:vAlign w:val="center"/>
          </w:tcPr>
          <w:p w14:paraId="0FFCCFD0">
            <w:pPr>
              <w:spacing w:line="240" w:lineRule="auto"/>
              <w:jc w:val="center"/>
              <w:rPr>
                <w:rFonts w:hint="eastAsia" w:ascii="宋体" w:hAnsi="宋体" w:eastAsia="宋体" w:cs="宋体"/>
                <w:color w:val="auto"/>
                <w:sz w:val="24"/>
                <w:szCs w:val="24"/>
                <w:highlight w:val="none"/>
                <w:lang w:eastAsia="en-US"/>
              </w:rPr>
            </w:pPr>
          </w:p>
        </w:tc>
      </w:tr>
      <w:tr w14:paraId="3CF2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2152" w:type="dxa"/>
            <w:vMerge w:val="restart"/>
            <w:tcBorders>
              <w:top w:val="single" w:color="000000" w:sz="4" w:space="0"/>
              <w:left w:val="single" w:color="000000" w:sz="4" w:space="0"/>
              <w:bottom w:val="single" w:color="000000" w:sz="4" w:space="0"/>
              <w:right w:val="single" w:color="000000" w:sz="4" w:space="0"/>
            </w:tcBorders>
            <w:vAlign w:val="center"/>
          </w:tcPr>
          <w:p w14:paraId="30CC24A8">
            <w:pPr>
              <w:pStyle w:val="69"/>
              <w:spacing w:before="5" w:line="240" w:lineRule="auto"/>
              <w:jc w:val="center"/>
              <w:rPr>
                <w:rFonts w:hint="eastAsia" w:ascii="宋体" w:hAnsi="宋体" w:eastAsia="宋体" w:cs="宋体"/>
                <w:color w:val="auto"/>
                <w:sz w:val="24"/>
                <w:szCs w:val="24"/>
                <w:highlight w:val="none"/>
                <w:lang w:eastAsia="en-US"/>
              </w:rPr>
            </w:pPr>
          </w:p>
          <w:p w14:paraId="05EAD000">
            <w:pPr>
              <w:pStyle w:val="69"/>
              <w:spacing w:before="1" w:line="240" w:lineRule="auto"/>
              <w:ind w:left="66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联系方式</w:t>
            </w:r>
          </w:p>
        </w:tc>
        <w:tc>
          <w:tcPr>
            <w:tcW w:w="1150" w:type="dxa"/>
            <w:tcBorders>
              <w:top w:val="single" w:color="000000" w:sz="4" w:space="0"/>
              <w:left w:val="single" w:color="000000" w:sz="4" w:space="0"/>
              <w:bottom w:val="single" w:color="000000" w:sz="4" w:space="0"/>
              <w:right w:val="single" w:color="000000" w:sz="4" w:space="0"/>
            </w:tcBorders>
            <w:vAlign w:val="center"/>
          </w:tcPr>
          <w:p w14:paraId="6148157B">
            <w:pPr>
              <w:pStyle w:val="69"/>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联系人</w:t>
            </w:r>
          </w:p>
        </w:tc>
        <w:tc>
          <w:tcPr>
            <w:tcW w:w="2169" w:type="dxa"/>
            <w:tcBorders>
              <w:top w:val="single" w:color="000000" w:sz="4" w:space="0"/>
              <w:left w:val="single" w:color="000000" w:sz="4" w:space="0"/>
              <w:bottom w:val="single" w:color="000000" w:sz="4" w:space="0"/>
              <w:right w:val="single" w:color="000000" w:sz="4" w:space="0"/>
            </w:tcBorders>
            <w:vAlign w:val="center"/>
          </w:tcPr>
          <w:p w14:paraId="6FEAB0E9">
            <w:pPr>
              <w:spacing w:line="240" w:lineRule="auto"/>
              <w:jc w:val="center"/>
              <w:rPr>
                <w:rFonts w:hint="eastAsia" w:ascii="宋体" w:hAnsi="宋体" w:eastAsia="宋体" w:cs="宋体"/>
                <w:color w:val="auto"/>
                <w:sz w:val="24"/>
                <w:szCs w:val="24"/>
                <w:highlight w:val="none"/>
                <w:lang w:eastAsia="en-US"/>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5BEB3F9E">
            <w:pPr>
              <w:pStyle w:val="69"/>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1924" w:type="dxa"/>
            <w:tcBorders>
              <w:top w:val="single" w:color="000000" w:sz="4" w:space="0"/>
              <w:left w:val="single" w:color="000000" w:sz="4" w:space="0"/>
              <w:bottom w:val="single" w:color="000000" w:sz="4" w:space="0"/>
              <w:right w:val="single" w:color="000000" w:sz="4" w:space="0"/>
            </w:tcBorders>
            <w:vAlign w:val="center"/>
          </w:tcPr>
          <w:p w14:paraId="4DF5D202">
            <w:pPr>
              <w:spacing w:line="240" w:lineRule="auto"/>
              <w:jc w:val="center"/>
              <w:rPr>
                <w:rFonts w:hint="eastAsia" w:ascii="宋体" w:hAnsi="宋体" w:eastAsia="宋体" w:cs="宋体"/>
                <w:color w:val="auto"/>
                <w:sz w:val="24"/>
                <w:szCs w:val="24"/>
                <w:highlight w:val="none"/>
                <w:lang w:eastAsia="en-US"/>
              </w:rPr>
            </w:pPr>
          </w:p>
        </w:tc>
      </w:tr>
      <w:tr w14:paraId="2F847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exact"/>
        </w:trPr>
        <w:tc>
          <w:tcPr>
            <w:tcW w:w="2152" w:type="dxa"/>
            <w:vMerge w:val="continue"/>
            <w:tcBorders>
              <w:top w:val="single" w:color="000000" w:sz="4" w:space="0"/>
              <w:left w:val="single" w:color="000000" w:sz="4" w:space="0"/>
              <w:bottom w:val="single" w:color="000000" w:sz="4" w:space="0"/>
              <w:right w:val="single" w:color="000000" w:sz="4" w:space="0"/>
            </w:tcBorders>
            <w:vAlign w:val="center"/>
          </w:tcPr>
          <w:p w14:paraId="263AA4EF">
            <w:pPr>
              <w:widowControl/>
              <w:spacing w:line="240" w:lineRule="auto"/>
              <w:jc w:val="center"/>
              <w:rPr>
                <w:rFonts w:hint="eastAsia" w:ascii="宋体" w:hAnsi="宋体" w:eastAsia="宋体" w:cs="宋体"/>
                <w:color w:val="auto"/>
                <w:sz w:val="24"/>
                <w:szCs w:val="24"/>
                <w:highlight w:val="none"/>
                <w:lang w:eastAsia="en-US"/>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447A15E">
            <w:pPr>
              <w:pStyle w:val="69"/>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网址</w:t>
            </w:r>
          </w:p>
        </w:tc>
        <w:tc>
          <w:tcPr>
            <w:tcW w:w="2169" w:type="dxa"/>
            <w:tcBorders>
              <w:top w:val="single" w:color="000000" w:sz="4" w:space="0"/>
              <w:left w:val="single" w:color="000000" w:sz="4" w:space="0"/>
              <w:bottom w:val="single" w:color="000000" w:sz="4" w:space="0"/>
              <w:right w:val="single" w:color="000000" w:sz="4" w:space="0"/>
            </w:tcBorders>
            <w:vAlign w:val="center"/>
          </w:tcPr>
          <w:p w14:paraId="41BF89A9">
            <w:pPr>
              <w:spacing w:line="240" w:lineRule="auto"/>
              <w:jc w:val="center"/>
              <w:rPr>
                <w:rFonts w:hint="eastAsia" w:ascii="宋体" w:hAnsi="宋体" w:eastAsia="宋体" w:cs="宋体"/>
                <w:color w:val="auto"/>
                <w:sz w:val="24"/>
                <w:szCs w:val="24"/>
                <w:highlight w:val="none"/>
                <w:lang w:eastAsia="en-US"/>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6A2C1FCD">
            <w:pPr>
              <w:pStyle w:val="69"/>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传真</w:t>
            </w:r>
          </w:p>
        </w:tc>
        <w:tc>
          <w:tcPr>
            <w:tcW w:w="1924" w:type="dxa"/>
            <w:tcBorders>
              <w:top w:val="single" w:color="000000" w:sz="4" w:space="0"/>
              <w:left w:val="single" w:color="000000" w:sz="4" w:space="0"/>
              <w:bottom w:val="single" w:color="000000" w:sz="4" w:space="0"/>
              <w:right w:val="single" w:color="000000" w:sz="4" w:space="0"/>
            </w:tcBorders>
            <w:vAlign w:val="center"/>
          </w:tcPr>
          <w:p w14:paraId="51CB7680">
            <w:pPr>
              <w:spacing w:line="240" w:lineRule="auto"/>
              <w:jc w:val="center"/>
              <w:rPr>
                <w:rFonts w:hint="eastAsia" w:ascii="宋体" w:hAnsi="宋体" w:eastAsia="宋体" w:cs="宋体"/>
                <w:color w:val="auto"/>
                <w:sz w:val="24"/>
                <w:szCs w:val="24"/>
                <w:highlight w:val="none"/>
                <w:lang w:eastAsia="en-US"/>
              </w:rPr>
            </w:pPr>
          </w:p>
        </w:tc>
      </w:tr>
      <w:tr w14:paraId="5997E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36C3FA48">
            <w:pPr>
              <w:pStyle w:val="69"/>
              <w:keepNext w:val="0"/>
              <w:keepLines w:val="0"/>
              <w:pageBreakBefore w:val="0"/>
              <w:widowControl w:val="0"/>
              <w:kinsoku/>
              <w:wordWrap/>
              <w:overflowPunct/>
              <w:topLinePunct w:val="0"/>
              <w:autoSpaceDE/>
              <w:autoSpaceDN/>
              <w:bidi w:val="0"/>
              <w:adjustRightInd/>
              <w:snapToGrid/>
              <w:spacing w:before="107" w:line="240" w:lineRule="exact"/>
              <w:ind w:left="118"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5FF3B98D">
            <w:pPr>
              <w:pStyle w:val="69"/>
              <w:keepNext w:val="0"/>
              <w:keepLines w:val="0"/>
              <w:pageBreakBefore w:val="0"/>
              <w:widowControl w:val="0"/>
              <w:kinsoku/>
              <w:wordWrap/>
              <w:overflowPunct/>
              <w:topLinePunct w:val="0"/>
              <w:autoSpaceDE/>
              <w:autoSpaceDN/>
              <w:bidi w:val="0"/>
              <w:adjustRightInd/>
              <w:snapToGrid/>
              <w:spacing w:before="166" w:line="240" w:lineRule="exact"/>
              <w:ind w:left="13"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150" w:type="dxa"/>
            <w:tcBorders>
              <w:top w:val="single" w:color="000000" w:sz="4" w:space="0"/>
              <w:left w:val="single" w:color="000000" w:sz="4" w:space="0"/>
              <w:bottom w:val="single" w:color="000000" w:sz="4" w:space="0"/>
              <w:right w:val="single" w:color="000000" w:sz="4" w:space="0"/>
            </w:tcBorders>
            <w:vAlign w:val="center"/>
          </w:tcPr>
          <w:p w14:paraId="1BFBB5A9">
            <w:pPr>
              <w:pStyle w:val="69"/>
              <w:spacing w:before="1" w:line="240" w:lineRule="auto"/>
              <w:jc w:val="center"/>
              <w:rPr>
                <w:rFonts w:hint="eastAsia" w:ascii="宋体" w:hAnsi="宋体" w:eastAsia="宋体" w:cs="宋体"/>
                <w:color w:val="auto"/>
                <w:sz w:val="24"/>
                <w:szCs w:val="24"/>
                <w:highlight w:val="none"/>
              </w:rPr>
            </w:pPr>
          </w:p>
          <w:p w14:paraId="0A7529A1">
            <w:pPr>
              <w:pStyle w:val="69"/>
              <w:spacing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姓名</w:t>
            </w:r>
          </w:p>
        </w:tc>
        <w:tc>
          <w:tcPr>
            <w:tcW w:w="2169" w:type="dxa"/>
            <w:tcBorders>
              <w:top w:val="single" w:color="000000" w:sz="4" w:space="0"/>
              <w:left w:val="single" w:color="000000" w:sz="4" w:space="0"/>
              <w:bottom w:val="single" w:color="000000" w:sz="4" w:space="0"/>
              <w:right w:val="single" w:color="000000" w:sz="4" w:space="0"/>
            </w:tcBorders>
            <w:vAlign w:val="center"/>
          </w:tcPr>
          <w:p w14:paraId="20F3182C">
            <w:pPr>
              <w:spacing w:line="240" w:lineRule="auto"/>
              <w:jc w:val="center"/>
              <w:rPr>
                <w:rFonts w:hint="eastAsia" w:ascii="宋体" w:hAnsi="宋体" w:eastAsia="宋体" w:cs="宋体"/>
                <w:color w:val="auto"/>
                <w:sz w:val="24"/>
                <w:szCs w:val="24"/>
                <w:highlight w:val="none"/>
                <w:lang w:eastAsia="en-US"/>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2ABCE20E">
            <w:pPr>
              <w:pStyle w:val="69"/>
              <w:spacing w:before="1" w:line="240" w:lineRule="auto"/>
              <w:jc w:val="center"/>
              <w:rPr>
                <w:rFonts w:hint="eastAsia" w:ascii="宋体" w:hAnsi="宋体" w:eastAsia="宋体" w:cs="宋体"/>
                <w:color w:val="auto"/>
                <w:sz w:val="24"/>
                <w:szCs w:val="24"/>
                <w:highlight w:val="none"/>
                <w:lang w:eastAsia="en-US"/>
              </w:rPr>
            </w:pPr>
          </w:p>
          <w:p w14:paraId="076664DC">
            <w:pPr>
              <w:pStyle w:val="69"/>
              <w:spacing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1924" w:type="dxa"/>
            <w:tcBorders>
              <w:top w:val="single" w:color="000000" w:sz="4" w:space="0"/>
              <w:left w:val="single" w:color="000000" w:sz="4" w:space="0"/>
              <w:bottom w:val="single" w:color="000000" w:sz="4" w:space="0"/>
              <w:right w:val="single" w:color="000000" w:sz="4" w:space="0"/>
            </w:tcBorders>
            <w:vAlign w:val="center"/>
          </w:tcPr>
          <w:p w14:paraId="772D3DD0">
            <w:pPr>
              <w:spacing w:line="240" w:lineRule="auto"/>
              <w:jc w:val="center"/>
              <w:rPr>
                <w:rFonts w:hint="eastAsia" w:ascii="宋体" w:hAnsi="宋体" w:eastAsia="宋体" w:cs="宋体"/>
                <w:color w:val="auto"/>
                <w:sz w:val="24"/>
                <w:szCs w:val="24"/>
                <w:highlight w:val="none"/>
                <w:lang w:eastAsia="en-US"/>
              </w:rPr>
            </w:pPr>
          </w:p>
        </w:tc>
      </w:tr>
      <w:tr w14:paraId="5A79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71380E80">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基本账户开户银行</w:t>
            </w:r>
          </w:p>
        </w:tc>
        <w:tc>
          <w:tcPr>
            <w:tcW w:w="6687" w:type="dxa"/>
            <w:gridSpan w:val="4"/>
            <w:tcBorders>
              <w:top w:val="single" w:color="000000" w:sz="4" w:space="0"/>
              <w:left w:val="single" w:color="000000" w:sz="4" w:space="0"/>
              <w:bottom w:val="single" w:color="000000" w:sz="4" w:space="0"/>
              <w:right w:val="single" w:color="000000" w:sz="4" w:space="0"/>
            </w:tcBorders>
            <w:vAlign w:val="center"/>
          </w:tcPr>
          <w:p w14:paraId="1D20C4AE">
            <w:pPr>
              <w:spacing w:line="240" w:lineRule="auto"/>
              <w:jc w:val="center"/>
              <w:rPr>
                <w:rFonts w:hint="eastAsia" w:ascii="宋体" w:hAnsi="宋体" w:eastAsia="宋体" w:cs="宋体"/>
                <w:color w:val="auto"/>
                <w:sz w:val="24"/>
                <w:szCs w:val="24"/>
                <w:highlight w:val="none"/>
                <w:lang w:eastAsia="en-US"/>
              </w:rPr>
            </w:pPr>
          </w:p>
        </w:tc>
      </w:tr>
      <w:tr w14:paraId="11019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6380D767">
            <w:pPr>
              <w:pStyle w:val="69"/>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基本账户银行账号</w:t>
            </w:r>
          </w:p>
        </w:tc>
        <w:tc>
          <w:tcPr>
            <w:tcW w:w="6687" w:type="dxa"/>
            <w:gridSpan w:val="4"/>
            <w:tcBorders>
              <w:top w:val="single" w:color="000000" w:sz="4" w:space="0"/>
              <w:left w:val="single" w:color="000000" w:sz="4" w:space="0"/>
              <w:bottom w:val="single" w:color="000000" w:sz="4" w:space="0"/>
              <w:right w:val="single" w:color="000000" w:sz="4" w:space="0"/>
            </w:tcBorders>
            <w:vAlign w:val="center"/>
          </w:tcPr>
          <w:p w14:paraId="73C8CBE0">
            <w:pPr>
              <w:spacing w:line="240" w:lineRule="auto"/>
              <w:jc w:val="center"/>
              <w:rPr>
                <w:rFonts w:hint="eastAsia" w:ascii="宋体" w:hAnsi="宋体" w:eastAsia="宋体" w:cs="宋体"/>
                <w:color w:val="auto"/>
                <w:sz w:val="24"/>
                <w:szCs w:val="24"/>
                <w:highlight w:val="none"/>
                <w:lang w:eastAsia="en-US"/>
              </w:rPr>
            </w:pPr>
          </w:p>
        </w:tc>
      </w:tr>
      <w:tr w14:paraId="7D14C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8"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3ED1BE99">
            <w:pPr>
              <w:pStyle w:val="69"/>
              <w:spacing w:before="38"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经营范围</w:t>
            </w:r>
          </w:p>
        </w:tc>
        <w:tc>
          <w:tcPr>
            <w:tcW w:w="6687" w:type="dxa"/>
            <w:gridSpan w:val="4"/>
            <w:tcBorders>
              <w:top w:val="single" w:color="000000" w:sz="4" w:space="0"/>
              <w:left w:val="single" w:color="000000" w:sz="4" w:space="0"/>
              <w:bottom w:val="single" w:color="000000" w:sz="4" w:space="0"/>
              <w:right w:val="single" w:color="000000" w:sz="4" w:space="0"/>
            </w:tcBorders>
            <w:vAlign w:val="center"/>
          </w:tcPr>
          <w:p w14:paraId="12C4109D">
            <w:pPr>
              <w:spacing w:line="240" w:lineRule="auto"/>
              <w:jc w:val="center"/>
              <w:rPr>
                <w:rFonts w:hint="eastAsia" w:ascii="宋体" w:hAnsi="宋体" w:eastAsia="宋体" w:cs="宋体"/>
                <w:color w:val="auto"/>
                <w:sz w:val="24"/>
                <w:szCs w:val="24"/>
                <w:highlight w:val="none"/>
                <w:lang w:eastAsia="en-US"/>
              </w:rPr>
            </w:pPr>
          </w:p>
        </w:tc>
      </w:tr>
      <w:tr w14:paraId="5597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exact"/>
        </w:trPr>
        <w:tc>
          <w:tcPr>
            <w:tcW w:w="2152" w:type="dxa"/>
            <w:tcBorders>
              <w:top w:val="single" w:color="000000" w:sz="4" w:space="0"/>
              <w:left w:val="single" w:color="000000" w:sz="4" w:space="0"/>
              <w:bottom w:val="single" w:color="000000" w:sz="4" w:space="0"/>
              <w:right w:val="single" w:color="000000" w:sz="4" w:space="0"/>
            </w:tcBorders>
            <w:vAlign w:val="center"/>
          </w:tcPr>
          <w:p w14:paraId="6EA84C0C">
            <w:pPr>
              <w:pStyle w:val="69"/>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备注</w:t>
            </w:r>
          </w:p>
        </w:tc>
        <w:tc>
          <w:tcPr>
            <w:tcW w:w="6687" w:type="dxa"/>
            <w:gridSpan w:val="4"/>
            <w:tcBorders>
              <w:top w:val="single" w:color="000000" w:sz="4" w:space="0"/>
              <w:left w:val="single" w:color="000000" w:sz="4" w:space="0"/>
              <w:bottom w:val="single" w:color="000000" w:sz="4" w:space="0"/>
              <w:right w:val="single" w:color="000000" w:sz="4" w:space="0"/>
            </w:tcBorders>
            <w:vAlign w:val="center"/>
          </w:tcPr>
          <w:p w14:paraId="428527A7">
            <w:pPr>
              <w:spacing w:line="240" w:lineRule="auto"/>
              <w:jc w:val="center"/>
              <w:rPr>
                <w:rFonts w:hint="eastAsia" w:ascii="宋体" w:hAnsi="宋体" w:eastAsia="宋体" w:cs="宋体"/>
                <w:color w:val="auto"/>
                <w:sz w:val="24"/>
                <w:szCs w:val="24"/>
                <w:highlight w:val="none"/>
                <w:lang w:eastAsia="en-US"/>
              </w:rPr>
            </w:pPr>
          </w:p>
        </w:tc>
      </w:tr>
    </w:tbl>
    <w:p w14:paraId="22679838">
      <w:pPr>
        <w:pStyle w:val="7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注：1. </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应在本表后附</w:t>
      </w:r>
      <w:r>
        <w:rPr>
          <w:rFonts w:hint="eastAsia" w:ascii="宋体" w:hAnsi="宋体" w:eastAsia="宋体" w:cs="宋体"/>
          <w:color w:val="auto"/>
          <w:sz w:val="24"/>
          <w:szCs w:val="24"/>
          <w:highlight w:val="none"/>
          <w:lang w:val="en-US" w:eastAsia="zh-CN"/>
        </w:rPr>
        <w:t>营业执照(副本)、开户许可证等</w:t>
      </w:r>
      <w:r>
        <w:rPr>
          <w:rFonts w:hint="eastAsia" w:ascii="宋体" w:hAnsi="宋体" w:eastAsia="宋体" w:cs="宋体"/>
          <w:color w:val="auto"/>
          <w:sz w:val="24"/>
          <w:szCs w:val="24"/>
          <w:highlight w:val="none"/>
          <w:lang w:eastAsia="zh-CN"/>
        </w:rPr>
        <w:t>相关证明材料。</w:t>
      </w:r>
      <w:bookmarkStart w:id="168" w:name="_bookmark165"/>
      <w:bookmarkEnd w:id="168"/>
    </w:p>
    <w:p w14:paraId="2C2FFA3C">
      <w:pPr>
        <w:spacing w:line="300" w:lineRule="auto"/>
        <w:rPr>
          <w:rFonts w:hint="eastAsia" w:ascii="宋体" w:hAnsi="宋体" w:eastAsia="宋体" w:cs="宋体"/>
          <w:color w:val="auto"/>
          <w:sz w:val="20"/>
          <w:szCs w:val="20"/>
          <w:highlight w:val="none"/>
        </w:rPr>
      </w:pPr>
    </w:p>
    <w:p w14:paraId="40669191">
      <w:pPr>
        <w:rPr>
          <w:rFonts w:hint="eastAsia" w:ascii="宋体" w:hAnsi="宋体" w:eastAsia="宋体" w:cs="宋体"/>
          <w:color w:val="auto"/>
          <w:highlight w:val="none"/>
        </w:rPr>
      </w:pPr>
      <w:bookmarkStart w:id="169" w:name="_Toc468267496"/>
      <w:bookmarkStart w:id="170" w:name="_Toc350070710"/>
      <w:bookmarkStart w:id="171" w:name="_Toc409424362"/>
      <w:bookmarkStart w:id="172" w:name="_Toc409424423"/>
      <w:bookmarkStart w:id="173" w:name="_Toc351644328"/>
      <w:r>
        <w:rPr>
          <w:rFonts w:hint="eastAsia" w:ascii="宋体" w:hAnsi="宋体" w:eastAsia="宋体" w:cs="宋体"/>
          <w:color w:val="auto"/>
          <w:highlight w:val="none"/>
        </w:rPr>
        <w:br w:type="page"/>
      </w:r>
    </w:p>
    <w:p w14:paraId="4EA41943">
      <w:pPr>
        <w:pStyle w:val="4"/>
        <w:spacing w:before="0" w:after="0" w:line="300" w:lineRule="auto"/>
        <w:jc w:val="center"/>
        <w:rPr>
          <w:rFonts w:hint="eastAsia" w:ascii="宋体" w:hAnsi="宋体" w:eastAsia="宋体" w:cs="宋体"/>
          <w:color w:val="auto"/>
          <w:highlight w:val="none"/>
        </w:rPr>
      </w:pPr>
      <w:bookmarkStart w:id="174" w:name="_Toc29780"/>
      <w:r>
        <w:rPr>
          <w:rFonts w:hint="eastAsia" w:ascii="宋体" w:hAnsi="宋体" w:eastAsia="宋体" w:cs="宋体"/>
          <w:color w:val="auto"/>
          <w:highlight w:val="none"/>
          <w:lang w:val="en-US" w:eastAsia="zh-CN"/>
        </w:rPr>
        <w:t>(二)</w:t>
      </w: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已完成类似项目情况</w:t>
      </w:r>
      <w:bookmarkEnd w:id="174"/>
    </w:p>
    <w:tbl>
      <w:tblPr>
        <w:tblStyle w:val="29"/>
        <w:tblW w:w="9850" w:type="dxa"/>
        <w:tblInd w:w="-30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33"/>
        <w:gridCol w:w="1918"/>
        <w:gridCol w:w="2405"/>
        <w:gridCol w:w="2275"/>
        <w:gridCol w:w="1260"/>
        <w:gridCol w:w="1159"/>
      </w:tblGrid>
      <w:tr w14:paraId="276D8A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4"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FAE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2C9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BC1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471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7A4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完成情况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A8B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21B6DD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1533D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849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281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88B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B02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A3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43B5D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CAD46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986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BA9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98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DD6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5D1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E17F6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3A0DC7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80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4E3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FA8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E98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1C7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AC5AB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DD0EC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30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BC6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967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3C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65B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B665F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FCC04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174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B47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315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48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0B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8A993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FD570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897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5B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F7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6EAB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AEF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EDF14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9A6A6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2D0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E90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1D6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696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3B1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53A0B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2E345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1A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119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A4E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8CA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BF53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293D7C9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应将近3年内已完成的类似项目情况填入本表中。</w:t>
      </w:r>
    </w:p>
    <w:p w14:paraId="79A2B91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2、项目概况包括：项目名称、规模、金额等。</w:t>
      </w:r>
    </w:p>
    <w:p w14:paraId="088638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应随本表出具所填项目的合同协议书或中标通知书等证明材料的复印件，否则，采购人将不考虑</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所填项目的业绩。</w:t>
      </w:r>
    </w:p>
    <w:p w14:paraId="1FD77B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66E25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2BB930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(三)管理团队人员基本情况表</w:t>
      </w:r>
    </w:p>
    <w:tbl>
      <w:tblPr>
        <w:tblStyle w:val="29"/>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2D30B6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2E0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53D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7E4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EAF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306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学历及</w:t>
            </w:r>
          </w:p>
          <w:p w14:paraId="67896E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CBE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现任职务及职称</w:t>
            </w:r>
          </w:p>
        </w:tc>
      </w:tr>
      <w:tr w14:paraId="6F9CF7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54A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7D5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2F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704887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74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94A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D508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32F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D1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BAC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54101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36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4EE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D8D16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430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932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CA8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444AA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2F4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D5F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F256D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08D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234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1F3F8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64F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466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A4C6D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0EC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FEB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5A1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98127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2F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92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730889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EDF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7F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F3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3C1B4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C5D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547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1FFCF3E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应根据招标文件要求和招标项目的实际需要，列出拟配备的人员清单。</w:t>
      </w:r>
    </w:p>
    <w:p w14:paraId="17285E2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应按本表格式分别填写所列人员的资历。</w:t>
      </w:r>
    </w:p>
    <w:p w14:paraId="386864B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283920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72BE1D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(四)主要管理人员资历表</w:t>
      </w:r>
    </w:p>
    <w:tbl>
      <w:tblPr>
        <w:tblStyle w:val="29"/>
        <w:tblW w:w="9040" w:type="dxa"/>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2"/>
        <w:gridCol w:w="1688"/>
        <w:gridCol w:w="1546"/>
        <w:gridCol w:w="1815"/>
        <w:gridCol w:w="13"/>
        <w:gridCol w:w="950"/>
        <w:gridCol w:w="1246"/>
      </w:tblGrid>
      <w:tr w14:paraId="57C8EA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75"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094FC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1．一般情况</w:t>
            </w:r>
          </w:p>
        </w:tc>
      </w:tr>
      <w:tr w14:paraId="356A5E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2" w:hRule="atLeast"/>
        </w:trPr>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1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B6D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EDF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8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85C4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C25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6E3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57613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1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在本合同中</w:t>
            </w:r>
          </w:p>
          <w:p w14:paraId="26B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拟任职</w:t>
            </w:r>
          </w:p>
        </w:tc>
        <w:tc>
          <w:tcPr>
            <w:tcW w:w="16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369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BAC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身份证号码</w:t>
            </w:r>
          </w:p>
        </w:tc>
        <w:tc>
          <w:tcPr>
            <w:tcW w:w="40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6855A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86274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75" w:hRule="atLeast"/>
        </w:trPr>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D78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w:t>
            </w:r>
          </w:p>
        </w:tc>
        <w:tc>
          <w:tcPr>
            <w:tcW w:w="72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69CF2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年毕业于 （学校） （专业）</w:t>
            </w:r>
          </w:p>
        </w:tc>
      </w:tr>
      <w:tr w14:paraId="6756B1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13"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6E6B2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2．工作经历</w:t>
            </w:r>
          </w:p>
        </w:tc>
      </w:tr>
      <w:tr w14:paraId="268F36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43" w:hRule="atLeast"/>
        </w:trPr>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6D8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时间</w:t>
            </w:r>
          </w:p>
        </w:tc>
        <w:tc>
          <w:tcPr>
            <w:tcW w:w="5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88E6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参与过的项目</w:t>
            </w: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26CB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F0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5359D0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7" w:hRule="atLeast"/>
        </w:trPr>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974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23BC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553C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41B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79728C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7" w:hRule="atLeast"/>
        </w:trPr>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84B7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4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1997C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62F0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B81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344FC6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5"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B1D15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3．获奖情况</w:t>
            </w:r>
          </w:p>
        </w:tc>
      </w:tr>
      <w:tr w14:paraId="5967C0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70"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2785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AC471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2EB53D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4．目前承担的任务</w:t>
            </w:r>
          </w:p>
        </w:tc>
      </w:tr>
      <w:tr w14:paraId="2D7C75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9" w:hRule="atLeast"/>
        </w:trPr>
        <w:tc>
          <w:tcPr>
            <w:tcW w:w="90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E577D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4ED218D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4"/>
          <w:szCs w:val="24"/>
          <w:highlight w:val="none"/>
          <w:u w:val="single"/>
          <w:vertAlign w:val="baseline"/>
          <w:lang w:bidi="ar"/>
        </w:rPr>
      </w:pPr>
    </w:p>
    <w:p w14:paraId="18C52B6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both"/>
        <w:outlineLvl w:val="9"/>
        <w:rPr>
          <w:rFonts w:hint="eastAsia" w:ascii="宋体" w:hAnsi="宋体" w:eastAsia="宋体" w:cs="宋体"/>
          <w:caps w:val="0"/>
          <w:color w:val="auto"/>
          <w:kern w:val="0"/>
          <w:sz w:val="24"/>
          <w:szCs w:val="24"/>
          <w:highlight w:val="none"/>
          <w:vertAlign w:val="baseline"/>
          <w:lang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w:t>
      </w:r>
      <w:r>
        <w:rPr>
          <w:rFonts w:hint="eastAsia" w:ascii="宋体" w:hAnsi="宋体" w:cs="宋体"/>
          <w:b w:val="0"/>
          <w:bCs w:val="0"/>
          <w:caps w:val="0"/>
          <w:color w:val="auto"/>
          <w:kern w:val="0"/>
          <w:sz w:val="24"/>
          <w:szCs w:val="24"/>
          <w:highlight w:val="none"/>
          <w:vertAlign w:val="baseline"/>
          <w:lang w:val="en-US" w:eastAsia="zh-CN" w:bidi="ar"/>
        </w:rPr>
        <w:t>或供应商认为有必要提供的</w:t>
      </w:r>
      <w:r>
        <w:rPr>
          <w:rFonts w:hint="eastAsia"/>
          <w:sz w:val="24"/>
          <w:szCs w:val="24"/>
          <w:highlight w:val="none"/>
          <w:lang w:eastAsia="zh-CN"/>
        </w:rPr>
        <w:t>证明文件复印件</w:t>
      </w:r>
    </w:p>
    <w:p w14:paraId="3BC69C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投入本项目的所有人员均应填写本简历表。本表所填写人员即为管理团队人员。</w:t>
      </w:r>
    </w:p>
    <w:p w14:paraId="11567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p w14:paraId="252B2D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(五) 近年财务状况</w:t>
      </w:r>
    </w:p>
    <w:p w14:paraId="3DF9A0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240" w:firstLineChars="100"/>
        <w:jc w:val="left"/>
        <w:outlineLvl w:val="9"/>
        <w:rPr>
          <w:rFonts w:hint="eastAsia" w:ascii="宋体" w:hAnsi="宋体" w:cs="宋体"/>
          <w:b w:val="0"/>
          <w:bCs w:val="0"/>
          <w:caps w:val="0"/>
          <w:color w:val="auto"/>
          <w:kern w:val="0"/>
          <w:sz w:val="24"/>
          <w:szCs w:val="24"/>
          <w:highlight w:val="none"/>
          <w:shd w:val="clear" w:fill="FFFFFF"/>
          <w:vertAlign w:val="baseline"/>
          <w:lang w:val="en-US" w:eastAsia="zh-CN" w:bidi="ar"/>
        </w:rPr>
      </w:pPr>
    </w:p>
    <w:p w14:paraId="043E31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240" w:firstLineChars="10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r>
        <w:rPr>
          <w:rFonts w:hint="eastAsia" w:ascii="宋体" w:hAnsi="宋体" w:cs="宋体"/>
          <w:b w:val="0"/>
          <w:bCs w:val="0"/>
          <w:caps w:val="0"/>
          <w:color w:val="auto"/>
          <w:kern w:val="0"/>
          <w:sz w:val="24"/>
          <w:szCs w:val="24"/>
          <w:highlight w:val="none"/>
          <w:shd w:val="clear" w:fill="FFFFFF"/>
          <w:vertAlign w:val="baseline"/>
          <w:lang w:val="en-US" w:eastAsia="zh-CN" w:bidi="ar"/>
        </w:rPr>
        <w:t>具有良好的商业信誉和健全的财务会计制度，提供近三年2022-2024年经会计师事务所审计的财务审计报告或财务报表（成立年限不足三年的提供成立之日起至2024年度的财务审计报告或财务报表；2024年12月31日后成立的公司提供加盖公章的财务状况良好承诺书）或开标日前三个月内由其基本账户银行开具的资信证明。</w:t>
      </w:r>
    </w:p>
    <w:p w14:paraId="2BC55A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shd w:val="clear" w:fill="FFFFFF"/>
          <w:vertAlign w:val="baseline"/>
          <w:lang w:val="en-US" w:eastAsia="zh-CN" w:bidi="ar"/>
        </w:rPr>
      </w:pPr>
    </w:p>
    <w:p w14:paraId="226676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F53BA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98D1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承诺书格式如下：</w:t>
      </w:r>
    </w:p>
    <w:p w14:paraId="4BEF3E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center"/>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承 诺 书</w:t>
      </w:r>
    </w:p>
    <w:p w14:paraId="7D99B6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center"/>
        <w:outlineLvl w:val="9"/>
        <w:rPr>
          <w:rFonts w:hint="eastAsia" w:ascii="宋体" w:hAnsi="宋体" w:eastAsia="宋体" w:cs="宋体"/>
          <w:caps w:val="0"/>
          <w:color w:val="auto"/>
          <w:sz w:val="24"/>
          <w:szCs w:val="24"/>
          <w:highlight w:val="none"/>
          <w:vertAlign w:val="baseline"/>
          <w:lang w:val="zh-CN" w:eastAsia="zh-CN" w:bidi="ar"/>
        </w:rPr>
      </w:pPr>
    </w:p>
    <w:p w14:paraId="263C28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致： (采购人）</w:t>
      </w:r>
    </w:p>
    <w:p w14:paraId="170615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我公司承诺</w:t>
      </w:r>
      <w:r>
        <w:rPr>
          <w:rFonts w:hint="eastAsia" w:ascii="宋体" w:hAnsi="宋体" w:eastAsia="宋体" w:cs="宋体"/>
          <w:b w:val="0"/>
          <w:bCs w:val="0"/>
          <w:caps w:val="0"/>
          <w:color w:val="auto"/>
          <w:kern w:val="0"/>
          <w:sz w:val="24"/>
          <w:szCs w:val="24"/>
          <w:highlight w:val="none"/>
          <w:vertAlign w:val="baseline"/>
          <w:lang w:val="en-US" w:eastAsia="zh-CN" w:bidi="ar"/>
        </w:rPr>
        <w:t>自我司成立之日（ 年  月  日）起至今财务状况良好</w:t>
      </w:r>
      <w:r>
        <w:rPr>
          <w:rFonts w:hint="eastAsia" w:ascii="宋体" w:hAnsi="宋体" w:eastAsia="宋体" w:cs="宋体"/>
          <w:b w:val="0"/>
          <w:bCs w:val="0"/>
          <w:caps w:val="0"/>
          <w:color w:val="auto"/>
          <w:kern w:val="0"/>
          <w:sz w:val="24"/>
          <w:szCs w:val="24"/>
          <w:highlight w:val="none"/>
          <w:vertAlign w:val="baseline"/>
          <w:lang w:val="zh-CN" w:eastAsia="zh-CN" w:bidi="ar"/>
        </w:rPr>
        <w:t>。</w:t>
      </w:r>
    </w:p>
    <w:p w14:paraId="70A085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特此承诺。</w:t>
      </w:r>
    </w:p>
    <w:p w14:paraId="7BE1A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02A02C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50F146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p>
    <w:p w14:paraId="751F0F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p>
    <w:p w14:paraId="04F3C7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p>
    <w:p w14:paraId="6E8B13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cs="宋体"/>
          <w:color w:val="auto"/>
          <w:sz w:val="24"/>
          <w:szCs w:val="24"/>
          <w:highlight w:val="none"/>
          <w:lang w:val="en-US" w:eastAsia="zh-CN"/>
        </w:rPr>
        <w:t>供应商名称</w:t>
      </w:r>
      <w:r>
        <w:rPr>
          <w:rFonts w:hint="eastAsia" w:ascii="宋体" w:hAnsi="宋体" w:eastAsia="宋体" w:cs="宋体"/>
          <w:b w:val="0"/>
          <w:bCs w:val="0"/>
          <w:caps w:val="0"/>
          <w:color w:val="auto"/>
          <w:kern w:val="0"/>
          <w:sz w:val="24"/>
          <w:szCs w:val="24"/>
          <w:highlight w:val="none"/>
          <w:vertAlign w:val="baseline"/>
          <w:lang w:val="zh-CN"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zh-CN" w:eastAsia="zh-CN" w:bidi="ar"/>
        </w:rPr>
        <w:t>（盖单位章）</w:t>
      </w:r>
    </w:p>
    <w:p w14:paraId="4FA463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法定代表人或其委托代理人：               （签字或盖章）</w:t>
      </w:r>
    </w:p>
    <w:p w14:paraId="161255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 xml:space="preserve">                                     年        月        日</w:t>
      </w:r>
    </w:p>
    <w:p w14:paraId="528DA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jc w:val="left"/>
        <w:outlineLvl w:val="9"/>
        <w:rPr>
          <w:rFonts w:hint="eastAsia" w:ascii="宋体" w:hAnsi="宋体" w:eastAsia="宋体" w:cs="宋体"/>
          <w:caps w:val="0"/>
          <w:color w:val="auto"/>
          <w:sz w:val="24"/>
          <w:szCs w:val="24"/>
          <w:highlight w:val="none"/>
          <w:vertAlign w:val="baseline"/>
          <w:lang w:bidi="ar"/>
        </w:rPr>
      </w:pPr>
    </w:p>
    <w:p w14:paraId="69B77E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（六）依法缴纳税收的证明</w:t>
      </w:r>
    </w:p>
    <w:p w14:paraId="5EC709D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1B4B5537">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应提供近</w:t>
      </w:r>
      <w:r>
        <w:rPr>
          <w:rFonts w:hint="eastAsia" w:ascii="宋体" w:hAnsi="宋体" w:cs="宋体"/>
          <w:b w:val="0"/>
          <w:bCs w:val="0"/>
          <w:caps w:val="0"/>
          <w:color w:val="auto"/>
          <w:kern w:val="0"/>
          <w:sz w:val="24"/>
          <w:szCs w:val="24"/>
          <w:highlight w:val="none"/>
          <w:vertAlign w:val="baseline"/>
          <w:lang w:val="en-US" w:eastAsia="zh-CN" w:bidi="ar"/>
        </w:rPr>
        <w:t>一年中</w:t>
      </w:r>
      <w:r>
        <w:rPr>
          <w:rFonts w:hint="eastAsia" w:ascii="宋体" w:hAnsi="宋体" w:eastAsia="宋体" w:cs="宋体"/>
          <w:b w:val="0"/>
          <w:bCs w:val="0"/>
          <w:caps w:val="0"/>
          <w:color w:val="auto"/>
          <w:kern w:val="0"/>
          <w:sz w:val="24"/>
          <w:szCs w:val="24"/>
          <w:highlight w:val="none"/>
          <w:vertAlign w:val="baseline"/>
          <w:lang w:val="en-US" w:eastAsia="zh-CN" w:bidi="ar"/>
        </w:rPr>
        <w:t>任意一个月依法纳税的凭证（银行出具的缴税凭证或税务机关出具的证明的复印件，并加盖本单位公章）。</w:t>
      </w:r>
    </w:p>
    <w:p w14:paraId="0930378D">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2、依法免税的</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，应提供相应文件证明其依法免税。</w:t>
      </w:r>
      <w:bookmarkStart w:id="175" w:name="_Toc16271"/>
      <w:bookmarkStart w:id="176" w:name="_Toc2794"/>
      <w:bookmarkStart w:id="177" w:name="_Toc532560555"/>
    </w:p>
    <w:p w14:paraId="650A552B">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78" w:name="_Toc7021491"/>
      <w:bookmarkStart w:id="179" w:name="_Toc8555"/>
    </w:p>
    <w:p w14:paraId="419BA8F8">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22BAD082">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616640C5">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社会保障资金缴纳记录</w:t>
      </w:r>
      <w:bookmarkEnd w:id="175"/>
      <w:bookmarkEnd w:id="176"/>
      <w:bookmarkEnd w:id="177"/>
      <w:bookmarkEnd w:id="178"/>
      <w:bookmarkEnd w:id="179"/>
    </w:p>
    <w:p w14:paraId="59D375B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420" w:leftChars="20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091BC81A">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应提供近</w:t>
      </w:r>
      <w:r>
        <w:rPr>
          <w:rFonts w:hint="eastAsia" w:ascii="宋体" w:hAnsi="宋体" w:cs="宋体"/>
          <w:b w:val="0"/>
          <w:bCs w:val="0"/>
          <w:caps w:val="0"/>
          <w:color w:val="auto"/>
          <w:kern w:val="0"/>
          <w:sz w:val="24"/>
          <w:szCs w:val="24"/>
          <w:highlight w:val="none"/>
          <w:vertAlign w:val="baseline"/>
          <w:lang w:val="en-US" w:eastAsia="zh-CN" w:bidi="ar"/>
        </w:rPr>
        <w:t>一年中</w:t>
      </w:r>
      <w:r>
        <w:rPr>
          <w:rFonts w:hint="eastAsia" w:ascii="宋体" w:hAnsi="宋体" w:eastAsia="宋体" w:cs="宋体"/>
          <w:b w:val="0"/>
          <w:bCs w:val="0"/>
          <w:caps w:val="0"/>
          <w:color w:val="auto"/>
          <w:kern w:val="0"/>
          <w:sz w:val="24"/>
          <w:szCs w:val="24"/>
          <w:highlight w:val="none"/>
          <w:vertAlign w:val="baseline"/>
          <w:lang w:val="en-US" w:eastAsia="zh-CN" w:bidi="ar"/>
        </w:rPr>
        <w:t>任意一个月的社会缴纳社会保险的凭据（专用收据或社会保险缴纳清单），并加盖本单位公章。</w:t>
      </w:r>
    </w:p>
    <w:p w14:paraId="6198463A">
      <w:pPr>
        <w:pStyle w:val="4"/>
        <w:spacing w:before="0" w:after="0" w:line="360" w:lineRule="auto"/>
        <w:ind w:firstLine="480" w:firstLineChars="200"/>
        <w:jc w:val="left"/>
        <w:rPr>
          <w:rFonts w:hint="eastAsia" w:ascii="宋体" w:hAnsi="宋体" w:eastAsia="宋体" w:cs="宋体"/>
          <w:b w:val="0"/>
          <w:bCs w:val="0"/>
          <w:caps w:val="0"/>
          <w:color w:val="auto"/>
          <w:kern w:val="0"/>
          <w:sz w:val="24"/>
          <w:szCs w:val="24"/>
          <w:highlight w:val="none"/>
          <w:vertAlign w:val="baseline"/>
          <w:lang w:val="en-US" w:eastAsia="zh-CN" w:bidi="ar"/>
        </w:rPr>
      </w:pPr>
      <w:bookmarkStart w:id="180" w:name="_Toc7619"/>
      <w:r>
        <w:rPr>
          <w:rFonts w:hint="eastAsia" w:ascii="宋体" w:hAnsi="宋体" w:eastAsia="宋体" w:cs="宋体"/>
          <w:b w:val="0"/>
          <w:bCs w:val="0"/>
          <w:caps w:val="0"/>
          <w:color w:val="auto"/>
          <w:kern w:val="0"/>
          <w:sz w:val="24"/>
          <w:szCs w:val="24"/>
          <w:highlight w:val="none"/>
          <w:vertAlign w:val="baseline"/>
          <w:lang w:val="en-US" w:eastAsia="zh-CN" w:bidi="ar"/>
        </w:rPr>
        <w:t>2、不需要缴纳社会保障资金的</w:t>
      </w:r>
      <w:r>
        <w:rPr>
          <w:rFonts w:hint="eastAsia" w:ascii="宋体" w:hAnsi="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，应提供相应文件证明其不需要缴纳社会保障资金。</w:t>
      </w:r>
      <w:bookmarkEnd w:id="180"/>
    </w:p>
    <w:p w14:paraId="63131ED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0FB265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EC865DA">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F6CCB6E">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D499029">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058E41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21B39197">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5CE278EA">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13D6652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D716891">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5C1884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76326B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55567B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8862E28">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8F81294">
      <w:pPr>
        <w:rPr>
          <w:rFonts w:hint="eastAsia" w:ascii="宋体" w:hAnsi="宋体" w:eastAsia="宋体" w:cs="宋体"/>
          <w:b w:val="0"/>
          <w:bCs w:val="0"/>
          <w:caps w:val="0"/>
          <w:color w:val="auto"/>
          <w:kern w:val="0"/>
          <w:sz w:val="21"/>
          <w:szCs w:val="21"/>
          <w:highlight w:val="none"/>
          <w:vertAlign w:val="baseline"/>
          <w:lang w:val="en-US" w:eastAsia="zh-CN" w:bidi="ar"/>
        </w:rPr>
      </w:pPr>
    </w:p>
    <w:p w14:paraId="469B5C71">
      <w:pPr>
        <w:pStyle w:val="47"/>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p w14:paraId="6C035C55">
      <w:pPr>
        <w:pStyle w:val="47"/>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bookmarkEnd w:id="169"/>
    <w:bookmarkEnd w:id="170"/>
    <w:bookmarkEnd w:id="171"/>
    <w:bookmarkEnd w:id="172"/>
    <w:bookmarkEnd w:id="173"/>
    <w:p w14:paraId="28FE0235">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3"/>
          <w:szCs w:val="23"/>
          <w:highlight w:val="none"/>
        </w:rPr>
        <w:br w:type="page"/>
      </w:r>
    </w:p>
    <w:p w14:paraId="39A0A6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（七）信誉要求</w:t>
      </w:r>
    </w:p>
    <w:p w14:paraId="0857109F">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14:paraId="74D56398">
      <w:pPr>
        <w:adjustRightInd w:val="0"/>
        <w:snapToGrid w:val="0"/>
        <w:spacing w:line="300" w:lineRule="auto"/>
        <w:jc w:val="center"/>
        <w:outlineLvl w:val="0"/>
        <w:rPr>
          <w:rFonts w:ascii="华文中宋" w:hAnsi="华文中宋" w:eastAsia="华文中宋"/>
          <w:b/>
          <w:sz w:val="28"/>
          <w:highlight w:val="none"/>
        </w:rPr>
      </w:pPr>
      <w:r>
        <w:rPr>
          <w:rFonts w:hint="eastAsia"/>
          <w:b/>
          <w:bCs/>
          <w:sz w:val="32"/>
          <w:szCs w:val="32"/>
          <w:highlight w:val="none"/>
          <w:lang w:eastAsia="zh-CN"/>
        </w:rPr>
        <w:t>（</w:t>
      </w:r>
      <w:r>
        <w:rPr>
          <w:rFonts w:hint="eastAsia"/>
          <w:b/>
          <w:bCs/>
          <w:sz w:val="32"/>
          <w:szCs w:val="32"/>
          <w:highlight w:val="none"/>
          <w:lang w:val="en-US" w:eastAsia="zh-CN"/>
        </w:rPr>
        <w:t>八</w:t>
      </w:r>
      <w:r>
        <w:rPr>
          <w:rFonts w:hint="eastAsia"/>
          <w:b/>
          <w:bCs/>
          <w:sz w:val="32"/>
          <w:szCs w:val="32"/>
          <w:highlight w:val="none"/>
          <w:lang w:eastAsia="zh-CN"/>
        </w:rPr>
        <w:t>）商务、技术</w:t>
      </w:r>
      <w:r>
        <w:rPr>
          <w:rFonts w:hint="eastAsia"/>
          <w:b/>
          <w:bCs/>
          <w:kern w:val="2"/>
          <w:sz w:val="32"/>
          <w:szCs w:val="32"/>
          <w:highlight w:val="none"/>
          <w:lang w:eastAsia="zh-CN"/>
        </w:rPr>
        <w:t>偏离表</w:t>
      </w:r>
    </w:p>
    <w:p w14:paraId="026FD68B">
      <w:pPr>
        <w:adjustRightInd w:val="0"/>
        <w:snapToGrid w:val="0"/>
        <w:spacing w:line="300" w:lineRule="auto"/>
        <w:rPr>
          <w:sz w:val="21"/>
          <w:szCs w:val="21"/>
          <w:highlight w:val="none"/>
        </w:rPr>
      </w:pPr>
    </w:p>
    <w:p w14:paraId="1DBD7DE6">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1.商务偏离表</w:t>
      </w:r>
    </w:p>
    <w:p w14:paraId="103AE5B1">
      <w:pPr>
        <w:adjustRightInd w:val="0"/>
        <w:snapToGrid w:val="0"/>
        <w:spacing w:line="300" w:lineRule="auto"/>
        <w:rPr>
          <w:sz w:val="24"/>
          <w:szCs w:val="24"/>
          <w:highlight w:val="none"/>
          <w:u w:val="single"/>
        </w:rPr>
      </w:pPr>
      <w:r>
        <w:rPr>
          <w:rFonts w:hint="eastAsia"/>
          <w:sz w:val="24"/>
          <w:szCs w:val="24"/>
          <w:highlight w:val="none"/>
        </w:rPr>
        <w:t xml:space="preserve">项目名称： </w:t>
      </w:r>
      <w:r>
        <w:rPr>
          <w:rFonts w:hint="eastAsia"/>
          <w:sz w:val="24"/>
          <w:szCs w:val="24"/>
          <w:highlight w:val="none"/>
          <w:u w:val="single"/>
        </w:rPr>
        <w:t xml:space="preserve">                       </w:t>
      </w:r>
    </w:p>
    <w:p w14:paraId="6B0A707F">
      <w:pPr>
        <w:adjustRightInd w:val="0"/>
        <w:snapToGrid w:val="0"/>
        <w:spacing w:line="300" w:lineRule="auto"/>
        <w:rPr>
          <w:snapToGrid w:val="0"/>
          <w:sz w:val="24"/>
          <w:szCs w:val="24"/>
          <w:highlight w:val="none"/>
        </w:rPr>
      </w:pPr>
      <w:r>
        <w:rPr>
          <w:rFonts w:hint="eastAsia"/>
          <w:sz w:val="24"/>
          <w:szCs w:val="24"/>
          <w:highlight w:val="none"/>
          <w:lang w:eastAsia="zh-CN"/>
        </w:rPr>
        <w:t>项目</w:t>
      </w:r>
      <w:r>
        <w:rPr>
          <w:rFonts w:hint="eastAsia"/>
          <w:sz w:val="24"/>
          <w:szCs w:val="24"/>
          <w:highlight w:val="none"/>
        </w:rPr>
        <w:t>编号：</w:t>
      </w:r>
      <w:r>
        <w:rPr>
          <w:rFonts w:hint="eastAsia"/>
          <w:i/>
          <w:iCs/>
          <w:sz w:val="24"/>
          <w:szCs w:val="24"/>
          <w:highlight w:val="none"/>
        </w:rPr>
        <w:t xml:space="preserve"> </w:t>
      </w:r>
      <w:r>
        <w:rPr>
          <w:rFonts w:hint="eastAsia"/>
          <w:sz w:val="24"/>
          <w:szCs w:val="24"/>
          <w:highlight w:val="none"/>
          <w:u w:val="single"/>
        </w:rPr>
        <w:t xml:space="preserve">                       </w:t>
      </w:r>
    </w:p>
    <w:tbl>
      <w:tblPr>
        <w:tblStyle w:val="29"/>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3F01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54BFF8F">
            <w:pPr>
              <w:jc w:val="center"/>
              <w:rPr>
                <w:b/>
                <w:sz w:val="24"/>
                <w:szCs w:val="24"/>
                <w:highlight w:val="none"/>
              </w:rPr>
            </w:pPr>
            <w:r>
              <w:rPr>
                <w:rFonts w:hint="eastAsia"/>
                <w:b/>
                <w:sz w:val="24"/>
                <w:szCs w:val="24"/>
                <w:highlight w:val="none"/>
              </w:rPr>
              <w:t>序号</w:t>
            </w:r>
          </w:p>
        </w:tc>
        <w:tc>
          <w:tcPr>
            <w:tcW w:w="2352" w:type="dxa"/>
            <w:vAlign w:val="center"/>
          </w:tcPr>
          <w:p w14:paraId="2C3A594A">
            <w:pPr>
              <w:jc w:val="center"/>
              <w:rPr>
                <w:b/>
                <w:sz w:val="24"/>
                <w:szCs w:val="24"/>
                <w:highlight w:val="none"/>
                <w:lang w:eastAsia="zh-CN"/>
              </w:rPr>
            </w:pPr>
            <w:r>
              <w:rPr>
                <w:rFonts w:hint="eastAsia"/>
                <w:b/>
                <w:sz w:val="24"/>
                <w:szCs w:val="24"/>
                <w:highlight w:val="none"/>
                <w:lang w:eastAsia="zh-CN"/>
              </w:rPr>
              <w:t>名称</w:t>
            </w:r>
          </w:p>
        </w:tc>
        <w:tc>
          <w:tcPr>
            <w:tcW w:w="2126" w:type="dxa"/>
            <w:vAlign w:val="center"/>
          </w:tcPr>
          <w:p w14:paraId="6842CE84">
            <w:pPr>
              <w:jc w:val="center"/>
              <w:rPr>
                <w:b/>
                <w:sz w:val="24"/>
                <w:szCs w:val="24"/>
                <w:highlight w:val="none"/>
              </w:rPr>
            </w:pPr>
            <w:r>
              <w:rPr>
                <w:rFonts w:hint="eastAsia"/>
                <w:b/>
                <w:sz w:val="24"/>
                <w:szCs w:val="24"/>
                <w:highlight w:val="none"/>
                <w:lang w:val="en-US" w:eastAsia="zh-CN"/>
              </w:rPr>
              <w:t>投标</w:t>
            </w:r>
            <w:r>
              <w:rPr>
                <w:rFonts w:hint="eastAsia"/>
                <w:b/>
                <w:sz w:val="24"/>
                <w:szCs w:val="24"/>
                <w:highlight w:val="none"/>
              </w:rPr>
              <w:t>文件要求</w:t>
            </w:r>
          </w:p>
        </w:tc>
        <w:tc>
          <w:tcPr>
            <w:tcW w:w="1644" w:type="dxa"/>
            <w:vAlign w:val="center"/>
          </w:tcPr>
          <w:p w14:paraId="302DCD98">
            <w:pPr>
              <w:jc w:val="center"/>
              <w:rPr>
                <w:b/>
                <w:sz w:val="24"/>
                <w:szCs w:val="24"/>
                <w:highlight w:val="none"/>
              </w:rPr>
            </w:pPr>
            <w:r>
              <w:rPr>
                <w:rFonts w:hint="eastAsia"/>
                <w:b/>
                <w:bCs/>
                <w:sz w:val="24"/>
                <w:szCs w:val="24"/>
                <w:highlight w:val="none"/>
                <w:lang w:eastAsia="zh-CN"/>
              </w:rPr>
              <w:t>响应</w:t>
            </w:r>
            <w:r>
              <w:rPr>
                <w:rFonts w:hint="eastAsia"/>
                <w:b/>
                <w:bCs/>
                <w:sz w:val="24"/>
                <w:szCs w:val="24"/>
                <w:highlight w:val="none"/>
              </w:rPr>
              <w:t>文件响应内容</w:t>
            </w:r>
          </w:p>
        </w:tc>
        <w:tc>
          <w:tcPr>
            <w:tcW w:w="2165" w:type="dxa"/>
            <w:vAlign w:val="center"/>
          </w:tcPr>
          <w:p w14:paraId="239E195D">
            <w:pPr>
              <w:ind w:left="335" w:hanging="335" w:hangingChars="139"/>
              <w:jc w:val="center"/>
              <w:rPr>
                <w:b/>
                <w:sz w:val="24"/>
                <w:szCs w:val="24"/>
                <w:highlight w:val="none"/>
              </w:rPr>
            </w:pPr>
            <w:r>
              <w:rPr>
                <w:rFonts w:hint="eastAsia"/>
                <w:b/>
                <w:sz w:val="24"/>
                <w:szCs w:val="24"/>
                <w:highlight w:val="none"/>
              </w:rPr>
              <w:t>偏离情况</w:t>
            </w:r>
          </w:p>
        </w:tc>
      </w:tr>
      <w:tr w14:paraId="75E9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13D6A4F8">
            <w:pPr>
              <w:spacing w:line="360" w:lineRule="auto"/>
              <w:jc w:val="center"/>
              <w:rPr>
                <w:sz w:val="24"/>
                <w:szCs w:val="24"/>
                <w:highlight w:val="none"/>
              </w:rPr>
            </w:pPr>
          </w:p>
        </w:tc>
        <w:tc>
          <w:tcPr>
            <w:tcW w:w="2352" w:type="dxa"/>
            <w:vAlign w:val="center"/>
          </w:tcPr>
          <w:p w14:paraId="0D42E3D6">
            <w:pPr>
              <w:spacing w:line="360" w:lineRule="auto"/>
              <w:jc w:val="center"/>
              <w:rPr>
                <w:sz w:val="24"/>
                <w:szCs w:val="24"/>
                <w:highlight w:val="none"/>
              </w:rPr>
            </w:pPr>
          </w:p>
        </w:tc>
        <w:tc>
          <w:tcPr>
            <w:tcW w:w="2126" w:type="dxa"/>
            <w:vAlign w:val="center"/>
          </w:tcPr>
          <w:p w14:paraId="283921AD">
            <w:pPr>
              <w:spacing w:line="360" w:lineRule="auto"/>
              <w:jc w:val="center"/>
              <w:rPr>
                <w:sz w:val="24"/>
                <w:szCs w:val="24"/>
                <w:highlight w:val="none"/>
              </w:rPr>
            </w:pPr>
          </w:p>
        </w:tc>
        <w:tc>
          <w:tcPr>
            <w:tcW w:w="1644" w:type="dxa"/>
            <w:vAlign w:val="center"/>
          </w:tcPr>
          <w:p w14:paraId="68CF4A59">
            <w:pPr>
              <w:spacing w:line="360" w:lineRule="auto"/>
              <w:jc w:val="center"/>
              <w:rPr>
                <w:sz w:val="24"/>
                <w:szCs w:val="24"/>
                <w:highlight w:val="none"/>
              </w:rPr>
            </w:pPr>
          </w:p>
        </w:tc>
        <w:tc>
          <w:tcPr>
            <w:tcW w:w="2165" w:type="dxa"/>
            <w:vAlign w:val="center"/>
          </w:tcPr>
          <w:p w14:paraId="5540627A">
            <w:pPr>
              <w:spacing w:line="360" w:lineRule="auto"/>
              <w:jc w:val="center"/>
              <w:rPr>
                <w:sz w:val="24"/>
                <w:szCs w:val="24"/>
                <w:highlight w:val="none"/>
              </w:rPr>
            </w:pPr>
          </w:p>
        </w:tc>
      </w:tr>
      <w:tr w14:paraId="2927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79B5CD84">
            <w:pPr>
              <w:spacing w:line="360" w:lineRule="auto"/>
              <w:jc w:val="center"/>
              <w:rPr>
                <w:sz w:val="24"/>
                <w:szCs w:val="24"/>
                <w:highlight w:val="none"/>
              </w:rPr>
            </w:pPr>
          </w:p>
        </w:tc>
        <w:tc>
          <w:tcPr>
            <w:tcW w:w="2352" w:type="dxa"/>
            <w:vAlign w:val="center"/>
          </w:tcPr>
          <w:p w14:paraId="662A5B7D">
            <w:pPr>
              <w:spacing w:line="360" w:lineRule="auto"/>
              <w:jc w:val="center"/>
              <w:rPr>
                <w:sz w:val="24"/>
                <w:szCs w:val="24"/>
                <w:highlight w:val="none"/>
              </w:rPr>
            </w:pPr>
          </w:p>
        </w:tc>
        <w:tc>
          <w:tcPr>
            <w:tcW w:w="2126" w:type="dxa"/>
            <w:vAlign w:val="center"/>
          </w:tcPr>
          <w:p w14:paraId="48DE89AF">
            <w:pPr>
              <w:spacing w:line="360" w:lineRule="auto"/>
              <w:jc w:val="center"/>
              <w:rPr>
                <w:sz w:val="24"/>
                <w:szCs w:val="24"/>
                <w:highlight w:val="none"/>
              </w:rPr>
            </w:pPr>
          </w:p>
        </w:tc>
        <w:tc>
          <w:tcPr>
            <w:tcW w:w="1644" w:type="dxa"/>
            <w:vAlign w:val="center"/>
          </w:tcPr>
          <w:p w14:paraId="56D57B1F">
            <w:pPr>
              <w:spacing w:line="360" w:lineRule="auto"/>
              <w:jc w:val="center"/>
              <w:rPr>
                <w:sz w:val="24"/>
                <w:szCs w:val="24"/>
                <w:highlight w:val="none"/>
              </w:rPr>
            </w:pPr>
          </w:p>
        </w:tc>
        <w:tc>
          <w:tcPr>
            <w:tcW w:w="2165" w:type="dxa"/>
            <w:vAlign w:val="center"/>
          </w:tcPr>
          <w:p w14:paraId="0AA8470E">
            <w:pPr>
              <w:spacing w:line="360" w:lineRule="auto"/>
              <w:jc w:val="center"/>
              <w:rPr>
                <w:sz w:val="24"/>
                <w:szCs w:val="24"/>
                <w:highlight w:val="none"/>
              </w:rPr>
            </w:pPr>
          </w:p>
        </w:tc>
      </w:tr>
      <w:tr w14:paraId="3D96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5BE4AF49">
            <w:pPr>
              <w:spacing w:line="360" w:lineRule="auto"/>
              <w:jc w:val="center"/>
              <w:rPr>
                <w:sz w:val="24"/>
                <w:szCs w:val="24"/>
                <w:highlight w:val="none"/>
              </w:rPr>
            </w:pPr>
          </w:p>
        </w:tc>
        <w:tc>
          <w:tcPr>
            <w:tcW w:w="2352" w:type="dxa"/>
            <w:vAlign w:val="center"/>
          </w:tcPr>
          <w:p w14:paraId="5AABC2A5">
            <w:pPr>
              <w:spacing w:line="360" w:lineRule="auto"/>
              <w:jc w:val="center"/>
              <w:rPr>
                <w:sz w:val="24"/>
                <w:szCs w:val="24"/>
                <w:highlight w:val="none"/>
              </w:rPr>
            </w:pPr>
          </w:p>
        </w:tc>
        <w:tc>
          <w:tcPr>
            <w:tcW w:w="2126" w:type="dxa"/>
            <w:vAlign w:val="center"/>
          </w:tcPr>
          <w:p w14:paraId="595299DF">
            <w:pPr>
              <w:spacing w:line="360" w:lineRule="auto"/>
              <w:jc w:val="center"/>
              <w:rPr>
                <w:sz w:val="24"/>
                <w:szCs w:val="24"/>
                <w:highlight w:val="none"/>
              </w:rPr>
            </w:pPr>
          </w:p>
        </w:tc>
        <w:tc>
          <w:tcPr>
            <w:tcW w:w="1644" w:type="dxa"/>
            <w:vAlign w:val="center"/>
          </w:tcPr>
          <w:p w14:paraId="719F9DB5">
            <w:pPr>
              <w:spacing w:line="360" w:lineRule="auto"/>
              <w:jc w:val="center"/>
              <w:rPr>
                <w:sz w:val="24"/>
                <w:szCs w:val="24"/>
                <w:highlight w:val="none"/>
              </w:rPr>
            </w:pPr>
          </w:p>
        </w:tc>
        <w:tc>
          <w:tcPr>
            <w:tcW w:w="2165" w:type="dxa"/>
            <w:vAlign w:val="center"/>
          </w:tcPr>
          <w:p w14:paraId="239D1041">
            <w:pPr>
              <w:spacing w:line="360" w:lineRule="auto"/>
              <w:jc w:val="center"/>
              <w:rPr>
                <w:sz w:val="24"/>
                <w:szCs w:val="24"/>
                <w:highlight w:val="none"/>
              </w:rPr>
            </w:pPr>
          </w:p>
        </w:tc>
      </w:tr>
      <w:tr w14:paraId="0A0B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0EA3C9E7">
            <w:pPr>
              <w:spacing w:line="360" w:lineRule="auto"/>
              <w:jc w:val="center"/>
              <w:rPr>
                <w:sz w:val="24"/>
                <w:szCs w:val="24"/>
                <w:highlight w:val="none"/>
              </w:rPr>
            </w:pPr>
          </w:p>
        </w:tc>
        <w:tc>
          <w:tcPr>
            <w:tcW w:w="2352" w:type="dxa"/>
            <w:vAlign w:val="center"/>
          </w:tcPr>
          <w:p w14:paraId="29CB7035">
            <w:pPr>
              <w:spacing w:line="360" w:lineRule="auto"/>
              <w:jc w:val="center"/>
              <w:rPr>
                <w:sz w:val="24"/>
                <w:szCs w:val="24"/>
                <w:highlight w:val="none"/>
              </w:rPr>
            </w:pPr>
          </w:p>
        </w:tc>
        <w:tc>
          <w:tcPr>
            <w:tcW w:w="2126" w:type="dxa"/>
            <w:vAlign w:val="center"/>
          </w:tcPr>
          <w:p w14:paraId="4CBA4C49">
            <w:pPr>
              <w:spacing w:line="360" w:lineRule="auto"/>
              <w:jc w:val="center"/>
              <w:rPr>
                <w:sz w:val="24"/>
                <w:szCs w:val="24"/>
                <w:highlight w:val="none"/>
              </w:rPr>
            </w:pPr>
          </w:p>
        </w:tc>
        <w:tc>
          <w:tcPr>
            <w:tcW w:w="1644" w:type="dxa"/>
            <w:vAlign w:val="center"/>
          </w:tcPr>
          <w:p w14:paraId="45903D83">
            <w:pPr>
              <w:spacing w:line="360" w:lineRule="auto"/>
              <w:jc w:val="center"/>
              <w:rPr>
                <w:sz w:val="24"/>
                <w:szCs w:val="24"/>
                <w:highlight w:val="none"/>
              </w:rPr>
            </w:pPr>
          </w:p>
        </w:tc>
        <w:tc>
          <w:tcPr>
            <w:tcW w:w="2165" w:type="dxa"/>
            <w:vAlign w:val="center"/>
          </w:tcPr>
          <w:p w14:paraId="55A40C62">
            <w:pPr>
              <w:spacing w:line="360" w:lineRule="auto"/>
              <w:jc w:val="center"/>
              <w:rPr>
                <w:sz w:val="24"/>
                <w:szCs w:val="24"/>
                <w:highlight w:val="none"/>
              </w:rPr>
            </w:pPr>
          </w:p>
        </w:tc>
      </w:tr>
      <w:tr w14:paraId="0AAB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7F0AAAED">
            <w:pPr>
              <w:spacing w:line="360" w:lineRule="auto"/>
              <w:jc w:val="center"/>
              <w:rPr>
                <w:sz w:val="24"/>
                <w:szCs w:val="24"/>
                <w:highlight w:val="none"/>
              </w:rPr>
            </w:pPr>
          </w:p>
        </w:tc>
        <w:tc>
          <w:tcPr>
            <w:tcW w:w="2352" w:type="dxa"/>
            <w:vAlign w:val="center"/>
          </w:tcPr>
          <w:p w14:paraId="4435FF46">
            <w:pPr>
              <w:spacing w:line="360" w:lineRule="auto"/>
              <w:jc w:val="center"/>
              <w:rPr>
                <w:sz w:val="24"/>
                <w:szCs w:val="24"/>
                <w:highlight w:val="none"/>
              </w:rPr>
            </w:pPr>
          </w:p>
        </w:tc>
        <w:tc>
          <w:tcPr>
            <w:tcW w:w="2126" w:type="dxa"/>
            <w:vAlign w:val="center"/>
          </w:tcPr>
          <w:p w14:paraId="660C28BD">
            <w:pPr>
              <w:spacing w:line="360" w:lineRule="auto"/>
              <w:jc w:val="center"/>
              <w:rPr>
                <w:sz w:val="24"/>
                <w:szCs w:val="24"/>
                <w:highlight w:val="none"/>
              </w:rPr>
            </w:pPr>
          </w:p>
        </w:tc>
        <w:tc>
          <w:tcPr>
            <w:tcW w:w="1644" w:type="dxa"/>
            <w:vAlign w:val="center"/>
          </w:tcPr>
          <w:p w14:paraId="2CCC2819">
            <w:pPr>
              <w:spacing w:line="360" w:lineRule="auto"/>
              <w:jc w:val="center"/>
              <w:rPr>
                <w:sz w:val="24"/>
                <w:szCs w:val="24"/>
                <w:highlight w:val="none"/>
              </w:rPr>
            </w:pPr>
          </w:p>
        </w:tc>
        <w:tc>
          <w:tcPr>
            <w:tcW w:w="2165" w:type="dxa"/>
            <w:vAlign w:val="center"/>
          </w:tcPr>
          <w:p w14:paraId="5A81F312">
            <w:pPr>
              <w:spacing w:line="360" w:lineRule="auto"/>
              <w:jc w:val="center"/>
              <w:rPr>
                <w:sz w:val="24"/>
                <w:szCs w:val="24"/>
                <w:highlight w:val="none"/>
              </w:rPr>
            </w:pPr>
          </w:p>
        </w:tc>
      </w:tr>
    </w:tbl>
    <w:p w14:paraId="097CB67A">
      <w:pPr>
        <w:pStyle w:val="11"/>
        <w:snapToGrid w:val="0"/>
        <w:spacing w:line="300" w:lineRule="auto"/>
        <w:ind w:firstLine="0"/>
        <w:rPr>
          <w:snapToGrid w:val="0"/>
          <w:sz w:val="24"/>
          <w:szCs w:val="24"/>
          <w:highlight w:val="none"/>
        </w:rPr>
      </w:pPr>
    </w:p>
    <w:p w14:paraId="258660C0">
      <w:pPr>
        <w:spacing w:beforeLines="50" w:line="288" w:lineRule="auto"/>
        <w:rPr>
          <w:sz w:val="24"/>
          <w:szCs w:val="24"/>
          <w:highlight w:val="none"/>
        </w:rPr>
      </w:pPr>
      <w:r>
        <w:rPr>
          <w:rFonts w:hint="eastAsia"/>
          <w:sz w:val="24"/>
          <w:szCs w:val="24"/>
          <w:highlight w:val="none"/>
        </w:rPr>
        <w:t>注明：</w:t>
      </w:r>
    </w:p>
    <w:p w14:paraId="34667469">
      <w:pPr>
        <w:pStyle w:val="71"/>
        <w:numPr>
          <w:ilvl w:val="0"/>
          <w:numId w:val="11"/>
        </w:numPr>
        <w:spacing w:line="288" w:lineRule="auto"/>
        <w:ind w:left="420" w:hanging="420"/>
        <w:rPr>
          <w:sz w:val="24"/>
          <w:szCs w:val="24"/>
          <w:highlight w:val="none"/>
        </w:rPr>
      </w:pPr>
      <w:r>
        <w:rPr>
          <w:rFonts w:hint="eastAsia"/>
          <w:bCs/>
          <w:sz w:val="24"/>
          <w:szCs w:val="24"/>
          <w:highlight w:val="none"/>
        </w:rPr>
        <w:t>偏离情况项填写“正”、“负”或“无”，说明项中填写原因。</w:t>
      </w:r>
    </w:p>
    <w:p w14:paraId="16A00A81">
      <w:pPr>
        <w:pStyle w:val="71"/>
        <w:numPr>
          <w:ilvl w:val="0"/>
          <w:numId w:val="11"/>
        </w:numPr>
        <w:spacing w:line="288" w:lineRule="auto"/>
        <w:ind w:left="420" w:hanging="420"/>
        <w:rPr>
          <w:bCs/>
          <w:sz w:val="24"/>
          <w:szCs w:val="24"/>
          <w:highlight w:val="none"/>
        </w:rPr>
      </w:pPr>
      <w:r>
        <w:rPr>
          <w:rFonts w:hint="eastAsia"/>
          <w:bCs/>
          <w:sz w:val="24"/>
          <w:szCs w:val="24"/>
          <w:highlight w:val="none"/>
        </w:rPr>
        <w:t>供应商应按照招标文件要求，对响应有偏离的，则说明偏离的内容，若有要求提供相关证明资料的，须按要求提供，否则视为负偏离。</w:t>
      </w:r>
    </w:p>
    <w:p w14:paraId="45C431C2">
      <w:pPr>
        <w:pStyle w:val="11"/>
        <w:snapToGrid w:val="0"/>
        <w:spacing w:line="300" w:lineRule="auto"/>
        <w:ind w:firstLine="0"/>
        <w:rPr>
          <w:b/>
          <w:bCs/>
          <w:snapToGrid w:val="0"/>
          <w:sz w:val="24"/>
          <w:szCs w:val="24"/>
          <w:highlight w:val="none"/>
        </w:rPr>
      </w:pPr>
    </w:p>
    <w:p w14:paraId="1F86E6B6">
      <w:pPr>
        <w:pStyle w:val="11"/>
        <w:snapToGrid w:val="0"/>
        <w:spacing w:line="300" w:lineRule="auto"/>
        <w:ind w:firstLine="0"/>
        <w:rPr>
          <w:b/>
          <w:bCs/>
          <w:snapToGrid w:val="0"/>
          <w:sz w:val="24"/>
          <w:szCs w:val="24"/>
          <w:highlight w:val="none"/>
        </w:rPr>
      </w:pPr>
    </w:p>
    <w:p w14:paraId="65E78D40">
      <w:pPr>
        <w:rPr>
          <w:b/>
          <w:bCs/>
          <w:snapToGrid w:val="0"/>
          <w:sz w:val="24"/>
          <w:szCs w:val="24"/>
          <w:highlight w:val="none"/>
        </w:rPr>
      </w:pPr>
    </w:p>
    <w:p w14:paraId="6AE94975">
      <w:pPr>
        <w:pStyle w:val="10"/>
        <w:rPr>
          <w:b/>
          <w:bCs/>
          <w:snapToGrid w:val="0"/>
          <w:sz w:val="24"/>
          <w:szCs w:val="24"/>
          <w:highlight w:val="none"/>
        </w:rPr>
      </w:pPr>
    </w:p>
    <w:p w14:paraId="033A6844">
      <w:pPr>
        <w:rPr>
          <w:highlight w:val="none"/>
        </w:rPr>
      </w:pPr>
    </w:p>
    <w:p w14:paraId="5F68FA0D">
      <w:pPr>
        <w:pStyle w:val="10"/>
        <w:tabs>
          <w:tab w:val="left" w:pos="7321"/>
        </w:tabs>
        <w:wordWrap w:val="0"/>
        <w:spacing w:before="36"/>
        <w:ind w:left="2701"/>
        <w:rPr>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val="en-US" w:eastAsia="zh-CN"/>
        </w:rPr>
        <w:t>供应商名称</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sz w:val="24"/>
          <w:szCs w:val="24"/>
          <w:highlight w:val="none"/>
        </w:rPr>
        <w:t>盖公章</w:t>
      </w:r>
      <w:r>
        <w:rPr>
          <w:rFonts w:hint="eastAsia"/>
          <w:color w:val="000000" w:themeColor="text1"/>
          <w:sz w:val="24"/>
          <w:szCs w:val="24"/>
          <w:highlight w:val="none"/>
          <w14:textFill>
            <w14:solidFill>
              <w14:schemeClr w14:val="tx1"/>
            </w14:solidFill>
          </w14:textFill>
        </w:rPr>
        <w:t>）</w:t>
      </w:r>
    </w:p>
    <w:p w14:paraId="476E4749">
      <w:pPr>
        <w:pStyle w:val="10"/>
        <w:wordWrap w:val="0"/>
        <w:spacing w:before="12"/>
        <w:rPr>
          <w:color w:val="000000" w:themeColor="text1"/>
          <w:sz w:val="24"/>
          <w:szCs w:val="24"/>
          <w:highlight w:val="none"/>
          <w14:textFill>
            <w14:solidFill>
              <w14:schemeClr w14:val="tx1"/>
            </w14:solidFill>
          </w14:textFill>
        </w:rPr>
      </w:pPr>
    </w:p>
    <w:p w14:paraId="3DE49384">
      <w:pPr>
        <w:pStyle w:val="10"/>
        <w:tabs>
          <w:tab w:val="left" w:pos="6481"/>
        </w:tabs>
        <w:wordWrap w:val="0"/>
        <w:spacing w:before="37"/>
        <w:ind w:left="2701"/>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法定代表人或其委托代理人：</w:t>
      </w:r>
      <w:r>
        <w:rPr>
          <w:rFonts w:hint="eastAsia"/>
          <w:color w:val="000000" w:themeColor="text1"/>
          <w:sz w:val="24"/>
          <w:szCs w:val="24"/>
          <w:highlight w:val="none"/>
          <w:u w:val="single"/>
          <w:lang w:eastAsia="zh-CN"/>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ab/>
      </w:r>
      <w:r>
        <w:rPr>
          <w:rFonts w:hint="eastAsia"/>
          <w:color w:val="000000" w:themeColor="text1"/>
          <w:sz w:val="24"/>
          <w:szCs w:val="24"/>
          <w:highlight w:val="none"/>
          <w:lang w:eastAsia="zh-CN"/>
          <w14:textFill>
            <w14:solidFill>
              <w14:schemeClr w14:val="tx1"/>
            </w14:solidFill>
          </w14:textFill>
        </w:rPr>
        <w:t>（签字）</w:t>
      </w:r>
    </w:p>
    <w:p w14:paraId="46887BC0">
      <w:pPr>
        <w:adjustRightInd w:val="0"/>
        <w:snapToGrid w:val="0"/>
        <w:spacing w:line="300" w:lineRule="auto"/>
        <w:jc w:val="center"/>
        <w:outlineLvl w:val="0"/>
        <w:rPr>
          <w:b/>
          <w:bCs/>
          <w:sz w:val="32"/>
          <w:szCs w:val="32"/>
          <w:highlight w:val="none"/>
          <w:lang w:eastAsia="zh-CN"/>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br w:type="page"/>
      </w:r>
      <w:r>
        <w:rPr>
          <w:rFonts w:hint="eastAsia"/>
          <w:b/>
          <w:bCs/>
          <w:sz w:val="32"/>
          <w:szCs w:val="32"/>
          <w:highlight w:val="none"/>
          <w:lang w:eastAsia="zh-CN"/>
        </w:rPr>
        <w:t>2.技术规格偏离表</w:t>
      </w:r>
    </w:p>
    <w:p w14:paraId="73EAFD43">
      <w:pPr>
        <w:adjustRightInd w:val="0"/>
        <w:snapToGrid w:val="0"/>
        <w:spacing w:line="300" w:lineRule="auto"/>
        <w:rPr>
          <w:rFonts w:hint="eastAsia"/>
          <w:sz w:val="24"/>
          <w:szCs w:val="24"/>
          <w:highlight w:val="none"/>
        </w:rPr>
      </w:pPr>
    </w:p>
    <w:p w14:paraId="71812281">
      <w:pPr>
        <w:adjustRightInd w:val="0"/>
        <w:snapToGrid w:val="0"/>
        <w:spacing w:line="300" w:lineRule="auto"/>
        <w:rPr>
          <w:sz w:val="24"/>
          <w:szCs w:val="24"/>
          <w:highlight w:val="none"/>
          <w:u w:val="single"/>
        </w:rPr>
      </w:pPr>
      <w:r>
        <w:rPr>
          <w:rFonts w:hint="eastAsia"/>
          <w:sz w:val="24"/>
          <w:szCs w:val="24"/>
          <w:highlight w:val="none"/>
        </w:rPr>
        <w:t xml:space="preserve">项目名称： </w:t>
      </w:r>
      <w:r>
        <w:rPr>
          <w:rFonts w:hint="eastAsia"/>
          <w:sz w:val="24"/>
          <w:szCs w:val="24"/>
          <w:highlight w:val="none"/>
          <w:u w:val="single"/>
        </w:rPr>
        <w:t xml:space="preserve">                       </w:t>
      </w:r>
    </w:p>
    <w:p w14:paraId="4762F26C">
      <w:pPr>
        <w:adjustRightInd w:val="0"/>
        <w:snapToGrid w:val="0"/>
        <w:spacing w:line="300" w:lineRule="auto"/>
        <w:rPr>
          <w:rFonts w:hint="eastAsia"/>
          <w:sz w:val="24"/>
          <w:szCs w:val="24"/>
          <w:highlight w:val="none"/>
          <w:u w:val="single"/>
        </w:rPr>
      </w:pPr>
      <w:r>
        <w:rPr>
          <w:rFonts w:hint="eastAsia"/>
          <w:sz w:val="24"/>
          <w:szCs w:val="24"/>
          <w:highlight w:val="none"/>
          <w:lang w:eastAsia="zh-CN"/>
        </w:rPr>
        <w:t>项目</w:t>
      </w:r>
      <w:r>
        <w:rPr>
          <w:rFonts w:hint="eastAsia"/>
          <w:sz w:val="24"/>
          <w:szCs w:val="24"/>
          <w:highlight w:val="none"/>
        </w:rPr>
        <w:t>编号：</w:t>
      </w:r>
      <w:r>
        <w:rPr>
          <w:rFonts w:hint="eastAsia"/>
          <w:i/>
          <w:iCs/>
          <w:sz w:val="24"/>
          <w:szCs w:val="24"/>
          <w:highlight w:val="none"/>
        </w:rPr>
        <w:t xml:space="preserve"> </w:t>
      </w:r>
      <w:r>
        <w:rPr>
          <w:rFonts w:hint="eastAsia"/>
          <w:sz w:val="24"/>
          <w:szCs w:val="24"/>
          <w:highlight w:val="none"/>
          <w:u w:val="single"/>
        </w:rPr>
        <w:t xml:space="preserve">                       </w:t>
      </w:r>
    </w:p>
    <w:p w14:paraId="404FEF83">
      <w:pPr>
        <w:adjustRightInd w:val="0"/>
        <w:snapToGrid w:val="0"/>
        <w:spacing w:line="300" w:lineRule="auto"/>
        <w:rPr>
          <w:rFonts w:hint="eastAsia"/>
          <w:sz w:val="24"/>
          <w:szCs w:val="24"/>
          <w:highlight w:val="none"/>
          <w:u w:val="single"/>
        </w:rPr>
      </w:pPr>
    </w:p>
    <w:tbl>
      <w:tblPr>
        <w:tblStyle w:val="29"/>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3F7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1C6CA822">
            <w:pPr>
              <w:jc w:val="center"/>
              <w:rPr>
                <w:b/>
                <w:sz w:val="24"/>
                <w:szCs w:val="24"/>
                <w:highlight w:val="none"/>
              </w:rPr>
            </w:pPr>
            <w:r>
              <w:rPr>
                <w:rFonts w:hint="eastAsia"/>
                <w:b/>
                <w:sz w:val="24"/>
                <w:szCs w:val="24"/>
                <w:highlight w:val="none"/>
              </w:rPr>
              <w:t>序号</w:t>
            </w:r>
          </w:p>
        </w:tc>
        <w:tc>
          <w:tcPr>
            <w:tcW w:w="2352" w:type="dxa"/>
            <w:vAlign w:val="center"/>
          </w:tcPr>
          <w:p w14:paraId="0C272C32">
            <w:pPr>
              <w:jc w:val="center"/>
              <w:rPr>
                <w:b/>
                <w:sz w:val="24"/>
                <w:szCs w:val="24"/>
                <w:highlight w:val="none"/>
                <w:lang w:eastAsia="zh-CN"/>
              </w:rPr>
            </w:pPr>
            <w:r>
              <w:rPr>
                <w:rFonts w:hint="eastAsia"/>
                <w:b/>
                <w:sz w:val="24"/>
                <w:szCs w:val="24"/>
                <w:highlight w:val="none"/>
                <w:lang w:eastAsia="zh-CN"/>
              </w:rPr>
              <w:t>名称</w:t>
            </w:r>
          </w:p>
        </w:tc>
        <w:tc>
          <w:tcPr>
            <w:tcW w:w="2126" w:type="dxa"/>
            <w:vAlign w:val="center"/>
          </w:tcPr>
          <w:p w14:paraId="65D8E530">
            <w:pPr>
              <w:jc w:val="center"/>
              <w:rPr>
                <w:b/>
                <w:sz w:val="24"/>
                <w:szCs w:val="24"/>
                <w:highlight w:val="none"/>
              </w:rPr>
            </w:pPr>
            <w:r>
              <w:rPr>
                <w:rFonts w:hint="eastAsia"/>
                <w:b/>
                <w:sz w:val="24"/>
                <w:szCs w:val="24"/>
                <w:highlight w:val="none"/>
                <w:lang w:val="en-US" w:eastAsia="zh-CN"/>
              </w:rPr>
              <w:t>投标</w:t>
            </w:r>
            <w:r>
              <w:rPr>
                <w:rFonts w:hint="eastAsia"/>
                <w:b/>
                <w:sz w:val="24"/>
                <w:szCs w:val="24"/>
                <w:highlight w:val="none"/>
              </w:rPr>
              <w:t>文件要求</w:t>
            </w:r>
          </w:p>
        </w:tc>
        <w:tc>
          <w:tcPr>
            <w:tcW w:w="1644" w:type="dxa"/>
            <w:vAlign w:val="center"/>
          </w:tcPr>
          <w:p w14:paraId="611A6405">
            <w:pPr>
              <w:jc w:val="center"/>
              <w:rPr>
                <w:b/>
                <w:sz w:val="24"/>
                <w:szCs w:val="24"/>
                <w:highlight w:val="none"/>
              </w:rPr>
            </w:pPr>
            <w:r>
              <w:rPr>
                <w:rFonts w:hint="eastAsia"/>
                <w:b/>
                <w:bCs/>
                <w:sz w:val="24"/>
                <w:szCs w:val="24"/>
                <w:highlight w:val="none"/>
                <w:lang w:eastAsia="zh-CN"/>
              </w:rPr>
              <w:t>响应</w:t>
            </w:r>
            <w:r>
              <w:rPr>
                <w:rFonts w:hint="eastAsia"/>
                <w:b/>
                <w:bCs/>
                <w:sz w:val="24"/>
                <w:szCs w:val="24"/>
                <w:highlight w:val="none"/>
              </w:rPr>
              <w:t>文件内容</w:t>
            </w:r>
          </w:p>
        </w:tc>
        <w:tc>
          <w:tcPr>
            <w:tcW w:w="2165" w:type="dxa"/>
            <w:vAlign w:val="center"/>
          </w:tcPr>
          <w:p w14:paraId="26B8A87D">
            <w:pPr>
              <w:ind w:left="335" w:hanging="335" w:hangingChars="139"/>
              <w:jc w:val="center"/>
              <w:rPr>
                <w:b/>
                <w:sz w:val="24"/>
                <w:szCs w:val="24"/>
                <w:highlight w:val="none"/>
              </w:rPr>
            </w:pPr>
            <w:r>
              <w:rPr>
                <w:rFonts w:hint="eastAsia"/>
                <w:b/>
                <w:sz w:val="24"/>
                <w:szCs w:val="24"/>
                <w:highlight w:val="none"/>
              </w:rPr>
              <w:t>偏离情况</w:t>
            </w:r>
          </w:p>
        </w:tc>
      </w:tr>
      <w:tr w14:paraId="0843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19FC9E6A">
            <w:pPr>
              <w:spacing w:line="360" w:lineRule="auto"/>
              <w:jc w:val="center"/>
              <w:rPr>
                <w:sz w:val="24"/>
                <w:szCs w:val="24"/>
                <w:highlight w:val="none"/>
              </w:rPr>
            </w:pPr>
          </w:p>
        </w:tc>
        <w:tc>
          <w:tcPr>
            <w:tcW w:w="2352" w:type="dxa"/>
            <w:vAlign w:val="center"/>
          </w:tcPr>
          <w:p w14:paraId="4A864ED0">
            <w:pPr>
              <w:spacing w:line="360" w:lineRule="auto"/>
              <w:jc w:val="center"/>
              <w:rPr>
                <w:sz w:val="24"/>
                <w:szCs w:val="24"/>
                <w:highlight w:val="none"/>
              </w:rPr>
            </w:pPr>
          </w:p>
        </w:tc>
        <w:tc>
          <w:tcPr>
            <w:tcW w:w="2126" w:type="dxa"/>
            <w:vAlign w:val="center"/>
          </w:tcPr>
          <w:p w14:paraId="25E69209">
            <w:pPr>
              <w:spacing w:line="360" w:lineRule="auto"/>
              <w:jc w:val="center"/>
              <w:rPr>
                <w:sz w:val="24"/>
                <w:szCs w:val="24"/>
                <w:highlight w:val="none"/>
              </w:rPr>
            </w:pPr>
          </w:p>
        </w:tc>
        <w:tc>
          <w:tcPr>
            <w:tcW w:w="1644" w:type="dxa"/>
            <w:vAlign w:val="center"/>
          </w:tcPr>
          <w:p w14:paraId="561F59AF">
            <w:pPr>
              <w:spacing w:line="360" w:lineRule="auto"/>
              <w:jc w:val="center"/>
              <w:rPr>
                <w:sz w:val="24"/>
                <w:szCs w:val="24"/>
                <w:highlight w:val="none"/>
              </w:rPr>
            </w:pPr>
          </w:p>
        </w:tc>
        <w:tc>
          <w:tcPr>
            <w:tcW w:w="2165" w:type="dxa"/>
            <w:vAlign w:val="center"/>
          </w:tcPr>
          <w:p w14:paraId="7B6F036D">
            <w:pPr>
              <w:spacing w:line="360" w:lineRule="auto"/>
              <w:jc w:val="center"/>
              <w:rPr>
                <w:sz w:val="24"/>
                <w:szCs w:val="24"/>
                <w:highlight w:val="none"/>
              </w:rPr>
            </w:pPr>
          </w:p>
        </w:tc>
      </w:tr>
      <w:tr w14:paraId="09D4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64866BC0">
            <w:pPr>
              <w:spacing w:line="360" w:lineRule="auto"/>
              <w:jc w:val="center"/>
              <w:rPr>
                <w:sz w:val="24"/>
                <w:szCs w:val="24"/>
                <w:highlight w:val="none"/>
              </w:rPr>
            </w:pPr>
          </w:p>
        </w:tc>
        <w:tc>
          <w:tcPr>
            <w:tcW w:w="2352" w:type="dxa"/>
            <w:vAlign w:val="center"/>
          </w:tcPr>
          <w:p w14:paraId="7ECA2921">
            <w:pPr>
              <w:spacing w:line="360" w:lineRule="auto"/>
              <w:jc w:val="center"/>
              <w:rPr>
                <w:sz w:val="24"/>
                <w:szCs w:val="24"/>
                <w:highlight w:val="none"/>
              </w:rPr>
            </w:pPr>
          </w:p>
        </w:tc>
        <w:tc>
          <w:tcPr>
            <w:tcW w:w="2126" w:type="dxa"/>
            <w:vAlign w:val="center"/>
          </w:tcPr>
          <w:p w14:paraId="576E10FC">
            <w:pPr>
              <w:spacing w:line="360" w:lineRule="auto"/>
              <w:jc w:val="center"/>
              <w:rPr>
                <w:sz w:val="24"/>
                <w:szCs w:val="24"/>
                <w:highlight w:val="none"/>
              </w:rPr>
            </w:pPr>
          </w:p>
        </w:tc>
        <w:tc>
          <w:tcPr>
            <w:tcW w:w="1644" w:type="dxa"/>
            <w:vAlign w:val="center"/>
          </w:tcPr>
          <w:p w14:paraId="6E091842">
            <w:pPr>
              <w:spacing w:line="360" w:lineRule="auto"/>
              <w:jc w:val="center"/>
              <w:rPr>
                <w:sz w:val="24"/>
                <w:szCs w:val="24"/>
                <w:highlight w:val="none"/>
              </w:rPr>
            </w:pPr>
          </w:p>
        </w:tc>
        <w:tc>
          <w:tcPr>
            <w:tcW w:w="2165" w:type="dxa"/>
            <w:vAlign w:val="center"/>
          </w:tcPr>
          <w:p w14:paraId="0149D4F1">
            <w:pPr>
              <w:spacing w:line="360" w:lineRule="auto"/>
              <w:jc w:val="center"/>
              <w:rPr>
                <w:sz w:val="24"/>
                <w:szCs w:val="24"/>
                <w:highlight w:val="none"/>
              </w:rPr>
            </w:pPr>
          </w:p>
        </w:tc>
      </w:tr>
      <w:tr w14:paraId="6A8E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6529DAF7">
            <w:pPr>
              <w:spacing w:line="360" w:lineRule="auto"/>
              <w:jc w:val="center"/>
              <w:rPr>
                <w:sz w:val="24"/>
                <w:szCs w:val="24"/>
                <w:highlight w:val="none"/>
              </w:rPr>
            </w:pPr>
          </w:p>
        </w:tc>
        <w:tc>
          <w:tcPr>
            <w:tcW w:w="2352" w:type="dxa"/>
            <w:vAlign w:val="center"/>
          </w:tcPr>
          <w:p w14:paraId="5B3F25F5">
            <w:pPr>
              <w:spacing w:line="360" w:lineRule="auto"/>
              <w:jc w:val="center"/>
              <w:rPr>
                <w:sz w:val="24"/>
                <w:szCs w:val="24"/>
                <w:highlight w:val="none"/>
              </w:rPr>
            </w:pPr>
          </w:p>
        </w:tc>
        <w:tc>
          <w:tcPr>
            <w:tcW w:w="2126" w:type="dxa"/>
            <w:vAlign w:val="center"/>
          </w:tcPr>
          <w:p w14:paraId="18C0B616">
            <w:pPr>
              <w:spacing w:line="360" w:lineRule="auto"/>
              <w:jc w:val="center"/>
              <w:rPr>
                <w:sz w:val="24"/>
                <w:szCs w:val="24"/>
                <w:highlight w:val="none"/>
              </w:rPr>
            </w:pPr>
          </w:p>
        </w:tc>
        <w:tc>
          <w:tcPr>
            <w:tcW w:w="1644" w:type="dxa"/>
            <w:vAlign w:val="center"/>
          </w:tcPr>
          <w:p w14:paraId="7B78F33B">
            <w:pPr>
              <w:spacing w:line="360" w:lineRule="auto"/>
              <w:jc w:val="center"/>
              <w:rPr>
                <w:sz w:val="24"/>
                <w:szCs w:val="24"/>
                <w:highlight w:val="none"/>
              </w:rPr>
            </w:pPr>
          </w:p>
        </w:tc>
        <w:tc>
          <w:tcPr>
            <w:tcW w:w="2165" w:type="dxa"/>
            <w:vAlign w:val="center"/>
          </w:tcPr>
          <w:p w14:paraId="2ACC90E5">
            <w:pPr>
              <w:spacing w:line="360" w:lineRule="auto"/>
              <w:jc w:val="center"/>
              <w:rPr>
                <w:sz w:val="24"/>
                <w:szCs w:val="24"/>
                <w:highlight w:val="none"/>
              </w:rPr>
            </w:pPr>
          </w:p>
        </w:tc>
      </w:tr>
      <w:tr w14:paraId="4E4D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6849D1DC">
            <w:pPr>
              <w:spacing w:line="360" w:lineRule="auto"/>
              <w:jc w:val="center"/>
              <w:rPr>
                <w:sz w:val="24"/>
                <w:szCs w:val="24"/>
                <w:highlight w:val="none"/>
              </w:rPr>
            </w:pPr>
          </w:p>
        </w:tc>
        <w:tc>
          <w:tcPr>
            <w:tcW w:w="2352" w:type="dxa"/>
            <w:vAlign w:val="center"/>
          </w:tcPr>
          <w:p w14:paraId="44F6FA2A">
            <w:pPr>
              <w:spacing w:line="360" w:lineRule="auto"/>
              <w:jc w:val="center"/>
              <w:rPr>
                <w:sz w:val="24"/>
                <w:szCs w:val="24"/>
                <w:highlight w:val="none"/>
              </w:rPr>
            </w:pPr>
          </w:p>
        </w:tc>
        <w:tc>
          <w:tcPr>
            <w:tcW w:w="2126" w:type="dxa"/>
            <w:vAlign w:val="center"/>
          </w:tcPr>
          <w:p w14:paraId="32F4F523">
            <w:pPr>
              <w:spacing w:line="360" w:lineRule="auto"/>
              <w:jc w:val="center"/>
              <w:rPr>
                <w:sz w:val="24"/>
                <w:szCs w:val="24"/>
                <w:highlight w:val="none"/>
              </w:rPr>
            </w:pPr>
          </w:p>
        </w:tc>
        <w:tc>
          <w:tcPr>
            <w:tcW w:w="1644" w:type="dxa"/>
            <w:vAlign w:val="center"/>
          </w:tcPr>
          <w:p w14:paraId="659EC67E">
            <w:pPr>
              <w:spacing w:line="360" w:lineRule="auto"/>
              <w:jc w:val="center"/>
              <w:rPr>
                <w:sz w:val="24"/>
                <w:szCs w:val="24"/>
                <w:highlight w:val="none"/>
              </w:rPr>
            </w:pPr>
          </w:p>
        </w:tc>
        <w:tc>
          <w:tcPr>
            <w:tcW w:w="2165" w:type="dxa"/>
            <w:vAlign w:val="center"/>
          </w:tcPr>
          <w:p w14:paraId="42153D5F">
            <w:pPr>
              <w:spacing w:line="360" w:lineRule="auto"/>
              <w:jc w:val="center"/>
              <w:rPr>
                <w:sz w:val="24"/>
                <w:szCs w:val="24"/>
                <w:highlight w:val="none"/>
              </w:rPr>
            </w:pPr>
          </w:p>
        </w:tc>
      </w:tr>
      <w:tr w14:paraId="1324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C64C4B5">
            <w:pPr>
              <w:spacing w:line="360" w:lineRule="auto"/>
              <w:jc w:val="center"/>
              <w:rPr>
                <w:sz w:val="24"/>
                <w:szCs w:val="24"/>
                <w:highlight w:val="none"/>
              </w:rPr>
            </w:pPr>
          </w:p>
        </w:tc>
        <w:tc>
          <w:tcPr>
            <w:tcW w:w="2352" w:type="dxa"/>
            <w:vAlign w:val="center"/>
          </w:tcPr>
          <w:p w14:paraId="73735883">
            <w:pPr>
              <w:spacing w:line="360" w:lineRule="auto"/>
              <w:jc w:val="center"/>
              <w:rPr>
                <w:sz w:val="24"/>
                <w:szCs w:val="24"/>
                <w:highlight w:val="none"/>
              </w:rPr>
            </w:pPr>
          </w:p>
        </w:tc>
        <w:tc>
          <w:tcPr>
            <w:tcW w:w="2126" w:type="dxa"/>
            <w:vAlign w:val="center"/>
          </w:tcPr>
          <w:p w14:paraId="0E8BF7C2">
            <w:pPr>
              <w:spacing w:line="360" w:lineRule="auto"/>
              <w:jc w:val="center"/>
              <w:rPr>
                <w:sz w:val="24"/>
                <w:szCs w:val="24"/>
                <w:highlight w:val="none"/>
              </w:rPr>
            </w:pPr>
          </w:p>
        </w:tc>
        <w:tc>
          <w:tcPr>
            <w:tcW w:w="1644" w:type="dxa"/>
            <w:vAlign w:val="center"/>
          </w:tcPr>
          <w:p w14:paraId="7B693DBA">
            <w:pPr>
              <w:spacing w:line="360" w:lineRule="auto"/>
              <w:jc w:val="center"/>
              <w:rPr>
                <w:sz w:val="24"/>
                <w:szCs w:val="24"/>
                <w:highlight w:val="none"/>
              </w:rPr>
            </w:pPr>
          </w:p>
        </w:tc>
        <w:tc>
          <w:tcPr>
            <w:tcW w:w="2165" w:type="dxa"/>
            <w:vAlign w:val="center"/>
          </w:tcPr>
          <w:p w14:paraId="26424D22">
            <w:pPr>
              <w:spacing w:line="360" w:lineRule="auto"/>
              <w:jc w:val="center"/>
              <w:rPr>
                <w:sz w:val="24"/>
                <w:szCs w:val="24"/>
                <w:highlight w:val="none"/>
              </w:rPr>
            </w:pPr>
          </w:p>
        </w:tc>
      </w:tr>
    </w:tbl>
    <w:p w14:paraId="735CD475">
      <w:pPr>
        <w:pStyle w:val="11"/>
        <w:snapToGrid w:val="0"/>
        <w:spacing w:line="300" w:lineRule="auto"/>
        <w:ind w:firstLine="0"/>
        <w:rPr>
          <w:snapToGrid w:val="0"/>
          <w:sz w:val="24"/>
          <w:szCs w:val="24"/>
          <w:highlight w:val="none"/>
        </w:rPr>
      </w:pPr>
    </w:p>
    <w:p w14:paraId="07375938">
      <w:pPr>
        <w:spacing w:beforeLines="50" w:line="288" w:lineRule="auto"/>
        <w:rPr>
          <w:sz w:val="24"/>
          <w:szCs w:val="24"/>
          <w:highlight w:val="none"/>
        </w:rPr>
      </w:pPr>
      <w:r>
        <w:rPr>
          <w:rFonts w:hint="eastAsia"/>
          <w:sz w:val="24"/>
          <w:szCs w:val="24"/>
          <w:highlight w:val="none"/>
        </w:rPr>
        <w:t>注明：</w:t>
      </w:r>
    </w:p>
    <w:p w14:paraId="6BB76B90">
      <w:pPr>
        <w:pStyle w:val="71"/>
        <w:numPr>
          <w:ilvl w:val="0"/>
          <w:numId w:val="12"/>
        </w:numPr>
        <w:spacing w:line="288" w:lineRule="auto"/>
        <w:ind w:left="420" w:hanging="420"/>
        <w:rPr>
          <w:sz w:val="24"/>
          <w:szCs w:val="24"/>
          <w:highlight w:val="none"/>
        </w:rPr>
      </w:pPr>
      <w:r>
        <w:rPr>
          <w:rFonts w:hint="eastAsia"/>
          <w:bCs/>
          <w:sz w:val="24"/>
          <w:szCs w:val="24"/>
          <w:highlight w:val="none"/>
        </w:rPr>
        <w:t>偏离情况项填写“正</w:t>
      </w:r>
      <w:r>
        <w:rPr>
          <w:rFonts w:hint="eastAsia"/>
          <w:bCs/>
          <w:sz w:val="24"/>
          <w:szCs w:val="24"/>
          <w:highlight w:val="none"/>
          <w:lang w:eastAsia="zh-CN"/>
        </w:rPr>
        <w:t>偏离</w:t>
      </w:r>
      <w:r>
        <w:rPr>
          <w:rFonts w:hint="eastAsia"/>
          <w:bCs/>
          <w:sz w:val="24"/>
          <w:szCs w:val="24"/>
          <w:highlight w:val="none"/>
        </w:rPr>
        <w:t>”或“无</w:t>
      </w:r>
      <w:r>
        <w:rPr>
          <w:rFonts w:hint="eastAsia"/>
          <w:bCs/>
          <w:sz w:val="24"/>
          <w:szCs w:val="24"/>
          <w:highlight w:val="none"/>
          <w:lang w:eastAsia="zh-CN"/>
        </w:rPr>
        <w:t>偏离</w:t>
      </w:r>
      <w:r>
        <w:rPr>
          <w:rFonts w:hint="eastAsia"/>
          <w:bCs/>
          <w:sz w:val="24"/>
          <w:szCs w:val="24"/>
          <w:highlight w:val="none"/>
        </w:rPr>
        <w:t>”。</w:t>
      </w:r>
    </w:p>
    <w:p w14:paraId="1A927ACD">
      <w:pPr>
        <w:pStyle w:val="71"/>
        <w:numPr>
          <w:ilvl w:val="0"/>
          <w:numId w:val="12"/>
        </w:numPr>
        <w:spacing w:line="288" w:lineRule="auto"/>
        <w:ind w:left="420" w:hanging="420"/>
        <w:rPr>
          <w:bCs/>
          <w:sz w:val="24"/>
          <w:szCs w:val="24"/>
          <w:highlight w:val="none"/>
        </w:rPr>
      </w:pPr>
      <w:r>
        <w:rPr>
          <w:rFonts w:hint="eastAsia"/>
          <w:bCs/>
          <w:sz w:val="24"/>
          <w:szCs w:val="24"/>
          <w:highlight w:val="none"/>
        </w:rPr>
        <w:t>供应商应按照</w:t>
      </w:r>
      <w:r>
        <w:rPr>
          <w:rFonts w:hint="eastAsia"/>
          <w:bCs/>
          <w:sz w:val="24"/>
          <w:szCs w:val="24"/>
          <w:highlight w:val="none"/>
          <w:lang w:eastAsia="zh-CN"/>
        </w:rPr>
        <w:t>采购</w:t>
      </w:r>
      <w:r>
        <w:rPr>
          <w:rFonts w:hint="eastAsia"/>
          <w:bCs/>
          <w:sz w:val="24"/>
          <w:szCs w:val="24"/>
          <w:highlight w:val="none"/>
        </w:rPr>
        <w:t>文件要求，对响应有偏离的，</w:t>
      </w:r>
      <w:r>
        <w:rPr>
          <w:rFonts w:hint="eastAsia"/>
          <w:bCs/>
          <w:sz w:val="24"/>
          <w:szCs w:val="24"/>
          <w:highlight w:val="none"/>
          <w:lang w:eastAsia="zh-CN"/>
        </w:rPr>
        <w:t>说明</w:t>
      </w:r>
      <w:r>
        <w:rPr>
          <w:rFonts w:hint="eastAsia"/>
          <w:bCs/>
          <w:sz w:val="24"/>
          <w:szCs w:val="24"/>
          <w:highlight w:val="none"/>
        </w:rPr>
        <w:t>偏离的内容</w:t>
      </w:r>
      <w:r>
        <w:rPr>
          <w:rFonts w:hint="eastAsia"/>
          <w:bCs/>
          <w:sz w:val="24"/>
          <w:szCs w:val="24"/>
          <w:highlight w:val="none"/>
          <w:lang w:eastAsia="zh-CN"/>
        </w:rPr>
        <w:t>。</w:t>
      </w:r>
    </w:p>
    <w:p w14:paraId="0CAB6295">
      <w:pPr>
        <w:pStyle w:val="71"/>
        <w:numPr>
          <w:ilvl w:val="0"/>
          <w:numId w:val="12"/>
        </w:numPr>
        <w:spacing w:line="288" w:lineRule="auto"/>
        <w:ind w:left="420" w:hanging="420"/>
        <w:rPr>
          <w:bCs/>
          <w:sz w:val="24"/>
          <w:szCs w:val="24"/>
          <w:highlight w:val="none"/>
          <w:lang w:eastAsia="zh-CN"/>
        </w:rPr>
      </w:pPr>
      <w:r>
        <w:rPr>
          <w:rFonts w:hint="eastAsia"/>
          <w:bCs/>
          <w:sz w:val="24"/>
          <w:szCs w:val="24"/>
          <w:highlight w:val="none"/>
          <w:lang w:eastAsia="zh-CN"/>
        </w:rPr>
        <w:t>如在偏离情况中填写“正偏离”，</w:t>
      </w:r>
      <w:r>
        <w:rPr>
          <w:rFonts w:hint="eastAsia"/>
          <w:bCs/>
          <w:sz w:val="24"/>
          <w:szCs w:val="24"/>
          <w:highlight w:val="none"/>
        </w:rPr>
        <w:t>后附相关证明材料</w:t>
      </w:r>
      <w:r>
        <w:rPr>
          <w:rFonts w:hint="eastAsia"/>
          <w:bCs/>
          <w:sz w:val="24"/>
          <w:szCs w:val="24"/>
          <w:highlight w:val="none"/>
          <w:lang w:eastAsia="zh-CN"/>
        </w:rPr>
        <w:t>。</w:t>
      </w:r>
    </w:p>
    <w:p w14:paraId="2A334A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p>
    <w:p w14:paraId="3A77C608">
      <w:pPr>
        <w:pStyle w:val="4"/>
        <w:spacing w:before="0" w:after="0" w:line="300" w:lineRule="auto"/>
        <w:rPr>
          <w:rFonts w:hint="eastAsia" w:ascii="宋体" w:hAnsi="宋体" w:eastAsia="宋体" w:cs="宋体"/>
          <w:color w:val="auto"/>
          <w:szCs w:val="21"/>
          <w:highlight w:val="none"/>
        </w:rPr>
      </w:pPr>
    </w:p>
    <w:p w14:paraId="6F33832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9DCCFC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D8494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4D1EC9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68A004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ECD7D4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bCs/>
          <w:caps w:val="0"/>
          <w:color w:val="000000"/>
          <w:kern w:val="0"/>
          <w:sz w:val="28"/>
          <w:szCs w:val="28"/>
          <w:highlight w:val="none"/>
          <w:vertAlign w:val="baseline"/>
          <w:lang w:val="en-US" w:eastAsia="zh-CN" w:bidi="ar"/>
        </w:rPr>
      </w:pPr>
    </w:p>
    <w:p w14:paraId="6A7AF93D">
      <w:pPr>
        <w:pStyle w:val="3"/>
        <w:spacing w:before="0" w:after="0" w:line="300" w:lineRule="auto"/>
        <w:jc w:val="center"/>
        <w:rPr>
          <w:rFonts w:hint="eastAsia" w:ascii="宋体" w:hAnsi="宋体" w:eastAsia="宋体" w:cs="宋体"/>
          <w:color w:val="auto"/>
          <w:highlight w:val="none"/>
          <w:lang w:val="zh-CN" w:eastAsia="zh-CN"/>
        </w:rPr>
      </w:pPr>
      <w:bookmarkStart w:id="181" w:name="_Toc27780"/>
      <w:r>
        <w:rPr>
          <w:rFonts w:hint="eastAsia" w:ascii="宋体" w:hAnsi="宋体" w:eastAsia="宋体" w:cs="宋体"/>
          <w:color w:val="auto"/>
          <w:highlight w:val="none"/>
          <w:lang w:val="en-US" w:eastAsia="zh-CN"/>
        </w:rPr>
        <w:t>七、中小企业声明函</w:t>
      </w:r>
      <w:bookmarkEnd w:id="181"/>
    </w:p>
    <w:p w14:paraId="5E683F8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highlight w:val="none"/>
          <w:lang w:val="zh-CN"/>
        </w:rPr>
      </w:pPr>
      <w:bookmarkStart w:id="182" w:name="_Toc11591"/>
      <w:r>
        <w:rPr>
          <w:rFonts w:hint="eastAsia" w:ascii="宋体" w:hAnsi="宋体" w:eastAsia="宋体" w:cs="宋体"/>
          <w:b/>
          <w:color w:val="000000"/>
          <w:kern w:val="0"/>
          <w:sz w:val="28"/>
          <w:szCs w:val="21"/>
          <w:highlight w:val="none"/>
          <w:lang w:val="zh-CN"/>
        </w:rPr>
        <w:t>中小企业声明函（</w:t>
      </w:r>
      <w:r>
        <w:rPr>
          <w:rFonts w:hint="eastAsia" w:ascii="宋体" w:hAnsi="宋体" w:cs="宋体"/>
          <w:b/>
          <w:color w:val="000000"/>
          <w:kern w:val="0"/>
          <w:sz w:val="28"/>
          <w:szCs w:val="21"/>
          <w:highlight w:val="none"/>
          <w:lang w:val="en-US" w:eastAsia="zh-CN"/>
        </w:rPr>
        <w:t>货物</w:t>
      </w:r>
      <w:r>
        <w:rPr>
          <w:rFonts w:hint="eastAsia" w:ascii="宋体" w:hAnsi="宋体" w:eastAsia="宋体" w:cs="宋体"/>
          <w:b/>
          <w:color w:val="000000"/>
          <w:kern w:val="0"/>
          <w:sz w:val="28"/>
          <w:szCs w:val="21"/>
          <w:highlight w:val="none"/>
          <w:lang w:val="zh-CN"/>
        </w:rPr>
        <w:t>）</w:t>
      </w:r>
      <w:bookmarkEnd w:id="182"/>
    </w:p>
    <w:p w14:paraId="5E0994E6">
      <w:pPr>
        <w:autoSpaceDN w:val="0"/>
        <w:jc w:val="center"/>
        <w:rPr>
          <w:rFonts w:hint="eastAsia" w:ascii="宋体" w:hAnsi="宋体" w:eastAsia="宋体" w:cs="宋体"/>
          <w:color w:val="000000"/>
          <w:kern w:val="0"/>
          <w:sz w:val="24"/>
          <w:szCs w:val="24"/>
          <w:highlight w:val="none"/>
          <w:lang w:val="zh-CN"/>
        </w:rPr>
      </w:pPr>
    </w:p>
    <w:p w14:paraId="46EB2BA1">
      <w:pPr>
        <w:spacing w:line="360" w:lineRule="auto"/>
        <w:rPr>
          <w:sz w:val="24"/>
          <w:szCs w:val="24"/>
          <w:highlight w:val="none"/>
        </w:rPr>
      </w:pPr>
      <w:r>
        <w:rPr>
          <w:rFonts w:hint="eastAsia"/>
          <w:sz w:val="24"/>
          <w:szCs w:val="24"/>
          <w:highlight w:val="none"/>
        </w:rPr>
        <w:t>本公司（联合体）郑重声明，根据《政府采购促进中小企业发展管理办法》（财库[2020]46号）的规定，本公司（联合体）参加</w:t>
      </w:r>
      <w:r>
        <w:rPr>
          <w:rFonts w:hint="eastAsia"/>
          <w:sz w:val="24"/>
          <w:szCs w:val="24"/>
          <w:highlight w:val="none"/>
          <w:u w:val="single"/>
        </w:rPr>
        <w:t>（单位名称）</w:t>
      </w:r>
      <w:r>
        <w:rPr>
          <w:rFonts w:hint="eastAsia"/>
          <w:sz w:val="24"/>
          <w:szCs w:val="24"/>
          <w:highlight w:val="none"/>
        </w:rPr>
        <w:t>的</w:t>
      </w:r>
      <w:r>
        <w:rPr>
          <w:rFonts w:hint="eastAsia"/>
          <w:sz w:val="24"/>
          <w:szCs w:val="24"/>
          <w:highlight w:val="none"/>
          <w:u w:val="single"/>
        </w:rPr>
        <w:t>（项目名称）</w:t>
      </w:r>
      <w:r>
        <w:rPr>
          <w:rFonts w:hint="eastAsia"/>
          <w:sz w:val="24"/>
          <w:szCs w:val="24"/>
          <w:highlight w:val="none"/>
        </w:rPr>
        <w:t>采购活动，提供的货物全部由符合政策要求的中小企业制造。相关企业（含联合体中的中小企业、签订分包意向协议的中小企业）的具体情况如下：</w:t>
      </w:r>
    </w:p>
    <w:p w14:paraId="35091B70">
      <w:pPr>
        <w:spacing w:line="360" w:lineRule="auto"/>
        <w:ind w:firstLine="480" w:firstLineChars="200"/>
        <w:rPr>
          <w:sz w:val="24"/>
          <w:szCs w:val="24"/>
          <w:highlight w:val="none"/>
        </w:rPr>
      </w:pPr>
      <w:r>
        <w:rPr>
          <w:rFonts w:hint="eastAsia"/>
          <w:sz w:val="24"/>
          <w:szCs w:val="24"/>
          <w:highlight w:val="none"/>
        </w:rPr>
        <w:t xml:space="preserve">1. </w:t>
      </w:r>
      <w:r>
        <w:rPr>
          <w:rFonts w:hint="eastAsia"/>
          <w:sz w:val="24"/>
          <w:szCs w:val="24"/>
          <w:highlight w:val="none"/>
          <w:u w:val="single"/>
        </w:rPr>
        <w:t>（标的名称）</w:t>
      </w:r>
      <w:r>
        <w:rPr>
          <w:rFonts w:hint="eastAsia"/>
          <w:sz w:val="24"/>
          <w:szCs w:val="24"/>
          <w:highlight w:val="none"/>
        </w:rPr>
        <w:t>，属于</w:t>
      </w:r>
      <w:r>
        <w:rPr>
          <w:rFonts w:hint="eastAsia"/>
          <w:sz w:val="24"/>
          <w:szCs w:val="24"/>
          <w:highlight w:val="none"/>
          <w:u w:val="single"/>
        </w:rPr>
        <w:t>（采购文件中明确的所属行业）</w:t>
      </w:r>
      <w:r>
        <w:rPr>
          <w:rFonts w:hint="eastAsia"/>
          <w:sz w:val="24"/>
          <w:szCs w:val="24"/>
          <w:highlight w:val="none"/>
        </w:rPr>
        <w:t>行业；制造商为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rPr>
        <w:t>人，营业收入为</w:t>
      </w:r>
      <w:r>
        <w:rPr>
          <w:rFonts w:hint="eastAsia"/>
          <w:sz w:val="24"/>
          <w:szCs w:val="24"/>
          <w:highlight w:val="none"/>
          <w:u w:val="single"/>
        </w:rPr>
        <w:t xml:space="preserve">      </w:t>
      </w:r>
      <w:r>
        <w:rPr>
          <w:rFonts w:hint="eastAsia"/>
          <w:sz w:val="24"/>
          <w:szCs w:val="24"/>
          <w:highlight w:val="none"/>
        </w:rPr>
        <w:t>万元，资产总额为</w:t>
      </w:r>
      <w:r>
        <w:rPr>
          <w:rFonts w:hint="eastAsia"/>
          <w:sz w:val="24"/>
          <w:szCs w:val="24"/>
          <w:highlight w:val="none"/>
          <w:u w:val="single"/>
        </w:rPr>
        <w:t xml:space="preserve">      </w:t>
      </w:r>
      <w:r>
        <w:rPr>
          <w:rFonts w:hint="eastAsia"/>
          <w:sz w:val="24"/>
          <w:szCs w:val="24"/>
          <w:highlight w:val="none"/>
        </w:rPr>
        <w:t>万元，属于</w:t>
      </w:r>
      <w:r>
        <w:rPr>
          <w:rFonts w:hint="eastAsia"/>
          <w:sz w:val="24"/>
          <w:szCs w:val="24"/>
          <w:highlight w:val="none"/>
          <w:u w:val="single"/>
        </w:rPr>
        <w:t>（中型企业、小型企业、微型企业）</w:t>
      </w:r>
      <w:r>
        <w:rPr>
          <w:rFonts w:hint="eastAsia"/>
          <w:sz w:val="24"/>
          <w:szCs w:val="24"/>
          <w:highlight w:val="none"/>
        </w:rPr>
        <w:t>；</w:t>
      </w:r>
    </w:p>
    <w:p w14:paraId="7A5A436F">
      <w:pPr>
        <w:spacing w:line="360" w:lineRule="auto"/>
        <w:ind w:firstLine="480" w:firstLineChars="200"/>
        <w:rPr>
          <w:sz w:val="24"/>
          <w:szCs w:val="24"/>
          <w:highlight w:val="none"/>
        </w:rPr>
      </w:pPr>
      <w:r>
        <w:rPr>
          <w:rFonts w:hint="eastAsia"/>
          <w:sz w:val="24"/>
          <w:szCs w:val="24"/>
          <w:highlight w:val="none"/>
        </w:rPr>
        <w:t xml:space="preserve">2. </w:t>
      </w:r>
      <w:r>
        <w:rPr>
          <w:rFonts w:hint="eastAsia"/>
          <w:sz w:val="24"/>
          <w:szCs w:val="24"/>
          <w:highlight w:val="none"/>
          <w:u w:val="single"/>
        </w:rPr>
        <w:t>（标的名称）</w:t>
      </w:r>
      <w:r>
        <w:rPr>
          <w:rFonts w:hint="eastAsia"/>
          <w:sz w:val="24"/>
          <w:szCs w:val="24"/>
          <w:highlight w:val="none"/>
        </w:rPr>
        <w:t>，属于</w:t>
      </w:r>
      <w:r>
        <w:rPr>
          <w:rFonts w:hint="eastAsia"/>
          <w:sz w:val="24"/>
          <w:szCs w:val="24"/>
          <w:highlight w:val="none"/>
          <w:u w:val="single"/>
        </w:rPr>
        <w:t>（采购文件中明确的所属行业）</w:t>
      </w:r>
      <w:r>
        <w:rPr>
          <w:rFonts w:hint="eastAsia"/>
          <w:sz w:val="24"/>
          <w:szCs w:val="24"/>
          <w:highlight w:val="none"/>
        </w:rPr>
        <w:t>行业；制造商为</w:t>
      </w:r>
      <w:r>
        <w:rPr>
          <w:rFonts w:hint="eastAsia"/>
          <w:sz w:val="24"/>
          <w:szCs w:val="24"/>
          <w:highlight w:val="none"/>
          <w:u w:val="single"/>
        </w:rPr>
        <w:t>（企业名称）</w:t>
      </w:r>
      <w:r>
        <w:rPr>
          <w:rFonts w:hint="eastAsia"/>
          <w:sz w:val="24"/>
          <w:szCs w:val="24"/>
          <w:highlight w:val="none"/>
        </w:rPr>
        <w:t>，从业人员</w:t>
      </w:r>
      <w:r>
        <w:rPr>
          <w:rFonts w:hint="eastAsia"/>
          <w:sz w:val="24"/>
          <w:szCs w:val="24"/>
          <w:highlight w:val="none"/>
          <w:u w:val="single"/>
        </w:rPr>
        <w:t xml:space="preserve">      </w:t>
      </w:r>
      <w:r>
        <w:rPr>
          <w:rFonts w:hint="eastAsia"/>
          <w:sz w:val="24"/>
          <w:szCs w:val="24"/>
          <w:highlight w:val="none"/>
        </w:rPr>
        <w:t>人，营业收入为</w:t>
      </w:r>
      <w:r>
        <w:rPr>
          <w:rFonts w:hint="eastAsia"/>
          <w:sz w:val="24"/>
          <w:szCs w:val="24"/>
          <w:highlight w:val="none"/>
          <w:u w:val="single"/>
        </w:rPr>
        <w:t xml:space="preserve">      </w:t>
      </w:r>
      <w:r>
        <w:rPr>
          <w:rFonts w:hint="eastAsia"/>
          <w:sz w:val="24"/>
          <w:szCs w:val="24"/>
          <w:highlight w:val="none"/>
        </w:rPr>
        <w:t>万元，资产总额为</w:t>
      </w:r>
      <w:r>
        <w:rPr>
          <w:rFonts w:hint="eastAsia"/>
          <w:sz w:val="24"/>
          <w:szCs w:val="24"/>
          <w:highlight w:val="none"/>
          <w:u w:val="single"/>
        </w:rPr>
        <w:t xml:space="preserve">      </w:t>
      </w:r>
      <w:r>
        <w:rPr>
          <w:rFonts w:hint="eastAsia"/>
          <w:sz w:val="24"/>
          <w:szCs w:val="24"/>
          <w:highlight w:val="none"/>
        </w:rPr>
        <w:t>万元，属于</w:t>
      </w:r>
      <w:r>
        <w:rPr>
          <w:rFonts w:hint="eastAsia"/>
          <w:sz w:val="24"/>
          <w:szCs w:val="24"/>
          <w:highlight w:val="none"/>
          <w:u w:val="single"/>
        </w:rPr>
        <w:t>（中型企业、小型企业、微型企业）</w:t>
      </w:r>
      <w:r>
        <w:rPr>
          <w:rFonts w:hint="eastAsia"/>
          <w:sz w:val="24"/>
          <w:szCs w:val="24"/>
          <w:highlight w:val="none"/>
        </w:rPr>
        <w:t>；</w:t>
      </w:r>
    </w:p>
    <w:p w14:paraId="7A261A00">
      <w:pPr>
        <w:spacing w:line="360" w:lineRule="auto"/>
        <w:ind w:firstLine="480" w:firstLineChars="200"/>
        <w:rPr>
          <w:sz w:val="24"/>
          <w:szCs w:val="24"/>
          <w:highlight w:val="none"/>
        </w:rPr>
      </w:pPr>
      <w:r>
        <w:rPr>
          <w:rFonts w:hint="eastAsia"/>
          <w:sz w:val="24"/>
          <w:szCs w:val="24"/>
          <w:highlight w:val="none"/>
        </w:rPr>
        <w:t>……</w:t>
      </w:r>
    </w:p>
    <w:p w14:paraId="74F97B2F">
      <w:pPr>
        <w:spacing w:line="360" w:lineRule="auto"/>
        <w:ind w:firstLine="480" w:firstLineChars="20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14:paraId="45282D5E">
      <w:pPr>
        <w:spacing w:line="360" w:lineRule="auto"/>
        <w:ind w:firstLine="480" w:firstLineChars="200"/>
        <w:rPr>
          <w:sz w:val="24"/>
          <w:szCs w:val="24"/>
          <w:highlight w:val="none"/>
        </w:rPr>
      </w:pPr>
      <w:r>
        <w:rPr>
          <w:rFonts w:hint="eastAsia"/>
          <w:sz w:val="24"/>
          <w:szCs w:val="24"/>
          <w:highlight w:val="none"/>
        </w:rPr>
        <w:t>本企业对上述声明内容的真实性负责。如有虚假，将依法承担相应责任。</w:t>
      </w:r>
    </w:p>
    <w:p w14:paraId="3656FF18">
      <w:pPr>
        <w:spacing w:line="360" w:lineRule="auto"/>
        <w:rPr>
          <w:sz w:val="24"/>
          <w:szCs w:val="24"/>
          <w:highlight w:val="none"/>
        </w:rPr>
      </w:pPr>
    </w:p>
    <w:p w14:paraId="6BABF07A">
      <w:pPr>
        <w:spacing w:line="360" w:lineRule="auto"/>
        <w:rPr>
          <w:sz w:val="24"/>
          <w:szCs w:val="24"/>
          <w:highlight w:val="none"/>
        </w:rPr>
      </w:pPr>
    </w:p>
    <w:p w14:paraId="1755498A">
      <w:pPr>
        <w:spacing w:line="360" w:lineRule="auto"/>
        <w:rPr>
          <w:sz w:val="24"/>
          <w:szCs w:val="24"/>
          <w:highlight w:val="none"/>
        </w:rPr>
      </w:pPr>
    </w:p>
    <w:p w14:paraId="56D96BC0">
      <w:pPr>
        <w:spacing w:line="360" w:lineRule="auto"/>
        <w:rPr>
          <w:sz w:val="24"/>
          <w:szCs w:val="24"/>
          <w:highlight w:val="none"/>
        </w:rPr>
      </w:pPr>
    </w:p>
    <w:p w14:paraId="7A6E2CE2">
      <w:pPr>
        <w:spacing w:line="360" w:lineRule="auto"/>
        <w:rPr>
          <w:sz w:val="24"/>
          <w:szCs w:val="24"/>
          <w:highlight w:val="none"/>
        </w:rPr>
      </w:pPr>
    </w:p>
    <w:p w14:paraId="44DAB019">
      <w:pPr>
        <w:spacing w:line="360" w:lineRule="auto"/>
        <w:rPr>
          <w:sz w:val="24"/>
          <w:szCs w:val="24"/>
          <w:highlight w:val="none"/>
        </w:rPr>
      </w:pPr>
      <w:r>
        <w:rPr>
          <w:rFonts w:hint="eastAsia"/>
          <w:sz w:val="24"/>
          <w:szCs w:val="24"/>
          <w:highlight w:val="none"/>
        </w:rPr>
        <w:t xml:space="preserve">　　　　　　 　　　　　　　　　　　　　　 　企业名称（盖章）： </w:t>
      </w:r>
    </w:p>
    <w:p w14:paraId="2DA451FE">
      <w:pPr>
        <w:spacing w:line="360" w:lineRule="auto"/>
        <w:rPr>
          <w:sz w:val="24"/>
          <w:szCs w:val="24"/>
          <w:highlight w:val="none"/>
        </w:rPr>
      </w:pPr>
    </w:p>
    <w:p w14:paraId="3562191E">
      <w:pPr>
        <w:spacing w:line="360" w:lineRule="auto"/>
        <w:rPr>
          <w:sz w:val="24"/>
          <w:szCs w:val="24"/>
          <w:highlight w:val="none"/>
        </w:rPr>
      </w:pPr>
    </w:p>
    <w:p w14:paraId="7CA06166">
      <w:pPr>
        <w:spacing w:line="360" w:lineRule="auto"/>
        <w:ind w:firstLine="5520" w:firstLineChars="2300"/>
        <w:rPr>
          <w:sz w:val="24"/>
          <w:szCs w:val="24"/>
          <w:highlight w:val="none"/>
        </w:rPr>
      </w:pPr>
      <w:r>
        <w:rPr>
          <w:rFonts w:hint="eastAsia"/>
          <w:sz w:val="24"/>
          <w:szCs w:val="24"/>
          <w:highlight w:val="none"/>
        </w:rPr>
        <w:t>日 期：　</w:t>
      </w:r>
    </w:p>
    <w:p w14:paraId="400CD1DC">
      <w:pPr>
        <w:spacing w:line="360" w:lineRule="auto"/>
        <w:rPr>
          <w:sz w:val="24"/>
          <w:szCs w:val="24"/>
          <w:highlight w:val="none"/>
        </w:rPr>
      </w:pPr>
    </w:p>
    <w:p w14:paraId="793EBC3E">
      <w:pPr>
        <w:spacing w:line="360" w:lineRule="auto"/>
        <w:rPr>
          <w:rFonts w:ascii="Times New Roman"/>
          <w:sz w:val="24"/>
          <w:szCs w:val="24"/>
          <w:highlight w:val="none"/>
        </w:rPr>
      </w:pPr>
      <w:r>
        <w:rPr>
          <w:rFonts w:hint="eastAsia" w:ascii="Times New Roman"/>
          <w:sz w:val="24"/>
          <w:szCs w:val="24"/>
          <w:highlight w:val="none"/>
        </w:rPr>
        <w:t>注：从业人员、营业收入、资产总额填报上一年数据，无上一年度数据的新成立企业可不填报。</w:t>
      </w:r>
    </w:p>
    <w:p w14:paraId="6F8C54F3">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2B0B092D">
      <w:pPr>
        <w:autoSpaceDE w:val="0"/>
        <w:autoSpaceDN w:val="0"/>
        <w:adjustRightInd w:val="0"/>
        <w:spacing w:line="30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br w:type="page"/>
      </w:r>
    </w:p>
    <w:p w14:paraId="784C32B1">
      <w:pPr>
        <w:pStyle w:val="3"/>
        <w:spacing w:before="0" w:after="0" w:line="300" w:lineRule="auto"/>
        <w:jc w:val="center"/>
        <w:rPr>
          <w:rFonts w:hint="eastAsia" w:ascii="宋体" w:hAnsi="宋体" w:eastAsia="宋体" w:cs="宋体"/>
          <w:color w:val="auto"/>
          <w:highlight w:val="none"/>
          <w:lang w:val="en-US" w:eastAsia="zh-CN"/>
        </w:rPr>
      </w:pPr>
      <w:bookmarkStart w:id="183" w:name="_Toc27073"/>
      <w:r>
        <w:rPr>
          <w:rFonts w:hint="eastAsia" w:ascii="宋体" w:hAnsi="宋体" w:eastAsia="宋体" w:cs="宋体"/>
          <w:color w:val="auto"/>
          <w:highlight w:val="none"/>
          <w:lang w:val="en-US" w:eastAsia="zh-CN"/>
        </w:rPr>
        <w:t>八、技术方案</w:t>
      </w:r>
      <w:bookmarkEnd w:id="183"/>
    </w:p>
    <w:p w14:paraId="5B4ABFBA">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786C105">
      <w:pPr>
        <w:spacing w:line="30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1277AED1">
      <w:pPr>
        <w:spacing w:line="300" w:lineRule="auto"/>
        <w:jc w:val="center"/>
        <w:rPr>
          <w:rFonts w:hint="eastAsia" w:ascii="宋体" w:hAnsi="宋体" w:cs="宋体"/>
          <w:color w:val="auto"/>
          <w:sz w:val="24"/>
          <w:szCs w:val="24"/>
          <w:highlight w:val="none"/>
          <w:lang w:val="en-US" w:eastAsia="zh-CN"/>
        </w:rPr>
      </w:pPr>
    </w:p>
    <w:p w14:paraId="7E524402">
      <w:pPr>
        <w:spacing w:line="300" w:lineRule="auto"/>
        <w:jc w:val="center"/>
        <w:rPr>
          <w:rFonts w:hint="eastAsia" w:ascii="宋体" w:hAnsi="宋体" w:cs="宋体"/>
          <w:color w:val="auto"/>
          <w:sz w:val="24"/>
          <w:szCs w:val="24"/>
          <w:highlight w:val="none"/>
          <w:lang w:val="en-US" w:eastAsia="zh-CN"/>
        </w:rPr>
      </w:pPr>
    </w:p>
    <w:p w14:paraId="326ECE95">
      <w:pPr>
        <w:spacing w:line="300" w:lineRule="auto"/>
        <w:jc w:val="center"/>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格式自拟</w:t>
      </w:r>
      <w:r>
        <w:rPr>
          <w:rFonts w:hint="eastAsia" w:ascii="宋体" w:hAnsi="宋体" w:cs="宋体"/>
          <w:color w:val="auto"/>
          <w:sz w:val="24"/>
          <w:szCs w:val="24"/>
          <w:highlight w:val="none"/>
          <w:lang w:eastAsia="zh-CN"/>
        </w:rPr>
        <w:t>。</w:t>
      </w:r>
    </w:p>
    <w:p w14:paraId="2380DE88">
      <w:pPr>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10B35DE4">
      <w:pPr>
        <w:pStyle w:val="3"/>
        <w:spacing w:before="0" w:after="0" w:line="300" w:lineRule="auto"/>
        <w:jc w:val="center"/>
        <w:rPr>
          <w:rFonts w:hint="eastAsia" w:ascii="宋体" w:hAnsi="宋体" w:eastAsia="宋体" w:cs="宋体"/>
          <w:color w:val="auto"/>
          <w:highlight w:val="none"/>
          <w:lang w:val="en-US" w:eastAsia="zh-CN"/>
        </w:rPr>
      </w:pPr>
      <w:bookmarkStart w:id="184" w:name="_Toc23462"/>
      <w:r>
        <w:rPr>
          <w:rFonts w:hint="eastAsia" w:ascii="宋体" w:hAnsi="宋体" w:eastAsia="宋体" w:cs="宋体"/>
          <w:color w:val="auto"/>
          <w:highlight w:val="none"/>
          <w:lang w:val="en-US" w:eastAsia="zh-CN"/>
        </w:rPr>
        <w:t>九、其他材料</w:t>
      </w:r>
      <w:bookmarkEnd w:id="184"/>
    </w:p>
    <w:p w14:paraId="4FF329DD">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AA8A87E">
      <w:pPr>
        <w:pStyle w:val="27"/>
        <w:numPr>
          <w:ilvl w:val="0"/>
          <w:numId w:val="0"/>
        </w:numPr>
        <w:rPr>
          <w:rFonts w:hint="eastAsia" w:ascii="宋体" w:hAnsi="宋体" w:eastAsia="宋体" w:cs="宋体"/>
          <w:color w:val="auto"/>
          <w:kern w:val="2"/>
          <w:sz w:val="24"/>
          <w:szCs w:val="24"/>
          <w:highlight w:val="none"/>
          <w:lang w:val="en-US" w:eastAsia="zh-CN" w:bidi="ar-SA"/>
        </w:rPr>
      </w:pPr>
    </w:p>
    <w:p w14:paraId="5152CD6C">
      <w:pPr>
        <w:pStyle w:val="27"/>
        <w:numPr>
          <w:ilvl w:val="0"/>
          <w:numId w:val="0"/>
        </w:numPr>
        <w:ind w:firstLine="2400" w:firstLineChars="10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认为所必要提供的其他材料。</w:t>
      </w:r>
    </w:p>
    <w:p w14:paraId="23FC8AC5">
      <w:pPr>
        <w:pStyle w:val="27"/>
        <w:ind w:left="420" w:firstLine="0"/>
        <w:rPr>
          <w:rFonts w:hint="eastAsia" w:ascii="宋体" w:hAnsi="宋体" w:eastAsia="宋体" w:cs="宋体"/>
          <w:color w:val="auto"/>
          <w:highlight w:val="none"/>
        </w:rPr>
      </w:pPr>
    </w:p>
    <w:bookmarkEnd w:id="98"/>
    <w:bookmarkEnd w:id="99"/>
    <w:bookmarkEnd w:id="100"/>
    <w:bookmarkEnd w:id="101"/>
    <w:bookmarkEnd w:id="102"/>
    <w:bookmarkEnd w:id="103"/>
    <w:bookmarkEnd w:id="104"/>
    <w:p w14:paraId="6F83500F">
      <w:pPr>
        <w:pStyle w:val="27"/>
        <w:autoSpaceDN w:val="0"/>
        <w:adjustRightInd w:val="0"/>
        <w:snapToGrid w:val="0"/>
        <w:spacing w:line="360" w:lineRule="auto"/>
        <w:ind w:firstLine="0"/>
        <w:rPr>
          <w:rFonts w:hint="eastAsia" w:ascii="宋体" w:hAnsi="宋体" w:eastAsia="宋体" w:cs="宋体"/>
          <w:color w:val="auto"/>
          <w:szCs w:val="21"/>
          <w:highlight w:val="none"/>
        </w:rPr>
      </w:pPr>
    </w:p>
    <w:p w14:paraId="56CB62C3">
      <w:pPr>
        <w:pStyle w:val="27"/>
        <w:autoSpaceDN w:val="0"/>
        <w:adjustRightInd w:val="0"/>
        <w:snapToGrid w:val="0"/>
        <w:spacing w:line="360" w:lineRule="auto"/>
        <w:rPr>
          <w:rFonts w:hint="eastAsia" w:ascii="宋体" w:hAnsi="宋体" w:eastAsia="宋体" w:cs="宋体"/>
          <w:color w:val="auto"/>
          <w:szCs w:val="21"/>
          <w:highlight w:val="none"/>
        </w:rPr>
      </w:pPr>
    </w:p>
    <w:p w14:paraId="5CA446AF">
      <w:pPr>
        <w:pStyle w:val="27"/>
        <w:autoSpaceDN w:val="0"/>
        <w:adjustRightInd w:val="0"/>
        <w:snapToGrid w:val="0"/>
        <w:spacing w:line="360" w:lineRule="auto"/>
        <w:rPr>
          <w:rFonts w:hint="eastAsia" w:ascii="宋体" w:hAnsi="宋体" w:eastAsia="宋体" w:cs="宋体"/>
          <w:color w:val="auto"/>
          <w:szCs w:val="21"/>
          <w:highlight w:val="none"/>
        </w:rPr>
      </w:pPr>
    </w:p>
    <w:p w14:paraId="736FB362">
      <w:pPr>
        <w:pStyle w:val="27"/>
        <w:autoSpaceDN w:val="0"/>
        <w:adjustRightInd w:val="0"/>
        <w:snapToGrid w:val="0"/>
        <w:spacing w:line="360" w:lineRule="auto"/>
        <w:rPr>
          <w:rFonts w:hint="eastAsia" w:ascii="宋体" w:hAnsi="宋体" w:eastAsia="宋体" w:cs="宋体"/>
          <w:color w:val="auto"/>
          <w:szCs w:val="21"/>
          <w:highlight w:val="none"/>
        </w:rPr>
      </w:pPr>
    </w:p>
    <w:p w14:paraId="0B398094">
      <w:pPr>
        <w:pStyle w:val="27"/>
        <w:autoSpaceDN w:val="0"/>
        <w:adjustRightInd w:val="0"/>
        <w:snapToGrid w:val="0"/>
        <w:spacing w:line="360" w:lineRule="auto"/>
        <w:rPr>
          <w:rFonts w:hint="eastAsia" w:ascii="宋体" w:hAnsi="宋体" w:eastAsia="宋体" w:cs="宋体"/>
          <w:color w:val="auto"/>
          <w:szCs w:val="21"/>
          <w:highlight w:val="none"/>
        </w:rPr>
      </w:pPr>
    </w:p>
    <w:p w14:paraId="146230AD">
      <w:pPr>
        <w:pStyle w:val="27"/>
        <w:autoSpaceDN w:val="0"/>
        <w:adjustRightInd w:val="0"/>
        <w:snapToGrid w:val="0"/>
        <w:spacing w:line="360" w:lineRule="auto"/>
        <w:rPr>
          <w:rFonts w:hint="eastAsia" w:ascii="宋体" w:hAnsi="宋体" w:eastAsia="宋体" w:cs="宋体"/>
          <w:color w:val="auto"/>
          <w:szCs w:val="21"/>
          <w:highlight w:val="none"/>
        </w:rPr>
      </w:pPr>
    </w:p>
    <w:p w14:paraId="272BAA80">
      <w:pPr>
        <w:pStyle w:val="27"/>
        <w:autoSpaceDN w:val="0"/>
        <w:adjustRightInd w:val="0"/>
        <w:snapToGrid w:val="0"/>
        <w:spacing w:line="360" w:lineRule="auto"/>
        <w:rPr>
          <w:rFonts w:hint="eastAsia" w:ascii="宋体" w:hAnsi="宋体" w:eastAsia="宋体" w:cs="宋体"/>
          <w:color w:val="auto"/>
          <w:szCs w:val="21"/>
          <w:highlight w:val="none"/>
        </w:rPr>
      </w:pPr>
    </w:p>
    <w:p w14:paraId="42133551">
      <w:pPr>
        <w:pStyle w:val="10"/>
        <w:tabs>
          <w:tab w:val="left" w:pos="2231"/>
          <w:tab w:val="left" w:pos="3068"/>
          <w:tab w:val="left" w:pos="3908"/>
          <w:tab w:val="left" w:pos="4628"/>
        </w:tabs>
        <w:autoSpaceDN w:val="0"/>
        <w:adjustRightInd w:val="0"/>
        <w:snapToGrid w:val="0"/>
        <w:spacing w:after="0" w:line="360" w:lineRule="auto"/>
        <w:rPr>
          <w:rFonts w:hint="eastAsia" w:ascii="宋体" w:hAnsi="宋体" w:eastAsia="宋体" w:cs="宋体"/>
          <w:color w:val="auto"/>
          <w:szCs w:val="21"/>
          <w:highlight w:val="none"/>
        </w:rPr>
      </w:pPr>
    </w:p>
    <w:p w14:paraId="3EBDE60D">
      <w:pPr>
        <w:spacing w:line="360" w:lineRule="auto"/>
        <w:rPr>
          <w:rFonts w:hint="eastAsia" w:ascii="宋体" w:hAnsi="宋体" w:eastAsia="宋体" w:cs="宋体"/>
          <w:color w:val="auto"/>
          <w:highlight w:val="none"/>
        </w:rPr>
      </w:pPr>
    </w:p>
    <w:sectPr>
      <w:pgSz w:w="11906" w:h="16838"/>
      <w:pgMar w:top="1418" w:right="1418"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494C8C70">
        <w:pPr>
          <w:pStyle w:val="17"/>
          <w:jc w:val="center"/>
        </w:pPr>
        <w:r>
          <w:fldChar w:fldCharType="begin"/>
        </w:r>
        <w:r>
          <w:instrText xml:space="preserve">PAGE   \* MERGEFORMAT</w:instrText>
        </w:r>
        <w:r>
          <w:fldChar w:fldCharType="separate"/>
        </w:r>
        <w:r>
          <w:rPr>
            <w:lang w:val="zh-CN"/>
          </w:rPr>
          <w:t>20</w:t>
        </w:r>
        <w:r>
          <w:fldChar w:fldCharType="end"/>
        </w:r>
      </w:p>
    </w:sdtContent>
  </w:sdt>
  <w:p w14:paraId="58694D62">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3A32B"/>
    <w:multiLevelType w:val="singleLevel"/>
    <w:tmpl w:val="9D83A32B"/>
    <w:lvl w:ilvl="0" w:tentative="0">
      <w:start w:val="4"/>
      <w:numFmt w:val="chineseCounting"/>
      <w:suff w:val="space"/>
      <w:lvlText w:val="第%1部分"/>
      <w:lvlJc w:val="left"/>
      <w:rPr>
        <w:rFonts w:hint="eastAsia"/>
      </w:rPr>
    </w:lvl>
  </w:abstractNum>
  <w:abstractNum w:abstractNumId="1">
    <w:nsid w:val="C6F008BB"/>
    <w:multiLevelType w:val="singleLevel"/>
    <w:tmpl w:val="C6F008BB"/>
    <w:lvl w:ilvl="0" w:tentative="0">
      <w:start w:val="1"/>
      <w:numFmt w:val="decimal"/>
      <w:lvlText w:val="%1."/>
      <w:lvlJc w:val="left"/>
      <w:pPr>
        <w:tabs>
          <w:tab w:val="left" w:pos="312"/>
        </w:tabs>
      </w:pPr>
    </w:lvl>
  </w:abstractNum>
  <w:abstractNum w:abstractNumId="2">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E"/>
    <w:multiLevelType w:val="multilevel"/>
    <w:tmpl w:val="0000000E"/>
    <w:lvl w:ilvl="0" w:tentative="0">
      <w:start w:val="1"/>
      <w:numFmt w:val="bullet"/>
      <w:pStyle w:val="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2FD54498"/>
    <w:multiLevelType w:val="singleLevel"/>
    <w:tmpl w:val="2FD54498"/>
    <w:lvl w:ilvl="0" w:tentative="0">
      <w:start w:val="1"/>
      <w:numFmt w:val="decimal"/>
      <w:lvlText w:val="%1."/>
      <w:lvlJc w:val="left"/>
      <w:pPr>
        <w:tabs>
          <w:tab w:val="left" w:pos="312"/>
        </w:tabs>
      </w:pPr>
    </w:lvl>
  </w:abstractNum>
  <w:abstractNum w:abstractNumId="6">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F11BD29"/>
    <w:multiLevelType w:val="singleLevel"/>
    <w:tmpl w:val="3F11BD29"/>
    <w:lvl w:ilvl="0" w:tentative="0">
      <w:start w:val="1"/>
      <w:numFmt w:val="decimal"/>
      <w:suff w:val="space"/>
      <w:lvlText w:val="%1)"/>
      <w:lvlJc w:val="left"/>
    </w:lvl>
  </w:abstractNum>
  <w:abstractNum w:abstractNumId="8">
    <w:nsid w:val="3FD1945F"/>
    <w:multiLevelType w:val="singleLevel"/>
    <w:tmpl w:val="3FD1945F"/>
    <w:lvl w:ilvl="0" w:tentative="0">
      <w:start w:val="1"/>
      <w:numFmt w:val="decimal"/>
      <w:lvlText w:val="%1."/>
      <w:lvlJc w:val="left"/>
      <w:pPr>
        <w:tabs>
          <w:tab w:val="left" w:pos="312"/>
        </w:tabs>
      </w:pPr>
    </w:lvl>
  </w:abstractNum>
  <w:abstractNum w:abstractNumId="9">
    <w:nsid w:val="519568A8"/>
    <w:multiLevelType w:val="singleLevel"/>
    <w:tmpl w:val="519568A8"/>
    <w:lvl w:ilvl="0" w:tentative="0">
      <w:start w:val="1"/>
      <w:numFmt w:val="decimal"/>
      <w:lvlText w:val="%1."/>
      <w:lvlJc w:val="left"/>
      <w:pPr>
        <w:tabs>
          <w:tab w:val="left" w:pos="312"/>
        </w:tabs>
      </w:pPr>
    </w:lvl>
  </w:abstractNum>
  <w:abstractNum w:abstractNumId="10">
    <w:nsid w:val="7C139256"/>
    <w:multiLevelType w:val="singleLevel"/>
    <w:tmpl w:val="7C139256"/>
    <w:lvl w:ilvl="0" w:tentative="0">
      <w:start w:val="1"/>
      <w:numFmt w:val="decimal"/>
      <w:suff w:val="space"/>
      <w:lvlText w:val="%1)"/>
      <w:lvlJc w:val="left"/>
    </w:lvl>
  </w:abstractNum>
  <w:abstractNum w:abstractNumId="11">
    <w:nsid w:val="7FCE53CF"/>
    <w:multiLevelType w:val="multilevel"/>
    <w:tmpl w:val="7FCE53CF"/>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5"/>
  </w:num>
  <w:num w:numId="7">
    <w:abstractNumId w:val="11"/>
  </w:num>
  <w:num w:numId="8">
    <w:abstractNumId w:val="1"/>
  </w:num>
  <w:num w:numId="9">
    <w:abstractNumId w:val="9"/>
  </w:num>
  <w:num w:numId="10">
    <w:abstractNumId w:val="3"/>
    <w:lvlOverride w:ilvl="0">
      <w:startOverride w:val="1"/>
    </w:lvlOverride>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mMzlkOTIyZjAzNTY1NmNmYmUwOWE5MTcxMDliNmIifQ=="/>
  </w:docVars>
  <w:rsids>
    <w:rsidRoot w:val="00172A27"/>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23C6D"/>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E4CA5"/>
    <w:rsid w:val="007F2DBA"/>
    <w:rsid w:val="00806CA6"/>
    <w:rsid w:val="00816543"/>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CB3C62"/>
    <w:rsid w:val="00D24FF0"/>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145A2C"/>
    <w:rsid w:val="012161BE"/>
    <w:rsid w:val="01272C7E"/>
    <w:rsid w:val="012A6BDB"/>
    <w:rsid w:val="014929F9"/>
    <w:rsid w:val="014A102B"/>
    <w:rsid w:val="014D0B1B"/>
    <w:rsid w:val="016116BD"/>
    <w:rsid w:val="017E44E5"/>
    <w:rsid w:val="01F86983"/>
    <w:rsid w:val="01FA65AD"/>
    <w:rsid w:val="020058B7"/>
    <w:rsid w:val="02247ACE"/>
    <w:rsid w:val="028265A2"/>
    <w:rsid w:val="02855E9C"/>
    <w:rsid w:val="028B77E6"/>
    <w:rsid w:val="02E5725D"/>
    <w:rsid w:val="03836A76"/>
    <w:rsid w:val="03AA50AA"/>
    <w:rsid w:val="03D270B5"/>
    <w:rsid w:val="045D1075"/>
    <w:rsid w:val="04E377CC"/>
    <w:rsid w:val="050414F1"/>
    <w:rsid w:val="05087233"/>
    <w:rsid w:val="05481ECC"/>
    <w:rsid w:val="059D011D"/>
    <w:rsid w:val="05B42D74"/>
    <w:rsid w:val="060318FF"/>
    <w:rsid w:val="061C15D5"/>
    <w:rsid w:val="06304C93"/>
    <w:rsid w:val="06464014"/>
    <w:rsid w:val="065B3392"/>
    <w:rsid w:val="0676056E"/>
    <w:rsid w:val="06A116ED"/>
    <w:rsid w:val="06A62986"/>
    <w:rsid w:val="06B62CBE"/>
    <w:rsid w:val="071E0F8F"/>
    <w:rsid w:val="07247C28"/>
    <w:rsid w:val="07275FE6"/>
    <w:rsid w:val="072B0FB7"/>
    <w:rsid w:val="07504EC1"/>
    <w:rsid w:val="076A5F83"/>
    <w:rsid w:val="077431A0"/>
    <w:rsid w:val="07794418"/>
    <w:rsid w:val="081163FE"/>
    <w:rsid w:val="08470072"/>
    <w:rsid w:val="08585DDB"/>
    <w:rsid w:val="08607386"/>
    <w:rsid w:val="08D53408"/>
    <w:rsid w:val="094D790A"/>
    <w:rsid w:val="095742E5"/>
    <w:rsid w:val="099B52D2"/>
    <w:rsid w:val="09EA33AB"/>
    <w:rsid w:val="09ED4C49"/>
    <w:rsid w:val="0A192A34"/>
    <w:rsid w:val="0A8530D4"/>
    <w:rsid w:val="0A932F5B"/>
    <w:rsid w:val="0AAE6F4A"/>
    <w:rsid w:val="0ADD79D4"/>
    <w:rsid w:val="0AF4554C"/>
    <w:rsid w:val="0B0E675C"/>
    <w:rsid w:val="0B2B77D7"/>
    <w:rsid w:val="0B422D73"/>
    <w:rsid w:val="0B464611"/>
    <w:rsid w:val="0BAB4DBC"/>
    <w:rsid w:val="0BBF2615"/>
    <w:rsid w:val="0BC47BD4"/>
    <w:rsid w:val="0BFE2BC2"/>
    <w:rsid w:val="0C013421"/>
    <w:rsid w:val="0C030754"/>
    <w:rsid w:val="0C0A5403"/>
    <w:rsid w:val="0C160E49"/>
    <w:rsid w:val="0C564D28"/>
    <w:rsid w:val="0CAC7F34"/>
    <w:rsid w:val="0CE33205"/>
    <w:rsid w:val="0CE749CF"/>
    <w:rsid w:val="0D2075D7"/>
    <w:rsid w:val="0D270472"/>
    <w:rsid w:val="0D441024"/>
    <w:rsid w:val="0D4D3198"/>
    <w:rsid w:val="0D523741"/>
    <w:rsid w:val="0D5A37DD"/>
    <w:rsid w:val="0DD73C46"/>
    <w:rsid w:val="0E230F94"/>
    <w:rsid w:val="0E5C239D"/>
    <w:rsid w:val="0E87741A"/>
    <w:rsid w:val="0E912047"/>
    <w:rsid w:val="0ED120DC"/>
    <w:rsid w:val="0F1D7D7F"/>
    <w:rsid w:val="0F470958"/>
    <w:rsid w:val="0F543075"/>
    <w:rsid w:val="0F6239E3"/>
    <w:rsid w:val="0F7D7C87"/>
    <w:rsid w:val="0FAE6C29"/>
    <w:rsid w:val="0FC35B5B"/>
    <w:rsid w:val="0FD91EF8"/>
    <w:rsid w:val="0FF0099F"/>
    <w:rsid w:val="10234F21"/>
    <w:rsid w:val="10345380"/>
    <w:rsid w:val="10923E54"/>
    <w:rsid w:val="10D80401"/>
    <w:rsid w:val="10E53C81"/>
    <w:rsid w:val="10F16A18"/>
    <w:rsid w:val="112170E5"/>
    <w:rsid w:val="11516B2F"/>
    <w:rsid w:val="117A6C2B"/>
    <w:rsid w:val="11C738DA"/>
    <w:rsid w:val="11EB4164"/>
    <w:rsid w:val="123C5B74"/>
    <w:rsid w:val="12655CC4"/>
    <w:rsid w:val="12AD766B"/>
    <w:rsid w:val="12DD1CFF"/>
    <w:rsid w:val="13035FD2"/>
    <w:rsid w:val="13086B30"/>
    <w:rsid w:val="13363E28"/>
    <w:rsid w:val="13581385"/>
    <w:rsid w:val="1359595C"/>
    <w:rsid w:val="137B76C4"/>
    <w:rsid w:val="13947750"/>
    <w:rsid w:val="13C7475D"/>
    <w:rsid w:val="13D50C28"/>
    <w:rsid w:val="13F82B68"/>
    <w:rsid w:val="140A14D0"/>
    <w:rsid w:val="144225DA"/>
    <w:rsid w:val="146975C2"/>
    <w:rsid w:val="148F7398"/>
    <w:rsid w:val="14AC2319"/>
    <w:rsid w:val="14AF1479"/>
    <w:rsid w:val="14B70B0D"/>
    <w:rsid w:val="14E2694B"/>
    <w:rsid w:val="14F90946"/>
    <w:rsid w:val="150A2B53"/>
    <w:rsid w:val="15237771"/>
    <w:rsid w:val="157D3325"/>
    <w:rsid w:val="1594241D"/>
    <w:rsid w:val="15BF56EC"/>
    <w:rsid w:val="15DB44F0"/>
    <w:rsid w:val="15DF1DC6"/>
    <w:rsid w:val="164E6A70"/>
    <w:rsid w:val="16774AD3"/>
    <w:rsid w:val="16846935"/>
    <w:rsid w:val="16BF1B07"/>
    <w:rsid w:val="16CB6312"/>
    <w:rsid w:val="16E3540A"/>
    <w:rsid w:val="170D06D9"/>
    <w:rsid w:val="171E35E1"/>
    <w:rsid w:val="1740460A"/>
    <w:rsid w:val="17571954"/>
    <w:rsid w:val="175D340E"/>
    <w:rsid w:val="17705EFC"/>
    <w:rsid w:val="1778161B"/>
    <w:rsid w:val="178A7F7B"/>
    <w:rsid w:val="17AB1A17"/>
    <w:rsid w:val="182757CA"/>
    <w:rsid w:val="18440270"/>
    <w:rsid w:val="185F6D12"/>
    <w:rsid w:val="18E63044"/>
    <w:rsid w:val="194505FE"/>
    <w:rsid w:val="19793E03"/>
    <w:rsid w:val="19FE080F"/>
    <w:rsid w:val="1A141D7E"/>
    <w:rsid w:val="1A277D03"/>
    <w:rsid w:val="1A4314E0"/>
    <w:rsid w:val="1A5B79AD"/>
    <w:rsid w:val="1A642D06"/>
    <w:rsid w:val="1B3A5814"/>
    <w:rsid w:val="1BB27AA1"/>
    <w:rsid w:val="1BD17F27"/>
    <w:rsid w:val="1BE75582"/>
    <w:rsid w:val="1BF94053"/>
    <w:rsid w:val="1C294C38"/>
    <w:rsid w:val="1C5B3C94"/>
    <w:rsid w:val="1C7B4DFC"/>
    <w:rsid w:val="1C872CDB"/>
    <w:rsid w:val="1C92116A"/>
    <w:rsid w:val="1CA70134"/>
    <w:rsid w:val="1D19208F"/>
    <w:rsid w:val="1D28626C"/>
    <w:rsid w:val="1D3A34F1"/>
    <w:rsid w:val="1D50131F"/>
    <w:rsid w:val="1D5A219E"/>
    <w:rsid w:val="1D6D3EEE"/>
    <w:rsid w:val="1D840FC9"/>
    <w:rsid w:val="1E786D7F"/>
    <w:rsid w:val="1EB678A8"/>
    <w:rsid w:val="1EDC730E"/>
    <w:rsid w:val="1F4629DA"/>
    <w:rsid w:val="1F745799"/>
    <w:rsid w:val="1F8D4EFF"/>
    <w:rsid w:val="1FA04D1F"/>
    <w:rsid w:val="1FD06747"/>
    <w:rsid w:val="20110D10"/>
    <w:rsid w:val="201E0DF6"/>
    <w:rsid w:val="201E3957"/>
    <w:rsid w:val="2035036D"/>
    <w:rsid w:val="2039253E"/>
    <w:rsid w:val="206E2046"/>
    <w:rsid w:val="20713A86"/>
    <w:rsid w:val="20A67DD2"/>
    <w:rsid w:val="20D44A5E"/>
    <w:rsid w:val="214C462F"/>
    <w:rsid w:val="215B0355"/>
    <w:rsid w:val="215C44EF"/>
    <w:rsid w:val="217B7008"/>
    <w:rsid w:val="21E76E07"/>
    <w:rsid w:val="21FB571D"/>
    <w:rsid w:val="2220125A"/>
    <w:rsid w:val="22234620"/>
    <w:rsid w:val="222D60D3"/>
    <w:rsid w:val="22460F43"/>
    <w:rsid w:val="22680EB9"/>
    <w:rsid w:val="227B5090"/>
    <w:rsid w:val="22CC7C80"/>
    <w:rsid w:val="22D35427"/>
    <w:rsid w:val="22D8603F"/>
    <w:rsid w:val="2309444A"/>
    <w:rsid w:val="2318643B"/>
    <w:rsid w:val="234D19E7"/>
    <w:rsid w:val="238D507B"/>
    <w:rsid w:val="23B55F28"/>
    <w:rsid w:val="23C30C6A"/>
    <w:rsid w:val="23DC1B5F"/>
    <w:rsid w:val="23E40A13"/>
    <w:rsid w:val="2402299B"/>
    <w:rsid w:val="24044C11"/>
    <w:rsid w:val="24066BDB"/>
    <w:rsid w:val="24561BA5"/>
    <w:rsid w:val="24743B45"/>
    <w:rsid w:val="24E567F1"/>
    <w:rsid w:val="25203CCD"/>
    <w:rsid w:val="2551032A"/>
    <w:rsid w:val="25DA20CE"/>
    <w:rsid w:val="25E32545"/>
    <w:rsid w:val="25EB7E37"/>
    <w:rsid w:val="25EF3DCB"/>
    <w:rsid w:val="25F7147B"/>
    <w:rsid w:val="25F92418"/>
    <w:rsid w:val="26166C9F"/>
    <w:rsid w:val="261750D0"/>
    <w:rsid w:val="26345C82"/>
    <w:rsid w:val="26395046"/>
    <w:rsid w:val="26993D37"/>
    <w:rsid w:val="26C37483"/>
    <w:rsid w:val="26C568DA"/>
    <w:rsid w:val="271F6B87"/>
    <w:rsid w:val="27723B5D"/>
    <w:rsid w:val="279025C0"/>
    <w:rsid w:val="279D7857"/>
    <w:rsid w:val="27A73335"/>
    <w:rsid w:val="27C2106B"/>
    <w:rsid w:val="27CB6172"/>
    <w:rsid w:val="27D35027"/>
    <w:rsid w:val="27D86AE1"/>
    <w:rsid w:val="281713B7"/>
    <w:rsid w:val="282249EF"/>
    <w:rsid w:val="285A3098"/>
    <w:rsid w:val="28754330"/>
    <w:rsid w:val="28862066"/>
    <w:rsid w:val="289C366A"/>
    <w:rsid w:val="28B6093F"/>
    <w:rsid w:val="28E405DB"/>
    <w:rsid w:val="28E53263"/>
    <w:rsid w:val="29483B1A"/>
    <w:rsid w:val="2984482A"/>
    <w:rsid w:val="29F64FFC"/>
    <w:rsid w:val="2A0B6CFA"/>
    <w:rsid w:val="2A1D07DB"/>
    <w:rsid w:val="2A587A65"/>
    <w:rsid w:val="2A9E4C98"/>
    <w:rsid w:val="2AA41A0D"/>
    <w:rsid w:val="2AC1560A"/>
    <w:rsid w:val="2B08148B"/>
    <w:rsid w:val="2B41414E"/>
    <w:rsid w:val="2B464ADA"/>
    <w:rsid w:val="2B520D66"/>
    <w:rsid w:val="2B6C7C6C"/>
    <w:rsid w:val="2B970537"/>
    <w:rsid w:val="2BBE10A5"/>
    <w:rsid w:val="2C9E20A7"/>
    <w:rsid w:val="2CE73597"/>
    <w:rsid w:val="2D126B82"/>
    <w:rsid w:val="2D3A16A4"/>
    <w:rsid w:val="2D4F33A1"/>
    <w:rsid w:val="2D6E2847"/>
    <w:rsid w:val="2D915768"/>
    <w:rsid w:val="2DD13DB6"/>
    <w:rsid w:val="2E0E5250"/>
    <w:rsid w:val="2E374561"/>
    <w:rsid w:val="2E5A475D"/>
    <w:rsid w:val="2E6B420B"/>
    <w:rsid w:val="2E7A0085"/>
    <w:rsid w:val="2E7C6418"/>
    <w:rsid w:val="2E877616"/>
    <w:rsid w:val="2E895C66"/>
    <w:rsid w:val="2EA94D33"/>
    <w:rsid w:val="2EB03A06"/>
    <w:rsid w:val="2EC41B6D"/>
    <w:rsid w:val="2EEF2EDD"/>
    <w:rsid w:val="2F266F2E"/>
    <w:rsid w:val="2F2A5E74"/>
    <w:rsid w:val="2F3A3BDD"/>
    <w:rsid w:val="2F827A5E"/>
    <w:rsid w:val="2F910795"/>
    <w:rsid w:val="30156655"/>
    <w:rsid w:val="301663F8"/>
    <w:rsid w:val="301D792F"/>
    <w:rsid w:val="30405E56"/>
    <w:rsid w:val="304946AE"/>
    <w:rsid w:val="304D174B"/>
    <w:rsid w:val="30F13885"/>
    <w:rsid w:val="314D7BF8"/>
    <w:rsid w:val="319C46DB"/>
    <w:rsid w:val="31A31F0E"/>
    <w:rsid w:val="31A32E5F"/>
    <w:rsid w:val="32FB0073"/>
    <w:rsid w:val="331035D3"/>
    <w:rsid w:val="33332C90"/>
    <w:rsid w:val="334B63B9"/>
    <w:rsid w:val="33E64529"/>
    <w:rsid w:val="34CC3529"/>
    <w:rsid w:val="34E56399"/>
    <w:rsid w:val="34EB1C02"/>
    <w:rsid w:val="34FD36E3"/>
    <w:rsid w:val="35007712"/>
    <w:rsid w:val="35A4403C"/>
    <w:rsid w:val="35B30245"/>
    <w:rsid w:val="35B425DD"/>
    <w:rsid w:val="35C979E9"/>
    <w:rsid w:val="360F7B72"/>
    <w:rsid w:val="361B6516"/>
    <w:rsid w:val="364175F8"/>
    <w:rsid w:val="36A91D74"/>
    <w:rsid w:val="36AC3612"/>
    <w:rsid w:val="36D14E27"/>
    <w:rsid w:val="36E7289C"/>
    <w:rsid w:val="373214A8"/>
    <w:rsid w:val="37533A8E"/>
    <w:rsid w:val="37555BAB"/>
    <w:rsid w:val="3756532C"/>
    <w:rsid w:val="37773C20"/>
    <w:rsid w:val="37963721"/>
    <w:rsid w:val="37BA069C"/>
    <w:rsid w:val="37BC5AD7"/>
    <w:rsid w:val="37D54CC1"/>
    <w:rsid w:val="37EB016A"/>
    <w:rsid w:val="3810372D"/>
    <w:rsid w:val="381476C1"/>
    <w:rsid w:val="38170F5F"/>
    <w:rsid w:val="384635F3"/>
    <w:rsid w:val="384653A1"/>
    <w:rsid w:val="385B1872"/>
    <w:rsid w:val="387463B2"/>
    <w:rsid w:val="388D1222"/>
    <w:rsid w:val="38C709AC"/>
    <w:rsid w:val="38CD7870"/>
    <w:rsid w:val="38D3552B"/>
    <w:rsid w:val="38E075A3"/>
    <w:rsid w:val="390E1698"/>
    <w:rsid w:val="392576AC"/>
    <w:rsid w:val="394E09B1"/>
    <w:rsid w:val="39E81604"/>
    <w:rsid w:val="3A266896"/>
    <w:rsid w:val="3A543DA5"/>
    <w:rsid w:val="3A7B57D6"/>
    <w:rsid w:val="3A8512F9"/>
    <w:rsid w:val="3AA44080"/>
    <w:rsid w:val="3ACD0AB3"/>
    <w:rsid w:val="3AF37A62"/>
    <w:rsid w:val="3B084D8C"/>
    <w:rsid w:val="3B20486E"/>
    <w:rsid w:val="3B675D5A"/>
    <w:rsid w:val="3B826B03"/>
    <w:rsid w:val="3BB064FC"/>
    <w:rsid w:val="3BEE0DEC"/>
    <w:rsid w:val="3BFC488A"/>
    <w:rsid w:val="3C803F20"/>
    <w:rsid w:val="3C836BC3"/>
    <w:rsid w:val="3CED61BB"/>
    <w:rsid w:val="3D01019F"/>
    <w:rsid w:val="3D020C32"/>
    <w:rsid w:val="3D681022"/>
    <w:rsid w:val="3D740361"/>
    <w:rsid w:val="3D766728"/>
    <w:rsid w:val="3D956BAE"/>
    <w:rsid w:val="3DC066AC"/>
    <w:rsid w:val="3DF620B2"/>
    <w:rsid w:val="3E1A5306"/>
    <w:rsid w:val="3E247F32"/>
    <w:rsid w:val="3EC05EAD"/>
    <w:rsid w:val="3ECA0ADA"/>
    <w:rsid w:val="3EEA2F2A"/>
    <w:rsid w:val="3EF73899"/>
    <w:rsid w:val="3F511EC4"/>
    <w:rsid w:val="3F8241B8"/>
    <w:rsid w:val="3FCD75B4"/>
    <w:rsid w:val="3FF43934"/>
    <w:rsid w:val="4000519B"/>
    <w:rsid w:val="40552625"/>
    <w:rsid w:val="40603B42"/>
    <w:rsid w:val="408D1DBF"/>
    <w:rsid w:val="40A67324"/>
    <w:rsid w:val="40D23C76"/>
    <w:rsid w:val="40F03DE1"/>
    <w:rsid w:val="41735E73"/>
    <w:rsid w:val="41E00614"/>
    <w:rsid w:val="41FA7928"/>
    <w:rsid w:val="423334A7"/>
    <w:rsid w:val="423654AA"/>
    <w:rsid w:val="423A5F76"/>
    <w:rsid w:val="42537038"/>
    <w:rsid w:val="42AB6E74"/>
    <w:rsid w:val="42B20202"/>
    <w:rsid w:val="42BF46CD"/>
    <w:rsid w:val="431878FB"/>
    <w:rsid w:val="43482915"/>
    <w:rsid w:val="43672D9B"/>
    <w:rsid w:val="436C46B2"/>
    <w:rsid w:val="43AF32DF"/>
    <w:rsid w:val="43B835F7"/>
    <w:rsid w:val="43D536EE"/>
    <w:rsid w:val="44202F4A"/>
    <w:rsid w:val="442073EE"/>
    <w:rsid w:val="44475EA6"/>
    <w:rsid w:val="448B4867"/>
    <w:rsid w:val="44960000"/>
    <w:rsid w:val="44C30956"/>
    <w:rsid w:val="44D35277"/>
    <w:rsid w:val="44E328F5"/>
    <w:rsid w:val="44F00B6E"/>
    <w:rsid w:val="44F63112"/>
    <w:rsid w:val="457D238B"/>
    <w:rsid w:val="45A55DFD"/>
    <w:rsid w:val="45B600BC"/>
    <w:rsid w:val="45E87A97"/>
    <w:rsid w:val="45ED50AE"/>
    <w:rsid w:val="4601581B"/>
    <w:rsid w:val="460C7C2A"/>
    <w:rsid w:val="46131644"/>
    <w:rsid w:val="46162856"/>
    <w:rsid w:val="461E4767"/>
    <w:rsid w:val="463311B9"/>
    <w:rsid w:val="46405B25"/>
    <w:rsid w:val="466C2476"/>
    <w:rsid w:val="469D547F"/>
    <w:rsid w:val="46A625D7"/>
    <w:rsid w:val="46BF2EEE"/>
    <w:rsid w:val="46F506BE"/>
    <w:rsid w:val="46FC2CC0"/>
    <w:rsid w:val="470A2D16"/>
    <w:rsid w:val="47217705"/>
    <w:rsid w:val="472E597E"/>
    <w:rsid w:val="4751250A"/>
    <w:rsid w:val="47602729"/>
    <w:rsid w:val="477D1904"/>
    <w:rsid w:val="479C4FDD"/>
    <w:rsid w:val="47A0687C"/>
    <w:rsid w:val="47F60E2E"/>
    <w:rsid w:val="48320AC8"/>
    <w:rsid w:val="48904B42"/>
    <w:rsid w:val="489D0DAF"/>
    <w:rsid w:val="48C12F4D"/>
    <w:rsid w:val="48DF1625"/>
    <w:rsid w:val="490C01B6"/>
    <w:rsid w:val="4924255B"/>
    <w:rsid w:val="49463453"/>
    <w:rsid w:val="495F2766"/>
    <w:rsid w:val="49956188"/>
    <w:rsid w:val="49957B9A"/>
    <w:rsid w:val="49D2118A"/>
    <w:rsid w:val="4A3B6D2F"/>
    <w:rsid w:val="4A934476"/>
    <w:rsid w:val="4AC40AD3"/>
    <w:rsid w:val="4ACC5BD9"/>
    <w:rsid w:val="4AFB0186"/>
    <w:rsid w:val="4B271062"/>
    <w:rsid w:val="4B337A07"/>
    <w:rsid w:val="4B644064"/>
    <w:rsid w:val="4B8B339F"/>
    <w:rsid w:val="4BD905AE"/>
    <w:rsid w:val="4C214934"/>
    <w:rsid w:val="4C265A05"/>
    <w:rsid w:val="4C325F10"/>
    <w:rsid w:val="4C530E67"/>
    <w:rsid w:val="4C703F73"/>
    <w:rsid w:val="4C906126"/>
    <w:rsid w:val="4CAB567D"/>
    <w:rsid w:val="4CAE1754"/>
    <w:rsid w:val="4CC050F1"/>
    <w:rsid w:val="4CF34E8F"/>
    <w:rsid w:val="4CFD02CC"/>
    <w:rsid w:val="4CFD207A"/>
    <w:rsid w:val="4D111FCA"/>
    <w:rsid w:val="4D1E5981"/>
    <w:rsid w:val="4DA42E3E"/>
    <w:rsid w:val="4DB0533F"/>
    <w:rsid w:val="4DC4528E"/>
    <w:rsid w:val="4E571C5E"/>
    <w:rsid w:val="4F653170"/>
    <w:rsid w:val="4F6C1739"/>
    <w:rsid w:val="4FAE565E"/>
    <w:rsid w:val="4FFE4A87"/>
    <w:rsid w:val="500D6A78"/>
    <w:rsid w:val="504D3DB0"/>
    <w:rsid w:val="505C17AE"/>
    <w:rsid w:val="505F188B"/>
    <w:rsid w:val="50884CD3"/>
    <w:rsid w:val="50A82C45"/>
    <w:rsid w:val="50E7274C"/>
    <w:rsid w:val="51AF01EA"/>
    <w:rsid w:val="51B26705"/>
    <w:rsid w:val="52845D42"/>
    <w:rsid w:val="5322669A"/>
    <w:rsid w:val="53280FFF"/>
    <w:rsid w:val="53422EDD"/>
    <w:rsid w:val="537868FE"/>
    <w:rsid w:val="538F119C"/>
    <w:rsid w:val="53CC6C4A"/>
    <w:rsid w:val="53CF04B0"/>
    <w:rsid w:val="53D8114B"/>
    <w:rsid w:val="53FF7541"/>
    <w:rsid w:val="5440689A"/>
    <w:rsid w:val="54462559"/>
    <w:rsid w:val="544A094B"/>
    <w:rsid w:val="54780098"/>
    <w:rsid w:val="54880DC3"/>
    <w:rsid w:val="54A86D6F"/>
    <w:rsid w:val="54C94F38"/>
    <w:rsid w:val="54D55766"/>
    <w:rsid w:val="552F123F"/>
    <w:rsid w:val="555D5DAC"/>
    <w:rsid w:val="556757E9"/>
    <w:rsid w:val="55765A37"/>
    <w:rsid w:val="55A21A11"/>
    <w:rsid w:val="55A41C2D"/>
    <w:rsid w:val="55DA5EC1"/>
    <w:rsid w:val="564D5B0B"/>
    <w:rsid w:val="56BC6B02"/>
    <w:rsid w:val="56C44E8E"/>
    <w:rsid w:val="572C5CDD"/>
    <w:rsid w:val="57623B4D"/>
    <w:rsid w:val="577B69BD"/>
    <w:rsid w:val="57B7551B"/>
    <w:rsid w:val="57BE3243"/>
    <w:rsid w:val="57C93BCD"/>
    <w:rsid w:val="57D12A81"/>
    <w:rsid w:val="57E567A5"/>
    <w:rsid w:val="586438F5"/>
    <w:rsid w:val="58B57CAD"/>
    <w:rsid w:val="58BC103B"/>
    <w:rsid w:val="58C47EF0"/>
    <w:rsid w:val="58CE0D6F"/>
    <w:rsid w:val="58F702C5"/>
    <w:rsid w:val="59633BAD"/>
    <w:rsid w:val="597933D0"/>
    <w:rsid w:val="597D20C7"/>
    <w:rsid w:val="59B166C6"/>
    <w:rsid w:val="59BD01D2"/>
    <w:rsid w:val="59C4289D"/>
    <w:rsid w:val="59C77C98"/>
    <w:rsid w:val="5A24333C"/>
    <w:rsid w:val="5A2A552F"/>
    <w:rsid w:val="5A481AF4"/>
    <w:rsid w:val="5A4E2167"/>
    <w:rsid w:val="5AAF7F21"/>
    <w:rsid w:val="5AF54CD9"/>
    <w:rsid w:val="5B465534"/>
    <w:rsid w:val="5B7328C6"/>
    <w:rsid w:val="5B911B87"/>
    <w:rsid w:val="5B9C33A6"/>
    <w:rsid w:val="5BBB382C"/>
    <w:rsid w:val="5BC85F49"/>
    <w:rsid w:val="5C0D40EB"/>
    <w:rsid w:val="5C381321"/>
    <w:rsid w:val="5CB87D6C"/>
    <w:rsid w:val="5D165D16"/>
    <w:rsid w:val="5D1A6C78"/>
    <w:rsid w:val="5D26561D"/>
    <w:rsid w:val="5D2E002E"/>
    <w:rsid w:val="5D6B772D"/>
    <w:rsid w:val="5DCD5A99"/>
    <w:rsid w:val="5DD64F4D"/>
    <w:rsid w:val="5DE14588"/>
    <w:rsid w:val="5E0A0A9B"/>
    <w:rsid w:val="5E7F4FE5"/>
    <w:rsid w:val="5EB822A5"/>
    <w:rsid w:val="5F313E05"/>
    <w:rsid w:val="5F36141C"/>
    <w:rsid w:val="5F3A0F0C"/>
    <w:rsid w:val="5F4D6E91"/>
    <w:rsid w:val="5F950838"/>
    <w:rsid w:val="5FA06B3F"/>
    <w:rsid w:val="5FBB125B"/>
    <w:rsid w:val="5FD56E87"/>
    <w:rsid w:val="602C6773"/>
    <w:rsid w:val="60600190"/>
    <w:rsid w:val="607377E3"/>
    <w:rsid w:val="61483DB4"/>
    <w:rsid w:val="614B4949"/>
    <w:rsid w:val="614D57CA"/>
    <w:rsid w:val="6154366A"/>
    <w:rsid w:val="617B4C91"/>
    <w:rsid w:val="61834DEC"/>
    <w:rsid w:val="618D5FBE"/>
    <w:rsid w:val="61932B55"/>
    <w:rsid w:val="61C3343B"/>
    <w:rsid w:val="61FA2BD4"/>
    <w:rsid w:val="61FB0E26"/>
    <w:rsid w:val="621C0D9D"/>
    <w:rsid w:val="62546789"/>
    <w:rsid w:val="625D436D"/>
    <w:rsid w:val="62626B0C"/>
    <w:rsid w:val="627320C3"/>
    <w:rsid w:val="6279005F"/>
    <w:rsid w:val="62816E52"/>
    <w:rsid w:val="629B6165"/>
    <w:rsid w:val="62A25746"/>
    <w:rsid w:val="62D67621"/>
    <w:rsid w:val="62D9086C"/>
    <w:rsid w:val="62EF025F"/>
    <w:rsid w:val="63400ABB"/>
    <w:rsid w:val="635D166D"/>
    <w:rsid w:val="63614B3B"/>
    <w:rsid w:val="637A5D7B"/>
    <w:rsid w:val="63AC4084"/>
    <w:rsid w:val="63C37456"/>
    <w:rsid w:val="63D062E3"/>
    <w:rsid w:val="63D47B81"/>
    <w:rsid w:val="63DC0140"/>
    <w:rsid w:val="63DC4247"/>
    <w:rsid w:val="641206A9"/>
    <w:rsid w:val="64276722"/>
    <w:rsid w:val="643B19AE"/>
    <w:rsid w:val="64540922"/>
    <w:rsid w:val="64D616D7"/>
    <w:rsid w:val="64F92C6C"/>
    <w:rsid w:val="652C579B"/>
    <w:rsid w:val="65655C8C"/>
    <w:rsid w:val="65980911"/>
    <w:rsid w:val="65F067C8"/>
    <w:rsid w:val="6610356E"/>
    <w:rsid w:val="664D7777"/>
    <w:rsid w:val="6693159F"/>
    <w:rsid w:val="66996E60"/>
    <w:rsid w:val="66C55738"/>
    <w:rsid w:val="66ED2D08"/>
    <w:rsid w:val="67613F08"/>
    <w:rsid w:val="67BA1768"/>
    <w:rsid w:val="67E628CF"/>
    <w:rsid w:val="67F74E07"/>
    <w:rsid w:val="680E6EB0"/>
    <w:rsid w:val="681A6EE2"/>
    <w:rsid w:val="681E2922"/>
    <w:rsid w:val="681F1B75"/>
    <w:rsid w:val="68273FF7"/>
    <w:rsid w:val="68815DFE"/>
    <w:rsid w:val="68AC6EFD"/>
    <w:rsid w:val="68B40352"/>
    <w:rsid w:val="68D30FAC"/>
    <w:rsid w:val="69020CEC"/>
    <w:rsid w:val="69360996"/>
    <w:rsid w:val="6948013B"/>
    <w:rsid w:val="695507BB"/>
    <w:rsid w:val="69650C92"/>
    <w:rsid w:val="696C085C"/>
    <w:rsid w:val="69731BEA"/>
    <w:rsid w:val="698C77F2"/>
    <w:rsid w:val="69935DE8"/>
    <w:rsid w:val="69A017BB"/>
    <w:rsid w:val="69D85446"/>
    <w:rsid w:val="6A0E1913"/>
    <w:rsid w:val="6A2E3D63"/>
    <w:rsid w:val="6A521800"/>
    <w:rsid w:val="6A554E4C"/>
    <w:rsid w:val="6A86594D"/>
    <w:rsid w:val="6A8E65B0"/>
    <w:rsid w:val="6AE24404"/>
    <w:rsid w:val="6AF726D7"/>
    <w:rsid w:val="6B1C292B"/>
    <w:rsid w:val="6B995EB2"/>
    <w:rsid w:val="6C092392"/>
    <w:rsid w:val="6C0F62EF"/>
    <w:rsid w:val="6C2076DB"/>
    <w:rsid w:val="6C72436C"/>
    <w:rsid w:val="6C97799E"/>
    <w:rsid w:val="6C9F4AA4"/>
    <w:rsid w:val="6CB0280D"/>
    <w:rsid w:val="6CBC11B2"/>
    <w:rsid w:val="6CCB5899"/>
    <w:rsid w:val="6CCF5389"/>
    <w:rsid w:val="6CD7423E"/>
    <w:rsid w:val="6D392803"/>
    <w:rsid w:val="6D3C0545"/>
    <w:rsid w:val="6D683DB4"/>
    <w:rsid w:val="6D7B106D"/>
    <w:rsid w:val="6D7C6B93"/>
    <w:rsid w:val="6D8B4F44"/>
    <w:rsid w:val="6DFE5138"/>
    <w:rsid w:val="6E0830F2"/>
    <w:rsid w:val="6E166FE8"/>
    <w:rsid w:val="6E310F56"/>
    <w:rsid w:val="6ECB1B80"/>
    <w:rsid w:val="6ED07197"/>
    <w:rsid w:val="6EE50BB0"/>
    <w:rsid w:val="6EFF7A7C"/>
    <w:rsid w:val="6F1E7F02"/>
    <w:rsid w:val="6F26325B"/>
    <w:rsid w:val="6F653D83"/>
    <w:rsid w:val="6F8175DF"/>
    <w:rsid w:val="6FC82564"/>
    <w:rsid w:val="6FED4213"/>
    <w:rsid w:val="709E5EE1"/>
    <w:rsid w:val="70BC3E77"/>
    <w:rsid w:val="70C525FF"/>
    <w:rsid w:val="70EB475C"/>
    <w:rsid w:val="70ED5389"/>
    <w:rsid w:val="70EE7DA8"/>
    <w:rsid w:val="711F7F62"/>
    <w:rsid w:val="714D6337"/>
    <w:rsid w:val="715A543E"/>
    <w:rsid w:val="71B03FAA"/>
    <w:rsid w:val="71C87F80"/>
    <w:rsid w:val="71D7319F"/>
    <w:rsid w:val="720F7FD6"/>
    <w:rsid w:val="721970A7"/>
    <w:rsid w:val="729B5A81"/>
    <w:rsid w:val="729C4BB7"/>
    <w:rsid w:val="72E66F89"/>
    <w:rsid w:val="730B69EF"/>
    <w:rsid w:val="73125FD0"/>
    <w:rsid w:val="731E2BC7"/>
    <w:rsid w:val="7343585C"/>
    <w:rsid w:val="73A17354"/>
    <w:rsid w:val="73B9469D"/>
    <w:rsid w:val="73ED2599"/>
    <w:rsid w:val="740C0C71"/>
    <w:rsid w:val="741D2E7E"/>
    <w:rsid w:val="742A636D"/>
    <w:rsid w:val="7435095C"/>
    <w:rsid w:val="743E4BA3"/>
    <w:rsid w:val="7443040B"/>
    <w:rsid w:val="748D2D9C"/>
    <w:rsid w:val="74A73931"/>
    <w:rsid w:val="74E0736B"/>
    <w:rsid w:val="75091655"/>
    <w:rsid w:val="75096F5F"/>
    <w:rsid w:val="752B15CB"/>
    <w:rsid w:val="756B19C7"/>
    <w:rsid w:val="758E56B6"/>
    <w:rsid w:val="75B415C0"/>
    <w:rsid w:val="75C4558B"/>
    <w:rsid w:val="76053478"/>
    <w:rsid w:val="760C2423"/>
    <w:rsid w:val="7625601A"/>
    <w:rsid w:val="76360227"/>
    <w:rsid w:val="765B7164"/>
    <w:rsid w:val="7671300D"/>
    <w:rsid w:val="769B008A"/>
    <w:rsid w:val="76CB6748"/>
    <w:rsid w:val="76D161A2"/>
    <w:rsid w:val="76D17F50"/>
    <w:rsid w:val="76FB321F"/>
    <w:rsid w:val="7726029C"/>
    <w:rsid w:val="773E47C6"/>
    <w:rsid w:val="77420E4E"/>
    <w:rsid w:val="776D5ECB"/>
    <w:rsid w:val="77707769"/>
    <w:rsid w:val="778C3E77"/>
    <w:rsid w:val="77AB07A1"/>
    <w:rsid w:val="780B739F"/>
    <w:rsid w:val="785D3F01"/>
    <w:rsid w:val="787E1A12"/>
    <w:rsid w:val="78C76F30"/>
    <w:rsid w:val="794C7D62"/>
    <w:rsid w:val="795D3D1D"/>
    <w:rsid w:val="79823784"/>
    <w:rsid w:val="7A1F44B4"/>
    <w:rsid w:val="7A672C07"/>
    <w:rsid w:val="7A6D40D3"/>
    <w:rsid w:val="7A6D61E2"/>
    <w:rsid w:val="7A884DCA"/>
    <w:rsid w:val="7AAF053F"/>
    <w:rsid w:val="7B735A7A"/>
    <w:rsid w:val="7BD81D81"/>
    <w:rsid w:val="7C6A6D6F"/>
    <w:rsid w:val="7CAD4FBB"/>
    <w:rsid w:val="7D5B0573"/>
    <w:rsid w:val="7DA55C93"/>
    <w:rsid w:val="7E0230E5"/>
    <w:rsid w:val="7E20385C"/>
    <w:rsid w:val="7E4521C3"/>
    <w:rsid w:val="7E663674"/>
    <w:rsid w:val="7E97382D"/>
    <w:rsid w:val="7EBA4878"/>
    <w:rsid w:val="7ECB1729"/>
    <w:rsid w:val="7ECC137D"/>
    <w:rsid w:val="7EDD70CE"/>
    <w:rsid w:val="7EF7251E"/>
    <w:rsid w:val="7F1548B4"/>
    <w:rsid w:val="7F4C286A"/>
    <w:rsid w:val="7F785D82"/>
    <w:rsid w:val="7F8A5E48"/>
    <w:rsid w:val="7F9B4A72"/>
    <w:rsid w:val="7FC90A94"/>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51"/>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52"/>
    <w:qFormat/>
    <w:uiPriority w:val="9"/>
    <w:pPr>
      <w:keepNext/>
      <w:keepLines/>
      <w:spacing w:before="260" w:after="260" w:line="412" w:lineRule="auto"/>
      <w:outlineLvl w:val="2"/>
    </w:pPr>
    <w:rPr>
      <w:b/>
      <w:bCs/>
      <w:sz w:val="32"/>
      <w:szCs w:val="32"/>
    </w:rPr>
  </w:style>
  <w:style w:type="paragraph" w:styleId="5">
    <w:name w:val="heading 4"/>
    <w:basedOn w:val="1"/>
    <w:next w:val="1"/>
    <w:link w:val="53"/>
    <w:qFormat/>
    <w:uiPriority w:val="9"/>
    <w:pPr>
      <w:keepNext/>
      <w:keepLines/>
      <w:spacing w:before="280" w:after="290" w:line="372" w:lineRule="auto"/>
      <w:outlineLvl w:val="3"/>
    </w:pPr>
    <w:rPr>
      <w:rFonts w:ascii="Arial" w:hAnsi="Arial" w:eastAsia="黑体" w:cs="Arial"/>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index 5"/>
    <w:basedOn w:val="1"/>
    <w:next w:val="1"/>
    <w:qFormat/>
    <w:uiPriority w:val="0"/>
    <w:pPr>
      <w:autoSpaceDE w:val="0"/>
      <w:autoSpaceDN w:val="0"/>
      <w:spacing w:line="360" w:lineRule="auto"/>
      <w:ind w:left="800" w:leftChars="800"/>
    </w:pPr>
    <w:rPr>
      <w:sz w:val="24"/>
    </w:rPr>
  </w:style>
  <w:style w:type="paragraph" w:styleId="8">
    <w:name w:val="annotation text"/>
    <w:basedOn w:val="1"/>
    <w:link w:val="56"/>
    <w:semiHidden/>
    <w:unhideWhenUsed/>
    <w:qFormat/>
    <w:uiPriority w:val="99"/>
    <w:rPr>
      <w:sz w:val="24"/>
    </w:rPr>
  </w:style>
  <w:style w:type="paragraph" w:styleId="9">
    <w:name w:val="Body Text 3"/>
    <w:basedOn w:val="1"/>
    <w:link w:val="57"/>
    <w:semiHidden/>
    <w:unhideWhenUsed/>
    <w:qFormat/>
    <w:uiPriority w:val="99"/>
    <w:rPr>
      <w:rFonts w:ascii="宋体" w:hAnsi="宋体" w:cs="宋体"/>
      <w:sz w:val="24"/>
      <w:szCs w:val="20"/>
    </w:rPr>
  </w:style>
  <w:style w:type="paragraph" w:styleId="10">
    <w:name w:val="Body Text"/>
    <w:basedOn w:val="1"/>
    <w:link w:val="54"/>
    <w:semiHidden/>
    <w:unhideWhenUsed/>
    <w:qFormat/>
    <w:uiPriority w:val="99"/>
    <w:pPr>
      <w:spacing w:after="120"/>
    </w:pPr>
  </w:style>
  <w:style w:type="paragraph" w:styleId="11">
    <w:name w:val="Body Text Indent"/>
    <w:basedOn w:val="1"/>
    <w:qFormat/>
    <w:uiPriority w:val="0"/>
    <w:pPr>
      <w:spacing w:after="120"/>
      <w:ind w:left="420" w:leftChars="200"/>
    </w:pPr>
  </w:style>
  <w:style w:type="paragraph" w:styleId="12">
    <w:name w:val="toc 3"/>
    <w:basedOn w:val="1"/>
    <w:next w:val="1"/>
    <w:semiHidden/>
    <w:unhideWhenUsed/>
    <w:qFormat/>
    <w:uiPriority w:val="39"/>
    <w:pPr>
      <w:ind w:left="840" w:leftChars="400"/>
    </w:pPr>
  </w:style>
  <w:style w:type="paragraph" w:styleId="13">
    <w:name w:val="Plain Text"/>
    <w:basedOn w:val="1"/>
    <w:link w:val="58"/>
    <w:unhideWhenUsed/>
    <w:qFormat/>
    <w:uiPriority w:val="99"/>
    <w:rPr>
      <w:rFonts w:ascii="Courier New" w:hAnsi="Courier New" w:cs="Courier New"/>
      <w:szCs w:val="20"/>
    </w:rPr>
  </w:style>
  <w:style w:type="paragraph" w:styleId="14">
    <w:name w:val="toc 8"/>
    <w:basedOn w:val="1"/>
    <w:next w:val="1"/>
    <w:semiHidden/>
    <w:qFormat/>
    <w:uiPriority w:val="0"/>
    <w:pPr>
      <w:ind w:left="1400"/>
    </w:pPr>
    <w:rPr>
      <w:rFonts w:ascii="Calibri" w:hAnsi="Calibri" w:cs="Calibri"/>
      <w:sz w:val="18"/>
      <w:szCs w:val="18"/>
    </w:rPr>
  </w:style>
  <w:style w:type="paragraph" w:styleId="15">
    <w:name w:val="Date"/>
    <w:basedOn w:val="1"/>
    <w:next w:val="1"/>
    <w:qFormat/>
    <w:uiPriority w:val="0"/>
    <w:rPr>
      <w:sz w:val="24"/>
      <w:szCs w:val="20"/>
    </w:rPr>
  </w:style>
  <w:style w:type="paragraph" w:styleId="16">
    <w:name w:val="Balloon Text"/>
    <w:basedOn w:val="1"/>
    <w:link w:val="66"/>
    <w:semiHidden/>
    <w:unhideWhenUsed/>
    <w:qFormat/>
    <w:uiPriority w:val="99"/>
    <w:rPr>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pPr>
      <w:spacing w:before="120" w:after="120"/>
      <w:jc w:val="left"/>
    </w:pPr>
    <w:rPr>
      <w:b/>
      <w:bCs/>
      <w:caps/>
      <w:sz w:val="20"/>
      <w:szCs w:val="20"/>
    </w:rPr>
  </w:style>
  <w:style w:type="paragraph" w:styleId="20">
    <w:name w:val="footnote text"/>
    <w:basedOn w:val="1"/>
    <w:qFormat/>
    <w:uiPriority w:val="0"/>
    <w:pPr>
      <w:snapToGrid w:val="0"/>
    </w:pPr>
    <w:rPr>
      <w:rFonts w:ascii="Times New Roman" w:hAnsi="Times New Roman" w:eastAsia="宋体" w:cs="Times New Roman"/>
      <w:sz w:val="18"/>
      <w:szCs w:val="18"/>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Body Text 2"/>
    <w:basedOn w:val="1"/>
    <w:link w:val="67"/>
    <w:semiHidden/>
    <w:unhideWhenUsed/>
    <w:qFormat/>
    <w:uiPriority w:val="99"/>
    <w:pPr>
      <w:spacing w:after="120" w:line="480" w:lineRule="auto"/>
    </w:pPr>
  </w:style>
  <w:style w:type="paragraph" w:styleId="24">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5">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6">
    <w:name w:val="annotation subject"/>
    <w:basedOn w:val="8"/>
    <w:next w:val="8"/>
    <w:link w:val="59"/>
    <w:semiHidden/>
    <w:unhideWhenUsed/>
    <w:qFormat/>
    <w:uiPriority w:val="99"/>
    <w:rPr>
      <w:b/>
      <w:bCs/>
    </w:rPr>
  </w:style>
  <w:style w:type="paragraph" w:styleId="27">
    <w:name w:val="Body Text First Indent"/>
    <w:basedOn w:val="10"/>
    <w:link w:val="55"/>
    <w:unhideWhenUsed/>
    <w:qFormat/>
    <w:uiPriority w:val="99"/>
    <w:pPr>
      <w:spacing w:line="312" w:lineRule="auto"/>
      <w:ind w:firstLine="420"/>
    </w:pPr>
  </w:style>
  <w:style w:type="paragraph" w:styleId="28">
    <w:name w:val="Body Text First Indent 2"/>
    <w:basedOn w:val="11"/>
    <w:qFormat/>
    <w:uiPriority w:val="0"/>
    <w:pPr>
      <w:ind w:firstLine="420" w:firstLineChars="2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rFonts w:cs="Times New Roman"/>
      <w:b/>
      <w:bCs/>
      <w:lang w:bidi="ar-SA"/>
    </w:rPr>
  </w:style>
  <w:style w:type="character" w:styleId="33">
    <w:name w:val="FollowedHyperlink"/>
    <w:basedOn w:val="31"/>
    <w:semiHidden/>
    <w:unhideWhenUsed/>
    <w:qFormat/>
    <w:uiPriority w:val="99"/>
    <w:rPr>
      <w:color w:val="800080"/>
      <w:u w:val="singl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basedOn w:val="31"/>
    <w:semiHidden/>
    <w:unhideWhenUsed/>
    <w:qFormat/>
    <w:uiPriority w:val="99"/>
    <w:rPr>
      <w:color w:val="0000FF"/>
      <w:u w:val="single"/>
    </w:rPr>
  </w:style>
  <w:style w:type="character" w:styleId="40">
    <w:name w:val="HTML Code"/>
    <w:basedOn w:val="31"/>
    <w:semiHidden/>
    <w:unhideWhenUsed/>
    <w:qFormat/>
    <w:uiPriority w:val="99"/>
    <w:rPr>
      <w:rFonts w:ascii="Courier New" w:hAnsi="宋体" w:eastAsia="Courier New" w:cs="Courier New"/>
      <w:sz w:val="20"/>
      <w:szCs w:val="24"/>
      <w:lang w:bidi="ar-SA"/>
    </w:rPr>
  </w:style>
  <w:style w:type="character" w:styleId="41">
    <w:name w:val="annotation reference"/>
    <w:basedOn w:val="31"/>
    <w:semiHidden/>
    <w:unhideWhenUsed/>
    <w:qFormat/>
    <w:uiPriority w:val="99"/>
    <w:rPr>
      <w:rFonts w:cs="Times New Roman"/>
      <w:sz w:val="21"/>
      <w:szCs w:val="21"/>
      <w:lang w:bidi="ar-SA"/>
    </w:rPr>
  </w:style>
  <w:style w:type="character" w:styleId="42">
    <w:name w:val="HTML Cite"/>
    <w:basedOn w:val="31"/>
    <w:semiHidden/>
    <w:unhideWhenUsed/>
    <w:qFormat/>
    <w:uiPriority w:val="99"/>
  </w:style>
  <w:style w:type="character" w:styleId="43">
    <w:name w:val="footnote reference"/>
    <w:semiHidden/>
    <w:unhideWhenUsed/>
    <w:qFormat/>
    <w:uiPriority w:val="99"/>
    <w:rPr>
      <w:rFonts w:cs="Times New Roman"/>
      <w:vertAlign w:val="superscript"/>
      <w:lang w:bidi="ar-SA"/>
    </w:rPr>
  </w:style>
  <w:style w:type="character" w:styleId="44">
    <w:name w:val="HTML Keyboard"/>
    <w:basedOn w:val="31"/>
    <w:semiHidden/>
    <w:unhideWhenUsed/>
    <w:qFormat/>
    <w:uiPriority w:val="99"/>
    <w:rPr>
      <w:rFonts w:ascii="Courier New" w:hAnsi="宋体" w:eastAsia="Courier New" w:cs="Courier New"/>
      <w:sz w:val="20"/>
      <w:szCs w:val="24"/>
      <w:lang w:bidi="ar-SA"/>
    </w:rPr>
  </w:style>
  <w:style w:type="character" w:styleId="45">
    <w:name w:val="HTML Sample"/>
    <w:basedOn w:val="31"/>
    <w:semiHidden/>
    <w:unhideWhenUsed/>
    <w:qFormat/>
    <w:uiPriority w:val="99"/>
    <w:rPr>
      <w:rFonts w:ascii="Courier New" w:hAnsi="宋体" w:eastAsia="Courier New" w:cs="Courier New"/>
      <w:color w:val="3D4B64"/>
      <w:sz w:val="19"/>
      <w:szCs w:val="19"/>
      <w:lang w:bidi="ar-SA"/>
    </w:rPr>
  </w:style>
  <w:style w:type="paragraph" w:customStyle="1" w:styleId="46">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首行缩进"/>
    <w:basedOn w:val="1"/>
    <w:qFormat/>
    <w:uiPriority w:val="0"/>
    <w:pPr>
      <w:numPr>
        <w:ilvl w:val="0"/>
        <w:numId w:val="1"/>
      </w:numPr>
      <w:spacing w:line="360" w:lineRule="auto"/>
    </w:pPr>
    <w:rPr>
      <w:rFonts w:eastAsia="仿宋_GB2312"/>
    </w:rPr>
  </w:style>
  <w:style w:type="character" w:customStyle="1" w:styleId="48">
    <w:name w:val="页眉 字符"/>
    <w:basedOn w:val="31"/>
    <w:link w:val="18"/>
    <w:qFormat/>
    <w:uiPriority w:val="99"/>
    <w:rPr>
      <w:sz w:val="18"/>
      <w:szCs w:val="18"/>
    </w:rPr>
  </w:style>
  <w:style w:type="character" w:customStyle="1" w:styleId="49">
    <w:name w:val="页脚 字符"/>
    <w:basedOn w:val="31"/>
    <w:link w:val="17"/>
    <w:qFormat/>
    <w:uiPriority w:val="99"/>
    <w:rPr>
      <w:sz w:val="18"/>
      <w:szCs w:val="18"/>
    </w:rPr>
  </w:style>
  <w:style w:type="character" w:customStyle="1" w:styleId="50">
    <w:name w:val="标题 1 字符"/>
    <w:basedOn w:val="31"/>
    <w:link w:val="2"/>
    <w:qFormat/>
    <w:uiPriority w:val="9"/>
    <w:rPr>
      <w:rFonts w:ascii="Times New Roman" w:hAnsi="Times New Roman" w:eastAsia="宋体" w:cs="Times New Roman"/>
      <w:b/>
      <w:bCs/>
      <w:kern w:val="44"/>
      <w:sz w:val="44"/>
      <w:szCs w:val="44"/>
    </w:rPr>
  </w:style>
  <w:style w:type="character" w:customStyle="1" w:styleId="51">
    <w:name w:val="标题 2 字符"/>
    <w:basedOn w:val="31"/>
    <w:link w:val="3"/>
    <w:qFormat/>
    <w:uiPriority w:val="9"/>
    <w:rPr>
      <w:rFonts w:ascii="Arial" w:hAnsi="Arial" w:eastAsia="黑体" w:cs="Arial"/>
      <w:b/>
      <w:bCs/>
      <w:sz w:val="32"/>
      <w:szCs w:val="32"/>
    </w:rPr>
  </w:style>
  <w:style w:type="character" w:customStyle="1" w:styleId="52">
    <w:name w:val="标题 3 字符"/>
    <w:basedOn w:val="31"/>
    <w:link w:val="4"/>
    <w:qFormat/>
    <w:uiPriority w:val="9"/>
    <w:rPr>
      <w:rFonts w:ascii="Times New Roman" w:hAnsi="Times New Roman" w:eastAsia="宋体" w:cs="Times New Roman"/>
      <w:b/>
      <w:bCs/>
      <w:sz w:val="32"/>
      <w:szCs w:val="32"/>
    </w:rPr>
  </w:style>
  <w:style w:type="character" w:customStyle="1" w:styleId="53">
    <w:name w:val="标题 4 字符"/>
    <w:basedOn w:val="31"/>
    <w:link w:val="5"/>
    <w:qFormat/>
    <w:uiPriority w:val="9"/>
    <w:rPr>
      <w:rFonts w:ascii="Arial" w:hAnsi="Arial" w:eastAsia="黑体" w:cs="Arial"/>
      <w:b/>
      <w:bCs/>
      <w:sz w:val="28"/>
      <w:szCs w:val="28"/>
    </w:rPr>
  </w:style>
  <w:style w:type="character" w:customStyle="1" w:styleId="54">
    <w:name w:val="正文文本 字符"/>
    <w:basedOn w:val="31"/>
    <w:link w:val="10"/>
    <w:semiHidden/>
    <w:qFormat/>
    <w:uiPriority w:val="99"/>
    <w:rPr>
      <w:rFonts w:ascii="Times New Roman" w:hAnsi="Times New Roman" w:eastAsia="宋体" w:cs="Times New Roman"/>
      <w:szCs w:val="24"/>
    </w:rPr>
  </w:style>
  <w:style w:type="character" w:customStyle="1" w:styleId="55">
    <w:name w:val="正文首行缩进 字符"/>
    <w:basedOn w:val="54"/>
    <w:link w:val="27"/>
    <w:qFormat/>
    <w:uiPriority w:val="99"/>
    <w:rPr>
      <w:rFonts w:ascii="Times New Roman" w:hAnsi="Times New Roman" w:eastAsia="宋体" w:cs="Times New Roman"/>
      <w:szCs w:val="24"/>
    </w:rPr>
  </w:style>
  <w:style w:type="character" w:customStyle="1" w:styleId="56">
    <w:name w:val="批注文字 字符"/>
    <w:basedOn w:val="31"/>
    <w:link w:val="8"/>
    <w:semiHidden/>
    <w:qFormat/>
    <w:uiPriority w:val="99"/>
    <w:rPr>
      <w:rFonts w:ascii="Times New Roman" w:hAnsi="Times New Roman" w:eastAsia="宋体" w:cs="Times New Roman"/>
      <w:sz w:val="24"/>
      <w:szCs w:val="24"/>
    </w:rPr>
  </w:style>
  <w:style w:type="character" w:customStyle="1" w:styleId="57">
    <w:name w:val="正文文本 3 字符"/>
    <w:basedOn w:val="31"/>
    <w:link w:val="9"/>
    <w:semiHidden/>
    <w:qFormat/>
    <w:uiPriority w:val="99"/>
    <w:rPr>
      <w:rFonts w:ascii="宋体" w:hAnsi="宋体" w:eastAsia="宋体" w:cs="宋体"/>
      <w:sz w:val="24"/>
      <w:szCs w:val="20"/>
    </w:rPr>
  </w:style>
  <w:style w:type="character" w:customStyle="1" w:styleId="58">
    <w:name w:val="纯文本 字符"/>
    <w:basedOn w:val="31"/>
    <w:link w:val="13"/>
    <w:qFormat/>
    <w:uiPriority w:val="99"/>
    <w:rPr>
      <w:rFonts w:ascii="Courier New" w:hAnsi="Courier New" w:eastAsia="宋体" w:cs="Courier New"/>
      <w:szCs w:val="20"/>
    </w:rPr>
  </w:style>
  <w:style w:type="character" w:customStyle="1" w:styleId="59">
    <w:name w:val="批注主题 字符"/>
    <w:basedOn w:val="56"/>
    <w:link w:val="26"/>
    <w:semiHidden/>
    <w:qFormat/>
    <w:uiPriority w:val="99"/>
    <w:rPr>
      <w:rFonts w:ascii="Times New Roman" w:hAnsi="Times New Roman" w:eastAsia="宋体" w:cs="Times New Roman"/>
      <w:b/>
      <w:bCs/>
      <w:sz w:val="24"/>
      <w:szCs w:val="24"/>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表格文字"/>
    <w:basedOn w:val="10"/>
    <w:qFormat/>
    <w:uiPriority w:val="0"/>
    <w:pPr>
      <w:adjustRightInd w:val="0"/>
      <w:spacing w:line="420" w:lineRule="atLeast"/>
      <w:jc w:val="left"/>
      <w:textAlignment w:val="baseline"/>
    </w:pPr>
    <w:rPr>
      <w:kern w:val="0"/>
      <w:szCs w:val="20"/>
    </w:rPr>
  </w:style>
  <w:style w:type="paragraph" w:customStyle="1" w:styleId="62">
    <w:name w:val="Blockquote"/>
    <w:basedOn w:val="1"/>
    <w:qFormat/>
    <w:uiPriority w:val="0"/>
    <w:pPr>
      <w:autoSpaceDE w:val="0"/>
      <w:autoSpaceDN w:val="0"/>
      <w:adjustRightInd w:val="0"/>
      <w:spacing w:before="100" w:after="100"/>
      <w:ind w:left="360" w:right="360"/>
    </w:pPr>
    <w:rPr>
      <w:sz w:val="24"/>
    </w:rPr>
  </w:style>
  <w:style w:type="paragraph" w:customStyle="1" w:styleId="63">
    <w:name w:val="_Style 17"/>
    <w:basedOn w:val="1"/>
    <w:next w:val="24"/>
    <w:qFormat/>
    <w:uiPriority w:val="0"/>
    <w:pPr>
      <w:spacing w:before="100" w:beforeAutospacing="1" w:after="100" w:afterAutospacing="1"/>
    </w:pPr>
    <w:rPr>
      <w:rFonts w:ascii="宋体" w:hAnsi="宋体" w:cs="黑体"/>
      <w:sz w:val="24"/>
    </w:rPr>
  </w:style>
  <w:style w:type="character" w:customStyle="1" w:styleId="64">
    <w:name w:val="正文文本 Char Char"/>
    <w:qFormat/>
    <w:uiPriority w:val="0"/>
    <w:rPr>
      <w:rFonts w:eastAsia="宋体" w:cs="Times New Roman"/>
      <w:kern w:val="2"/>
      <w:sz w:val="24"/>
      <w:szCs w:val="24"/>
      <w:lang w:val="en-US" w:eastAsia="zh-CN" w:bidi="ar-SA"/>
    </w:rPr>
  </w:style>
  <w:style w:type="character" w:customStyle="1" w:styleId="65">
    <w:name w:val="15"/>
    <w:qFormat/>
    <w:uiPriority w:val="0"/>
    <w:rPr>
      <w:rFonts w:ascii="Times New Roman"/>
      <w:color w:val="0000FF"/>
      <w:u w:val="single"/>
    </w:rPr>
  </w:style>
  <w:style w:type="character" w:customStyle="1" w:styleId="66">
    <w:name w:val="批注框文本 字符"/>
    <w:basedOn w:val="31"/>
    <w:link w:val="16"/>
    <w:semiHidden/>
    <w:qFormat/>
    <w:uiPriority w:val="99"/>
    <w:rPr>
      <w:rFonts w:ascii="Times New Roman" w:hAnsi="Times New Roman" w:eastAsia="宋体" w:cs="Times New Roman"/>
      <w:sz w:val="18"/>
      <w:szCs w:val="18"/>
    </w:rPr>
  </w:style>
  <w:style w:type="character" w:customStyle="1" w:styleId="67">
    <w:name w:val="正文文本 2 字符"/>
    <w:basedOn w:val="31"/>
    <w:link w:val="23"/>
    <w:semiHidden/>
    <w:qFormat/>
    <w:uiPriority w:val="99"/>
    <w:rPr>
      <w:rFonts w:ascii="Times New Roman" w:hAnsi="Times New Roman" w:eastAsia="宋体" w:cs="Times New Roman"/>
      <w:kern w:val="2"/>
      <w:sz w:val="21"/>
      <w:szCs w:val="24"/>
    </w:rPr>
  </w:style>
  <w:style w:type="table" w:customStyle="1" w:styleId="68">
    <w:name w:val="网格型1"/>
    <w:basedOn w:val="29"/>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Table Paragraph"/>
    <w:basedOn w:val="1"/>
    <w:next w:val="14"/>
    <w:qFormat/>
    <w:uiPriority w:val="1"/>
    <w:rPr>
      <w:rFonts w:ascii="宋体" w:hAnsi="宋体" w:cs="宋体"/>
    </w:rPr>
  </w:style>
  <w:style w:type="paragraph" w:customStyle="1" w:styleId="70">
    <w:name w:val="标题 31"/>
    <w:basedOn w:val="1"/>
    <w:qFormat/>
    <w:uiPriority w:val="1"/>
    <w:pPr>
      <w:ind w:left="237" w:right="102"/>
      <w:jc w:val="left"/>
      <w:outlineLvl w:val="3"/>
    </w:pPr>
    <w:rPr>
      <w:rFonts w:ascii="宋体" w:hAnsi="宋体" w:cs="宋体"/>
      <w:kern w:val="0"/>
      <w:sz w:val="28"/>
      <w:szCs w:val="28"/>
      <w:lang w:eastAsia="en-US"/>
    </w:rPr>
  </w:style>
  <w:style w:type="paragraph" w:styleId="71">
    <w:name w:val="List Paragraph"/>
    <w:basedOn w:val="1"/>
    <w:qFormat/>
    <w:uiPriority w:val="34"/>
    <w:pPr>
      <w:ind w:firstLine="420" w:firstLineChars="200"/>
    </w:pPr>
  </w:style>
  <w:style w:type="paragraph" w:customStyle="1" w:styleId="72">
    <w:name w:val="Table Text"/>
    <w:basedOn w:val="1"/>
    <w:semiHidden/>
    <w:qFormat/>
    <w:uiPriority w:val="0"/>
    <w:rPr>
      <w:rFonts w:ascii="宋体" w:hAnsi="宋体" w:eastAsia="宋体" w:cs="宋体"/>
      <w:sz w:val="24"/>
      <w:szCs w:val="24"/>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 w:type="paragraph" w:customStyle="1" w:styleId="74">
    <w:name w:val="indent"/>
    <w:basedOn w:val="1"/>
    <w:qFormat/>
    <w:uiPriority w:val="0"/>
    <w:pPr>
      <w:spacing w:before="100" w:beforeAutospacing="1" w:after="100" w:afterAutospacing="1"/>
      <w:jc w:val="left"/>
    </w:pPr>
    <w:rPr>
      <w:rFonts w:ascii="宋体" w:hAnsi="宋体" w:cs="宋体"/>
      <w:sz w:val="24"/>
      <w:szCs w:val="24"/>
    </w:rPr>
  </w:style>
  <w:style w:type="paragraph" w:customStyle="1" w:styleId="75">
    <w:name w:val="列出段落1"/>
    <w:basedOn w:val="1"/>
    <w:qFormat/>
    <w:uiPriority w:val="34"/>
    <w:pPr>
      <w:ind w:firstLine="420" w:firstLineChars="200"/>
    </w:pPr>
    <w:rPr>
      <w:rFonts w:ascii="Times New Roman" w:hAnsi="Times New Roman" w:eastAsia="宋体" w:cs="Times New Roman"/>
      <w:szCs w:val="24"/>
    </w:rPr>
  </w:style>
  <w:style w:type="character" w:customStyle="1" w:styleId="76">
    <w:name w:val="ca-01"/>
    <w:qFormat/>
    <w:uiPriority w:val="0"/>
    <w:rPr>
      <w:rFonts w:hint="eastAsia" w:ascii="宋体" w:hAnsi="宋体" w:eastAsia="宋体"/>
      <w:sz w:val="28"/>
      <w:szCs w:val="28"/>
    </w:rPr>
  </w:style>
  <w:style w:type="paragraph" w:customStyle="1" w:styleId="77">
    <w:name w:val="List Paragraph1"/>
    <w:basedOn w:val="1"/>
    <w:qFormat/>
    <w:uiPriority w:val="99"/>
    <w:pPr>
      <w:ind w:firstLine="420" w:firstLineChars="200"/>
    </w:pPr>
    <w:rPr>
      <w:rFonts w:ascii="Calibri" w:hAnsi="Calibri" w:eastAsia="宋体" w:cs="Times New Roman"/>
    </w:rPr>
  </w:style>
  <w:style w:type="character" w:customStyle="1" w:styleId="78">
    <w:name w:val="apple-style-span"/>
    <w:basedOn w:val="31"/>
    <w:qFormat/>
    <w:uiPriority w:val="0"/>
    <w:rPr>
      <w:rFonts w:hint="default" w:ascii="Times New Roman"/>
    </w:rPr>
  </w:style>
  <w:style w:type="paragraph" w:customStyle="1" w:styleId="79">
    <w:name w:val="Normal_32"/>
    <w:qFormat/>
    <w:uiPriority w:val="0"/>
    <w:pPr>
      <w:widowControl w:val="0"/>
      <w:jc w:val="both"/>
    </w:pPr>
    <w:rPr>
      <w:rFonts w:ascii="Times New Roman" w:hAnsi="Times New Roman" w:eastAsia="宋体" w:cs="Times New Roman"/>
      <w:kern w:val="2"/>
      <w:sz w:val="21"/>
      <w:szCs w:val="21"/>
      <w:lang w:val="en-US" w:eastAsia="zh-CN" w:bidi="ar-SA"/>
    </w:rPr>
  </w:style>
  <w:style w:type="table" w:customStyle="1" w:styleId="80">
    <w:name w:val="普通表格1"/>
    <w:semiHidden/>
    <w:qFormat/>
    <w:uiPriority w:val="0"/>
  </w:style>
  <w:style w:type="paragraph" w:customStyle="1" w:styleId="81">
    <w:name w:val="p1"/>
    <w:basedOn w:val="1"/>
    <w:qFormat/>
    <w:uiPriority w:val="0"/>
    <w:pPr>
      <w:spacing w:before="0" w:beforeAutospacing="0" w:after="0" w:afterAutospacing="0"/>
      <w:ind w:left="0" w:right="0"/>
      <w:jc w:val="left"/>
    </w:pPr>
    <w:rPr>
      <w:rFonts w:ascii="pingfang sc" w:hAnsi="pingfang sc" w:eastAsia="pingfang sc"/>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71</Pages>
  <Words>3156</Words>
  <Characters>3661</Characters>
  <Lines>344</Lines>
  <Paragraphs>96</Paragraphs>
  <TotalTime>44</TotalTime>
  <ScaleCrop>false</ScaleCrop>
  <LinksUpToDate>false</LinksUpToDate>
  <CharactersWithSpaces>3760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元元</cp:lastModifiedBy>
  <dcterms:modified xsi:type="dcterms:W3CDTF">2025-07-18T01:23:10Z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347B6C7424704E76B27490EDA63FC8B7_13</vt:lpwstr>
  </property>
  <property fmtid="{D5CDD505-2E9C-101B-9397-08002B2CF9AE}" pid="4" name="KSOTemplateDocerSaveRecord">
    <vt:lpwstr>eyJoZGlkIjoiM2NjZDJjMWE1ZmI4NjI1YzY3NjJiNzg0OGY0YzE5YWIiLCJ1c2VySWQiOiIyNjc3NTcyMDgifQ==</vt:lpwstr>
  </property>
</Properties>
</file>