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0"/>
        <w:jc w:val="center"/>
        <w:rPr>
          <w:rFonts w:hint="eastAsia" w:ascii="宋体" w:hAnsi="宋体"/>
          <w:b/>
          <w:bCs/>
          <w:color w:val="auto"/>
          <w:sz w:val="13"/>
          <w:szCs w:val="13"/>
          <w:lang w:eastAsia="zh-CN"/>
        </w:rPr>
      </w:pPr>
      <w:bookmarkStart w:id="0" w:name="_Toc30213"/>
      <w:bookmarkStart w:id="1" w:name="_Toc14285"/>
      <w:bookmarkStart w:id="2" w:name="_Toc144974495"/>
      <w:bookmarkStart w:id="3" w:name="_Toc246996173"/>
      <w:bookmarkStart w:id="4" w:name="_Toc247085687"/>
      <w:bookmarkStart w:id="5" w:name="_Toc179632544"/>
      <w:bookmarkStart w:id="6" w:name="_Toc246996916"/>
      <w:bookmarkStart w:id="7" w:name="_Toc152045527"/>
      <w:bookmarkStart w:id="8" w:name="_Toc152042303"/>
    </w:p>
    <w:p>
      <w:pPr>
        <w:keepNext w:val="0"/>
        <w:keepLines w:val="0"/>
        <w:pageBreakBefore w:val="0"/>
        <w:widowControl w:val="0"/>
        <w:kinsoku/>
        <w:wordWrap/>
        <w:overflowPunct/>
        <w:topLinePunct w:val="0"/>
        <w:autoSpaceDE/>
        <w:autoSpaceDN/>
        <w:bidi w:val="0"/>
        <w:adjustRightInd/>
        <w:snapToGrid w:val="0"/>
        <w:spacing w:beforeLines="100" w:line="360" w:lineRule="exact"/>
        <w:jc w:val="center"/>
        <w:textAlignment w:val="auto"/>
        <w:rPr>
          <w:rFonts w:hint="eastAsia" w:ascii="宋体" w:hAnsi="宋体"/>
          <w:b/>
          <w:bCs/>
          <w:color w:val="auto"/>
          <w:sz w:val="72"/>
          <w:szCs w:val="72"/>
          <w:lang w:eastAsia="zh-CN"/>
        </w:rPr>
      </w:pPr>
      <w:r>
        <w:rPr>
          <w:rFonts w:hint="eastAsia" w:ascii="宋体" w:hAnsi="宋体"/>
          <w:b/>
          <w:bCs/>
          <w:color w:val="auto"/>
          <w:sz w:val="72"/>
          <w:szCs w:val="72"/>
          <w:lang w:eastAsia="zh-CN"/>
        </w:rPr>
        <w:t>吉林省老年大学</w:t>
      </w:r>
    </w:p>
    <w:p>
      <w:pPr>
        <w:keepNext w:val="0"/>
        <w:keepLines w:val="0"/>
        <w:pageBreakBefore w:val="0"/>
        <w:widowControl w:val="0"/>
        <w:kinsoku/>
        <w:wordWrap/>
        <w:overflowPunct/>
        <w:topLinePunct w:val="0"/>
        <w:autoSpaceDE/>
        <w:autoSpaceDN/>
        <w:bidi w:val="0"/>
        <w:adjustRightInd/>
        <w:snapToGrid w:val="0"/>
        <w:spacing w:beforeLines="100" w:line="360" w:lineRule="exact"/>
        <w:jc w:val="center"/>
        <w:textAlignment w:val="auto"/>
        <w:rPr>
          <w:rFonts w:hint="eastAsia" w:ascii="宋体" w:hAnsi="宋体"/>
          <w:b/>
          <w:bCs/>
          <w:color w:val="auto"/>
          <w:sz w:val="72"/>
          <w:szCs w:val="72"/>
          <w:lang w:eastAsia="zh-CN"/>
        </w:rPr>
      </w:pPr>
      <w:r>
        <w:rPr>
          <w:rFonts w:hint="eastAsia" w:ascii="宋体" w:hAnsi="宋体"/>
          <w:b/>
          <w:bCs/>
          <w:color w:val="auto"/>
          <w:sz w:val="72"/>
          <w:szCs w:val="72"/>
          <w:lang w:eastAsia="zh-CN"/>
        </w:rPr>
        <w:t>教学设备更新项目</w:t>
      </w:r>
    </w:p>
    <w:p>
      <w:pPr>
        <w:keepNext w:val="0"/>
        <w:keepLines w:val="0"/>
        <w:pageBreakBefore w:val="0"/>
        <w:widowControl w:val="0"/>
        <w:kinsoku/>
        <w:wordWrap/>
        <w:overflowPunct/>
        <w:topLinePunct w:val="0"/>
        <w:autoSpaceDE/>
        <w:autoSpaceDN/>
        <w:bidi w:val="0"/>
        <w:adjustRightInd/>
        <w:snapToGrid w:val="0"/>
        <w:spacing w:beforeLines="100" w:line="600" w:lineRule="exact"/>
        <w:jc w:val="center"/>
        <w:textAlignment w:val="auto"/>
        <w:rPr>
          <w:rFonts w:hint="eastAsia" w:ascii="宋体" w:hAnsi="宋体"/>
          <w:b/>
          <w:bCs/>
          <w:color w:val="auto"/>
          <w:sz w:val="72"/>
          <w:szCs w:val="72"/>
        </w:rPr>
      </w:pPr>
    </w:p>
    <w:p>
      <w:pPr>
        <w:snapToGrid w:val="0"/>
        <w:spacing w:beforeLines="100"/>
        <w:jc w:val="center"/>
        <w:rPr>
          <w:rFonts w:hint="eastAsia" w:ascii="宋体" w:hAnsi="宋体"/>
          <w:b/>
          <w:bCs/>
          <w:color w:val="auto"/>
          <w:sz w:val="80"/>
          <w:szCs w:val="80"/>
        </w:rPr>
      </w:pPr>
    </w:p>
    <w:p>
      <w:pPr>
        <w:pStyle w:val="19"/>
        <w:rPr>
          <w:rFonts w:hint="eastAsia"/>
          <w:color w:val="auto"/>
        </w:rPr>
      </w:pPr>
    </w:p>
    <w:p>
      <w:pPr>
        <w:snapToGrid w:val="0"/>
        <w:spacing w:beforeLines="100"/>
        <w:jc w:val="center"/>
        <w:rPr>
          <w:rFonts w:hint="eastAsia" w:ascii="宋体" w:hAnsi="宋体"/>
          <w:b/>
          <w:bCs/>
          <w:color w:val="auto"/>
          <w:sz w:val="96"/>
          <w:szCs w:val="96"/>
          <w:lang w:eastAsia="zh-CN"/>
        </w:rPr>
      </w:pPr>
      <w:r>
        <w:rPr>
          <w:rFonts w:hint="eastAsia" w:ascii="宋体" w:hAnsi="宋体"/>
          <w:b/>
          <w:bCs/>
          <w:color w:val="auto"/>
          <w:sz w:val="96"/>
          <w:szCs w:val="96"/>
        </w:rPr>
        <w:t>招标文件</w:t>
      </w:r>
    </w:p>
    <w:p>
      <w:pPr>
        <w:snapToGrid w:val="0"/>
        <w:jc w:val="center"/>
        <w:rPr>
          <w:rFonts w:hint="eastAsia" w:ascii="宋体" w:hAnsi="宋体"/>
          <w:b/>
          <w:bCs/>
          <w:color w:val="auto"/>
          <w:sz w:val="44"/>
          <w:szCs w:val="44"/>
          <w:lang w:eastAsia="zh-CN"/>
        </w:rPr>
      </w:pPr>
    </w:p>
    <w:p>
      <w:pPr>
        <w:snapToGrid w:val="0"/>
        <w:rPr>
          <w:rFonts w:ascii="宋体" w:hAnsi="宋体"/>
          <w:color w:val="auto"/>
          <w:sz w:val="28"/>
          <w:szCs w:val="28"/>
        </w:rPr>
      </w:pPr>
    </w:p>
    <w:p>
      <w:pPr>
        <w:snapToGrid w:val="0"/>
        <w:rPr>
          <w:rFonts w:ascii="宋体" w:hAnsi="宋体"/>
          <w:color w:val="auto"/>
          <w:sz w:val="28"/>
          <w:szCs w:val="28"/>
        </w:rPr>
      </w:pPr>
    </w:p>
    <w:p>
      <w:pPr>
        <w:snapToGrid w:val="0"/>
        <w:rPr>
          <w:rFonts w:ascii="宋体" w:hAnsi="宋体"/>
          <w:color w:val="auto"/>
          <w:sz w:val="28"/>
          <w:szCs w:val="28"/>
        </w:rPr>
      </w:pPr>
    </w:p>
    <w:p>
      <w:pPr>
        <w:snapToGrid w:val="0"/>
        <w:rPr>
          <w:rFonts w:ascii="宋体" w:hAnsi="宋体"/>
          <w:color w:val="auto"/>
          <w:sz w:val="28"/>
          <w:szCs w:val="28"/>
        </w:rPr>
      </w:pPr>
    </w:p>
    <w:p>
      <w:pPr>
        <w:pStyle w:val="40"/>
        <w:rPr>
          <w:rFonts w:ascii="宋体" w:hAnsi="宋体"/>
          <w:color w:val="auto"/>
          <w:sz w:val="28"/>
          <w:szCs w:val="28"/>
        </w:rPr>
      </w:pPr>
    </w:p>
    <w:p>
      <w:pPr>
        <w:snapToGrid w:val="0"/>
        <w:rPr>
          <w:rFonts w:ascii="宋体" w:hAnsi="宋体"/>
          <w:color w:val="auto"/>
          <w:sz w:val="28"/>
          <w:szCs w:val="28"/>
        </w:rPr>
      </w:pPr>
    </w:p>
    <w:p>
      <w:pPr>
        <w:autoSpaceDE w:val="0"/>
        <w:autoSpaceDN w:val="0"/>
        <w:adjustRightInd w:val="0"/>
        <w:snapToGrid w:val="0"/>
        <w:spacing w:line="520" w:lineRule="exact"/>
        <w:ind w:firstLine="1120" w:firstLineChars="400"/>
        <w:jc w:val="both"/>
        <w:outlineLvl w:val="9"/>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pPr>
        <w:autoSpaceDE w:val="0"/>
        <w:autoSpaceDN w:val="0"/>
        <w:adjustRightInd w:val="0"/>
        <w:snapToGrid w:val="0"/>
        <w:spacing w:line="520" w:lineRule="exact"/>
        <w:ind w:firstLine="1120" w:firstLineChars="4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招标编号：采购计划-[2025]-09342号-1-JLLYZB-2025-138</w:t>
      </w:r>
    </w:p>
    <w:p>
      <w:pPr>
        <w:autoSpaceDE w:val="0"/>
        <w:autoSpaceDN w:val="0"/>
        <w:adjustRightInd w:val="0"/>
        <w:snapToGrid w:val="0"/>
        <w:spacing w:line="520" w:lineRule="exact"/>
        <w:ind w:firstLine="1120" w:firstLineChars="4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标</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人：</w:t>
      </w:r>
      <w:r>
        <w:rPr>
          <w:rFonts w:hint="eastAsia" w:ascii="宋体" w:hAnsi="宋体"/>
          <w:color w:val="auto"/>
          <w:sz w:val="28"/>
          <w:szCs w:val="28"/>
          <w:highlight w:val="none"/>
          <w:lang w:eastAsia="zh-CN"/>
        </w:rPr>
        <w:t>吉林省老年大学</w:t>
      </w:r>
    </w:p>
    <w:p>
      <w:pPr>
        <w:autoSpaceDE w:val="0"/>
        <w:autoSpaceDN w:val="0"/>
        <w:adjustRightInd w:val="0"/>
        <w:snapToGrid w:val="0"/>
        <w:spacing w:line="520" w:lineRule="exact"/>
        <w:ind w:firstLine="1120" w:firstLineChars="4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招标代理机构：</w:t>
      </w:r>
      <w:r>
        <w:rPr>
          <w:rFonts w:hint="eastAsia" w:ascii="宋体" w:hAnsi="宋体"/>
          <w:color w:val="auto"/>
          <w:sz w:val="28"/>
          <w:szCs w:val="28"/>
          <w:highlight w:val="none"/>
          <w:lang w:eastAsia="zh-CN"/>
        </w:rPr>
        <w:t>吉林省联宇项目管理有限公司</w:t>
      </w:r>
    </w:p>
    <w:p>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p>
    <w:p>
      <w:pPr>
        <w:autoSpaceDE w:val="0"/>
        <w:autoSpaceDN w:val="0"/>
        <w:adjustRightInd w:val="0"/>
        <w:snapToGrid w:val="0"/>
        <w:spacing w:line="520" w:lineRule="exact"/>
        <w:jc w:val="center"/>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二〇二</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lang w:val="zh-CN"/>
        </w:rPr>
        <w:t>年</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lang w:val="zh-CN"/>
        </w:rPr>
        <w:t>月</w:t>
      </w:r>
    </w:p>
    <w:p>
      <w:pPr>
        <w:autoSpaceDE w:val="0"/>
        <w:autoSpaceDN w:val="0"/>
        <w:adjustRightInd w:val="0"/>
        <w:snapToGrid w:val="0"/>
        <w:spacing w:line="520" w:lineRule="exact"/>
        <w:jc w:val="center"/>
        <w:rPr>
          <w:rFonts w:hint="eastAsia" w:ascii="宋体" w:hAnsi="宋体"/>
          <w:b/>
          <w:color w:val="auto"/>
          <w:sz w:val="44"/>
          <w:lang w:val="zh-CN"/>
        </w:rPr>
        <w:sectPr>
          <w:headerReference r:id="rId3" w:type="default"/>
          <w:pgSz w:w="11906" w:h="16838"/>
          <w:pgMar w:top="1417" w:right="964" w:bottom="1417" w:left="1361" w:header="851" w:footer="737" w:gutter="0"/>
          <w:pgNumType w:start="0"/>
          <w:cols w:space="720" w:num="1"/>
          <w:docGrid w:type="lines" w:linePitch="490" w:charSpace="0"/>
        </w:sectPr>
      </w:pPr>
    </w:p>
    <w:p>
      <w:pPr>
        <w:autoSpaceDE w:val="0"/>
        <w:autoSpaceDN w:val="0"/>
        <w:adjustRightInd w:val="0"/>
        <w:snapToGrid w:val="0"/>
        <w:spacing w:line="520" w:lineRule="exact"/>
        <w:jc w:val="center"/>
        <w:rPr>
          <w:rFonts w:hint="eastAsia" w:ascii="宋体" w:hAnsi="宋体"/>
          <w:b/>
          <w:color w:val="auto"/>
          <w:sz w:val="44"/>
          <w:lang w:val="zh-CN"/>
        </w:rPr>
      </w:pPr>
      <w:r>
        <w:rPr>
          <w:rFonts w:hint="eastAsia" w:ascii="宋体" w:hAnsi="宋体"/>
          <w:b/>
          <w:color w:val="auto"/>
          <w:sz w:val="44"/>
          <w:lang w:val="zh-CN"/>
        </w:rPr>
        <w:t>目  录</w:t>
      </w:r>
    </w:p>
    <w:p>
      <w:pPr>
        <w:pStyle w:val="40"/>
        <w:rPr>
          <w:color w:val="auto"/>
          <w:lang w:val="zh-CN"/>
        </w:rPr>
      </w:pPr>
    </w:p>
    <w:p>
      <w:pPr>
        <w:pStyle w:val="18"/>
        <w:tabs>
          <w:tab w:val="right" w:leader="dot" w:pos="9581"/>
        </w:tabs>
        <w:rPr>
          <w:rFonts w:hint="eastAsia" w:ascii="宋体" w:hAnsi="宋体" w:eastAsia="宋体" w:cs="宋体"/>
          <w:color w:val="auto"/>
          <w:sz w:val="28"/>
          <w:szCs w:val="28"/>
        </w:rPr>
      </w:pPr>
      <w:r>
        <w:rPr>
          <w:rFonts w:hint="eastAsia" w:ascii="宋体" w:hAnsi="宋体" w:eastAsia="宋体" w:cs="宋体"/>
          <w:b/>
          <w:color w:val="auto"/>
          <w:sz w:val="28"/>
          <w:szCs w:val="28"/>
          <w:lang w:val="zh-CN"/>
        </w:rPr>
        <w:fldChar w:fldCharType="begin"/>
      </w:r>
      <w:r>
        <w:rPr>
          <w:rFonts w:hint="eastAsia" w:ascii="宋体" w:hAnsi="宋体" w:eastAsia="宋体" w:cs="宋体"/>
          <w:b/>
          <w:color w:val="auto"/>
          <w:sz w:val="28"/>
          <w:szCs w:val="28"/>
          <w:lang w:val="zh-CN"/>
        </w:rPr>
        <w:instrText xml:space="preserve">TOC \o "1-1" \h \u </w:instrText>
      </w:r>
      <w:r>
        <w:rPr>
          <w:rFonts w:hint="eastAsia" w:ascii="宋体" w:hAnsi="宋体" w:eastAsia="宋体" w:cs="宋体"/>
          <w:b/>
          <w:color w:val="auto"/>
          <w:sz w:val="28"/>
          <w:szCs w:val="28"/>
          <w:lang w:val="zh-CN"/>
        </w:rPr>
        <w:fldChar w:fldCharType="separate"/>
      </w: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_Toc1521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eastAsia="zh-CN"/>
        </w:rPr>
        <w:t>第一章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_Toc1521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18"/>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_Toc31743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第二章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18"/>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_Toc9393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 xml:space="preserve">第三章 </w:t>
      </w:r>
      <w:r>
        <w:rPr>
          <w:rFonts w:hint="eastAsia" w:ascii="宋体" w:hAnsi="宋体" w:eastAsia="宋体" w:cs="宋体"/>
          <w:color w:val="auto"/>
          <w:sz w:val="28"/>
          <w:szCs w:val="28"/>
        </w:rPr>
        <w:t>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_Toc9393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18"/>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_Toc26551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第四章 合同条款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参考格式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_Toc26551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18"/>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_Toc5903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_Toc5903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pStyle w:val="18"/>
        <w:tabs>
          <w:tab w:val="right" w:leader="dot" w:pos="9581"/>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_Toc26078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章 投标文件构成、要求及格式</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val="zh-CN"/>
        </w:rPr>
        <w:fldChar w:fldCharType="end"/>
      </w:r>
      <w:r>
        <w:rPr>
          <w:rFonts w:hint="eastAsia" w:ascii="宋体" w:hAnsi="宋体" w:eastAsia="宋体" w:cs="宋体"/>
          <w:color w:val="auto"/>
          <w:sz w:val="28"/>
          <w:szCs w:val="28"/>
          <w:lang w:val="en-US" w:eastAsia="zh-CN"/>
        </w:rPr>
        <w:t>8</w:t>
      </w:r>
    </w:p>
    <w:p>
      <w:pPr>
        <w:pStyle w:val="18"/>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_Toc25180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第七章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附</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_Toc25180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pPr>
        <w:autoSpaceDE w:val="0"/>
        <w:autoSpaceDN w:val="0"/>
        <w:adjustRightInd w:val="0"/>
        <w:snapToGrid w:val="0"/>
        <w:spacing w:beforeLines="50" w:afterLines="50" w:line="480" w:lineRule="auto"/>
        <w:ind w:firstLine="560" w:firstLineChars="200"/>
        <w:jc w:val="center"/>
        <w:rPr>
          <w:rFonts w:ascii="宋体" w:hAnsi="宋体"/>
          <w:b/>
          <w:color w:val="auto"/>
          <w:lang w:val="zh-CN"/>
        </w:rPr>
      </w:pPr>
      <w:r>
        <w:rPr>
          <w:rFonts w:hint="eastAsia" w:ascii="宋体" w:hAnsi="宋体" w:eastAsia="宋体" w:cs="宋体"/>
          <w:color w:val="auto"/>
          <w:sz w:val="28"/>
          <w:szCs w:val="28"/>
          <w:lang w:val="zh-CN"/>
        </w:rPr>
        <w:fldChar w:fldCharType="end"/>
      </w: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bookmarkStart w:id="207" w:name="_GoBack"/>
      <w:bookmarkEnd w:id="207"/>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autoSpaceDE w:val="0"/>
        <w:autoSpaceDN w:val="0"/>
        <w:adjustRightInd w:val="0"/>
        <w:snapToGrid w:val="0"/>
        <w:spacing w:line="520" w:lineRule="exact"/>
        <w:jc w:val="center"/>
        <w:rPr>
          <w:rFonts w:ascii="宋体" w:hAnsi="宋体"/>
          <w:b/>
          <w:color w:val="auto"/>
          <w:lang w:val="zh-CN"/>
        </w:rPr>
      </w:pPr>
    </w:p>
    <w:p>
      <w:pPr>
        <w:pStyle w:val="2"/>
        <w:keepNext w:val="0"/>
        <w:keepLines w:val="0"/>
        <w:snapToGrid w:val="0"/>
        <w:spacing w:before="0" w:after="0" w:line="240" w:lineRule="auto"/>
        <w:jc w:val="center"/>
        <w:rPr>
          <w:color w:val="auto"/>
        </w:rPr>
        <w:sectPr>
          <w:pgSz w:w="11906" w:h="16838"/>
          <w:pgMar w:top="624" w:right="964" w:bottom="210" w:left="1361" w:header="851" w:footer="737" w:gutter="0"/>
          <w:pgNumType w:start="0"/>
          <w:cols w:space="720" w:num="1"/>
          <w:docGrid w:type="lines" w:linePitch="490" w:charSpace="0"/>
        </w:sectPr>
      </w:pPr>
    </w:p>
    <w:bookmarkEnd w:id="0"/>
    <w:bookmarkEnd w:id="1"/>
    <w:p>
      <w:pPr>
        <w:pStyle w:val="2"/>
        <w:bidi w:val="0"/>
        <w:spacing w:line="240" w:lineRule="auto"/>
        <w:jc w:val="center"/>
        <w:rPr>
          <w:rFonts w:hint="eastAsia" w:ascii="宋体" w:hAnsi="宋体" w:eastAsia="宋体" w:cs="宋体"/>
          <w:color w:val="auto"/>
          <w:sz w:val="40"/>
          <w:szCs w:val="40"/>
        </w:rPr>
      </w:pPr>
      <w:bookmarkStart w:id="9" w:name="_Toc30283"/>
      <w:bookmarkStart w:id="10" w:name="_Toc1521"/>
      <w:bookmarkStart w:id="11" w:name="_Toc30082"/>
      <w:bookmarkStart w:id="12" w:name="_Toc17815"/>
      <w:bookmarkStart w:id="13" w:name="_Toc5268"/>
      <w:r>
        <w:rPr>
          <w:rFonts w:hint="eastAsia"/>
          <w:color w:val="auto"/>
          <w:sz w:val="40"/>
          <w:szCs w:val="40"/>
          <w:lang w:eastAsia="zh-CN"/>
        </w:rPr>
        <w:t>第一章</w:t>
      </w:r>
      <w:r>
        <w:rPr>
          <w:rFonts w:hint="eastAsia"/>
          <w:color w:val="auto"/>
          <w:sz w:val="40"/>
          <w:szCs w:val="40"/>
          <w:lang w:val="en-US" w:eastAsia="zh-CN"/>
        </w:rPr>
        <w:t xml:space="preserve"> </w:t>
      </w:r>
      <w:r>
        <w:rPr>
          <w:rFonts w:hint="eastAsia"/>
          <w:color w:val="auto"/>
          <w:sz w:val="40"/>
          <w:szCs w:val="40"/>
        </w:rPr>
        <w:t>招标公告</w:t>
      </w:r>
      <w:bookmarkEnd w:id="9"/>
      <w:bookmarkEnd w:id="10"/>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u w:val="single"/>
          <w:lang w:eastAsia="zh-CN"/>
        </w:rPr>
        <w:t>吉林省老年大学教学设备更新项目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2025年07月28日13点00分</w:t>
      </w:r>
      <w:r>
        <w:rPr>
          <w:rFonts w:hint="eastAsia" w:ascii="宋体" w:hAnsi="宋体" w:eastAsia="宋体" w:cs="宋体"/>
          <w:color w:val="auto"/>
          <w:sz w:val="24"/>
          <w:szCs w:val="24"/>
          <w:highlight w:val="none"/>
        </w:rPr>
        <w:t>（北京时间）前递交投标文件</w:t>
      </w:r>
      <w:r>
        <w:rPr>
          <w:rFonts w:hint="eastAsia" w:ascii="宋体" w:hAnsi="宋体" w:eastAsia="宋体" w:cs="宋体"/>
          <w:bCs/>
          <w:color w:val="auto"/>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4" w:name="_Toc28359079"/>
      <w:bookmarkStart w:id="15" w:name="_Toc35393621"/>
      <w:bookmarkStart w:id="16" w:name="_Toc35393790"/>
      <w:bookmarkStart w:id="17" w:name="_Toc28359002"/>
      <w:bookmarkStart w:id="18" w:name="_Hlk24379207"/>
      <w:r>
        <w:rPr>
          <w:rFonts w:hint="eastAsia" w:ascii="宋体" w:hAnsi="宋体" w:eastAsia="宋体" w:cs="宋体"/>
          <w:b/>
          <w:bCs/>
          <w:i w:val="0"/>
          <w:caps w:val="0"/>
          <w:color w:val="auto"/>
          <w:spacing w:val="0"/>
          <w:kern w:val="0"/>
          <w:sz w:val="24"/>
          <w:szCs w:val="24"/>
          <w:lang w:val="en-US" w:eastAsia="zh-CN" w:bidi="ar"/>
        </w:rPr>
        <w:t>一、项目基本情况</w:t>
      </w:r>
      <w:bookmarkEnd w:id="14"/>
      <w:bookmarkEnd w:id="15"/>
      <w:bookmarkEnd w:id="16"/>
      <w:bookmarkEnd w:id="1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项目编号：</w:t>
      </w:r>
      <w:r>
        <w:rPr>
          <w:rFonts w:hint="eastAsia" w:ascii="宋体" w:hAnsi="宋体" w:eastAsia="宋体" w:cs="宋体"/>
          <w:b w:val="0"/>
          <w:i w:val="0"/>
          <w:caps w:val="0"/>
          <w:color w:val="auto"/>
          <w:spacing w:val="0"/>
          <w:kern w:val="0"/>
          <w:sz w:val="24"/>
          <w:szCs w:val="24"/>
          <w:highlight w:val="none"/>
          <w:lang w:val="en-US" w:eastAsia="zh-CN" w:bidi="ar"/>
        </w:rPr>
        <w:t>采购计划-[2025]-09342号-1-JLLYZB-2025-138</w:t>
      </w:r>
      <w:r>
        <w:rPr>
          <w:rFonts w:hint="eastAsia" w:ascii="宋体" w:hAnsi="宋体" w:eastAsia="宋体" w:cs="宋体"/>
          <w:b w:val="0"/>
          <w:i w:val="0"/>
          <w:caps w:val="0"/>
          <w:color w:val="auto"/>
          <w:spacing w:val="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项目名称：</w:t>
      </w:r>
      <w:bookmarkEnd w:id="18"/>
      <w:r>
        <w:rPr>
          <w:rFonts w:hint="eastAsia" w:ascii="宋体" w:hAnsi="宋体" w:eastAsia="宋体" w:cs="宋体"/>
          <w:b w:val="0"/>
          <w:i w:val="0"/>
          <w:caps w:val="0"/>
          <w:color w:val="auto"/>
          <w:spacing w:val="0"/>
          <w:kern w:val="0"/>
          <w:sz w:val="24"/>
          <w:szCs w:val="24"/>
          <w:lang w:val="en-US" w:eastAsia="zh-CN" w:bidi="ar"/>
        </w:rPr>
        <w:t>吉林省老年大学教学设备更新项目；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b w:val="0"/>
          <w:i w:val="0"/>
          <w:caps w:val="0"/>
          <w:color w:val="auto"/>
          <w:spacing w:val="0"/>
          <w:kern w:val="0"/>
          <w:sz w:val="24"/>
          <w:szCs w:val="24"/>
          <w:lang w:val="en-US" w:eastAsia="zh-CN" w:bidi="ar"/>
        </w:rPr>
        <w:t>采购方式：</w:t>
      </w:r>
      <w:r>
        <w:rPr>
          <w:rFonts w:hint="eastAsia" w:ascii="宋体" w:hAnsi="宋体" w:eastAsia="宋体" w:cs="宋体"/>
          <w:b w:val="0"/>
          <w:i w:val="0"/>
          <w:caps w:val="0"/>
          <w:color w:val="auto"/>
          <w:spacing w:val="0"/>
          <w:kern w:val="0"/>
          <w:sz w:val="24"/>
          <w:szCs w:val="24"/>
          <w:highlight w:val="none"/>
          <w:lang w:val="en-US" w:eastAsia="zh-CN" w:bidi="ar"/>
        </w:rPr>
        <w:t>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采购任务书</w:t>
      </w:r>
      <w:r>
        <w:rPr>
          <w:rFonts w:hint="eastAsia" w:ascii="宋体" w:hAnsi="宋体" w:eastAsia="宋体" w:cs="宋体"/>
          <w:b w:val="0"/>
          <w:i w:val="0"/>
          <w:caps w:val="0"/>
          <w:color w:val="auto"/>
          <w:spacing w:val="0"/>
          <w:kern w:val="0"/>
          <w:sz w:val="24"/>
          <w:szCs w:val="24"/>
          <w:highlight w:val="none"/>
          <w:lang w:val="en-US" w:eastAsia="zh-CN" w:bidi="ar"/>
        </w:rPr>
        <w:t>编号：采购计划-[2025]-09342号；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预算金额(最高限价)：572,920.00元（1包：472,920.00元，2包：100,000.00元）；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采购需求：为进一步提升吉林省老年大学日常教学活动的质量，拟对校内的多功能厅、电教室、监控中心等进行改造更新并采购相关设备；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标包划分：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1包：高清控制器等（具体采购内容及要求详见招标文件第五章技术标准和要求）；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color w:val="auto"/>
        </w:rPr>
      </w:pPr>
      <w:r>
        <w:rPr>
          <w:rFonts w:hint="eastAsia" w:ascii="宋体" w:hAnsi="宋体" w:eastAsia="宋体" w:cs="宋体"/>
          <w:b w:val="0"/>
          <w:i w:val="0"/>
          <w:caps w:val="0"/>
          <w:color w:val="auto"/>
          <w:spacing w:val="0"/>
          <w:kern w:val="0"/>
          <w:sz w:val="24"/>
          <w:szCs w:val="24"/>
          <w:lang w:val="en-US" w:eastAsia="zh-CN" w:bidi="ar"/>
        </w:rPr>
        <w:t>2包：</w:t>
      </w:r>
      <w:r>
        <w:rPr>
          <w:rFonts w:hint="eastAsia" w:ascii="宋体" w:hAnsi="宋体" w:eastAsia="宋体" w:cs="宋体"/>
          <w:color w:val="auto"/>
          <w:kern w:val="0"/>
          <w:sz w:val="24"/>
          <w:szCs w:val="24"/>
          <w:lang w:val="en-US" w:eastAsia="zh-CN" w:bidi="ar"/>
        </w:rPr>
        <w:t>二次供水水箱</w:t>
      </w:r>
      <w:r>
        <w:rPr>
          <w:rFonts w:hint="eastAsia" w:ascii="宋体" w:hAnsi="宋体" w:eastAsia="宋体" w:cs="宋体"/>
          <w:b w:val="0"/>
          <w:i w:val="0"/>
          <w:caps w:val="0"/>
          <w:color w:val="auto"/>
          <w:spacing w:val="0"/>
          <w:kern w:val="0"/>
          <w:sz w:val="24"/>
          <w:szCs w:val="24"/>
          <w:lang w:val="en-US" w:eastAsia="zh-CN" w:bidi="ar"/>
        </w:rPr>
        <w:t>（具体采购内容及要求详见招标文件第五章技术标准和要求）；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合同履行期限</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供货期</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合同签订后30个工作日内供货、安装及调试并保证验收合格；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b w:val="0"/>
          <w:i w:val="0"/>
          <w:caps w:val="0"/>
          <w:color w:val="auto"/>
          <w:spacing w:val="0"/>
          <w:kern w:val="0"/>
          <w:sz w:val="24"/>
          <w:szCs w:val="24"/>
          <w:lang w:val="en-US" w:eastAsia="zh-CN" w:bidi="ar"/>
        </w:rPr>
        <w:t>质量要求：符合国家及相关行业要求的合格标准，并达到采购人的验收标准；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本项目不接受联合体。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9" w:name="_Toc35393622"/>
      <w:bookmarkStart w:id="20" w:name="_Toc28359080"/>
      <w:bookmarkStart w:id="21" w:name="_Toc35393791"/>
      <w:bookmarkStart w:id="22" w:name="_Toc28359003"/>
      <w:r>
        <w:rPr>
          <w:rFonts w:hint="eastAsia" w:ascii="宋体" w:hAnsi="宋体" w:eastAsia="宋体" w:cs="宋体"/>
          <w:b/>
          <w:bCs/>
          <w:i w:val="0"/>
          <w:caps w:val="0"/>
          <w:color w:val="auto"/>
          <w:spacing w:val="0"/>
          <w:kern w:val="0"/>
          <w:sz w:val="24"/>
          <w:szCs w:val="24"/>
          <w:lang w:val="en-US" w:eastAsia="zh-CN" w:bidi="ar"/>
        </w:rPr>
        <w:t>二、申请人的资格要求：</w:t>
      </w:r>
      <w:bookmarkEnd w:id="19"/>
      <w:bookmarkEnd w:id="20"/>
      <w:bookmarkEnd w:id="21"/>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bookmarkStart w:id="23" w:name="_Toc28359004"/>
      <w:bookmarkStart w:id="24" w:name="_Toc28359081"/>
      <w:bookmarkStart w:id="25" w:name="_Toc35393792"/>
      <w:bookmarkStart w:id="26" w:name="_Toc35393623"/>
      <w:r>
        <w:rPr>
          <w:rFonts w:hint="eastAsia" w:ascii="宋体" w:hAnsi="宋体" w:eastAsia="宋体" w:cs="宋体"/>
          <w:b w:val="0"/>
          <w:i w:val="0"/>
          <w:caps w:val="0"/>
          <w:color w:val="auto"/>
          <w:spacing w:val="0"/>
          <w:kern w:val="0"/>
          <w:sz w:val="24"/>
          <w:szCs w:val="24"/>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2.落实政府采购政策需满足的资格要求：本项目专门面向中小企业采购。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（1）投标人须是具备有效营业执照的独立法人或其他组织；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（2）投标人提供2024年经会计师事务所或审计机构出具的财务审计报告或提供其基本开户银行在投标截止日前六个月内出具的资信证明（银行出具的存款证明不能替代银行资信证明）；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（3）投标人提供近一年（2024年07月至今）任意一个月的依法纳税证明(依法免税的投标人可提供相应文件证明其依法免税)；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（4）投标人提供近一年（2024年07月至今）任意一个月的依法缴纳社会保障资金的证明(依法不需要缴纳社会保障资金的投标人可提供相应文件证明其依法不需要缴纳社会保障资金)；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（6）本项目不接受联合体投标；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bookmarkEnd w:id="23"/>
    <w:bookmarkEnd w:id="24"/>
    <w:bookmarkEnd w:id="25"/>
    <w:bookmarkEnd w:id="26"/>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27" w:name="_Toc28359005"/>
      <w:bookmarkStart w:id="28" w:name="_Toc28359082"/>
      <w:bookmarkStart w:id="29" w:name="_Toc35393624"/>
      <w:bookmarkStart w:id="30" w:name="_Toc35393793"/>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，每天上午00时00分至23时59分（北京时间，法定节假日</w:t>
      </w:r>
      <w:r>
        <w:rPr>
          <w:rFonts w:hint="eastAsia" w:ascii="宋体" w:hAnsi="宋体" w:eastAsia="宋体" w:cs="宋体"/>
          <w:color w:val="auto"/>
          <w:sz w:val="24"/>
          <w:szCs w:val="24"/>
          <w:highlight w:val="none"/>
          <w:lang w:eastAsia="zh-CN"/>
        </w:rPr>
        <w:t>、休息日</w:t>
      </w:r>
      <w:r>
        <w:rPr>
          <w:rFonts w:hint="eastAsia" w:ascii="宋体" w:hAnsi="宋体" w:eastAsia="宋体" w:cs="宋体"/>
          <w:color w:val="auto"/>
          <w:sz w:val="24"/>
          <w:szCs w:val="24"/>
          <w:highlight w:val="none"/>
        </w:rPr>
        <w:t>除外）</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eastAsia="宋体" w:cs="宋体"/>
          <w:color w:val="auto"/>
          <w:sz w:val="24"/>
          <w:szCs w:val="24"/>
          <w:highlight w:val="none"/>
          <w:lang w:val="en-US" w:eastAsia="zh-CN"/>
        </w:rPr>
        <w:t>“政采云”平台（https://www.zcygov.cn/）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方式：网上下载。潜在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p>
    <w:p>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售价：</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四、提交投标文件</w:t>
      </w:r>
      <w:bookmarkEnd w:id="27"/>
      <w:bookmarkEnd w:id="28"/>
      <w:r>
        <w:rPr>
          <w:rFonts w:hint="eastAsia" w:ascii="宋体" w:hAnsi="宋体" w:eastAsia="宋体" w:cs="宋体"/>
          <w:b/>
          <w:bCs/>
          <w:i w:val="0"/>
          <w:caps w:val="0"/>
          <w:color w:val="auto"/>
          <w:spacing w:val="0"/>
          <w:kern w:val="0"/>
          <w:sz w:val="24"/>
          <w:szCs w:val="24"/>
          <w:highlight w:val="none"/>
          <w:lang w:val="en-US" w:eastAsia="zh-CN" w:bidi="ar"/>
        </w:rPr>
        <w:t>截止时间、开标时间和地点</w:t>
      </w:r>
      <w:bookmarkEnd w:id="29"/>
      <w:bookmarkEnd w:id="30"/>
      <w:bookmarkStart w:id="31" w:name="_Toc28359007"/>
      <w:bookmarkStart w:id="32" w:name="_Toc35393625"/>
      <w:bookmarkStart w:id="33" w:name="_Toc35393794"/>
      <w:bookmarkStart w:id="34" w:name="_Toc28359084"/>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2025年07月28日13点00分</w:t>
      </w:r>
      <w:r>
        <w:rPr>
          <w:rFonts w:hint="eastAsia" w:ascii="宋体" w:hAnsi="宋体" w:eastAsia="宋体" w:cs="宋体"/>
          <w:color w:val="auto"/>
          <w:sz w:val="24"/>
          <w:szCs w:val="24"/>
          <w:highlight w:val="none"/>
        </w:rPr>
        <w:t>（北京时间）。</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2.地点：长春市二道区洋浦大街6999号凯利中心AB栋101开标4室</w:t>
      </w:r>
      <w:r>
        <w:rPr>
          <w:rFonts w:hint="eastAsia" w:ascii="宋体" w:hAnsi="宋体" w:cs="宋体"/>
          <w:color w:val="auto"/>
          <w:sz w:val="24"/>
          <w:szCs w:val="24"/>
          <w:highlight w:val="none"/>
          <w:lang w:val="en-US" w:eastAsia="zh-CN"/>
        </w:rPr>
        <w:t>。</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交方式：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若对“政采云”电子交易系统操作有疑问，可登录“政采云”（https://www.zcygov.cn/），点击右侧咨询小采或拨打政采云服务热线95763获取服务帮助</w:t>
      </w:r>
      <w:r>
        <w:rPr>
          <w:rFonts w:hint="eastAsia" w:ascii="宋体" w:hAnsi="宋体" w:eastAsia="宋体" w:cs="宋体"/>
          <w:color w:val="auto"/>
          <w:sz w:val="24"/>
          <w:szCs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五、公告期限</w:t>
      </w:r>
      <w:bookmarkEnd w:id="31"/>
      <w:bookmarkEnd w:id="32"/>
      <w:bookmarkEnd w:id="33"/>
      <w:bookmarkEnd w:id="34"/>
      <w:bookmarkStart w:id="35" w:name="_Toc35393626"/>
      <w:bookmarkStart w:id="36" w:name="_Toc35393795"/>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六、其他补充事宜</w:t>
      </w:r>
      <w:bookmarkEnd w:id="35"/>
      <w:bookmarkEnd w:id="36"/>
    </w:p>
    <w:p>
      <w:pPr>
        <w:spacing w:line="360" w:lineRule="auto"/>
        <w:ind w:firstLine="480" w:firstLineChars="200"/>
        <w:outlineLvl w:val="9"/>
        <w:rPr>
          <w:rFonts w:hint="eastAsia" w:ascii="宋体" w:hAnsi="宋体" w:eastAsia="宋体" w:cs="宋体"/>
          <w:color w:val="auto"/>
          <w:sz w:val="24"/>
          <w:szCs w:val="24"/>
          <w:highlight w:val="none"/>
        </w:rPr>
      </w:pPr>
      <w:bookmarkStart w:id="37" w:name="_Toc35393796"/>
      <w:bookmarkStart w:id="38" w:name="_Toc28359085"/>
      <w:bookmarkStart w:id="39" w:name="_Toc28359008"/>
      <w:bookmarkStart w:id="40" w:name="_Toc35393627"/>
      <w:r>
        <w:rPr>
          <w:rFonts w:hint="eastAsia" w:ascii="宋体" w:hAnsi="宋体" w:eastAsia="宋体" w:cs="宋体"/>
          <w:color w:val="auto"/>
          <w:sz w:val="24"/>
          <w:szCs w:val="24"/>
          <w:highlight w:val="none"/>
        </w:rPr>
        <w:t>1.本次招标公告在政采云平台（https://www.zcygov.cn/）（同步推送至吉林省政府采购网、中国政府采购网）上发布；</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2.有效投标人不足三家时，采购人另行组织招标；</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3.当投标人的有效投标报价超出采购预算时，该投标报价视为无效报价。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七、对本次招标提出询问，请按以下方式联系。</w:t>
      </w:r>
      <w:bookmarkEnd w:id="37"/>
      <w:bookmarkEnd w:id="38"/>
      <w:bookmarkEnd w:id="39"/>
      <w:bookmarkEnd w:id="40"/>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lang w:val="en-US" w:eastAsia="zh-CN"/>
        </w:rPr>
        <w:t>吉林省老年大学</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地址：吉林省长春市绿园区普阳街2480号</w:t>
      </w:r>
    </w:p>
    <w:p>
      <w:pPr>
        <w:spacing w:line="360" w:lineRule="auto"/>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联系人：张宏亮</w:t>
      </w:r>
    </w:p>
    <w:p>
      <w:pPr>
        <w:spacing w:line="360" w:lineRule="auto"/>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联系方式：15943066695</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名称：吉林省联宇项目管理有限公司</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地址：吉林省长春市生态大街和美路交汇华荣泰商务综合体</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lang w:val="en-US" w:eastAsia="zh-CN"/>
        </w:rPr>
        <w:t>15764342377</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联系人：丁玉清</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电话：15764342377</w:t>
      </w:r>
    </w:p>
    <w:p>
      <w:pPr>
        <w:spacing w:line="360" w:lineRule="auto"/>
        <w:ind w:firstLine="480" w:firstLineChars="200"/>
        <w:outlineLvl w:val="9"/>
        <w:rPr>
          <w:rFonts w:hint="eastAsia" w:ascii="宋体" w:hAnsi="宋体" w:eastAsia="宋体" w:cs="宋体"/>
          <w:color w:val="auto"/>
          <w:sz w:val="24"/>
          <w:szCs w:val="24"/>
          <w:highlight w:val="none"/>
          <w:lang w:val="en-US" w:eastAsia="zh-CN"/>
        </w:rPr>
        <w:sectPr>
          <w:headerReference r:id="rId4" w:type="default"/>
          <w:footerReference r:id="rId5" w:type="default"/>
          <w:pgSz w:w="11920" w:h="16840"/>
          <w:pgMar w:top="1200" w:right="1319" w:bottom="940" w:left="1361" w:header="677" w:footer="975"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 w:val="24"/>
          <w:szCs w:val="24"/>
          <w:highlight w:val="none"/>
          <w:lang w:val="en-US" w:eastAsia="zh-CN"/>
        </w:rPr>
        <w:t xml:space="preserve">4.监督管理部门：吉林省财政厅政府采购管理处          </w:t>
      </w:r>
    </w:p>
    <w:p>
      <w:pPr>
        <w:pStyle w:val="2"/>
        <w:bidi w:val="0"/>
        <w:spacing w:line="240" w:lineRule="auto"/>
        <w:jc w:val="center"/>
        <w:rPr>
          <w:color w:val="auto"/>
        </w:rPr>
      </w:pPr>
      <w:bookmarkStart w:id="41" w:name="_Toc17878"/>
      <w:bookmarkStart w:id="42" w:name="_Toc31743"/>
      <w:r>
        <w:rPr>
          <w:rFonts w:hint="eastAsia"/>
          <w:color w:val="auto"/>
        </w:rPr>
        <w:t>第二章 投标人须知</w:t>
      </w:r>
      <w:bookmarkEnd w:id="2"/>
      <w:bookmarkEnd w:id="3"/>
      <w:bookmarkEnd w:id="4"/>
      <w:bookmarkEnd w:id="5"/>
      <w:bookmarkEnd w:id="6"/>
      <w:bookmarkEnd w:id="7"/>
      <w:bookmarkEnd w:id="8"/>
      <w:bookmarkEnd w:id="11"/>
      <w:bookmarkEnd w:id="12"/>
      <w:bookmarkEnd w:id="13"/>
      <w:bookmarkEnd w:id="41"/>
      <w:bookmarkEnd w:id="42"/>
    </w:p>
    <w:p>
      <w:pPr>
        <w:autoSpaceDE w:val="0"/>
        <w:autoSpaceDN w:val="0"/>
        <w:adjustRightInd w:val="0"/>
        <w:snapToGrid w:val="0"/>
        <w:jc w:val="center"/>
        <w:outlineLvl w:val="1"/>
        <w:rPr>
          <w:rFonts w:hint="eastAsia" w:ascii="宋体" w:hAnsi="宋体" w:cs="宋体"/>
          <w:b/>
          <w:color w:val="auto"/>
          <w:sz w:val="30"/>
          <w:lang w:val="zh-CN"/>
        </w:rPr>
      </w:pPr>
      <w:bookmarkStart w:id="43" w:name="_Toc5941"/>
      <w:bookmarkStart w:id="44" w:name="_Toc4273"/>
      <w:bookmarkStart w:id="45" w:name="_Toc144974496"/>
      <w:bookmarkStart w:id="46" w:name="_Toc31146"/>
      <w:bookmarkStart w:id="47" w:name="_Toc453756894"/>
      <w:bookmarkStart w:id="48" w:name="_Toc152045528"/>
      <w:bookmarkStart w:id="49" w:name="_Toc247085688"/>
      <w:bookmarkStart w:id="50" w:name="_Toc246996174"/>
      <w:bookmarkStart w:id="51" w:name="_Toc152042304"/>
      <w:bookmarkStart w:id="52" w:name="_Toc179632545"/>
      <w:bookmarkStart w:id="53" w:name="_Toc246996917"/>
      <w:r>
        <w:rPr>
          <w:rFonts w:hint="eastAsia" w:ascii="宋体" w:hAnsi="宋体" w:cs="宋体"/>
          <w:b/>
          <w:color w:val="auto"/>
          <w:sz w:val="30"/>
          <w:lang w:val="zh-CN"/>
        </w:rPr>
        <w:t>投标须知前附表</w:t>
      </w:r>
      <w:bookmarkEnd w:id="43"/>
      <w:bookmarkEnd w:id="44"/>
    </w:p>
    <w:p>
      <w:pPr>
        <w:autoSpaceDE w:val="0"/>
        <w:autoSpaceDN w:val="0"/>
        <w:adjustRightInd w:val="0"/>
        <w:snapToGrid w:val="0"/>
        <w:ind w:firstLine="482"/>
        <w:jc w:val="center"/>
        <w:outlineLvl w:val="9"/>
        <w:rPr>
          <w:color w:val="auto"/>
          <w:sz w:val="24"/>
        </w:rPr>
      </w:pPr>
      <w:r>
        <w:rPr>
          <w:rFonts w:hint="eastAsia" w:hAnsi="宋体" w:cs="宋体"/>
          <w:color w:val="auto"/>
          <w:sz w:val="24"/>
        </w:rPr>
        <w:t>本表的内容是对投标人须知的具体补充，如有矛盾，以本表为准。</w:t>
      </w:r>
    </w:p>
    <w:bookmarkEnd w:id="45"/>
    <w:bookmarkEnd w:id="46"/>
    <w:bookmarkEnd w:id="47"/>
    <w:bookmarkEnd w:id="48"/>
    <w:bookmarkEnd w:id="49"/>
    <w:bookmarkEnd w:id="50"/>
    <w:bookmarkEnd w:id="51"/>
    <w:bookmarkEnd w:id="52"/>
    <w:bookmarkEnd w:id="53"/>
    <w:tbl>
      <w:tblPr>
        <w:tblStyle w:val="23"/>
        <w:tblW w:w="927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82"/>
        <w:gridCol w:w="1798"/>
        <w:gridCol w:w="6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2480" w:type="dxa"/>
            <w:gridSpan w:val="2"/>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条款号</w:t>
            </w:r>
          </w:p>
        </w:tc>
        <w:tc>
          <w:tcPr>
            <w:tcW w:w="6794"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采购人</w:t>
            </w:r>
          </w:p>
        </w:tc>
        <w:tc>
          <w:tcPr>
            <w:tcW w:w="6794"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val="en-US" w:eastAsia="zh-CN"/>
              </w:rPr>
              <w:t>吉林省老年大学</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地址：</w:t>
            </w:r>
            <w:r>
              <w:rPr>
                <w:rFonts w:hint="eastAsia" w:ascii="宋体" w:hAnsi="宋体" w:eastAsia="宋体" w:cs="宋体"/>
                <w:color w:val="auto"/>
                <w:sz w:val="21"/>
                <w:szCs w:val="21"/>
                <w:highlight w:val="none"/>
                <w:lang w:val="en-US" w:eastAsia="zh-CN"/>
              </w:rPr>
              <w:t>吉林省长春市绿园区普阳街2480号</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联系人：</w:t>
            </w:r>
            <w:r>
              <w:rPr>
                <w:rFonts w:hint="eastAsia" w:ascii="宋体" w:hAnsi="宋体" w:eastAsia="宋体" w:cs="宋体"/>
                <w:color w:val="auto"/>
                <w:sz w:val="21"/>
                <w:szCs w:val="21"/>
                <w:highlight w:val="none"/>
                <w:lang w:val="en-US" w:eastAsia="zh-CN"/>
              </w:rPr>
              <w:t>张宏亮</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联系方式：15943066695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2.2</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采购代理机构</w:t>
            </w:r>
          </w:p>
        </w:tc>
        <w:tc>
          <w:tcPr>
            <w:tcW w:w="6794"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名称：吉林省联宇项目管理有限公司</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地址：吉林省长春市生态大街和美路交汇华荣泰商务综合体</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联系方式：15764342377</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i/>
                <w:iCs/>
                <w:color w:val="auto"/>
                <w:sz w:val="21"/>
                <w:szCs w:val="21"/>
              </w:rPr>
            </w:pPr>
            <w:r>
              <w:rPr>
                <w:rFonts w:hint="eastAsia" w:ascii="宋体" w:hAnsi="宋体" w:eastAsia="宋体" w:cs="宋体"/>
                <w:color w:val="auto"/>
                <w:sz w:val="21"/>
                <w:szCs w:val="21"/>
                <w:lang w:val="en-US" w:eastAsia="zh-CN"/>
              </w:rPr>
              <w:t>联系人：丁玉清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3.1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*投标人资格</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要求</w:t>
            </w:r>
          </w:p>
        </w:tc>
        <w:tc>
          <w:tcPr>
            <w:tcW w:w="679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2.落实政府采购政策需满足的资格要求：本项目专门面向中小企业采购。</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3.本项目的特定资格要求：</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（1）投标人须是具备有效营业执照的独立法人或其他组织；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（2）投标人提供2024年经会计师事务所或审计机构出具的财务审计报告或提供其基本开户银行在投标截止日前六个月内出具的资信证明（银行出具的存款证明不能替代银行资信证明）；</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（3）投标人提供近一年（2024年07月至今）任意一个月的依法纳税证明(依法免税的投标人可提供相应文件证明其依法免税)；</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（4）投标人提供近一年（2024年07月至今）任意一个月的依法缴纳社会保障资金的证明(依法不需要缴纳社会保障资金的投标人可提供相应文件证明其依法不需要缴纳社会保障资金)；</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（6）本项目不接受联合体投标；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2"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3.2</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招标文件的</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获取</w:t>
            </w:r>
          </w:p>
        </w:tc>
        <w:tc>
          <w:tcPr>
            <w:tcW w:w="679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宋体"/>
                <w:color w:val="auto"/>
                <w:spacing w:val="6"/>
                <w:sz w:val="21"/>
                <w:szCs w:val="21"/>
                <w:lang w:eastAsia="zh-CN"/>
              </w:rPr>
            </w:pPr>
            <w:r>
              <w:rPr>
                <w:rFonts w:hint="eastAsia" w:ascii="宋体" w:hAnsi="宋体" w:eastAsia="宋体"/>
                <w:color w:val="auto"/>
                <w:spacing w:val="6"/>
                <w:sz w:val="21"/>
                <w:szCs w:val="21"/>
                <w:lang w:eastAsia="zh-CN"/>
              </w:rPr>
              <w:t>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97" w:hRule="atLeast"/>
          <w:jc w:val="center"/>
        </w:trPr>
        <w:tc>
          <w:tcPr>
            <w:tcW w:w="682"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5</w:t>
            </w:r>
          </w:p>
        </w:tc>
        <w:tc>
          <w:tcPr>
            <w:tcW w:w="179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招标范围</w:t>
            </w:r>
          </w:p>
        </w:tc>
        <w:tc>
          <w:tcPr>
            <w:tcW w:w="6794"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lang w:val="en-US" w:eastAsia="zh-CN"/>
              </w:rPr>
            </w:pPr>
            <w:r>
              <w:rPr>
                <w:rFonts w:hint="eastAsia"/>
                <w:color w:val="auto"/>
                <w:lang w:val="en-US" w:eastAsia="zh-CN"/>
              </w:rPr>
              <w:t>标包名称：吉林省老年大学教学设备更新项目1包（标包编号：采购计划-[2025]-09342号-1-JLLYZB-2025-138-1）（</w:t>
            </w:r>
            <w:r>
              <w:rPr>
                <w:rFonts w:hint="eastAsia"/>
                <w:b/>
                <w:bCs/>
                <w:color w:val="auto"/>
                <w:lang w:val="en-US" w:eastAsia="zh-CN"/>
              </w:rPr>
              <w:t>注：投标人编制文件时应按照标包名称和标包编号每包分别编制文件</w:t>
            </w: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default"/>
                <w:color w:val="auto"/>
                <w:lang w:val="en-US" w:eastAsia="zh-CN"/>
              </w:rPr>
            </w:pPr>
            <w:r>
              <w:rPr>
                <w:rFonts w:hint="eastAsia" w:ascii="宋体" w:hAnsi="宋体" w:eastAsia="宋体"/>
                <w:color w:val="auto"/>
                <w:spacing w:val="6"/>
                <w:sz w:val="21"/>
                <w:szCs w:val="21"/>
                <w:lang w:val="en-US" w:eastAsia="zh-CN"/>
              </w:rPr>
              <w:t>1包采购内容：高清控制器等（具体采购内容及要求详见招标文件第五章技术标准和要求）；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atLeast"/>
          <w:jc w:val="center"/>
        </w:trPr>
        <w:tc>
          <w:tcPr>
            <w:tcW w:w="68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p>
        </w:tc>
        <w:tc>
          <w:tcPr>
            <w:tcW w:w="179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p>
        </w:tc>
        <w:tc>
          <w:tcPr>
            <w:tcW w:w="6794"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lang w:val="en-US" w:eastAsia="zh-CN"/>
              </w:rPr>
            </w:pPr>
            <w:r>
              <w:rPr>
                <w:rFonts w:hint="eastAsia"/>
                <w:color w:val="auto"/>
                <w:lang w:val="en-US" w:eastAsia="zh-CN"/>
              </w:rPr>
              <w:t>标包名称：吉林省老年大学教学设备更新项目2包（标包编号：采购计划-[2025]-09342号-1-JLLYZB-2025-138-2）（</w:t>
            </w:r>
            <w:r>
              <w:rPr>
                <w:rFonts w:hint="eastAsia"/>
                <w:b/>
                <w:bCs/>
                <w:color w:val="auto"/>
                <w:lang w:val="en-US" w:eastAsia="zh-CN"/>
              </w:rPr>
              <w:t>注：投标人编制文件时应按照标包名称和标包编号每包分别编制文件</w:t>
            </w:r>
            <w:r>
              <w:rPr>
                <w:rFonts w:hint="eastAsia"/>
                <w:color w:val="auto"/>
                <w:lang w:val="en-US" w:eastAsia="zh-CN"/>
              </w:rPr>
              <w:t>）</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default"/>
                <w:color w:val="auto"/>
                <w:lang w:val="en-US" w:eastAsia="zh-CN"/>
              </w:rPr>
            </w:pPr>
            <w:r>
              <w:rPr>
                <w:rFonts w:hint="eastAsia" w:ascii="宋体" w:hAnsi="宋体" w:eastAsia="宋体"/>
                <w:color w:val="auto"/>
                <w:spacing w:val="6"/>
                <w:sz w:val="21"/>
                <w:szCs w:val="21"/>
                <w:lang w:val="en-US" w:eastAsia="zh-CN"/>
              </w:rPr>
              <w:t>2包采购内容：二次供水水箱（具体采购内容及要求详见招标文件第五章技术标准和要求）；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8</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*构成投标文件的其他材料</w:t>
            </w:r>
          </w:p>
        </w:tc>
        <w:tc>
          <w:tcPr>
            <w:tcW w:w="67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ascii="宋体" w:hAnsi="宋体" w:cs="宋体"/>
                <w:color w:val="auto"/>
                <w:sz w:val="21"/>
                <w:szCs w:val="21"/>
              </w:rPr>
            </w:pPr>
            <w:r>
              <w:rPr>
                <w:rFonts w:hint="eastAsia" w:ascii="宋体" w:hAnsi="宋体"/>
                <w:color w:val="auto"/>
                <w:sz w:val="21"/>
                <w:szCs w:val="21"/>
                <w:lang w:eastAsia="zh-CN"/>
              </w:rPr>
              <w:t>评标办法中要求的</w:t>
            </w:r>
            <w:r>
              <w:rPr>
                <w:rFonts w:hint="eastAsia" w:ascii="宋体" w:hAnsi="宋体"/>
                <w:color w:val="auto"/>
                <w:sz w:val="21"/>
                <w:szCs w:val="21"/>
                <w:lang w:val="en-US" w:eastAsia="zh-CN"/>
              </w:rPr>
              <w:t>证明文件</w:t>
            </w:r>
            <w:r>
              <w:rPr>
                <w:rFonts w:hint="eastAsia" w:ascii="宋体" w:hAnsi="宋体"/>
                <w:color w:val="auto"/>
                <w:sz w:val="21"/>
                <w:szCs w:val="21"/>
                <w:lang w:eastAsia="zh-CN"/>
              </w:rPr>
              <w:t>及</w:t>
            </w:r>
            <w:r>
              <w:rPr>
                <w:rFonts w:hint="eastAsia" w:ascii="宋体" w:hAnsi="宋体"/>
                <w:color w:val="auto"/>
                <w:sz w:val="21"/>
                <w:szCs w:val="21"/>
              </w:rPr>
              <w:t>投标人认为对本项目有利的其他证明文件。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10</w:t>
            </w: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*投标保证金</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金额</w:t>
            </w:r>
          </w:p>
        </w:tc>
        <w:tc>
          <w:tcPr>
            <w:tcW w:w="67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lang w:val="en-US" w:eastAsia="zh-CN"/>
              </w:rPr>
            </w:pPr>
            <w:r>
              <w:rPr>
                <w:rFonts w:hint="eastAsia"/>
                <w:color w:val="auto"/>
                <w:lang w:val="en-US" w:eastAsia="zh-CN"/>
              </w:rPr>
              <w:t>1包：4700元</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default"/>
                <w:color w:val="auto"/>
                <w:lang w:val="en-US" w:eastAsia="zh-CN"/>
              </w:rPr>
            </w:pPr>
            <w:r>
              <w:rPr>
                <w:rFonts w:hint="eastAsia"/>
                <w:color w:val="auto"/>
                <w:lang w:val="en-US" w:eastAsia="zh-CN"/>
              </w:rPr>
              <w:t>2包：1000元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*投标保证金</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形式</w:t>
            </w:r>
          </w:p>
        </w:tc>
        <w:tc>
          <w:tcPr>
            <w:tcW w:w="67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投标保证金形式：投标人应在投标截止时间前将投标保证金采用电汇、转账、支票、汇票、本票或者金融机构、担保机构出具的保函等形式交纳，投标保证金应当从供应商的基本账户转出。</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投标保证金账户：</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户名：吉林省联宇项目管理有限公司</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账号：431902383310999</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开户银行：招商银行股份有限公司长春建设街支行</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eastAsia="zh-CN"/>
              </w:rPr>
              <w:t>保证金的缴纳以到账时间为准，投标保证金截止时间同投标截止时间（开标时间）。</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要求：（1）投标人提供基本账户开户许可证复印件及投标保证金缴纳凭证复印件装入到投标文件中。</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（2）以保函形式提交投标保证金的，须在开标截止时间前将保函电子版扫描件提交到招标代理机构邮箱（</w:t>
            </w:r>
            <w:r>
              <w:rPr>
                <w:rFonts w:hint="eastAsia" w:ascii="宋体" w:hAnsi="宋体"/>
                <w:color w:val="auto"/>
                <w:sz w:val="21"/>
                <w:szCs w:val="21"/>
                <w:lang w:eastAsia="zh-CN"/>
              </w:rPr>
              <w:t>1766146127@qq.com</w:t>
            </w:r>
            <w:r>
              <w:rPr>
                <w:rFonts w:hint="eastAsia" w:ascii="宋体" w:hAnsi="宋体"/>
                <w:color w:val="auto"/>
                <w:sz w:val="21"/>
                <w:szCs w:val="21"/>
                <w:lang w:val="en-US" w:eastAsia="zh-CN"/>
              </w:rPr>
              <w:t>），原件递交至招标代理机构，复印件装入投标文件中。</w:t>
            </w:r>
          </w:p>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s="宋体"/>
                <w:color w:val="auto"/>
                <w:sz w:val="21"/>
                <w:szCs w:val="21"/>
                <w:highlight w:val="none"/>
              </w:rPr>
            </w:pPr>
            <w:r>
              <w:rPr>
                <w:rFonts w:hint="eastAsia" w:ascii="宋体" w:hAnsi="宋体"/>
                <w:color w:val="auto"/>
                <w:sz w:val="21"/>
                <w:szCs w:val="21"/>
                <w:lang w:val="en-US" w:eastAsia="zh-CN"/>
              </w:rPr>
              <w:t>注：投标保证金是投标文件的组成部分，未按要求提交的，视为放弃投标，采购人将不接受其投标文件。投标人应在银行进账单明确用途、投标项目名称、投标单位、联系人及电话，以便核对查实。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11.1</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投标有效期</w:t>
            </w:r>
          </w:p>
        </w:tc>
        <w:tc>
          <w:tcPr>
            <w:tcW w:w="6794" w:type="dxa"/>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sz w:val="21"/>
                <w:szCs w:val="21"/>
              </w:rPr>
            </w:pPr>
            <w:r>
              <w:rPr>
                <w:rFonts w:hint="eastAsia" w:ascii="宋体" w:hAnsi="宋体" w:cs="宋体"/>
                <w:color w:val="auto"/>
                <w:sz w:val="21"/>
                <w:szCs w:val="21"/>
              </w:rPr>
              <w:t>投标有效期：90天。</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i/>
                <w:iCs/>
                <w:color w:val="auto"/>
                <w:sz w:val="21"/>
                <w:szCs w:val="21"/>
              </w:rPr>
            </w:pPr>
            <w:r>
              <w:rPr>
                <w:rFonts w:hint="eastAsia" w:ascii="宋体" w:hAnsi="宋体" w:cs="宋体"/>
                <w:color w:val="auto"/>
                <w:sz w:val="21"/>
                <w:szCs w:val="21"/>
              </w:rPr>
              <w:t>投标保证金有效期应与投标有效期一致。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94"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14.</w:t>
            </w:r>
            <w:r>
              <w:rPr>
                <w:rFonts w:hint="eastAsia" w:ascii="宋体" w:hAnsi="宋体" w:cs="宋体"/>
                <w:color w:val="auto"/>
                <w:sz w:val="21"/>
                <w:szCs w:val="21"/>
                <w:lang w:val="en-US" w:eastAsia="zh-CN"/>
              </w:rPr>
              <w:t>7</w:t>
            </w:r>
          </w:p>
        </w:tc>
        <w:tc>
          <w:tcPr>
            <w:tcW w:w="179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投标文件份数</w:t>
            </w:r>
          </w:p>
        </w:tc>
        <w:tc>
          <w:tcPr>
            <w:tcW w:w="6794" w:type="dxa"/>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若对“政采云”电子交易系统操作有疑问，可登录“政采云”（https://www.zcygov.cn/），点击右侧咨询小采或拨打政采云服务热线95763获取服务帮助。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w:t>
            </w:r>
          </w:p>
        </w:tc>
        <w:tc>
          <w:tcPr>
            <w:tcW w:w="1798"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color w:val="auto"/>
                <w:highlight w:val="none"/>
              </w:rPr>
            </w:pPr>
            <w:r>
              <w:rPr>
                <w:rFonts w:hint="eastAsia"/>
                <w:color w:val="auto"/>
                <w:highlight w:val="none"/>
              </w:rPr>
              <w:t>投标截止、开标时间</w:t>
            </w:r>
          </w:p>
        </w:tc>
        <w:tc>
          <w:tcPr>
            <w:tcW w:w="679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highlight w:val="none"/>
              </w:rPr>
            </w:pPr>
            <w:r>
              <w:rPr>
                <w:rFonts w:hint="eastAsia"/>
                <w:color w:val="auto"/>
                <w:highlight w:val="none"/>
                <w:lang w:val="zh-CN"/>
              </w:rPr>
              <w:t>2025年07月28日13点00分(北京时间)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投标文件递交、开标地点</w:t>
            </w:r>
          </w:p>
        </w:tc>
        <w:tc>
          <w:tcPr>
            <w:tcW w:w="67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lang w:val="en-US" w:eastAsia="zh-CN"/>
              </w:rPr>
              <w:t>长春市二道区洋浦大街6999号凯利中心AB栋101开标4室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17.3</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评标委员会</w:t>
            </w:r>
          </w:p>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组成</w:t>
            </w:r>
          </w:p>
        </w:tc>
        <w:tc>
          <w:tcPr>
            <w:tcW w:w="67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zh-CN"/>
              </w:rPr>
            </w:pPr>
            <w:r>
              <w:rPr>
                <w:rFonts w:hint="eastAsia" w:ascii="宋体" w:hAnsi="宋体" w:cs="宋体"/>
                <w:color w:val="auto"/>
                <w:sz w:val="21"/>
                <w:szCs w:val="21"/>
                <w:lang w:val="zh-CN"/>
              </w:rPr>
              <w:t>评标委员会的构成：由</w:t>
            </w:r>
            <w:r>
              <w:rPr>
                <w:rFonts w:hint="eastAsia" w:ascii="宋体" w:hAnsi="宋体" w:cs="宋体"/>
                <w:color w:val="auto"/>
                <w:sz w:val="21"/>
                <w:szCs w:val="21"/>
              </w:rPr>
              <w:t>5</w:t>
            </w:r>
            <w:r>
              <w:rPr>
                <w:rFonts w:hint="eastAsia" w:ascii="宋体" w:hAnsi="宋体" w:cs="宋体"/>
                <w:color w:val="auto"/>
                <w:sz w:val="21"/>
                <w:szCs w:val="21"/>
                <w:lang w:val="zh-CN"/>
              </w:rPr>
              <w:t>人组成。采购人代表</w:t>
            </w:r>
            <w:r>
              <w:rPr>
                <w:rFonts w:hint="eastAsia" w:ascii="宋体" w:hAnsi="宋体" w:cs="宋体"/>
                <w:color w:val="auto"/>
                <w:sz w:val="21"/>
                <w:szCs w:val="21"/>
              </w:rPr>
              <w:t>1</w:t>
            </w:r>
            <w:r>
              <w:rPr>
                <w:rFonts w:hint="eastAsia" w:ascii="宋体" w:hAnsi="宋体" w:cs="宋体"/>
                <w:color w:val="auto"/>
                <w:sz w:val="21"/>
                <w:szCs w:val="21"/>
                <w:lang w:val="zh-CN"/>
              </w:rPr>
              <w:t>人，评审专家</w:t>
            </w:r>
            <w:r>
              <w:rPr>
                <w:rFonts w:hint="eastAsia" w:ascii="宋体" w:hAnsi="宋体" w:cs="宋体"/>
                <w:color w:val="auto"/>
                <w:sz w:val="21"/>
                <w:szCs w:val="21"/>
              </w:rPr>
              <w:t>4</w:t>
            </w:r>
            <w:r>
              <w:rPr>
                <w:rFonts w:hint="eastAsia" w:ascii="宋体" w:hAnsi="宋体" w:cs="宋体"/>
                <w:color w:val="auto"/>
                <w:sz w:val="21"/>
                <w:szCs w:val="21"/>
                <w:lang w:val="zh-CN"/>
              </w:rPr>
              <w:t>人。</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lang w:val="zh-CN"/>
              </w:rPr>
              <w:t>评审专家确定方式：在政采云平台（https://www.zcygov.cn/）专家库中随机抽聘。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评标方法</w:t>
            </w:r>
          </w:p>
        </w:tc>
        <w:tc>
          <w:tcPr>
            <w:tcW w:w="67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综合评估法。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9274" w:type="dxa"/>
            <w:gridSpan w:val="3"/>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*交货地点</w:t>
            </w:r>
          </w:p>
        </w:tc>
        <w:tc>
          <w:tcPr>
            <w:tcW w:w="679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吉林省老年大学指定地点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spacing w:line="400" w:lineRule="exact"/>
              <w:ind w:firstLine="0" w:firstLineChars="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color w:val="auto"/>
                <w:szCs w:val="22"/>
                <w:highlight w:val="none"/>
                <w:lang w:val="zh-CN"/>
              </w:rPr>
              <w:t>合同履行期限</w:t>
            </w:r>
          </w:p>
        </w:tc>
        <w:tc>
          <w:tcPr>
            <w:tcW w:w="6794" w:type="dxa"/>
            <w:tcBorders>
              <w:left w:val="single" w:color="auto" w:sz="4" w:space="0"/>
            </w:tcBorders>
            <w:noWrap w:val="0"/>
            <w:vAlign w:val="center"/>
          </w:tcPr>
          <w:p>
            <w:pPr>
              <w:spacing w:line="400" w:lineRule="exact"/>
              <w:ind w:firstLine="0" w:firstLineChars="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合同签订后30个工作日内供货、安装及调试并保证验收合格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rPr>
              <w:t>付款</w:t>
            </w:r>
            <w:r>
              <w:rPr>
                <w:rFonts w:hint="eastAsia" w:ascii="宋体" w:hAnsi="宋体" w:cs="宋体"/>
                <w:color w:val="auto"/>
                <w:sz w:val="21"/>
                <w:szCs w:val="21"/>
                <w:highlight w:val="none"/>
                <w:lang w:val="en-US" w:eastAsia="zh-CN"/>
              </w:rPr>
              <w:t>方式</w:t>
            </w:r>
          </w:p>
        </w:tc>
        <w:tc>
          <w:tcPr>
            <w:tcW w:w="679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宋体" w:cs="宋体"/>
                <w:b w:val="0"/>
                <w:i w:val="0"/>
                <w:caps w:val="0"/>
                <w:color w:val="auto"/>
                <w:spacing w:val="0"/>
                <w:kern w:val="0"/>
                <w:sz w:val="21"/>
                <w:szCs w:val="21"/>
                <w:highlight w:val="none"/>
                <w:lang w:val="en-US" w:eastAsia="zh-CN" w:bidi="ar"/>
              </w:rPr>
            </w:pPr>
            <w:r>
              <w:rPr>
                <w:rFonts w:hint="eastAsia"/>
                <w:color w:val="auto"/>
                <w:highlight w:val="none"/>
              </w:rPr>
              <w:t>以双方签订合同时约定为准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验收</w:t>
            </w:r>
          </w:p>
        </w:tc>
        <w:tc>
          <w:tcPr>
            <w:tcW w:w="679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kern w:val="2"/>
                <w:sz w:val="21"/>
                <w:szCs w:val="21"/>
                <w:lang w:val="en-US" w:eastAsia="zh-CN" w:bidi="ar-SA"/>
              </w:rPr>
            </w:pPr>
            <w:r>
              <w:rPr>
                <w:rFonts w:hint="eastAsia"/>
                <w:color w:val="auto"/>
                <w:szCs w:val="22"/>
                <w:lang w:val="zh-CN"/>
              </w:rPr>
              <w:t>项目内容全部完成，招标人按规定的相关法律法规进行验收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质量</w:t>
            </w:r>
            <w:r>
              <w:rPr>
                <w:rFonts w:hint="eastAsia" w:ascii="宋体" w:hAnsi="宋体" w:cs="宋体"/>
                <w:color w:val="auto"/>
                <w:sz w:val="21"/>
                <w:szCs w:val="21"/>
                <w:lang w:eastAsia="zh-CN"/>
              </w:rPr>
              <w:t>保证</w:t>
            </w:r>
          </w:p>
        </w:tc>
        <w:tc>
          <w:tcPr>
            <w:tcW w:w="679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kern w:val="2"/>
                <w:sz w:val="21"/>
                <w:szCs w:val="21"/>
                <w:lang w:val="en-US" w:eastAsia="zh-CN" w:bidi="ar-SA"/>
              </w:rPr>
            </w:pPr>
            <w:r>
              <w:rPr>
                <w:rFonts w:hint="eastAsia" w:ascii="宋体" w:hAnsi="宋体"/>
                <w:color w:val="auto"/>
                <w:sz w:val="21"/>
                <w:szCs w:val="21"/>
              </w:rPr>
              <w:t>供方应保证所提供的货物是原制造厂商制造的、经过合法销售渠道取得的，满足采购人服务需求的，详见招标文件。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履约保证金</w:t>
            </w:r>
          </w:p>
        </w:tc>
        <w:tc>
          <w:tcPr>
            <w:tcW w:w="67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eastAsia="宋体"/>
                <w:color w:val="auto"/>
                <w:kern w:val="2"/>
                <w:sz w:val="21"/>
                <w:highlight w:val="none"/>
                <w:lang w:val="en-US" w:eastAsia="zh-CN" w:bidi="ar-SA"/>
              </w:rPr>
            </w:pPr>
            <w:r>
              <w:rPr>
                <w:rFonts w:hint="eastAsia" w:eastAsia="宋体"/>
                <w:color w:val="auto"/>
                <w:kern w:val="2"/>
                <w:sz w:val="21"/>
                <w:highlight w:val="none"/>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9274" w:type="dxa"/>
            <w:gridSpan w:val="3"/>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26.1</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“*”条款</w:t>
            </w:r>
          </w:p>
        </w:tc>
        <w:tc>
          <w:tcPr>
            <w:tcW w:w="6794"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在招标文件中，商务</w:t>
            </w:r>
            <w:r>
              <w:rPr>
                <w:rFonts w:hint="eastAsia" w:ascii="宋体" w:hAnsi="宋体" w:cs="宋体"/>
                <w:color w:val="auto"/>
                <w:sz w:val="21"/>
                <w:szCs w:val="21"/>
                <w:lang w:val="en-US" w:eastAsia="zh-CN"/>
              </w:rPr>
              <w:t>条款</w:t>
            </w:r>
            <w:r>
              <w:rPr>
                <w:rFonts w:hint="eastAsia" w:ascii="宋体" w:hAnsi="宋体" w:cs="宋体"/>
                <w:color w:val="auto"/>
                <w:sz w:val="21"/>
                <w:szCs w:val="21"/>
              </w:rPr>
              <w:t>主要条款用“*”表示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不含技术条款主要条款为</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或者</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rPr>
              <w:t>，这些主要条款的任何负偏离将否决其投标。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26.2</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中标服务费</w:t>
            </w:r>
          </w:p>
        </w:tc>
        <w:tc>
          <w:tcPr>
            <w:tcW w:w="67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中标人在接到中标通知书后，应向采购代理机构足额缴纳中标服务费。</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kern w:val="2"/>
                <w:sz w:val="21"/>
                <w:szCs w:val="21"/>
                <w:lang w:val="en-US" w:eastAsia="zh-CN" w:bidi="ar-SA"/>
              </w:rPr>
            </w:pPr>
            <w:r>
              <w:rPr>
                <w:rFonts w:hint="eastAsia" w:ascii="宋体" w:hAnsi="宋体" w:cs="宋体"/>
                <w:color w:val="auto"/>
                <w:sz w:val="21"/>
                <w:szCs w:val="21"/>
              </w:rPr>
              <w:t>收取标</w:t>
            </w:r>
            <w:r>
              <w:rPr>
                <w:rFonts w:hint="eastAsia" w:ascii="宋体" w:hAnsi="宋体" w:cs="宋体"/>
                <w:color w:val="auto"/>
                <w:sz w:val="21"/>
                <w:szCs w:val="21"/>
                <w:highlight w:val="none"/>
              </w:rPr>
              <w:t>准：参照国家发展计划委员会计价格[2002]1980号、发改办价格[2003]857号文件标准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发改价格【2015】299号文件，</w:t>
            </w:r>
            <w:r>
              <w:rPr>
                <w:rFonts w:hint="eastAsia" w:ascii="宋体" w:hAnsi="宋体" w:cs="宋体"/>
                <w:color w:val="auto"/>
                <w:sz w:val="21"/>
                <w:szCs w:val="21"/>
                <w:highlight w:val="none"/>
              </w:rPr>
              <w:t>向中标人收取招标代理服务费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其中1包招标代理服务费7100元，2包招标代理服务费3000元</w:t>
            </w: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26.3</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color w:val="auto"/>
                <w:highlight w:val="none"/>
              </w:rPr>
              <w:t>投标人信用信息的查询</w:t>
            </w:r>
          </w:p>
        </w:tc>
        <w:tc>
          <w:tcPr>
            <w:tcW w:w="6794"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eastAsiaTheme="minorEastAsia"/>
                <w:color w:val="auto"/>
                <w:highlight w:val="none"/>
                <w:lang w:eastAsia="zh-CN"/>
              </w:rPr>
            </w:pPr>
            <w:r>
              <w:rPr>
                <w:color w:val="auto"/>
                <w:highlight w:val="none"/>
              </w:rPr>
              <w:t>查询渠道：</w:t>
            </w:r>
            <w:r>
              <w:rPr>
                <w:rFonts w:hint="eastAsia" w:ascii="宋体" w:hAnsi="宋体" w:cs="宋体"/>
                <w:color w:val="auto"/>
                <w:highlight w:val="none"/>
              </w:rPr>
              <w:t>①</w:t>
            </w:r>
            <w:r>
              <w:rPr>
                <w:color w:val="auto"/>
                <w:highlight w:val="none"/>
              </w:rPr>
              <w:t>“信用中国”网站（www.creditchina.gov.cn）：失信被执行人、重大税收违法案件当事人名单</w:t>
            </w:r>
            <w:r>
              <w:rPr>
                <w:rFonts w:hint="eastAsia"/>
                <w:color w:val="auto"/>
                <w:highlight w:val="none"/>
                <w:lang w:eastAsia="zh-CN"/>
              </w:rPr>
              <w:t>、政府采购严重违法失信名单</w:t>
            </w:r>
            <w:r>
              <w:rPr>
                <w:color w:val="auto"/>
                <w:highlight w:val="none"/>
              </w:rPr>
              <w:t>。</w:t>
            </w:r>
          </w:p>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eastAsiaTheme="minorEastAsia"/>
                <w:color w:val="auto"/>
                <w:highlight w:val="none"/>
                <w:lang w:eastAsia="zh-CN"/>
              </w:rPr>
            </w:pPr>
            <w:r>
              <w:rPr>
                <w:rFonts w:hint="eastAsia" w:ascii="宋体" w:hAnsi="宋体" w:cs="宋体"/>
                <w:color w:val="auto"/>
                <w:highlight w:val="none"/>
              </w:rPr>
              <w:t>②</w:t>
            </w:r>
            <w:r>
              <w:rPr>
                <w:color w:val="auto"/>
                <w:highlight w:val="none"/>
              </w:rPr>
              <w:t>中国政府采购网(www.ccgp.gov.cn)：政府采购严重违法失信行为信息记录。</w:t>
            </w:r>
          </w:p>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eastAsiaTheme="minorEastAsia"/>
                <w:color w:val="auto"/>
                <w:highlight w:val="none"/>
                <w:lang w:eastAsia="zh-CN"/>
              </w:rPr>
            </w:pPr>
            <w:r>
              <w:rPr>
                <w:color w:val="auto"/>
                <w:highlight w:val="none"/>
              </w:rPr>
              <w:t>查询截止时点：</w:t>
            </w:r>
            <w:r>
              <w:rPr>
                <w:rFonts w:hint="eastAsia"/>
                <w:color w:val="auto"/>
                <w:highlight w:val="none"/>
                <w:lang w:val="en-US" w:eastAsia="zh-CN"/>
              </w:rPr>
              <w:t>公告发布之日起至投标截止时间</w:t>
            </w:r>
            <w:r>
              <w:rPr>
                <w:color w:val="auto"/>
                <w:highlight w:val="none"/>
              </w:rPr>
              <w:t>同投标截止时间</w:t>
            </w:r>
            <w:r>
              <w:rPr>
                <w:rFonts w:hint="eastAsia"/>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eastAsiaTheme="minorEastAsia"/>
                <w:color w:val="auto"/>
                <w:highlight w:val="none"/>
                <w:lang w:eastAsia="zh-CN"/>
              </w:rPr>
            </w:pPr>
            <w:r>
              <w:rPr>
                <w:color w:val="auto"/>
                <w:highlight w:val="none"/>
              </w:rPr>
              <w:t>信用信息查询记录的具体方式：</w:t>
            </w:r>
          </w:p>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eastAsiaTheme="minorEastAsia"/>
                <w:color w:val="auto"/>
                <w:highlight w:val="none"/>
                <w:lang w:eastAsia="zh-CN"/>
              </w:rPr>
            </w:pPr>
            <w:r>
              <w:rPr>
                <w:color w:val="auto"/>
                <w:highlight w:val="none"/>
              </w:rPr>
              <w:t>采购人或采购代理机构将按查询截止时点对所有投标人的信用信息进行查询。</w:t>
            </w:r>
          </w:p>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eastAsiaTheme="minorEastAsia"/>
                <w:color w:val="auto"/>
                <w:highlight w:val="none"/>
                <w:lang w:eastAsia="zh-CN"/>
              </w:rPr>
            </w:pPr>
            <w:r>
              <w:rPr>
                <w:color w:val="auto"/>
                <w:highlight w:val="none"/>
              </w:rPr>
              <w:t>信用信息的使用规则：</w:t>
            </w:r>
          </w:p>
          <w:p>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color w:val="auto"/>
                <w:highlight w:val="none"/>
              </w:rPr>
              <w:t>对列入失信被执行人、重大税收违法案件当事人名单、政府采购严重违法失信行为记录名单的投标人，投标文件作无效处理。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26.4</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违法行为</w:t>
            </w:r>
          </w:p>
        </w:tc>
        <w:tc>
          <w:tcPr>
            <w:tcW w:w="67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一、有下列情形之一的，属于投标人相互串通投标：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（一）投标人之间协商投标报价等投标文件的实质性内容；</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（二）投标人之间约定中标人；</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（三）投标人之间约定部分投标人放弃投标或者中标；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（四）属于同一集团、协会、商会等组织成员的投标人按照该组织要求协同投标；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（五）投标人之间为谋取中标或者排斥特定投标人而采取的其他联合行动。</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二、有下列情形之一的，视为投标人相互串通投标：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（一）不同投标人的投标文件由同一单位或者个人编制；</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（二）不同投标人委托同一单位或者个人办理投标事宜；</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（三）不同投标人的投标文件载明的项目管理成员为同一人；</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（四）不同投标人的投标文件异常一致或者投标报价呈规律性差异；</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（五）不同投标人的投标文件相互混装；</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（六）不同投标人的投标保证金从同一单位或者个人的账户转出。</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三、有下列情形之一的，属于招标人与投标人串通投标：</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（一）招标人在开标前开启投标文件并将有关信息泄露给其他投标人;</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（二）招标人直接或者间接向投标人泄露标底、评标委员会成员等信息；</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（三）招标人明示或者暗示投标人压低或者抬高投标报价；</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（四）招标人授意投标人撤换、修改投标文件；</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Theme="minorEastAsia"/>
                <w:color w:val="auto"/>
                <w:sz w:val="21"/>
                <w:szCs w:val="21"/>
                <w:lang w:eastAsia="zh-CN"/>
              </w:rPr>
            </w:pPr>
            <w:r>
              <w:rPr>
                <w:rFonts w:hint="eastAsia" w:ascii="宋体" w:hAnsi="宋体"/>
                <w:color w:val="auto"/>
                <w:sz w:val="21"/>
                <w:szCs w:val="21"/>
              </w:rPr>
              <w:t>（五）招标人明示或者暗示投标人为特定投标人中标提供方便；</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kern w:val="2"/>
                <w:sz w:val="21"/>
                <w:szCs w:val="21"/>
                <w:lang w:val="en-US" w:eastAsia="zh-CN" w:bidi="ar-SA"/>
              </w:rPr>
            </w:pPr>
            <w:r>
              <w:rPr>
                <w:rFonts w:hint="eastAsia" w:ascii="宋体" w:hAnsi="宋体"/>
                <w:color w:val="auto"/>
                <w:sz w:val="21"/>
                <w:szCs w:val="21"/>
              </w:rPr>
              <w:t>（六）招标人与投标人为谋求特定投标人中标而采取的其他串通行为。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26.5</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有下列情形之一的应当在资格性、符合性检查时按照无效投标处理</w:t>
            </w:r>
          </w:p>
        </w:tc>
        <w:tc>
          <w:tcPr>
            <w:tcW w:w="67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（一）应交未交投标保证金的；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（二）未按照招标文件规定要求密封、签署、盖章的；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（三）不具备招标文件中规定资格要求的；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（四）报价超过招标文件中规定的预算金额或者最高限价的；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（五）投标文件含有采购人不能接受的附加条件的;</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（六）不符合法律、法规和招标文件中规定的其他实质性要求的。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26.6</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highlight w:val="none"/>
                <w:lang w:val="en-US" w:eastAsia="zh-CN"/>
              </w:rPr>
              <w:t>资金来源</w:t>
            </w:r>
          </w:p>
        </w:tc>
        <w:tc>
          <w:tcPr>
            <w:tcW w:w="67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lang w:val="en-US" w:eastAsia="zh-CN"/>
              </w:rPr>
              <w:t>26.7</w:t>
            </w:r>
          </w:p>
        </w:tc>
        <w:tc>
          <w:tcPr>
            <w:tcW w:w="179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highlight w:val="none"/>
              </w:rPr>
              <w:t>采购预算</w:t>
            </w:r>
          </w:p>
        </w:tc>
        <w:tc>
          <w:tcPr>
            <w:tcW w:w="679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1包：472,920.00元</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2包：100,000.00元</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投标报价超出预算价格的，投标无效。</w:t>
            </w:r>
          </w:p>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eastAsia="宋体" w:cs="宋体"/>
                <w:color w:val="auto"/>
                <w:kern w:val="2"/>
                <w:sz w:val="21"/>
                <w:szCs w:val="21"/>
                <w:lang w:val="en-US" w:eastAsia="zh-CN" w:bidi="ar-SA"/>
              </w:rPr>
            </w:pPr>
            <w:r>
              <w:rPr>
                <w:rFonts w:hint="eastAsia" w:ascii="宋体" w:hAnsi="宋体" w:cs="宋体"/>
                <w:color w:val="auto"/>
                <w:sz w:val="21"/>
                <w:szCs w:val="21"/>
              </w:rPr>
              <w:t>报价要求:只允许有一个报价，任何有选择性的报价或者有附加条件的报价招标人将不予接受。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shd w:val="clear" w:color="auto" w:fill="auto"/>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26.8</w:t>
            </w:r>
          </w:p>
        </w:tc>
        <w:tc>
          <w:tcPr>
            <w:tcW w:w="1798" w:type="dxa"/>
            <w:tcBorders>
              <w:left w:val="single" w:color="auto" w:sz="4" w:space="0"/>
              <w:right w:val="single" w:color="auto" w:sz="4" w:space="0"/>
            </w:tcBorders>
            <w:shd w:val="clear" w:color="auto" w:fill="auto"/>
            <w:noWrap w:val="0"/>
            <w:vAlign w:val="center"/>
          </w:tcPr>
          <w:p>
            <w:pPr>
              <w:pStyle w:val="75"/>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低于成本价</w:t>
            </w:r>
          </w:p>
          <w:p>
            <w:pPr>
              <w:pStyle w:val="75"/>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不正当竞争预防措施</w:t>
            </w:r>
          </w:p>
          <w:p>
            <w:pPr>
              <w:pStyle w:val="75"/>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eastAsia="宋体" w:cs="宋体"/>
                <w:color w:val="auto"/>
                <w:sz w:val="21"/>
                <w:szCs w:val="21"/>
                <w:lang w:val="en-US" w:eastAsia="zh-CN" w:bidi="ar-SA"/>
              </w:rPr>
            </w:pPr>
          </w:p>
        </w:tc>
        <w:tc>
          <w:tcPr>
            <w:tcW w:w="6794" w:type="dxa"/>
            <w:tcBorders>
              <w:lef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1.</w:t>
            </w:r>
            <w:r>
              <w:rPr>
                <w:rFonts w:hint="eastAsia" w:ascii="宋体" w:hAnsi="宋体"/>
                <w:color w:val="auto"/>
                <w:szCs w:val="21"/>
                <w:highlight w:val="none"/>
                <w:lang w:val="zh-CN"/>
              </w:rPr>
              <w:t>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 xml:space="preserve">投标人书面说明应当签字确认或者加盖公章，否则无效。书面说明的签字确认，由其法定代表人或主要负责人或其授权代表签字确认。 </w:t>
            </w:r>
          </w:p>
          <w:p>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s="宋体" w:eastAsiaTheme="minorEastAsia"/>
                <w:color w:val="auto"/>
                <w:kern w:val="2"/>
                <w:sz w:val="21"/>
                <w:szCs w:val="21"/>
                <w:lang w:val="en-US" w:eastAsia="zh-CN" w:bidi="ar-SA"/>
              </w:rPr>
            </w:pPr>
            <w:r>
              <w:rPr>
                <w:rFonts w:hint="eastAsia" w:ascii="宋体" w:hAnsi="宋体"/>
                <w:color w:val="auto"/>
                <w:szCs w:val="21"/>
                <w:highlight w:val="none"/>
              </w:rPr>
              <w:t>3.</w:t>
            </w:r>
            <w:r>
              <w:rPr>
                <w:rFonts w:hint="eastAsia" w:ascii="宋体" w:hAnsi="宋体"/>
                <w:color w:val="auto"/>
                <w:szCs w:val="21"/>
                <w:highlight w:val="none"/>
                <w:lang w:val="zh-CN"/>
              </w:rPr>
              <w:t>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shd w:val="clear" w:color="auto" w:fill="auto"/>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26.9</w:t>
            </w:r>
          </w:p>
        </w:tc>
        <w:tc>
          <w:tcPr>
            <w:tcW w:w="1798" w:type="dxa"/>
            <w:tcBorders>
              <w:left w:val="single" w:color="auto" w:sz="4" w:space="0"/>
              <w:right w:val="single" w:color="auto" w:sz="4" w:space="0"/>
            </w:tcBorders>
            <w:shd w:val="clear" w:color="auto" w:fill="auto"/>
            <w:noWrap w:val="0"/>
            <w:vAlign w:val="center"/>
          </w:tcPr>
          <w:p>
            <w:pPr>
              <w:pStyle w:val="75"/>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38"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是否授权评标委员会确定中标人</w:t>
            </w:r>
          </w:p>
        </w:tc>
        <w:tc>
          <w:tcPr>
            <w:tcW w:w="6794" w:type="dxa"/>
            <w:tcBorders>
              <w:lef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105" w:rightChars="50"/>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宋体" w:hAnsi="宋体"/>
                <w:color w:val="auto"/>
                <w:szCs w:val="21"/>
                <w:highlight w:val="none"/>
              </w:rPr>
              <w:t>否，评标委员会确定3名中标候选人</w:t>
            </w:r>
            <w:r>
              <w:rPr>
                <w:rFonts w:hint="eastAsia" w:ascii="宋体" w:hAnsi="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shd w:val="clear" w:color="auto" w:fill="auto"/>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26.10</w:t>
            </w:r>
          </w:p>
        </w:tc>
        <w:tc>
          <w:tcPr>
            <w:tcW w:w="1798" w:type="dxa"/>
            <w:tcBorders>
              <w:left w:val="single" w:color="auto" w:sz="4" w:space="0"/>
              <w:right w:val="single" w:color="auto" w:sz="4" w:space="0"/>
            </w:tcBorders>
            <w:shd w:val="clear" w:color="auto" w:fill="auto"/>
            <w:noWrap w:val="0"/>
            <w:vAlign w:val="center"/>
          </w:tcPr>
          <w:p>
            <w:pPr>
              <w:pStyle w:val="75"/>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中标公告</w:t>
            </w:r>
          </w:p>
        </w:tc>
        <w:tc>
          <w:tcPr>
            <w:tcW w:w="6794" w:type="dxa"/>
            <w:tcBorders>
              <w:left w:val="single" w:color="auto" w:sz="4" w:space="0"/>
            </w:tcBorders>
            <w:shd w:val="clear" w:color="auto" w:fill="auto"/>
            <w:noWrap w:val="0"/>
            <w:vAlign w:val="center"/>
          </w:tcPr>
          <w:p>
            <w:pPr>
              <w:pStyle w:val="75"/>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Theme="minorEastAsia" w:cstheme="minorBidi"/>
                <w:color w:val="auto"/>
                <w:kern w:val="2"/>
                <w:sz w:val="21"/>
                <w:szCs w:val="21"/>
                <w:highlight w:val="none"/>
                <w:lang w:val="zh-CN" w:eastAsia="zh-CN" w:bidi="ar-SA"/>
              </w:rPr>
              <w:t>中标</w:t>
            </w:r>
            <w:r>
              <w:rPr>
                <w:rFonts w:hint="eastAsia" w:ascii="宋体" w:hAnsi="宋体" w:eastAsiaTheme="minorEastAsia" w:cstheme="minorBidi"/>
                <w:color w:val="auto"/>
                <w:kern w:val="2"/>
                <w:sz w:val="21"/>
                <w:szCs w:val="21"/>
                <w:highlight w:val="none"/>
                <w:lang w:val="en-US" w:eastAsia="zh-CN" w:bidi="ar-SA"/>
              </w:rPr>
              <w:t>结果</w:t>
            </w:r>
            <w:r>
              <w:rPr>
                <w:rFonts w:hint="eastAsia" w:ascii="宋体" w:hAnsi="宋体" w:eastAsiaTheme="minorEastAsia" w:cstheme="minorBidi"/>
                <w:color w:val="auto"/>
                <w:kern w:val="2"/>
                <w:sz w:val="21"/>
                <w:szCs w:val="21"/>
                <w:highlight w:val="none"/>
                <w:lang w:val="zh-CN" w:eastAsia="zh-CN" w:bidi="ar-SA"/>
              </w:rPr>
              <w:t>公告</w:t>
            </w:r>
            <w:r>
              <w:rPr>
                <w:rFonts w:hint="eastAsia" w:ascii="宋体" w:hAnsi="宋体" w:eastAsiaTheme="minorEastAsia" w:cstheme="minorBidi"/>
                <w:color w:val="auto"/>
                <w:kern w:val="2"/>
                <w:sz w:val="21"/>
                <w:szCs w:val="21"/>
                <w:highlight w:val="none"/>
                <w:lang w:val="en-US" w:eastAsia="zh-CN" w:bidi="ar-SA"/>
              </w:rPr>
              <w:t>在政采云平台（https://www.zcygov.cn/）（同步推送至吉林省政府采购网、中国政府采购网）发布，公告期限为1个工作日。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shd w:val="clear" w:color="auto" w:fill="auto"/>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26.11</w:t>
            </w:r>
          </w:p>
        </w:tc>
        <w:tc>
          <w:tcPr>
            <w:tcW w:w="1798" w:type="dxa"/>
            <w:tcBorders>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bCs/>
                <w:color w:val="auto"/>
                <w:szCs w:val="21"/>
                <w:highlight w:val="none"/>
                <w:lang w:val="zh-CN"/>
              </w:rPr>
              <w:t>政府采购合同融资</w:t>
            </w:r>
          </w:p>
        </w:tc>
        <w:tc>
          <w:tcPr>
            <w:tcW w:w="6794" w:type="dxa"/>
            <w:tcBorders>
              <w:left w:val="single" w:color="auto" w:sz="4" w:space="0"/>
            </w:tcBorders>
            <w:shd w:val="clear" w:color="auto" w:fill="auto"/>
            <w:noWrap w:val="0"/>
            <w:vAlign w:val="center"/>
          </w:tcPr>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color w:val="auto"/>
                <w:sz w:val="21"/>
                <w:szCs w:val="21"/>
                <w:highlight w:val="none"/>
              </w:rPr>
              <w:t>吉林省政府采购网已开通“政府采购合同融资”服务专区，中标人凭政府采购合同等相关材料可通过融资专区获得融资贷款支持。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shd w:val="clear" w:color="auto" w:fill="auto"/>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26.12</w:t>
            </w:r>
          </w:p>
        </w:tc>
        <w:tc>
          <w:tcPr>
            <w:tcW w:w="1798" w:type="dxa"/>
            <w:tcBorders>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auto"/>
              <w:rPr>
                <w:rFonts w:hint="eastAsia" w:ascii="宋体" w:hAnsi="宋体" w:cs="宋体" w:eastAsiaTheme="minorEastAsia"/>
                <w:color w:val="auto"/>
                <w:kern w:val="2"/>
                <w:sz w:val="21"/>
                <w:szCs w:val="21"/>
                <w:highlight w:val="none"/>
                <w:lang w:val="zh-CN" w:eastAsia="zh-CN" w:bidi="ar-SA"/>
              </w:rPr>
            </w:pPr>
            <w:r>
              <w:rPr>
                <w:rFonts w:hint="eastAsia" w:ascii="宋体" w:hAnsi="宋体"/>
                <w:bCs/>
                <w:color w:val="auto"/>
                <w:szCs w:val="21"/>
                <w:highlight w:val="none"/>
                <w:lang w:val="zh-CN"/>
              </w:rPr>
              <w:t>充分、公平竞争保障措施</w:t>
            </w:r>
          </w:p>
        </w:tc>
        <w:tc>
          <w:tcPr>
            <w:tcW w:w="6794" w:type="dxa"/>
            <w:tcBorders>
              <w:left w:val="single" w:color="auto" w:sz="4" w:space="0"/>
            </w:tcBorders>
            <w:shd w:val="clear" w:color="auto" w:fill="auto"/>
            <w:noWrap w:val="0"/>
            <w:vAlign w:val="center"/>
          </w:tcPr>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（1）利害关系投标人处理。单位负责人为同一人或者存在直接控股、管理关系的不同投标人不得参加同一合同项下的政府采购活动，否则，均作无效处理。</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（2）前期参与投标人处理。为采购项目提供整体设计、规范编制或者项目管理、监理、检测等服务的投标人，不得再参加该采购项目的其他采购活动。否则，其投标文件作为无效处理。</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（3）利害关系代理人处理。两家以上的投标人不得在同一合同项下的采购项目中，同时委托同一个自然人、同一家庭的人员、同一单位的人员作为其代理人，否则，其投标文件均作为无效处理。</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（4）投标人实际控制人或者中高级管理人员，同时是采购代理机构工作人员，不得参与本项目政府采购活动。</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（5）同一母公司的两家以上的子公司只能组成联合体参加本项目同一合同项下的采购活动，不得以不同投标人身份同时参加本项目同一合同项下的采购活动。</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（6）投标人与采购代理机构存在关联关系，或者是采购代理机构的母公司或子公司，不得参加本项目政府采购活动。</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（7）回避。政府采购活动中，采购人员及相关人员与投标人有下列利害关系之一的，应当回避：</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1）参加采购活动前3年内与投标人存在劳动关系；</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2）参加采购活动前3年内担任投标人的董事、监事；</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3）参加采购活动前3年内是投标人的控股股东或者实际控制人；</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4）与投标人的法定代表人或者负责人有夫妻、直系血亲、三代以内旁系血亲或者近姻亲关系；</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5）与投标人有其他可能影响政府采购活动公平、公正进行的关系。</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sz w:val="24"/>
                <w:szCs w:val="24"/>
                <w:highlight w:val="none"/>
                <w:lang w:val="en-US" w:eastAsia="zh-CN" w:bidi="ar-SA"/>
              </w:rPr>
            </w:pPr>
            <w:r>
              <w:rPr>
                <w:rFonts w:hint="eastAsia"/>
                <w:color w:val="auto"/>
                <w:sz w:val="21"/>
                <w:szCs w:val="21"/>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shd w:val="clear" w:color="auto" w:fill="auto"/>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26.13</w:t>
            </w:r>
          </w:p>
        </w:tc>
        <w:tc>
          <w:tcPr>
            <w:tcW w:w="1798"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r>
              <w:rPr>
                <w:rFonts w:hint="default" w:ascii="宋体" w:hAnsi="宋体" w:cs="宋体" w:eastAsiaTheme="minorEastAsia"/>
                <w:color w:val="auto"/>
                <w:sz w:val="21"/>
                <w:szCs w:val="21"/>
                <w:highlight w:val="none"/>
                <w:lang w:val="en-US" w:eastAsia="zh-CN"/>
              </w:rPr>
              <w:t>落实政府采购政策</w:t>
            </w:r>
          </w:p>
        </w:tc>
        <w:tc>
          <w:tcPr>
            <w:tcW w:w="6794" w:type="dxa"/>
            <w:tcBorders>
              <w:left w:val="single" w:color="auto" w:sz="4" w:space="0"/>
            </w:tcBorders>
            <w:noWrap w:val="0"/>
            <w:vAlign w:val="top"/>
          </w:tcPr>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1.根据工信部等部委发布的《关于印发中小企业划型标准规定的通知》（工信部联企业〔2011〕300号），符合相关条件的为中小微型企业。</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2.专门面向中小企业采购的项目,供应商须提供中小企业声明函。</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3.非专门面向中小企业采购的项目,根据财库【2022】19号文件规定，对于小型企业、微企业的产品给予 10% 的价格扣除，并按照扣除后的价格参加评审。</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4.符合要求的中小企业应当提供《政府采购促进中小企业发展管理办法》（财库[2020]46号）规定的《中小企业声明函》。无论实际情况如何，未提供《中小企业声明函》视为不符合条件。</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5.以联合体形式参加政府采购活动，联合体各方均为中小企业的，联合体视同中小企业。其中，联合体各方均为小微企业的，联合体视同小微企业。</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6.按照《政府采购促进中小企业发展管理办法》（财库[2020]46号）规定，享受扶持政策获得政府采购合同的，小微企业不得将合同分包给大中型企业，中型企业不得将合同分包给大型企业。</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本项目落实政府采购政策：</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《政府采购促进中小企业发展管理办法》（财库〔2020〕46号）。</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《关于进一步加大政府采购支持中小企业力度的通知》（详见财库〔2022〕19 号）</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（2）《关于政府采购支持监狱企业发展有关问题的通知》（财库〔2014〕68号）。</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（3）《三部门联合发布关于促进残疾人就业政府采购政策的通知》（财库〔2017〕141号）。</w:t>
            </w:r>
          </w:p>
          <w:p>
            <w:pPr>
              <w:pStyle w:val="75"/>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both"/>
              <w:textAlignment w:val="auto"/>
              <w:rPr>
                <w:rFonts w:hint="eastAsia" w:ascii="宋体" w:hAnsi="宋体" w:cs="宋体" w:eastAsiaTheme="minorEastAsia"/>
                <w:color w:val="auto"/>
                <w:sz w:val="21"/>
                <w:szCs w:val="21"/>
                <w:highlight w:val="none"/>
                <w:lang w:val="en-US" w:eastAsia="zh-CN"/>
              </w:rPr>
            </w:pPr>
            <w:r>
              <w:rPr>
                <w:rFonts w:hint="eastAsia"/>
                <w:color w:val="auto"/>
                <w:sz w:val="21"/>
                <w:szCs w:val="21"/>
                <w:highlight w:val="none"/>
                <w:lang w:val="en-US" w:eastAsia="zh-CN"/>
              </w:rPr>
              <w:t>（4）《关于调整优化节能产品、环境标志产品政府采购执行机制的通知》（财库〔2019〕9号）等。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shd w:val="clear" w:color="auto" w:fill="auto"/>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p>
        </w:tc>
        <w:tc>
          <w:tcPr>
            <w:tcW w:w="179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p>
        </w:tc>
        <w:tc>
          <w:tcPr>
            <w:tcW w:w="6794"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本项目中小企业划分标准所属行业为：工业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26.14</w:t>
            </w:r>
          </w:p>
        </w:tc>
        <w:tc>
          <w:tcPr>
            <w:tcW w:w="1798"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auto"/>
              <w:rPr>
                <w:rFonts w:hint="default" w:ascii="宋体" w:hAnsi="宋体" w:cs="宋体" w:eastAsiaTheme="minorEastAsia"/>
                <w:color w:val="auto"/>
                <w:kern w:val="2"/>
                <w:sz w:val="21"/>
                <w:szCs w:val="21"/>
                <w:highlight w:val="none"/>
                <w:lang w:val="en-US" w:eastAsia="zh-CN" w:bidi="ar-SA"/>
              </w:rPr>
            </w:pPr>
            <w:r>
              <w:rPr>
                <w:rFonts w:hint="eastAsia" w:hAnsi="宋体" w:cs="宋体"/>
                <w:color w:val="auto"/>
                <w:kern w:val="2"/>
                <w:sz w:val="21"/>
                <w:szCs w:val="21"/>
                <w:highlight w:val="none"/>
                <w:lang w:val="en-US" w:eastAsia="zh-CN"/>
              </w:rPr>
              <w:t>其他</w:t>
            </w:r>
          </w:p>
        </w:tc>
        <w:tc>
          <w:tcPr>
            <w:tcW w:w="679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eastAsia" w:cs="Times New Roman"/>
                <w:color w:val="auto"/>
                <w:kern w:val="15"/>
                <w:sz w:val="21"/>
                <w:szCs w:val="21"/>
                <w:highlight w:val="none"/>
                <w:lang w:eastAsia="zh-CN"/>
              </w:rPr>
            </w:pPr>
            <w:r>
              <w:rPr>
                <w:rFonts w:hint="eastAsia" w:cs="Times New Roman"/>
                <w:color w:val="auto"/>
                <w:kern w:val="15"/>
                <w:sz w:val="21"/>
                <w:szCs w:val="21"/>
                <w:highlight w:val="none"/>
                <w:lang w:val="en-US" w:eastAsia="zh-CN"/>
              </w:rPr>
              <w:t>1.</w:t>
            </w:r>
            <w:r>
              <w:rPr>
                <w:rFonts w:hint="eastAsia" w:cs="Times New Roman"/>
                <w:color w:val="auto"/>
                <w:kern w:val="15"/>
                <w:sz w:val="21"/>
                <w:szCs w:val="21"/>
                <w:highlight w:val="none"/>
                <w:lang w:eastAsia="zh-CN"/>
              </w:rPr>
              <w:t>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文件中所引相关法律制度规定，在政府采购中有变化的，按照变化后的相关法律制度规定执行。本</w:t>
            </w:r>
            <w:r>
              <w:rPr>
                <w:rFonts w:hint="eastAsia" w:cs="Times New Roman"/>
                <w:color w:val="auto"/>
                <w:kern w:val="15"/>
                <w:sz w:val="21"/>
                <w:szCs w:val="21"/>
                <w:highlight w:val="none"/>
                <w:lang w:val="en-US" w:eastAsia="zh-CN"/>
              </w:rPr>
              <w:t>文件</w:t>
            </w:r>
            <w:r>
              <w:rPr>
                <w:rFonts w:hint="eastAsia" w:cs="Times New Roman"/>
                <w:color w:val="auto"/>
                <w:kern w:val="15"/>
                <w:sz w:val="21"/>
                <w:szCs w:val="21"/>
                <w:highlight w:val="none"/>
                <w:lang w:eastAsia="zh-CN"/>
              </w:rPr>
              <w:t>规定的内容条款，在本项目递交</w:t>
            </w:r>
            <w:r>
              <w:rPr>
                <w:rFonts w:hint="eastAsia" w:cs="Times New Roman"/>
                <w:color w:val="auto"/>
                <w:kern w:val="15"/>
                <w:sz w:val="21"/>
                <w:szCs w:val="21"/>
                <w:highlight w:val="none"/>
                <w:lang w:val="en-US" w:eastAsia="zh-CN"/>
              </w:rPr>
              <w:t>投标</w:t>
            </w:r>
            <w:r>
              <w:rPr>
                <w:rFonts w:hint="eastAsia" w:cs="Times New Roman"/>
                <w:color w:val="auto"/>
                <w:kern w:val="15"/>
                <w:sz w:val="21"/>
                <w:szCs w:val="21"/>
                <w:highlight w:val="none"/>
                <w:lang w:eastAsia="zh-CN"/>
              </w:rPr>
              <w:t>文件截止时间届满后，因相关法律制度规定的变化导致不符合相关法律制度规定的，直接按照变化后的相关法律制度规定执行，本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文件不再做调整。</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cs="Times New Roman"/>
                <w:color w:val="auto"/>
                <w:kern w:val="15"/>
                <w:sz w:val="21"/>
                <w:szCs w:val="21"/>
                <w:highlight w:val="none"/>
                <w:lang w:val="en-US" w:eastAsia="zh-CN"/>
              </w:rPr>
              <w:t>2.</w:t>
            </w:r>
            <w:r>
              <w:rPr>
                <w:rFonts w:hint="eastAsia" w:cs="Times New Roman"/>
                <w:color w:val="auto"/>
                <w:kern w:val="15"/>
                <w:sz w:val="21"/>
                <w:szCs w:val="21"/>
                <w:highlight w:val="none"/>
                <w:lang w:eastAsia="zh-CN"/>
              </w:rPr>
              <w:t>国家或行业主管部门对</w:t>
            </w:r>
            <w:r>
              <w:rPr>
                <w:rFonts w:hint="eastAsia" w:cs="Times New Roman"/>
                <w:color w:val="auto"/>
                <w:kern w:val="15"/>
                <w:sz w:val="21"/>
                <w:szCs w:val="21"/>
                <w:highlight w:val="none"/>
                <w:lang w:val="en-US" w:eastAsia="zh-CN"/>
              </w:rPr>
              <w:t>供应商</w:t>
            </w:r>
            <w:r>
              <w:rPr>
                <w:rFonts w:hint="eastAsia" w:cs="Times New Roman"/>
                <w:color w:val="auto"/>
                <w:kern w:val="15"/>
                <w:sz w:val="21"/>
                <w:szCs w:val="21"/>
                <w:highlight w:val="none"/>
                <w:lang w:eastAsia="zh-CN"/>
              </w:rPr>
              <w:t>和采购产品的技术标准、质量标准和资格资质条件等有强制性规定的，必须符合其要求。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85" w:hRule="atLeast"/>
          <w:jc w:val="center"/>
        </w:trPr>
        <w:tc>
          <w:tcPr>
            <w:tcW w:w="682" w:type="dxa"/>
            <w:tcBorders>
              <w:right w:val="single" w:color="auto" w:sz="4" w:space="0"/>
            </w:tcBorders>
            <w:noWrap w:val="0"/>
            <w:vAlign w:val="center"/>
          </w:tcPr>
          <w:p>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26.15</w:t>
            </w:r>
          </w:p>
        </w:tc>
        <w:tc>
          <w:tcPr>
            <w:tcW w:w="1798" w:type="dxa"/>
            <w:tcBorders>
              <w:left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auto"/>
              <w:rPr>
                <w:rFonts w:hint="eastAsia" w:hAnsi="宋体" w:cs="宋体"/>
                <w:b/>
                <w:bCs/>
                <w:color w:val="auto"/>
                <w:kern w:val="2"/>
                <w:sz w:val="28"/>
                <w:szCs w:val="28"/>
                <w:highlight w:val="none"/>
                <w:lang w:val="en-US" w:eastAsia="zh-CN"/>
              </w:rPr>
            </w:pPr>
            <w:r>
              <w:rPr>
                <w:rFonts w:hint="eastAsia" w:hAnsi="宋体" w:cs="宋体"/>
                <w:b/>
                <w:bCs/>
                <w:color w:val="auto"/>
                <w:kern w:val="2"/>
                <w:sz w:val="28"/>
                <w:szCs w:val="28"/>
                <w:highlight w:val="none"/>
                <w:lang w:val="en-US" w:eastAsia="zh-CN"/>
              </w:rPr>
              <w:t>现场踏勘</w:t>
            </w:r>
          </w:p>
        </w:tc>
        <w:tc>
          <w:tcPr>
            <w:tcW w:w="6794" w:type="dxa"/>
            <w:tcBorders>
              <w:lef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eastAsia" w:cs="Times New Roman"/>
                <w:b/>
                <w:bCs/>
                <w:color w:val="auto"/>
                <w:kern w:val="15"/>
                <w:sz w:val="28"/>
                <w:szCs w:val="28"/>
                <w:highlight w:val="none"/>
                <w:lang w:val="en-US" w:eastAsia="zh-CN"/>
              </w:rPr>
            </w:pPr>
            <w:r>
              <w:rPr>
                <w:rFonts w:hint="eastAsia" w:cs="Times New Roman"/>
                <w:b/>
                <w:bCs/>
                <w:color w:val="auto"/>
                <w:kern w:val="15"/>
                <w:sz w:val="28"/>
                <w:szCs w:val="28"/>
                <w:highlight w:val="none"/>
                <w:lang w:val="en-US" w:eastAsia="zh-CN"/>
              </w:rPr>
              <w:t>参与本项目1包及2包投标的供应商需进行现场踏勘，供应商现场踏勘后根据项目实际情况提供完成本项目的设备及综合布线和集成等服务并根据情况进行相关投标报价，且自行承担因未了解现场导致的投标偏差风险。</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eastAsia" w:cs="Times New Roman"/>
                <w:b/>
                <w:bCs/>
                <w:color w:val="auto"/>
                <w:kern w:val="15"/>
                <w:sz w:val="28"/>
                <w:szCs w:val="28"/>
                <w:highlight w:val="none"/>
                <w:lang w:val="en-US" w:eastAsia="zh-CN"/>
              </w:rPr>
            </w:pPr>
            <w:r>
              <w:rPr>
                <w:rFonts w:hint="eastAsia" w:cs="Times New Roman"/>
                <w:b/>
                <w:bCs/>
                <w:color w:val="auto"/>
                <w:kern w:val="15"/>
                <w:sz w:val="28"/>
                <w:szCs w:val="28"/>
                <w:highlight w:val="none"/>
                <w:lang w:val="en-US" w:eastAsia="zh-CN"/>
              </w:rPr>
              <w:t>踏勘时间：2025年07月15日09时00分；</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eastAsia" w:cs="Times New Roman"/>
                <w:b/>
                <w:bCs/>
                <w:color w:val="auto"/>
                <w:kern w:val="15"/>
                <w:sz w:val="28"/>
                <w:szCs w:val="28"/>
                <w:highlight w:val="none"/>
                <w:lang w:val="en-US" w:eastAsia="zh-CN"/>
              </w:rPr>
            </w:pPr>
            <w:r>
              <w:rPr>
                <w:rFonts w:hint="eastAsia" w:cs="Times New Roman"/>
                <w:b/>
                <w:bCs/>
                <w:color w:val="auto"/>
                <w:kern w:val="15"/>
                <w:sz w:val="28"/>
                <w:szCs w:val="28"/>
                <w:highlight w:val="none"/>
                <w:lang w:val="en-US" w:eastAsia="zh-CN"/>
              </w:rPr>
              <w:t>地点：吉林省老年大学（吉林省长春市绿园区普阳街2480号）</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eastAsia" w:cs="Times New Roman"/>
                <w:b/>
                <w:bCs/>
                <w:color w:val="auto"/>
                <w:kern w:val="15"/>
                <w:sz w:val="28"/>
                <w:szCs w:val="28"/>
                <w:highlight w:val="none"/>
                <w:lang w:val="en-US" w:eastAsia="zh-CN"/>
              </w:rPr>
            </w:pPr>
            <w:r>
              <w:rPr>
                <w:rFonts w:hint="eastAsia" w:cs="Times New Roman"/>
                <w:b/>
                <w:bCs/>
                <w:color w:val="auto"/>
                <w:kern w:val="15"/>
                <w:sz w:val="28"/>
                <w:szCs w:val="28"/>
                <w:highlight w:val="none"/>
                <w:lang w:val="en-US" w:eastAsia="zh-CN"/>
              </w:rPr>
              <w:t>组织方式：集中组织踏勘，届时所有参与投标的供应商应在规定时间参加本项目的踏勘，未在规定时间参加集中踏勘的供应商，采购人不再进行单独组织，供应商视为完全了解本项目情况且不再对设备及综合布线和集成等服务等报价内容有疑义。</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eastAsia" w:cs="Times New Roman"/>
                <w:b/>
                <w:bCs/>
                <w:color w:val="auto"/>
                <w:kern w:val="15"/>
                <w:sz w:val="28"/>
                <w:szCs w:val="28"/>
                <w:highlight w:val="none"/>
                <w:lang w:val="en-US" w:eastAsia="zh-CN"/>
              </w:rPr>
            </w:pPr>
            <w:r>
              <w:rPr>
                <w:rFonts w:hint="eastAsia" w:cs="Times New Roman"/>
                <w:b/>
                <w:bCs/>
                <w:color w:val="auto"/>
                <w:kern w:val="15"/>
                <w:sz w:val="28"/>
                <w:szCs w:val="28"/>
                <w:highlight w:val="none"/>
                <w:lang w:val="en-US" w:eastAsia="zh-CN"/>
              </w:rPr>
              <w:t>联系人：张宏亮</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cs="Times New Roman"/>
                <w:b/>
                <w:bCs/>
                <w:color w:val="auto"/>
                <w:kern w:val="15"/>
                <w:sz w:val="28"/>
                <w:szCs w:val="28"/>
                <w:highlight w:val="none"/>
                <w:lang w:val="en-US" w:eastAsia="zh-CN"/>
              </w:rPr>
            </w:pPr>
            <w:r>
              <w:rPr>
                <w:rFonts w:hint="eastAsia" w:cs="Times New Roman"/>
                <w:b/>
                <w:bCs/>
                <w:color w:val="auto"/>
                <w:kern w:val="15"/>
                <w:sz w:val="28"/>
                <w:szCs w:val="28"/>
                <w:highlight w:val="none"/>
                <w:lang w:val="en-US" w:eastAsia="zh-CN"/>
              </w:rPr>
              <w:t>联系方式：15943066695</w:t>
            </w:r>
          </w:p>
        </w:tc>
      </w:tr>
    </w:tbl>
    <w:p>
      <w:pPr>
        <w:adjustRightInd w:val="0"/>
        <w:snapToGrid w:val="0"/>
        <w:spacing w:line="360" w:lineRule="auto"/>
        <w:jc w:val="center"/>
        <w:rPr>
          <w:rFonts w:hint="eastAsia" w:ascii="宋体" w:hAnsi="宋体" w:eastAsia="宋体" w:cs="宋体"/>
          <w:color w:val="auto"/>
          <w:sz w:val="24"/>
          <w:szCs w:val="24"/>
        </w:rPr>
      </w:pPr>
    </w:p>
    <w:p>
      <w:pPr>
        <w:rPr>
          <w:rFonts w:hint="eastAsia" w:ascii="宋体" w:hAnsi="宋体" w:cs="黑体"/>
          <w:b/>
          <w:bCs/>
          <w:color w:val="auto"/>
          <w:sz w:val="30"/>
          <w:szCs w:val="30"/>
          <w:lang w:val="zh-CN"/>
        </w:rPr>
      </w:pPr>
      <w:bookmarkStart w:id="54" w:name="_Toc13774"/>
      <w:r>
        <w:rPr>
          <w:rFonts w:hint="eastAsia" w:ascii="宋体" w:hAnsi="宋体" w:cs="黑体"/>
          <w:b/>
          <w:bCs/>
          <w:color w:val="auto"/>
          <w:sz w:val="30"/>
          <w:szCs w:val="30"/>
          <w:lang w:val="zh-CN"/>
        </w:rPr>
        <w:br w:type="page"/>
      </w:r>
    </w:p>
    <w:bookmarkEnd w:id="54"/>
    <w:p>
      <w:pPr>
        <w:spacing w:before="0" w:after="0" w:line="360" w:lineRule="auto"/>
        <w:jc w:val="center"/>
        <w:outlineLvl w:val="1"/>
        <w:rPr>
          <w:rFonts w:hint="eastAsia" w:ascii="宋体" w:hAnsi="宋体" w:eastAsia="宋体" w:cs="宋体"/>
          <w:b/>
          <w:bCs/>
          <w:color w:val="auto"/>
          <w:sz w:val="24"/>
          <w:szCs w:val="24"/>
        </w:rPr>
      </w:pPr>
      <w:bookmarkStart w:id="55" w:name="_Toc16450"/>
      <w:bookmarkStart w:id="56" w:name="_Toc28946"/>
      <w:bookmarkStart w:id="57" w:name="_Toc16335"/>
      <w:bookmarkStart w:id="58" w:name="_Toc28340"/>
      <w:bookmarkStart w:id="59" w:name="_Toc29732"/>
      <w:bookmarkStart w:id="60" w:name="_Toc24574"/>
      <w:r>
        <w:rPr>
          <w:rFonts w:hint="eastAsia" w:ascii="宋体" w:hAnsi="宋体" w:eastAsia="宋体" w:cs="宋体"/>
          <w:b/>
          <w:bCs/>
          <w:color w:val="auto"/>
          <w:sz w:val="24"/>
          <w:szCs w:val="24"/>
        </w:rPr>
        <w:t>一、总  则</w:t>
      </w:r>
      <w:bookmarkEnd w:id="55"/>
      <w:bookmarkEnd w:id="56"/>
    </w:p>
    <w:p>
      <w:pPr>
        <w:keepNext w:val="0"/>
        <w:keepLines w:val="0"/>
        <w:widowControl/>
        <w:suppressLineNumbers w:val="0"/>
        <w:spacing w:line="360" w:lineRule="auto"/>
        <w:ind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kern w:val="0"/>
          <w:sz w:val="21"/>
          <w:szCs w:val="21"/>
          <w:highlight w:val="none"/>
          <w:lang w:val="en-US" w:eastAsia="zh-CN" w:bidi="ar"/>
        </w:rPr>
        <w:t>适用法律：</w:t>
      </w:r>
      <w:r>
        <w:rPr>
          <w:rFonts w:hint="eastAsia" w:ascii="宋体" w:hAnsi="宋体" w:eastAsia="宋体" w:cs="宋体"/>
          <w:color w:val="auto"/>
          <w:kern w:val="0"/>
          <w:sz w:val="21"/>
          <w:szCs w:val="21"/>
          <w:highlight w:val="none"/>
          <w:lang w:val="en-US" w:eastAsia="zh-CN" w:bidi="ar"/>
        </w:rPr>
        <w:t>本次招标适用法律法规为《中华人民共和国政府采购法》、《中华人民共和国政府采购法实施条例》、《政府采购服务和服务招标投标管理办法》及政府采购其它相关法规。</w:t>
      </w:r>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2、采购人、采购代理机构、投标人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 “采购人”系指依法进行政府采购的国家机关、事业单位、团体组织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2.2 </w:t>
      </w:r>
      <w:r>
        <w:rPr>
          <w:rFonts w:hint="eastAsia" w:ascii="宋体" w:hAnsi="宋体"/>
          <w:color w:val="auto"/>
          <w:szCs w:val="21"/>
          <w:highlight w:val="none"/>
        </w:rPr>
        <w:t>“采购代理机构” 系指根据采购人的委托依法办理采购事宜的采购机构</w:t>
      </w:r>
      <w:r>
        <w:rPr>
          <w:rFonts w:hint="eastAsia" w:ascii="宋体" w:hAnsi="宋体" w:eastAsia="宋体" w:cs="宋体"/>
          <w:color w:val="auto"/>
          <w:sz w:val="21"/>
          <w:szCs w:val="21"/>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2.3 “采购单位”系指“采购人”和“采购代理机构”的统称</w:t>
      </w:r>
      <w:r>
        <w:rPr>
          <w:rFonts w:hint="eastAsia" w:ascii="宋体" w:hAnsi="宋体" w:eastAsia="宋体" w:cs="宋体"/>
          <w:color w:val="auto"/>
          <w:sz w:val="21"/>
          <w:szCs w:val="21"/>
          <w:highlight w:val="none"/>
        </w:rPr>
        <w:t>。</w:t>
      </w:r>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3、合格投标人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投标人指领取了招标文件并完成登记备案拟参加投标和向采购人提供相应</w:t>
      </w:r>
      <w:r>
        <w:rPr>
          <w:rFonts w:hint="eastAsia" w:ascii="宋体" w:hAnsi="宋体" w:eastAsia="宋体" w:cs="宋体"/>
          <w:color w:val="auto"/>
          <w:sz w:val="21"/>
          <w:szCs w:val="21"/>
          <w:lang w:val="en-US" w:eastAsia="zh-CN"/>
        </w:rPr>
        <w:t>货物</w:t>
      </w:r>
      <w:r>
        <w:rPr>
          <w:rFonts w:hint="eastAsia" w:ascii="宋体" w:hAnsi="宋体" w:eastAsia="宋体" w:cs="宋体"/>
          <w:color w:val="auto"/>
          <w:sz w:val="21"/>
          <w:szCs w:val="21"/>
        </w:rPr>
        <w:t>服务的投标人。</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应符合投标人须知及前附表中合格投标人的全部要求。</w:t>
      </w:r>
    </w:p>
    <w:p>
      <w:pPr>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4、投标费用</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投标人应承担所有与编写和提交投标文件有关的费用，无论投标的结果如何，采购人和采购代理机构在任何情况下均无义务和责任承担这些费用。</w:t>
      </w:r>
    </w:p>
    <w:p>
      <w:pPr>
        <w:spacing w:line="360" w:lineRule="auto"/>
        <w:jc w:val="center"/>
        <w:outlineLvl w:val="1"/>
        <w:rPr>
          <w:rFonts w:hint="eastAsia" w:ascii="宋体" w:hAnsi="宋体" w:eastAsia="宋体" w:cs="宋体"/>
          <w:b/>
          <w:color w:val="auto"/>
          <w:sz w:val="21"/>
          <w:szCs w:val="21"/>
          <w:highlight w:val="none"/>
        </w:rPr>
      </w:pPr>
      <w:bookmarkStart w:id="61" w:name="_Toc14446"/>
      <w:bookmarkStart w:id="62" w:name="_Toc30276"/>
      <w:r>
        <w:rPr>
          <w:rFonts w:hint="eastAsia" w:ascii="宋体" w:hAnsi="宋体" w:eastAsia="宋体" w:cs="宋体"/>
          <w:b/>
          <w:color w:val="auto"/>
          <w:sz w:val="21"/>
          <w:szCs w:val="21"/>
          <w:highlight w:val="none"/>
        </w:rPr>
        <w:t>二、招标文件</w:t>
      </w:r>
      <w:bookmarkEnd w:id="61"/>
      <w:bookmarkEnd w:id="62"/>
    </w:p>
    <w:p>
      <w:pPr>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招标文件的构成</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  招标公告</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  投标人须知</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评标办法</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  合同条款(参考格式)</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第五章  </w:t>
      </w:r>
      <w:r>
        <w:rPr>
          <w:rFonts w:hint="eastAsia" w:ascii="宋体" w:hAnsi="宋体" w:eastAsia="宋体" w:cs="宋体"/>
          <w:color w:val="auto"/>
          <w:sz w:val="21"/>
          <w:szCs w:val="21"/>
          <w:highlight w:val="none"/>
          <w:lang w:val="en-US" w:eastAsia="zh-CN"/>
        </w:rPr>
        <w:t>技术标准和要求</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  投标文件构成及格式</w:t>
      </w:r>
    </w:p>
    <w:p>
      <w:pPr>
        <w:spacing w:line="360" w:lineRule="auto"/>
        <w:ind w:firstLine="420" w:firstLineChars="200"/>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第七章</w:t>
      </w:r>
      <w:r>
        <w:rPr>
          <w:rFonts w:hint="eastAsia" w:ascii="宋体" w:hAnsi="宋体" w:eastAsia="宋体" w:cs="宋体"/>
          <w:color w:val="auto"/>
          <w:sz w:val="21"/>
          <w:szCs w:val="21"/>
          <w:highlight w:val="none"/>
          <w:lang w:val="en-US" w:eastAsia="zh-CN"/>
        </w:rPr>
        <w:t xml:space="preserve">  附件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5.2投标人应认真阅读招标文件中所有的事项、格式、条款和规范等要求。如果投标人没有按照招标文件要求提交全部资料或投标文件没有对招标文件在各方面都做出实质性响应，是投标人的风险。</w:t>
      </w:r>
    </w:p>
    <w:p>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lang w:val="en-US" w:eastAsia="zh-CN"/>
        </w:rPr>
        <w:t>5.3投标人收到招标文件时，应检查页数和附件数量。投标人发现任何页数或附件数量的遗缺，任何数字或词汇模糊不清，任何词义含混不清，应告知采购单位补全或澄清。如果投标人不按上述提出要求而造成不良后果，采购单位不承担责任</w:t>
      </w:r>
      <w:r>
        <w:rPr>
          <w:rFonts w:hint="eastAsia" w:ascii="宋体" w:hAnsi="宋体" w:eastAsia="宋体" w:cs="宋体"/>
          <w:color w:val="auto"/>
          <w:sz w:val="21"/>
          <w:szCs w:val="21"/>
          <w:highlight w:val="none"/>
        </w:rPr>
        <w:t>。</w:t>
      </w:r>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6、招标文件的澄清和修改</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供应商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w:t>
      </w:r>
      <w:r>
        <w:rPr>
          <w:rFonts w:hint="eastAsia" w:ascii="宋体" w:hAnsi="宋体" w:eastAsia="宋体" w:cs="宋体"/>
          <w:color w:val="auto"/>
          <w:sz w:val="21"/>
          <w:szCs w:val="21"/>
          <w:lang w:val="en-US" w:eastAsia="zh-CN"/>
        </w:rPr>
        <w:t>在相关媒体上发布</w:t>
      </w:r>
      <w:r>
        <w:rPr>
          <w:rFonts w:hint="eastAsia" w:ascii="宋体" w:hAnsi="宋体" w:eastAsia="宋体" w:cs="宋体"/>
          <w:color w:val="auto"/>
          <w:sz w:val="21"/>
          <w:szCs w:val="21"/>
        </w:rPr>
        <w:t>。潜在投标人应在1日内确认已收到该答复，未回复的潜在投标人视为已经收到该答复。答复中包括所提的问题，但不包括问题的来源。</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澄清或者修改的内容可能影响投标文件编制的，采购人或者采购代理机构将在投标截止时间15日前，</w:t>
      </w:r>
      <w:r>
        <w:rPr>
          <w:rFonts w:hint="eastAsia" w:ascii="宋体" w:hAnsi="宋体" w:eastAsia="宋体" w:cs="宋体"/>
          <w:color w:val="auto"/>
          <w:sz w:val="21"/>
          <w:szCs w:val="21"/>
          <w:lang w:val="en-US" w:eastAsia="zh-CN"/>
        </w:rPr>
        <w:t>将在网站上</w:t>
      </w:r>
      <w:r>
        <w:rPr>
          <w:rFonts w:hint="eastAsia" w:ascii="宋体" w:hAnsi="宋体" w:eastAsia="宋体" w:cs="宋体"/>
          <w:color w:val="auto"/>
          <w:sz w:val="21"/>
          <w:szCs w:val="21"/>
        </w:rPr>
        <w:t>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r>
        <w:rPr>
          <w:rFonts w:hint="eastAsia" w:ascii="宋体" w:hAnsi="宋体" w:eastAsia="宋体" w:cs="宋体"/>
          <w:color w:val="auto"/>
          <w:sz w:val="21"/>
          <w:szCs w:val="21"/>
          <w:highlight w:val="none"/>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6.3本项目不召开答疑会。</w:t>
      </w:r>
    </w:p>
    <w:p>
      <w:pPr>
        <w:spacing w:line="360" w:lineRule="auto"/>
        <w:jc w:val="center"/>
        <w:outlineLvl w:val="1"/>
        <w:rPr>
          <w:rFonts w:hint="eastAsia" w:ascii="宋体" w:hAnsi="宋体" w:eastAsia="宋体" w:cs="宋体"/>
          <w:b/>
          <w:color w:val="auto"/>
          <w:sz w:val="21"/>
          <w:szCs w:val="21"/>
          <w:highlight w:val="none"/>
        </w:rPr>
      </w:pPr>
      <w:bookmarkStart w:id="63" w:name="_Toc19185"/>
      <w:bookmarkStart w:id="64" w:name="_Toc13388"/>
      <w:r>
        <w:rPr>
          <w:rFonts w:hint="eastAsia" w:ascii="宋体" w:hAnsi="宋体" w:eastAsia="宋体" w:cs="宋体"/>
          <w:b/>
          <w:color w:val="auto"/>
          <w:sz w:val="21"/>
          <w:szCs w:val="21"/>
          <w:highlight w:val="none"/>
        </w:rPr>
        <w:t>三、投标文件</w:t>
      </w:r>
      <w:bookmarkEnd w:id="63"/>
      <w:bookmarkEnd w:id="64"/>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7、投标文件的编制</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7.1投标语言：投标人的投标文件以及投标人与招标方就有关投标的所有来往函电均应使用中文。(注：投标人所投产品及设备的相关资料非中文文本无效)</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7.2计量单位：中华人民共和国法定计量单位。</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7.3投标文件应编排有序，并编制文件目录，准确标明文件内容所在位置</w:t>
      </w:r>
      <w:r>
        <w:rPr>
          <w:rFonts w:hint="eastAsia" w:ascii="宋体" w:hAnsi="宋体" w:eastAsia="宋体" w:cs="宋体"/>
          <w:color w:val="auto"/>
          <w:sz w:val="21"/>
          <w:szCs w:val="21"/>
          <w:highlight w:val="none"/>
          <w:lang w:eastAsia="zh-CN"/>
        </w:rPr>
        <w:t>。</w:t>
      </w:r>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8、投标文件构成</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8.1投标人应按照招标文件的规定和要求编制投标文件。投标人编写的投标文件应包括的内容见“第六章投标文件构成及格式”要求。</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对于没有格式要求的部分由投标人自行编写：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8.</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.1按第六章“投标文件构成、要求及格式”完整地填写“投标函”、“投标报价一览表”和“商务条款偏离表和技术规格偏离表”。</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.2证明投标人符合资格要求的文件：应具备第二章“投标人须知”“合格投标人”要求的投标资格，提供相关的资格证明文件以及第六章“投标文件构成、要求及格式”要求提供的其他资质文件。</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.3证明货物合格性和符合招标文件规定的文件材料：</w:t>
      </w:r>
    </w:p>
    <w:p>
      <w:pPr>
        <w:pStyle w:val="14"/>
        <w:spacing w:line="360" w:lineRule="auto"/>
        <w:ind w:left="0" w:leftChars="0" w:firstLine="315" w:firstLineChars="15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（1）“投标报价一览表”中对货物和服务来源地的说明；</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（2）货物主要技术指标和性能的详细说明，包括文字资料、产品样本、图纸和数据等；</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（3）为使货物正常、连续地使用，应提供采购人使用该货物所需的完整的备件和工具及清单（格式自拟）；</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逐条对招标文件要求的技术需求进行应答，指出所提供的货物和服务是否对招标文件的要求做出了实质性响应，或说明与货物需求和技术规格要求的正负偏差和例外，详细填写“技术规格偏离表、商务条款偏离表”。</w:t>
      </w:r>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9、投标报价</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9.1报价原则：</w:t>
      </w:r>
      <w:r>
        <w:rPr>
          <w:rFonts w:hint="eastAsia" w:ascii="宋体" w:hAnsi="宋体" w:eastAsia="宋体" w:cs="宋体"/>
          <w:color w:val="auto"/>
          <w:sz w:val="21"/>
          <w:szCs w:val="21"/>
          <w:highlight w:val="none"/>
          <w:lang w:val="en-US" w:eastAsia="zh-CN"/>
        </w:rPr>
        <w:t>详见前附表</w:t>
      </w:r>
      <w:r>
        <w:rPr>
          <w:rFonts w:hint="eastAsia" w:ascii="宋体" w:hAnsi="宋体" w:eastAsia="宋体" w:cs="宋体"/>
          <w:color w:val="auto"/>
          <w:sz w:val="21"/>
          <w:szCs w:val="21"/>
          <w:highlight w:val="none"/>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9.2投标人所报的价格在合同执行过程中是固定不变的，不得以任何理由予以变更。以可调整的价格提交的投标将作为非响应性投标而予以拒绝。</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9.3投标人报价应为优惠条件折算后的最终价格。评标过程中不再接受优惠条件的价格折算。</w:t>
      </w:r>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10、投标保证金</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投标保证金：投标人应在投标截止时间前将投标保证金采用电汇、转账、支票、汇票、本票或者金融机构、担保机构出具的保函等形式交纳。（投标保证金应从投标人的基本账户中转出，保证金的交纳时间以到账时间为准）。</w:t>
      </w:r>
    </w:p>
    <w:p>
      <w:pPr>
        <w:spacing w:line="360" w:lineRule="auto"/>
        <w:ind w:left="13" w:leftChars="6" w:firstLine="464" w:firstLineChars="22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10.2投标保证金是为了弥补采购人因投标人的违规行为而蒙受的损失。采购人在因投标人的违规行为而受到损害时将没收投标人的投标保证金作为所受损害的补偿。</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10.3投标保证金是投标文件的一个组成部分，没有按要求提交投标保证金的投标，将被视为非响应性投标予以拒绝。</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10.4落标人的投标保证金在中标通知书发出后5个工作日内退还，不计利息。</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10.5中标人的投标保证金，在中标人按规定签署合同，并交纳了履约保证金后5个工作日予以退还，不计利息。</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10.6中标供应商有下列情况之一的，采购人和采购代理机构不予退还其交纳的投标保证金：</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（1）投标人在招标文件规定的投标有效期内撤回其投标；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（2）中标人未按规定提交履约保证金的；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（3）中标人未按规定时间、地点与采购人签订合同的；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（4）投标人存在严重违法行为：如提供虚假材料谋取中标，恶意串通，以及行贿或者提供其他不正当利益等；</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（5）招标文件规定不予退还投标保证金的其他情形。</w:t>
      </w:r>
    </w:p>
    <w:p>
      <w:pPr>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11、投标有效期</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11.1投标有效期为自开标之时起90天，投标文件在这个规定期限内应保持有效。</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11.2在特殊情况下，</w:t>
      </w:r>
      <w:r>
        <w:rPr>
          <w:rFonts w:hint="eastAsia" w:ascii="宋体" w:hAnsi="宋体" w:eastAsia="宋体" w:cs="宋体"/>
          <w:color w:val="auto"/>
          <w:sz w:val="21"/>
          <w:szCs w:val="21"/>
          <w:lang w:val="en-US" w:eastAsia="zh-CN"/>
        </w:rPr>
        <w:t>采购单位</w:t>
      </w:r>
      <w:r>
        <w:rPr>
          <w:rFonts w:hint="eastAsia" w:ascii="宋体" w:hAnsi="宋体" w:eastAsia="宋体" w:cs="宋体"/>
          <w:color w:val="auto"/>
          <w:sz w:val="21"/>
          <w:szCs w:val="21"/>
        </w:rPr>
        <w:t>可与投标人协商延长投标有效期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投标人可以拒绝接受延期要求而不会被没收投标保证金。同意延长投标有效期的投标人除按照要求修改投标文件的有效期外，不能修改投标文件的其他内容</w:t>
      </w:r>
      <w:r>
        <w:rPr>
          <w:rFonts w:hint="eastAsia" w:ascii="宋体" w:hAnsi="宋体" w:eastAsia="宋体" w:cs="宋体"/>
          <w:color w:val="auto"/>
          <w:sz w:val="21"/>
          <w:szCs w:val="21"/>
          <w:highlight w:val="none"/>
        </w:rPr>
        <w:t>。</w:t>
      </w:r>
    </w:p>
    <w:p>
      <w:pPr>
        <w:spacing w:line="360" w:lineRule="auto"/>
        <w:ind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b/>
          <w:bCs/>
          <w:color w:val="auto"/>
          <w:szCs w:val="21"/>
          <w:highlight w:val="none"/>
        </w:rPr>
        <w:t>投标文件的</w:t>
      </w:r>
      <w:r>
        <w:rPr>
          <w:rFonts w:hint="eastAsia" w:ascii="宋体" w:hAnsi="宋体"/>
          <w:b/>
          <w:bCs/>
          <w:color w:val="auto"/>
          <w:szCs w:val="21"/>
          <w:highlight w:val="none"/>
          <w:lang w:eastAsia="zh-CN"/>
        </w:rPr>
        <w:t>编制</w:t>
      </w:r>
      <w:r>
        <w:rPr>
          <w:rFonts w:hint="eastAsia" w:ascii="宋体" w:hAnsi="宋体"/>
          <w:b/>
          <w:bCs/>
          <w:color w:val="auto"/>
          <w:szCs w:val="21"/>
          <w:highlight w:val="none"/>
        </w:rPr>
        <w:t>和签署</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12.1</w:t>
      </w:r>
      <w:r>
        <w:rPr>
          <w:rFonts w:hint="eastAsia" w:ascii="宋体" w:hAnsi="宋体" w:eastAsia="宋体" w:cs="宋体"/>
          <w:color w:val="auto"/>
          <w:sz w:val="21"/>
          <w:szCs w:val="21"/>
          <w:lang w:eastAsia="zh-CN"/>
        </w:rPr>
        <w:t>投标文件应按招标文件要求的投标文件格式编制并使用下载的政采云投标客户端（下载链接：https://customer.zcygov.cn/CA-driver-download?utm=web-login-front.52cebfa2.0.0.04df4040034511edaac705fda12edb43）制作并上传，上传的投标文件文本格式未按照电子化采购系统要求制作，出现乱码等情况不能进行评审的，其投标无效。</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12.2</w:t>
      </w:r>
      <w:r>
        <w:rPr>
          <w:rFonts w:hint="eastAsia" w:ascii="宋体" w:hAnsi="宋体" w:eastAsia="宋体" w:cs="宋体"/>
          <w:color w:val="auto"/>
          <w:sz w:val="21"/>
          <w:szCs w:val="21"/>
          <w:lang w:eastAsia="zh-CN"/>
        </w:rPr>
        <w:t>招标文件要求的投标文件格式中须加盖单位公章的部分均采用CA签章，并根据规定的格式和顺序编制电子投标文件并进行关联定位，以便评标委员会在评审时，点击评分项可直接定位到该评分项内容。如对招标文件的某项要求，投标单位的电子投标文件未能关联定位提供相应的内容与其对应，则评标委员会在评审时如做出对投标单位不利的评审由投标单位自行承担。电子投标文件如内容不完整、编排混乱导致投标文件被误读、漏读，或者在按招标文件规定的部位查找不到相关内容的，由投标单位自行承担。</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lang w:eastAsia="zh-CN"/>
        </w:rPr>
        <w:t xml:space="preserve">投标人法定代表人或主要负责人或其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12.4</w:t>
      </w:r>
      <w:r>
        <w:rPr>
          <w:rFonts w:hint="eastAsia" w:ascii="宋体" w:hAnsi="宋体" w:eastAsia="宋体" w:cs="宋体"/>
          <w:color w:val="auto"/>
          <w:sz w:val="21"/>
          <w:szCs w:val="21"/>
          <w:lang w:eastAsia="zh-CN"/>
        </w:rPr>
        <w:t>投标文件不得涂改，若有修改错漏处，须法定代表人或主要负责人或其授权代表签字（或个人CA签章）。文件加盖CA签章时，请勿遮挡文件中关键信息。投标文件因字迹潦草或表达不清所引起的后果由投标单位负责。</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12.5</w:t>
      </w:r>
      <w:r>
        <w:rPr>
          <w:rFonts w:hint="eastAsia" w:ascii="宋体" w:hAnsi="宋体" w:eastAsia="宋体" w:cs="宋体"/>
          <w:color w:val="auto"/>
          <w:sz w:val="21"/>
          <w:szCs w:val="21"/>
        </w:rPr>
        <w:t>投标人应按本招标文件规定的格式和顺序编制投标文件并编制完整的页码、目录，投标文件内容不完整、编排混乱导致投标文件被误读、漏读或者查找不到相关内容的，由投标人自行负责。</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12.6</w:t>
      </w:r>
      <w:r>
        <w:rPr>
          <w:rFonts w:hint="eastAsia" w:ascii="宋体" w:hAnsi="宋体" w:eastAsia="宋体" w:cs="宋体"/>
          <w:color w:val="auto"/>
          <w:sz w:val="21"/>
          <w:szCs w:val="21"/>
        </w:rPr>
        <w:t>投标文件按照招标文件“第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w:t>
      </w:r>
      <w:r>
        <w:rPr>
          <w:rFonts w:hint="eastAsia" w:ascii="宋体" w:hAnsi="宋体" w:eastAsia="宋体" w:cs="宋体"/>
          <w:color w:val="auto"/>
          <w:sz w:val="21"/>
          <w:szCs w:val="21"/>
          <w:highlight w:val="none"/>
        </w:rPr>
        <w:t>投标文件构成、要求及格式</w:t>
      </w:r>
      <w:r>
        <w:rPr>
          <w:rFonts w:hint="eastAsia" w:ascii="宋体" w:hAnsi="宋体" w:eastAsia="宋体" w:cs="宋体"/>
          <w:color w:val="auto"/>
          <w:sz w:val="21"/>
          <w:szCs w:val="21"/>
        </w:rPr>
        <w:t>”要求在规定位置进行签署、盖章。投标人的投标文件未按照招标文件要求签署、盖章的，其投标无效。</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12.7</w:t>
      </w:r>
      <w:r>
        <w:rPr>
          <w:rFonts w:hint="eastAsia" w:ascii="宋体" w:hAnsi="宋体" w:eastAsia="宋体" w:cs="宋体"/>
          <w:color w:val="auto"/>
          <w:sz w:val="21"/>
          <w:szCs w:val="21"/>
        </w:rPr>
        <w:t>为确保网上操作合法、有效和安全，投标人应当在投标文件递交截止时间前完成在政采云平台的身份认证，确保在电子投标过程中能够对相关数据电文进行加密和使用电子签名。</w:t>
      </w:r>
    </w:p>
    <w:p>
      <w:pPr>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12.8</w:t>
      </w:r>
      <w:r>
        <w:rPr>
          <w:rFonts w:hint="eastAsia" w:ascii="宋体" w:hAnsi="宋体" w:eastAsia="宋体" w:cs="宋体"/>
          <w:color w:val="auto"/>
          <w:sz w:val="21"/>
          <w:szCs w:val="21"/>
        </w:rPr>
        <w:t>投标文件中标注的投标人名称应与主体资格证明（如营业执照、事业单位法人证书、执业许可证、个体工商户营业执照、自然人身份证等）和公章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电子签章一致，否则作无效投标处理</w:t>
      </w:r>
      <w:r>
        <w:rPr>
          <w:rFonts w:hint="eastAsia" w:ascii="宋体" w:hAnsi="宋体" w:eastAsia="宋体" w:cs="宋体"/>
          <w:color w:val="auto"/>
          <w:sz w:val="21"/>
          <w:szCs w:val="21"/>
          <w:highlight w:val="none"/>
        </w:rPr>
        <w:t>。</w:t>
      </w:r>
    </w:p>
    <w:p>
      <w:pPr>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13、投标文件的修改和撤回</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zh-CN"/>
        </w:rPr>
        <w:t>应当在</w:t>
      </w:r>
      <w:r>
        <w:rPr>
          <w:rFonts w:hint="eastAsia" w:ascii="宋体" w:hAnsi="宋体" w:eastAsia="宋体" w:cs="宋体"/>
          <w:color w:val="auto"/>
          <w:sz w:val="21"/>
          <w:szCs w:val="21"/>
          <w:lang w:val="en-US" w:eastAsia="zh-CN"/>
        </w:rPr>
        <w:t>开标</w:t>
      </w:r>
      <w:r>
        <w:rPr>
          <w:rFonts w:hint="eastAsia" w:ascii="宋体" w:hAnsi="宋体" w:eastAsia="宋体" w:cs="宋体"/>
          <w:color w:val="auto"/>
          <w:sz w:val="21"/>
          <w:szCs w:val="21"/>
          <w:lang w:val="zh-CN"/>
        </w:rPr>
        <w:t>截止时间前完成</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文件的传输递交，并可以补充、修改或者撤回</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文件。补充或者修改</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的，应当先行撤回原文件，补充、修改后重新传输递交。提交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截止时间前未完成传输的，视为撤回投标文件。提交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截止时间后递交的</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，政采云平台将拒收</w:t>
      </w:r>
      <w:r>
        <w:rPr>
          <w:rFonts w:hint="eastAsia" w:ascii="宋体" w:hAnsi="宋体" w:eastAsia="宋体" w:cs="宋体"/>
          <w:color w:val="auto"/>
          <w:sz w:val="21"/>
          <w:szCs w:val="21"/>
          <w:highlight w:val="none"/>
        </w:rPr>
        <w:t>。</w:t>
      </w:r>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投标人必须在招标文件规定的提交投标文件截止时间前提交电子版投标文件。电子投标文件应在制作完成后，在提交投标文件截止时间前通过有效数字证书（CA锁）进行电子签章、加密，然后通过网络将加密的电子投标文件递交至政采云平台。</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14.2</w:t>
      </w:r>
      <w:r>
        <w:rPr>
          <w:rFonts w:hint="eastAsia" w:ascii="宋体" w:hAnsi="宋体" w:eastAsia="宋体" w:cs="宋体"/>
          <w:color w:val="auto"/>
          <w:sz w:val="21"/>
          <w:szCs w:val="21"/>
        </w:rPr>
        <w:t xml:space="preserve">未在规定时间内提交投标文件或者未按照招标文件要求签章、加密的电子投标文件，政采云平台将拒收。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14.3</w:t>
      </w:r>
      <w:r>
        <w:rPr>
          <w:rFonts w:hint="eastAsia" w:ascii="宋体" w:hAnsi="宋体" w:eastAsia="宋体" w:cs="宋体"/>
          <w:color w:val="auto"/>
          <w:sz w:val="21"/>
          <w:szCs w:val="21"/>
        </w:rPr>
        <w:t>在提交投标文件截止时间前，除投标人补充、修改或者撤回投标文件外，任何单位和个人不得解密或提取投标文件。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14.4</w:t>
      </w:r>
      <w:r>
        <w:rPr>
          <w:rFonts w:hint="eastAsia" w:ascii="宋体" w:hAnsi="宋体" w:eastAsia="宋体" w:cs="宋体"/>
          <w:color w:val="auto"/>
          <w:sz w:val="21"/>
          <w:szCs w:val="21"/>
        </w:rPr>
        <w:t>在提交投标文件截止时间止提交电子版投标文件的投标人不足3家时，按废标处理。</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14.5</w:t>
      </w:r>
      <w:r>
        <w:rPr>
          <w:rFonts w:hint="eastAsia" w:ascii="宋体" w:hAnsi="宋体" w:eastAsia="宋体" w:cs="宋体"/>
          <w:color w:val="auto"/>
          <w:sz w:val="21"/>
          <w:szCs w:val="21"/>
        </w:rPr>
        <w:t>招标文件未允许同一投标人提交两个或以上不同的投标文件，但存在同一投标人提交两个或以上不同的投标文件的，其投标无效。投标人在同一投标文件中对某项技术、商务要求提供有选择性的投标参数或方案等同于提交两个或以上不同的投标文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14.6</w:t>
      </w:r>
      <w:r>
        <w:rPr>
          <w:rFonts w:hint="eastAsia" w:ascii="宋体" w:hAnsi="宋体" w:eastAsia="宋体" w:cs="宋体"/>
          <w:color w:val="auto"/>
          <w:sz w:val="21"/>
          <w:szCs w:val="21"/>
        </w:rPr>
        <w:t>本项目提交投标文件截止时间、开标时间和地点详见招标公告中规定。</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代理机构将按照招标文件规定的时间通过政采云平台组织线上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如投标人成功解密投标文件，但未在政采云电子开标大厅参加开标的，视同认可开标过程和结果，由此产生的后果由投标人自行负责</w:t>
      </w:r>
      <w:r>
        <w:rPr>
          <w:rFonts w:hint="eastAsia" w:ascii="宋体" w:hAnsi="宋体" w:eastAsia="宋体" w:cs="宋体"/>
          <w:color w:val="auto"/>
          <w:sz w:val="21"/>
          <w:szCs w:val="21"/>
          <w:highlight w:val="none"/>
        </w:rPr>
        <w:t>。</w:t>
      </w:r>
    </w:p>
    <w:p>
      <w:pPr>
        <w:spacing w:line="360" w:lineRule="auto"/>
        <w:jc w:val="center"/>
        <w:outlineLvl w:val="1"/>
        <w:rPr>
          <w:rFonts w:hint="eastAsia" w:ascii="宋体" w:hAnsi="宋体" w:eastAsia="宋体" w:cs="宋体"/>
          <w:b/>
          <w:bCs/>
          <w:color w:val="auto"/>
          <w:sz w:val="21"/>
          <w:szCs w:val="21"/>
          <w:highlight w:val="none"/>
        </w:rPr>
      </w:pPr>
      <w:bookmarkStart w:id="65" w:name="_Toc3960"/>
      <w:bookmarkStart w:id="66" w:name="_Toc25429"/>
      <w:r>
        <w:rPr>
          <w:rFonts w:hint="eastAsia" w:ascii="宋体" w:hAnsi="宋体" w:eastAsia="宋体" w:cs="宋体"/>
          <w:b/>
          <w:bCs/>
          <w:color w:val="auto"/>
          <w:sz w:val="21"/>
          <w:szCs w:val="21"/>
          <w:highlight w:val="none"/>
        </w:rPr>
        <w:t>四、开标与评标</w:t>
      </w:r>
      <w:bookmarkEnd w:id="65"/>
      <w:bookmarkEnd w:id="66"/>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15、开标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15.1</w:t>
      </w:r>
      <w:r>
        <w:rPr>
          <w:rFonts w:hint="eastAsia" w:ascii="宋体" w:hAnsi="宋体" w:eastAsia="宋体" w:cs="宋体"/>
          <w:color w:val="auto"/>
          <w:sz w:val="21"/>
          <w:szCs w:val="21"/>
        </w:rPr>
        <w:t>投标人登录政采云平台进入开标大厅签到。请投标人提前阅读《政府采购项目电子交易操作指南-供应商（政采云）》。</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15.2</w:t>
      </w:r>
      <w:r>
        <w:rPr>
          <w:rFonts w:hint="eastAsia" w:ascii="宋体" w:hAnsi="宋体" w:eastAsia="宋体" w:cs="宋体"/>
          <w:color w:val="auto"/>
          <w:sz w:val="21"/>
          <w:szCs w:val="21"/>
        </w:rPr>
        <w:t>解密电子投标文件。政采云平台按投标截止时间自动提取所有投标文件。采购代理机构在政采云平台向各投标人发出电子加密投标文件开始解密通知，由投标人平台设置时间内自行进行投标文件解密。投标人须使用加密时所用的CA锁准时登录到政采云平台电子开标大厅签到并对电子投标文件解密。投标截止后投标人未及时进行解密的，采购代理机构可通知投标人。通知后投标人仍未在上述规定时间内解密投标文件，或者投标人没有预留联系方式或预留联系方式无效导致采购代理机构无法联系到投标人的，均视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15.3</w:t>
      </w:r>
      <w:r>
        <w:rPr>
          <w:rFonts w:hint="eastAsia" w:ascii="宋体" w:hAnsi="宋体" w:eastAsia="宋体" w:cs="宋体"/>
          <w:color w:val="auto"/>
          <w:sz w:val="21"/>
          <w:szCs w:val="21"/>
        </w:rPr>
        <w:t>解密异常情况处理：电子交易活动的中止。招标过程中出现以下情形，导致电子交易平台无法正常运行，或者无法保证电子交易的公平、公正和安全时，采购代理机构可中止电子交易活动：</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①电子交易平台发生故障而无法登录访问的；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②电子交易平台应用或数据库出现错误，不能进行正常操作的；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③电子交易平台发现严重安全漏洞，有潜在泄密危险的；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④电子化采购系统感染病毒不能进行正常操作的；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⑤因电子化开评标场所停电、断网等原因，导致采购活动无法继续进行的；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⑥其他无法保证电子化采购活动公平、公正和安全的情况。</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15.4</w:t>
      </w:r>
      <w:r>
        <w:rPr>
          <w:rFonts w:hint="eastAsia" w:ascii="宋体" w:hAnsi="宋体" w:eastAsia="宋体" w:cs="宋体"/>
          <w:color w:val="auto"/>
          <w:sz w:val="21"/>
          <w:szCs w:val="21"/>
        </w:rPr>
        <w:t>特别说明：如遇政采云平台相关程序调整的，按调整后的程序执行。</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15.5</w:t>
      </w:r>
      <w:r>
        <w:rPr>
          <w:rFonts w:hint="eastAsia" w:ascii="宋体" w:hAnsi="宋体" w:eastAsia="宋体" w:cs="宋体"/>
          <w:color w:val="auto"/>
          <w:sz w:val="21"/>
          <w:szCs w:val="21"/>
        </w:rPr>
        <w:t>开标时有下列情形之一的为无效投标：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①投标文件在规定的投标截止时间以后</w:t>
      </w:r>
      <w:r>
        <w:rPr>
          <w:rFonts w:hint="eastAsia" w:ascii="宋体" w:hAnsi="宋体" w:eastAsia="宋体" w:cs="宋体"/>
          <w:color w:val="auto"/>
          <w:sz w:val="21"/>
          <w:szCs w:val="21"/>
          <w:lang w:val="en-US" w:eastAsia="zh-CN"/>
        </w:rPr>
        <w:t>上传</w:t>
      </w:r>
      <w:r>
        <w:rPr>
          <w:rFonts w:hint="eastAsia" w:ascii="宋体" w:hAnsi="宋体" w:eastAsia="宋体" w:cs="宋体"/>
          <w:color w:val="auto"/>
          <w:sz w:val="21"/>
          <w:szCs w:val="21"/>
        </w:rPr>
        <w:t>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②投标文件未按招标文件规定加密的；</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③招标文件规定开标时属于无效投标的其他情形。</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15.6</w:t>
      </w:r>
      <w:r>
        <w:rPr>
          <w:rFonts w:hint="eastAsia" w:ascii="宋体" w:hAnsi="宋体" w:eastAsia="宋体" w:cs="宋体"/>
          <w:color w:val="auto"/>
          <w:sz w:val="21"/>
          <w:szCs w:val="21"/>
        </w:rPr>
        <w:t>开标时有下列情形之一的，采购人有权宣布本项目废标：</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①所有投标人的报价均超过采购项目预算，采购人不能支付的。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首次招标废标后将重新招标，重新招标仍出现本款情形的，按相关规定处理</w:t>
      </w:r>
      <w:r>
        <w:rPr>
          <w:rFonts w:hint="eastAsia" w:ascii="宋体" w:hAnsi="宋体" w:eastAsia="宋体" w:cs="宋体"/>
          <w:color w:val="auto"/>
          <w:sz w:val="21"/>
          <w:szCs w:val="21"/>
          <w:highlight w:val="none"/>
        </w:rPr>
        <w:t>。</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16、评标过程的保密性</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17、评标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17.1采购代理机构负责组织评标工作，并履行下列职责：</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（一）核对评审专家身份和采购人代表授权函，对评审专家在政府采购活动中的职责履行情况予以记录，并及时将有关违法违规行为向财政部门报告；</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（二）宣布评标纪律；</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（三）公布投标人名单，告知评审专家应当回避的情形；</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（四）组织评标委员会推选评标组长，采购人代表不得担任组长；</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（五）在评标期间采取必要的通讯管理措施，保证评标活动不受外界干扰；</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（六）根据评标委员会的要求介绍政府采购相关政策法规、招标文件；</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（七）维护评标秩序，监督评标委员会依照招标文件规定的评标程序、方法和标准进行独立评审，及时制止和纠正采购人代表、评审专家的倾向性言论或者违法违规行为；</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（八）核对评标结果，有本办法第六十四条规定情形的，要求评标委员会复核或者书面说明理由，评标委员会拒绝的，应予记录并向本级财政部门报告；</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（九）评审工作完成后，按照规定向评审专家支付劳务报酬和异地评审差旅费，不得向评审专家以外的其他人员支付评审劳务报酬；</w:t>
      </w:r>
    </w:p>
    <w:p>
      <w:pPr>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（十）处理与评标有关的其他事项。</w:t>
      </w:r>
    </w:p>
    <w:p>
      <w:pPr>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17.2采购人可以在评标前说明项目背景和采购需求，说明内容不得含有歧视性、倾向性意见，不得超出招标文件所述范围。说明应当提交书面材料，并随采购文件一并存档。</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r>
        <w:rPr>
          <w:rFonts w:hint="eastAsia" w:ascii="宋体" w:hAnsi="宋体" w:eastAsia="宋体" w:cs="宋体"/>
          <w:color w:val="auto"/>
          <w:sz w:val="21"/>
          <w:szCs w:val="21"/>
          <w:highlight w:val="none"/>
          <w:lang w:val="zh-CN"/>
        </w:rPr>
        <w:t>评标委员会由评审专家和采购人代表组成。评标委员会的专家成员从省政府采购监督管理部门建立的专家库中随机抽取产生，采购人代表由采购人委派。</w:t>
      </w:r>
      <w:r>
        <w:rPr>
          <w:rFonts w:hint="eastAsia" w:ascii="宋体" w:hAnsi="宋体" w:eastAsia="宋体" w:cs="宋体"/>
          <w:color w:val="auto"/>
          <w:sz w:val="21"/>
          <w:szCs w:val="21"/>
          <w:highlight w:val="none"/>
        </w:rPr>
        <w:t>评标委员会根据有关法律法规和招标文件规定的方法和标准独立评标，负责完成评标的全过程直至评定预中标人，成员人数应当为5人以上单数，其中评审专家不得少于成员总数的三分之二。</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采购项目符合下列情形之一的，评标委员会成员人数应当为7人以上单数：</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（一）采购预算金额在1000万元以上；</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（二）技术复杂；</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（三）社会影响较大。</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评标委员会负责具体评标事物，并独立履行下列职责：</w:t>
      </w:r>
    </w:p>
    <w:p>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（一）审查、评价投标文件是否符合招标文件的商务、技术等实质性要求；</w:t>
      </w:r>
    </w:p>
    <w:p>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（二）要求投标人对投标文件有关事项作出澄清或者说明；</w:t>
      </w:r>
    </w:p>
    <w:p>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（三）对投标文件进行比较和评价；</w:t>
      </w:r>
    </w:p>
    <w:p>
      <w:pPr>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（四）确定中标候选人名单；</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（五）向采购人、采购代理机构或者有关部门报告评标中发现的违法行为</w:t>
      </w:r>
      <w:r>
        <w:rPr>
          <w:rFonts w:hint="eastAsia" w:ascii="宋体" w:hAnsi="宋体" w:eastAsia="宋体" w:cs="宋体"/>
          <w:color w:val="auto"/>
          <w:sz w:val="21"/>
          <w:szCs w:val="21"/>
          <w:highlight w:val="none"/>
        </w:rPr>
        <w:t>。</w:t>
      </w:r>
    </w:p>
    <w:p>
      <w:pPr>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18、政府采购进口产品的规定</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在中国境内生产或组装的外国品牌产品须标明该产品在中国国内制造厂商名称。否则，按进口产品对待。</w:t>
      </w:r>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19、政府强制采购节能产品的规定</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按照财政部、发展改革委最新发布执行的《节能产品政府采购清单》的规定，《货物需求及技术规格要求》中凡包含强制采购产品的，供应商必须提供列入《节能产品政府采购清单》的产品，否则投标无效。</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《货物需求及技术规格要求》中包含计算机设备的，供应商必须投标预装正版操作系统软件的计算机产品，否则无效。</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19.2《货物需求及技术规格要求》中包含计算机设备的，投标人必须投标预装正版操作系统软件的计算机产品，否则无效。</w:t>
      </w:r>
    </w:p>
    <w:p>
      <w:pPr>
        <w:spacing w:line="360" w:lineRule="auto"/>
        <w:jc w:val="center"/>
        <w:outlineLvl w:val="1"/>
        <w:rPr>
          <w:rFonts w:hint="eastAsia" w:ascii="宋体" w:hAnsi="宋体" w:eastAsia="宋体" w:cs="宋体"/>
          <w:b/>
          <w:color w:val="auto"/>
          <w:sz w:val="21"/>
          <w:szCs w:val="21"/>
          <w:highlight w:val="none"/>
        </w:rPr>
      </w:pPr>
      <w:bookmarkStart w:id="67" w:name="_Toc24025"/>
      <w:bookmarkStart w:id="68" w:name="_Toc19797"/>
      <w:r>
        <w:rPr>
          <w:rFonts w:hint="eastAsia" w:ascii="宋体" w:hAnsi="宋体" w:eastAsia="宋体" w:cs="宋体"/>
          <w:b/>
          <w:color w:val="auto"/>
          <w:sz w:val="21"/>
          <w:szCs w:val="21"/>
          <w:highlight w:val="none"/>
        </w:rPr>
        <w:t>五、中标与合同</w:t>
      </w:r>
      <w:bookmarkEnd w:id="67"/>
      <w:bookmarkEnd w:id="68"/>
    </w:p>
    <w:p>
      <w:pPr>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w:t>
      </w:r>
      <w:bookmarkStart w:id="69" w:name="OLE_LINK3"/>
      <w:r>
        <w:rPr>
          <w:rFonts w:hint="eastAsia" w:ascii="宋体" w:hAnsi="宋体" w:eastAsia="宋体" w:cs="宋体"/>
          <w:b/>
          <w:color w:val="auto"/>
          <w:sz w:val="21"/>
          <w:szCs w:val="21"/>
          <w:highlight w:val="none"/>
        </w:rPr>
        <w:t>中标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20.1采购代理机构应当在评标结束后2个工作日内将评标报告送采购人。</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采购人应当自收到评标报告之日起5个工作日内，在评标报告确定的中标候选人名单中按顺序确定中标人。中标候选人并列的，采购人可采取随机抽取的方式确定。</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20.4采购代理机构应当自评标委员会中标人确定之日起2个工作日内，在省级以上财政部门指定的媒体上公告中标结果，招标文件应当随中标结果同时公告。中标公告期限为1个工作日。</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20.5在公告中标结果的同时，采购代理机构向中标人发出中标通知书。</w:t>
      </w:r>
    </w:p>
    <w:bookmarkEnd w:id="69"/>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21、授标时更改货物数量的权利</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21.1采购人在授予合同时有权在一定幅度内对《货物需求及技术规格》中规定的货物数量和服务予以增加或减少，但不得改变单价和其他条款和条件。</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22、签订合同</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中标通知书发出后，采购人不得违法改变中标结果，中标人无正当理由不得放弃中标。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22.3采购人不得向中标人提出任何不合理的要求作为签订合同的条件。</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23、保密和披露</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投标人自购买招标文件之日起，须承诺承担本招标项目下的保密义务，不得将因本次招标获得的信息向第三人外传。</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采购人有权将投标人提供的所有资料向其他政府部门或有关的非政府机构负责评审标书的人员或与评标有关的人员披露。</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24、质疑和投诉</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招标方提出质疑（如投标人所参与项目须要在网上提交质疑程序，供应商须将纸质版质疑材料与网上提交质疑程序在同一工作日内进行，如出现日期不一致时，以两者中最后日期为准）。供应商应在法定质疑期内一次性提出针对同一采购程序环节的质疑。（质疑联系人及联系方式：</w:t>
      </w:r>
      <w:r>
        <w:rPr>
          <w:rFonts w:hint="eastAsia" w:ascii="宋体" w:hAnsi="宋体" w:eastAsia="宋体" w:cs="宋体"/>
          <w:color w:val="auto"/>
          <w:sz w:val="21"/>
          <w:szCs w:val="21"/>
          <w:highlight w:val="none"/>
          <w:lang w:eastAsia="zh-CN"/>
        </w:rPr>
        <w:t>丁玉清15764342377</w:t>
      </w:r>
      <w:r>
        <w:rPr>
          <w:rFonts w:hint="eastAsia" w:ascii="宋体" w:hAnsi="宋体" w:eastAsia="宋体" w:cs="宋体"/>
          <w:color w:val="auto"/>
          <w:sz w:val="21"/>
          <w:szCs w:val="21"/>
          <w:highlight w:val="none"/>
        </w:rPr>
        <w:t>）投标人对采购人的质疑答复不满意或者采购人未在规定时间内作出答复的，可以在答复期满后十五个工作日内向同级采购监管部门投诉。</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24.2质疑书、投诉书均应明确阐述招标文件、招标过程和中标结果中使自己合法权益受到损害的实质性内容，提供相关事实、依据和证据及其来源或线索，便于有关单位调查、答复和处理。</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25、中标服务费</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中标人在接到中标通知书后，应向采购代理机构足额缴纳中标服务费。</w:t>
      </w:r>
    </w:p>
    <w:p>
      <w:pPr>
        <w:spacing w:line="360" w:lineRule="auto"/>
        <w:ind w:firstLine="420" w:firstLineChars="200"/>
        <w:outlineLvl w:val="9"/>
        <w:rPr>
          <w:rFonts w:hint="eastAsia"/>
          <w:color w:val="auto"/>
          <w:sz w:val="21"/>
          <w:szCs w:val="21"/>
          <w:lang w:val="zh-CN"/>
        </w:rPr>
      </w:pPr>
      <w:r>
        <w:rPr>
          <w:rFonts w:hint="eastAsia" w:ascii="宋体" w:hAnsi="宋体" w:eastAsia="宋体" w:cs="宋体"/>
          <w:color w:val="auto"/>
          <w:sz w:val="21"/>
          <w:szCs w:val="21"/>
          <w:highlight w:val="none"/>
        </w:rPr>
        <w:t>收取标准：参照国家发展计划委员会计价格[2002]1980号、发改办价格[2003]857号文件标准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发改价格【2015】299号文件，</w:t>
      </w:r>
      <w:r>
        <w:rPr>
          <w:rFonts w:hint="eastAsia" w:ascii="宋体" w:hAnsi="宋体" w:eastAsia="宋体" w:cs="宋体"/>
          <w:color w:val="auto"/>
          <w:sz w:val="21"/>
          <w:szCs w:val="21"/>
          <w:highlight w:val="none"/>
        </w:rPr>
        <w:t>向中标人收取招标代理服务费</w:t>
      </w:r>
      <w:r>
        <w:rPr>
          <w:rFonts w:hint="eastAsia" w:ascii="宋体" w:hAnsi="宋体" w:eastAsia="宋体" w:cs="宋体"/>
          <w:color w:val="auto"/>
          <w:sz w:val="21"/>
          <w:szCs w:val="21"/>
        </w:rPr>
        <w:t>。</w:t>
      </w:r>
      <w:r>
        <w:rPr>
          <w:rFonts w:hint="eastAsia"/>
          <w:color w:val="auto"/>
          <w:sz w:val="21"/>
          <w:szCs w:val="21"/>
          <w:lang w:val="zh-CN"/>
        </w:rPr>
        <w:br w:type="page"/>
      </w:r>
    </w:p>
    <w:p>
      <w:pPr>
        <w:pStyle w:val="2"/>
        <w:bidi w:val="0"/>
        <w:jc w:val="center"/>
        <w:rPr>
          <w:rFonts w:hint="eastAsia"/>
          <w:color w:val="auto"/>
        </w:rPr>
        <w:sectPr>
          <w:footerReference r:id="rId6" w:type="default"/>
          <w:pgSz w:w="11906" w:h="16838"/>
          <w:pgMar w:top="1440" w:right="1106" w:bottom="1440" w:left="1380" w:header="851" w:footer="992" w:gutter="0"/>
          <w:pgNumType w:fmt="decimal"/>
          <w:cols w:space="720" w:num="1"/>
          <w:docGrid w:type="lines" w:linePitch="312" w:charSpace="0"/>
        </w:sectPr>
      </w:pPr>
      <w:bookmarkStart w:id="70" w:name="_Toc9393"/>
      <w:r>
        <w:rPr>
          <w:rFonts w:hint="eastAsia"/>
          <w:color w:val="auto"/>
          <w:lang w:val="zh-CN"/>
        </w:rPr>
        <w:t xml:space="preserve">第三章 </w:t>
      </w:r>
      <w:bookmarkStart w:id="71" w:name="_Toc179632627"/>
      <w:bookmarkStart w:id="72" w:name="_Toc247085767"/>
      <w:bookmarkStart w:id="73" w:name="_Toc144974577"/>
      <w:bookmarkStart w:id="74" w:name="_Toc152042387"/>
      <w:bookmarkStart w:id="75" w:name="_Toc246996252"/>
      <w:bookmarkStart w:id="76" w:name="_Toc246996995"/>
      <w:bookmarkStart w:id="77" w:name="_Toc152045609"/>
      <w:r>
        <w:rPr>
          <w:rFonts w:hint="eastAsia"/>
          <w:color w:val="auto"/>
        </w:rPr>
        <w:t>评标办法</w:t>
      </w:r>
      <w:bookmarkEnd w:id="57"/>
      <w:bookmarkEnd w:id="58"/>
      <w:bookmarkEnd w:id="59"/>
      <w:bookmarkEnd w:id="60"/>
      <w:bookmarkEnd w:id="70"/>
      <w:bookmarkEnd w:id="71"/>
      <w:bookmarkEnd w:id="72"/>
      <w:bookmarkEnd w:id="73"/>
      <w:bookmarkEnd w:id="74"/>
      <w:bookmarkEnd w:id="75"/>
      <w:bookmarkEnd w:id="76"/>
      <w:bookmarkEnd w:id="77"/>
      <w:bookmarkStart w:id="78" w:name="_Toc12089"/>
      <w:bookmarkStart w:id="79" w:name="_Toc32564"/>
      <w:bookmarkStart w:id="80" w:name="_Toc28446"/>
      <w:bookmarkStart w:id="81" w:name="_Toc31131"/>
    </w:p>
    <w:p>
      <w:pPr>
        <w:pStyle w:val="10"/>
        <w:numPr>
          <w:ilvl w:val="0"/>
          <w:numId w:val="0"/>
        </w:numPr>
        <w:spacing w:line="360" w:lineRule="auto"/>
        <w:outlineLvl w:val="1"/>
        <w:rPr>
          <w:rFonts w:hint="eastAsia" w:ascii="宋体" w:hAnsi="宋体" w:eastAsia="宋体" w:cs="宋体"/>
          <w:b/>
          <w:color w:val="auto"/>
          <w:sz w:val="24"/>
          <w:szCs w:val="24"/>
          <w:highlight w:val="none"/>
        </w:rPr>
      </w:pPr>
      <w:bookmarkStart w:id="82" w:name="_Toc20332"/>
      <w:bookmarkStart w:id="83" w:name="_Toc2807"/>
      <w:r>
        <w:rPr>
          <w:rFonts w:hint="eastAsia" w:ascii="宋体" w:hAnsi="宋体" w:eastAsia="宋体" w:cs="宋体"/>
          <w:b/>
          <w:color w:val="auto"/>
          <w:sz w:val="24"/>
          <w:szCs w:val="24"/>
          <w:lang w:val="en-US" w:eastAsia="zh-CN"/>
        </w:rPr>
        <w:t>3.1</w:t>
      </w:r>
      <w:bookmarkEnd w:id="82"/>
      <w:bookmarkEnd w:id="83"/>
      <w:r>
        <w:rPr>
          <w:rFonts w:hint="eastAsia" w:ascii="宋体" w:hAnsi="宋体" w:eastAsia="宋体" w:cs="宋体"/>
          <w:b/>
          <w:color w:val="auto"/>
          <w:sz w:val="24"/>
          <w:szCs w:val="24"/>
          <w:highlight w:val="none"/>
          <w:lang w:val="en-US" w:eastAsia="zh-CN"/>
        </w:rPr>
        <w:t>资格审查表（不满足任何一项审查内容要求，资格审查即为不合格）</w:t>
      </w:r>
    </w:p>
    <w:p>
      <w:pPr>
        <w:spacing w:line="360" w:lineRule="auto"/>
        <w:ind w:firstLine="480" w:firstLineChars="200"/>
        <w:outlineLvl w:val="9"/>
        <w:rPr>
          <w:rFonts w:hint="eastAsia"/>
          <w:color w:val="auto"/>
          <w:sz w:val="24"/>
          <w:szCs w:val="24"/>
        </w:rPr>
      </w:pPr>
      <w:r>
        <w:rPr>
          <w:rFonts w:hint="eastAsia"/>
          <w:color w:val="auto"/>
          <w:sz w:val="24"/>
          <w:szCs w:val="24"/>
          <w:highlight w:val="none"/>
        </w:rPr>
        <w:t>开标结束后，采购人或采购代理机构将依法对投标人的资格进行审查，并详细记录。合格投标人不足3家的，不进行评标</w:t>
      </w:r>
      <w:r>
        <w:rPr>
          <w:rFonts w:hint="eastAsia"/>
          <w:color w:val="auto"/>
          <w:sz w:val="24"/>
          <w:szCs w:val="24"/>
        </w:rPr>
        <w:t>。</w:t>
      </w:r>
    </w:p>
    <w:tbl>
      <w:tblPr>
        <w:tblStyle w:val="23"/>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74"/>
        <w:gridCol w:w="579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94" w:type="dxa"/>
            <w:noWrap w:val="0"/>
            <w:vAlign w:val="center"/>
          </w:tcPr>
          <w:p>
            <w:pPr>
              <w:pStyle w:val="1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color w:val="auto"/>
                <w:sz w:val="21"/>
                <w:szCs w:val="21"/>
                <w:highlight w:val="none"/>
                <w:lang w:eastAsia="zh-CN"/>
              </w:rPr>
              <w:t>序号</w:t>
            </w:r>
          </w:p>
        </w:tc>
        <w:tc>
          <w:tcPr>
            <w:tcW w:w="1074" w:type="dxa"/>
            <w:noWrap w:val="0"/>
            <w:vAlign w:val="center"/>
          </w:tcPr>
          <w:p>
            <w:pPr>
              <w:pStyle w:val="1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color w:val="auto"/>
                <w:sz w:val="21"/>
                <w:szCs w:val="21"/>
                <w:highlight w:val="none"/>
                <w:lang w:eastAsia="zh-CN"/>
              </w:rPr>
              <w:t>类型</w:t>
            </w:r>
          </w:p>
        </w:tc>
        <w:tc>
          <w:tcPr>
            <w:tcW w:w="5795" w:type="dxa"/>
            <w:noWrap w:val="0"/>
            <w:vAlign w:val="center"/>
          </w:tcPr>
          <w:p>
            <w:pPr>
              <w:pStyle w:val="1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color w:val="auto"/>
                <w:sz w:val="21"/>
                <w:szCs w:val="21"/>
                <w:highlight w:val="none"/>
                <w:lang w:eastAsia="zh-CN"/>
              </w:rPr>
              <w:t>审查要求</w:t>
            </w:r>
          </w:p>
        </w:tc>
        <w:tc>
          <w:tcPr>
            <w:tcW w:w="2032" w:type="dxa"/>
            <w:noWrap w:val="0"/>
            <w:vAlign w:val="center"/>
          </w:tcPr>
          <w:p>
            <w:pPr>
              <w:pStyle w:val="1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color w:val="auto"/>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1</w:t>
            </w:r>
          </w:p>
        </w:tc>
        <w:tc>
          <w:tcPr>
            <w:tcW w:w="107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营业执照</w:t>
            </w:r>
          </w:p>
        </w:tc>
        <w:tc>
          <w:tcPr>
            <w:tcW w:w="5795" w:type="dxa"/>
            <w:noWrap w:val="0"/>
            <w:vAlign w:val="center"/>
          </w:tcPr>
          <w:p>
            <w:pPr>
              <w:autoSpaceDE w:val="0"/>
              <w:autoSpaceDN w:val="0"/>
              <w:adjustRightInd w:val="0"/>
              <w:spacing w:line="240" w:lineRule="auto"/>
              <w:jc w:val="both"/>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投标人须是具备有效营业执照的独立法人或其他组织</w:t>
            </w:r>
          </w:p>
        </w:tc>
        <w:tc>
          <w:tcPr>
            <w:tcW w:w="2032" w:type="dxa"/>
            <w:noWrap w:val="0"/>
            <w:vAlign w:val="center"/>
          </w:tcPr>
          <w:p>
            <w:pPr>
              <w:autoSpaceDE w:val="0"/>
              <w:autoSpaceDN w:val="0"/>
              <w:adjustRightInd w:val="0"/>
              <w:spacing w:line="240" w:lineRule="auto"/>
              <w:jc w:val="both"/>
              <w:outlineLvl w:val="9"/>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标书</w:t>
            </w:r>
            <w:r>
              <w:rPr>
                <w:rFonts w:hint="eastAsia" w:ascii="宋体" w:hAnsi="宋体" w:eastAsia="宋体" w:cs="宋体"/>
                <w:b w:val="0"/>
                <w:bCs w:val="0"/>
                <w:color w:val="auto"/>
                <w:sz w:val="21"/>
                <w:szCs w:val="21"/>
                <w:highlight w:val="none"/>
                <w:lang w:eastAsia="zh-CN"/>
              </w:rPr>
              <w:t>内附</w:t>
            </w:r>
            <w:r>
              <w:rPr>
                <w:rFonts w:hint="eastAsia" w:ascii="宋体" w:hAnsi="宋体" w:cs="宋体"/>
                <w:b w:val="0"/>
                <w:bCs w:val="0"/>
                <w:color w:val="auto"/>
                <w:sz w:val="21"/>
                <w:szCs w:val="21"/>
                <w:highlight w:val="none"/>
                <w:lang w:val="en-US" w:eastAsia="zh-CN"/>
              </w:rPr>
              <w:t>相关材料并</w:t>
            </w:r>
            <w:r>
              <w:rPr>
                <w:rFonts w:hint="eastAsia" w:ascii="宋体" w:hAnsi="宋体" w:eastAsia="宋体" w:cs="宋体"/>
                <w:b w:val="0"/>
                <w:bCs w:val="0"/>
                <w:color w:val="auto"/>
                <w:sz w:val="21"/>
                <w:szCs w:val="21"/>
                <w:highlight w:val="none"/>
                <w:lang w:eastAsia="zh-CN"/>
              </w:rPr>
              <w:t>加盖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noWrap w:val="0"/>
            <w:vAlign w:val="center"/>
          </w:tcPr>
          <w:p>
            <w:pPr>
              <w:adjustRightInd w:val="0"/>
              <w:snapToGrid w:val="0"/>
              <w:spacing w:before="73" w:beforeLines="15"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74" w:type="dxa"/>
            <w:noWrap w:val="0"/>
            <w:vAlign w:val="center"/>
          </w:tcPr>
          <w:p>
            <w:pPr>
              <w:autoSpaceDE w:val="0"/>
              <w:autoSpaceDN w:val="0"/>
              <w:adjustRightInd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基本资质</w:t>
            </w:r>
          </w:p>
        </w:tc>
        <w:tc>
          <w:tcPr>
            <w:tcW w:w="5795"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投标人提供202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年经会计师事务所或审计机构出具的财务审计报告或提供其基本开户银行在投标截止日前六个月内出具的资信证明（银行出具的存款证明不能替代银行资信证明）</w:t>
            </w:r>
          </w:p>
        </w:tc>
        <w:tc>
          <w:tcPr>
            <w:tcW w:w="2032"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标书</w:t>
            </w:r>
            <w:r>
              <w:rPr>
                <w:rFonts w:hint="eastAsia" w:ascii="宋体" w:hAnsi="宋体" w:eastAsia="宋体" w:cs="宋体"/>
                <w:b w:val="0"/>
                <w:bCs w:val="0"/>
                <w:color w:val="auto"/>
                <w:sz w:val="21"/>
                <w:szCs w:val="21"/>
                <w:highlight w:val="none"/>
                <w:lang w:eastAsia="zh-CN"/>
              </w:rPr>
              <w:t>内附</w:t>
            </w:r>
            <w:r>
              <w:rPr>
                <w:rFonts w:hint="eastAsia" w:ascii="宋体" w:hAnsi="宋体" w:cs="宋体"/>
                <w:b w:val="0"/>
                <w:bCs w:val="0"/>
                <w:color w:val="auto"/>
                <w:sz w:val="21"/>
                <w:szCs w:val="21"/>
                <w:highlight w:val="none"/>
                <w:lang w:val="en-US" w:eastAsia="zh-CN"/>
              </w:rPr>
              <w:t>相关材料并</w:t>
            </w:r>
            <w:r>
              <w:rPr>
                <w:rFonts w:hint="eastAsia" w:ascii="宋体" w:hAnsi="宋体" w:eastAsia="宋体" w:cs="宋体"/>
                <w:b w:val="0"/>
                <w:bCs w:val="0"/>
                <w:color w:val="auto"/>
                <w:sz w:val="21"/>
                <w:szCs w:val="21"/>
                <w:highlight w:val="none"/>
                <w:lang w:eastAsia="zh-CN"/>
              </w:rPr>
              <w:t>加盖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07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基本资质</w:t>
            </w:r>
          </w:p>
        </w:tc>
        <w:tc>
          <w:tcPr>
            <w:tcW w:w="5795" w:type="dxa"/>
            <w:noWrap w:val="0"/>
            <w:vAlign w:val="center"/>
          </w:tcPr>
          <w:p>
            <w:pPr>
              <w:autoSpaceDE w:val="0"/>
              <w:autoSpaceDN w:val="0"/>
              <w:adjustRightInd w:val="0"/>
              <w:spacing w:line="240" w:lineRule="auto"/>
              <w:jc w:val="both"/>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投标人提供近一年（2024年07月至今）任意一个月的依法纳税证明(依法免税的投标人可提供相应文件证明其依法免税)</w:t>
            </w:r>
          </w:p>
        </w:tc>
        <w:tc>
          <w:tcPr>
            <w:tcW w:w="2032"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标书</w:t>
            </w:r>
            <w:r>
              <w:rPr>
                <w:rFonts w:hint="eastAsia" w:ascii="宋体" w:hAnsi="宋体" w:eastAsia="宋体" w:cs="宋体"/>
                <w:b w:val="0"/>
                <w:bCs w:val="0"/>
                <w:color w:val="auto"/>
                <w:sz w:val="21"/>
                <w:szCs w:val="21"/>
                <w:highlight w:val="none"/>
                <w:lang w:eastAsia="zh-CN"/>
              </w:rPr>
              <w:t>内附</w:t>
            </w:r>
            <w:r>
              <w:rPr>
                <w:rFonts w:hint="eastAsia" w:ascii="宋体" w:hAnsi="宋体" w:cs="宋体"/>
                <w:b w:val="0"/>
                <w:bCs w:val="0"/>
                <w:color w:val="auto"/>
                <w:sz w:val="21"/>
                <w:szCs w:val="21"/>
                <w:highlight w:val="none"/>
                <w:lang w:val="en-US" w:eastAsia="zh-CN"/>
              </w:rPr>
              <w:t>相关材料并</w:t>
            </w:r>
            <w:r>
              <w:rPr>
                <w:rFonts w:hint="eastAsia" w:ascii="宋体" w:hAnsi="宋体" w:eastAsia="宋体" w:cs="宋体"/>
                <w:b w:val="0"/>
                <w:bCs w:val="0"/>
                <w:color w:val="auto"/>
                <w:sz w:val="21"/>
                <w:szCs w:val="21"/>
                <w:highlight w:val="none"/>
                <w:lang w:eastAsia="zh-CN"/>
              </w:rPr>
              <w:t>加盖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07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基本资质</w:t>
            </w:r>
          </w:p>
        </w:tc>
        <w:tc>
          <w:tcPr>
            <w:tcW w:w="5795" w:type="dxa"/>
            <w:noWrap w:val="0"/>
            <w:vAlign w:val="center"/>
          </w:tcPr>
          <w:p>
            <w:pPr>
              <w:autoSpaceDE w:val="0"/>
              <w:autoSpaceDN w:val="0"/>
              <w:adjustRightInd w:val="0"/>
              <w:spacing w:line="240" w:lineRule="auto"/>
              <w:jc w:val="both"/>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投标人提供近一年（2024年07月至今）任意一个月的依法缴纳社会保障资金的证明(依法不需要缴纳社会保障资金的投标人可提供相应文件证明其依法不需要缴纳社会保障资金)</w:t>
            </w:r>
          </w:p>
        </w:tc>
        <w:tc>
          <w:tcPr>
            <w:tcW w:w="2032"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标书</w:t>
            </w:r>
            <w:r>
              <w:rPr>
                <w:rFonts w:hint="eastAsia" w:ascii="宋体" w:hAnsi="宋体" w:eastAsia="宋体" w:cs="宋体"/>
                <w:b w:val="0"/>
                <w:bCs w:val="0"/>
                <w:color w:val="auto"/>
                <w:sz w:val="21"/>
                <w:szCs w:val="21"/>
                <w:highlight w:val="none"/>
                <w:lang w:eastAsia="zh-CN"/>
              </w:rPr>
              <w:t>内附</w:t>
            </w:r>
            <w:r>
              <w:rPr>
                <w:rFonts w:hint="eastAsia" w:ascii="宋体" w:hAnsi="宋体" w:cs="宋体"/>
                <w:b w:val="0"/>
                <w:bCs w:val="0"/>
                <w:color w:val="auto"/>
                <w:sz w:val="21"/>
                <w:szCs w:val="21"/>
                <w:highlight w:val="none"/>
                <w:lang w:val="en-US" w:eastAsia="zh-CN"/>
              </w:rPr>
              <w:t>相关材料并</w:t>
            </w:r>
            <w:r>
              <w:rPr>
                <w:rFonts w:hint="eastAsia" w:ascii="宋体" w:hAnsi="宋体" w:eastAsia="宋体" w:cs="宋体"/>
                <w:b w:val="0"/>
                <w:bCs w:val="0"/>
                <w:color w:val="auto"/>
                <w:sz w:val="21"/>
                <w:szCs w:val="21"/>
                <w:highlight w:val="none"/>
                <w:lang w:eastAsia="zh-CN"/>
              </w:rPr>
              <w:t>加盖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07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基本资质</w:t>
            </w:r>
          </w:p>
        </w:tc>
        <w:tc>
          <w:tcPr>
            <w:tcW w:w="5795" w:type="dxa"/>
            <w:noWrap w:val="0"/>
            <w:vAlign w:val="center"/>
          </w:tcPr>
          <w:p>
            <w:pPr>
              <w:autoSpaceDE w:val="0"/>
              <w:autoSpaceDN w:val="0"/>
              <w:adjustRightInd w:val="0"/>
              <w:spacing w:line="240" w:lineRule="auto"/>
              <w:jc w:val="both"/>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拒绝列入政府取消投标资格记录期间的企业或个人投标</w:t>
            </w:r>
          </w:p>
        </w:tc>
        <w:tc>
          <w:tcPr>
            <w:tcW w:w="2032"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标书内附由单位负责人或授权代理人签字或盖章并加盖公章的承诺书。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69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07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基本资质</w:t>
            </w:r>
          </w:p>
        </w:tc>
        <w:tc>
          <w:tcPr>
            <w:tcW w:w="5795" w:type="dxa"/>
            <w:noWrap w:val="0"/>
            <w:vAlign w:val="center"/>
          </w:tcPr>
          <w:p>
            <w:pPr>
              <w:autoSpaceDE w:val="0"/>
              <w:autoSpaceDN w:val="0"/>
              <w:adjustRightInd w:val="0"/>
              <w:spacing w:line="240" w:lineRule="auto"/>
              <w:jc w:val="both"/>
              <w:outlineLvl w:val="9"/>
              <w:rPr>
                <w:rFonts w:hint="eastAsia" w:ascii="宋体" w:hAnsi="宋体" w:eastAsia="宋体" w:cs="宋体"/>
                <w:bCs/>
                <w:color w:val="auto"/>
                <w:sz w:val="21"/>
                <w:szCs w:val="21"/>
                <w:highlight w:val="none"/>
                <w:lang w:val="zh-CN"/>
              </w:rPr>
            </w:pPr>
            <w:r>
              <w:rPr>
                <w:rFonts w:hint="eastAsia" w:ascii="宋体" w:hAnsi="宋体" w:eastAsia="宋体" w:cs="宋体"/>
                <w:b w:val="0"/>
                <w:i w:val="0"/>
                <w:caps w:val="0"/>
                <w:color w:val="auto"/>
                <w:spacing w:val="0"/>
                <w:kern w:val="0"/>
                <w:sz w:val="21"/>
                <w:szCs w:val="21"/>
                <w:highlight w:val="none"/>
                <w:lang w:val="en-US" w:eastAsia="zh-CN" w:bidi="ar"/>
              </w:rPr>
              <w:t>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r>
              <w:rPr>
                <w:rFonts w:hint="eastAsia" w:ascii="宋体" w:hAnsi="宋体" w:eastAsia="宋体" w:cs="宋体"/>
                <w:color w:val="auto"/>
                <w:sz w:val="21"/>
                <w:szCs w:val="21"/>
                <w:highlight w:val="none"/>
              </w:rPr>
              <w:t>对列入失信被执行人、重大税收违法案件当事人名单、政府采购严重违法失信行为记录名单的投标人，投标文件作无效处理</w:t>
            </w:r>
            <w:r>
              <w:rPr>
                <w:rFonts w:hint="eastAsia" w:ascii="宋体" w:hAnsi="宋体" w:eastAsia="宋体" w:cs="宋体"/>
                <w:color w:val="auto"/>
                <w:sz w:val="21"/>
                <w:szCs w:val="21"/>
                <w:highlight w:val="none"/>
                <w:lang w:eastAsia="zh-CN"/>
              </w:rPr>
              <w:t>。</w:t>
            </w:r>
          </w:p>
        </w:tc>
        <w:tc>
          <w:tcPr>
            <w:tcW w:w="2032"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标书内</w:t>
            </w:r>
            <w:r>
              <w:rPr>
                <w:rFonts w:hint="eastAsia" w:ascii="宋体" w:hAnsi="宋体" w:eastAsia="宋体" w:cs="宋体"/>
                <w:color w:val="auto"/>
                <w:sz w:val="21"/>
                <w:szCs w:val="21"/>
                <w:highlight w:val="none"/>
                <w:lang w:eastAsia="zh-CN"/>
              </w:rPr>
              <w:t>附相关网站截图并加盖</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074" w:type="dxa"/>
            <w:noWrap w:val="0"/>
            <w:vAlign w:val="center"/>
          </w:tcPr>
          <w:p>
            <w:pPr>
              <w:autoSpaceDE w:val="0"/>
              <w:autoSpaceDN w:val="0"/>
              <w:adjustRightInd w:val="0"/>
              <w:spacing w:line="240" w:lineRule="auto"/>
              <w:jc w:val="center"/>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基本资质</w:t>
            </w:r>
          </w:p>
        </w:tc>
        <w:tc>
          <w:tcPr>
            <w:tcW w:w="5795" w:type="dxa"/>
            <w:noWrap w:val="0"/>
            <w:vAlign w:val="center"/>
          </w:tcPr>
          <w:p>
            <w:pPr>
              <w:autoSpaceDE w:val="0"/>
              <w:autoSpaceDN w:val="0"/>
              <w:adjustRightInd w:val="0"/>
              <w:spacing w:line="240" w:lineRule="auto"/>
              <w:jc w:val="both"/>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与采购人存在利害关系可能影响采购公正性的法人、其它组织或者个人，不得参加投标；单位负责人为同一人或者存在直接控股、管理关系的不同投标人，不得参加同一合同项下的政府采购活动。</w:t>
            </w:r>
            <w:r>
              <w:rPr>
                <w:rFonts w:hint="eastAsia" w:ascii="宋体" w:hAnsi="宋体" w:eastAsia="宋体" w:cs="宋体"/>
                <w:b w:val="0"/>
                <w:i w:val="0"/>
                <w:caps w:val="0"/>
                <w:color w:val="auto"/>
                <w:spacing w:val="0"/>
                <w:kern w:val="0"/>
                <w:sz w:val="21"/>
                <w:szCs w:val="21"/>
                <w:highlight w:val="none"/>
                <w:lang w:val="en-US" w:eastAsia="zh-CN" w:bidi="ar"/>
              </w:rPr>
              <w:t>违反这两款规定的，相关投标均无效</w:t>
            </w:r>
            <w:r>
              <w:rPr>
                <w:rFonts w:hint="eastAsia" w:ascii="宋体" w:hAnsi="宋体" w:eastAsia="宋体" w:cs="宋体"/>
                <w:bCs/>
                <w:color w:val="auto"/>
                <w:sz w:val="21"/>
                <w:szCs w:val="21"/>
                <w:highlight w:val="none"/>
              </w:rPr>
              <w:t>。</w:t>
            </w:r>
          </w:p>
        </w:tc>
        <w:tc>
          <w:tcPr>
            <w:tcW w:w="2032"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rPr>
              <w:t>标书内附由单位负责人或授权代理人签字或盖章并加盖公章的承诺书。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noWrap w:val="0"/>
            <w:vAlign w:val="center"/>
          </w:tcPr>
          <w:p>
            <w:pPr>
              <w:autoSpaceDE w:val="0"/>
              <w:autoSpaceDN w:val="0"/>
              <w:adjustRightInd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74" w:type="dxa"/>
            <w:noWrap w:val="0"/>
            <w:vAlign w:val="center"/>
          </w:tcPr>
          <w:p>
            <w:pPr>
              <w:autoSpaceDE w:val="0"/>
              <w:autoSpaceDN w:val="0"/>
              <w:adjustRightInd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基本资质</w:t>
            </w:r>
          </w:p>
        </w:tc>
        <w:tc>
          <w:tcPr>
            <w:tcW w:w="5795"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投标人应符合《中华人民共和国政府采购法》第二十二条规定；</w:t>
            </w:r>
          </w:p>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p>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p>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p>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pPr>
              <w:autoSpaceDE w:val="0"/>
              <w:autoSpaceDN w:val="0"/>
              <w:adjustRightInd w:val="0"/>
              <w:spacing w:line="240" w:lineRule="auto"/>
              <w:jc w:val="both"/>
              <w:outlineLvl w:val="9"/>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(六)法律、行政法规规定的其他条件。</w:t>
            </w:r>
          </w:p>
        </w:tc>
        <w:tc>
          <w:tcPr>
            <w:tcW w:w="2032"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p>
          <w:p>
            <w:pPr>
              <w:autoSpaceDE w:val="0"/>
              <w:autoSpaceDN w:val="0"/>
              <w:adjustRightInd w:val="0"/>
              <w:spacing w:line="240" w:lineRule="auto"/>
              <w:jc w:val="both"/>
              <w:outlineLvl w:val="9"/>
              <w:rPr>
                <w:rFonts w:hint="eastAsia" w:ascii="宋体" w:hAnsi="宋体" w:eastAsia="宋体" w:cs="宋体"/>
                <w:bCs/>
                <w:color w:val="auto"/>
                <w:sz w:val="21"/>
                <w:szCs w:val="21"/>
                <w:highlight w:val="none"/>
                <w:lang w:val="zh-CN"/>
              </w:rPr>
            </w:pPr>
            <w:r>
              <w:rPr>
                <w:rFonts w:hint="eastAsia" w:ascii="宋体" w:hAnsi="宋体" w:eastAsia="宋体" w:cs="宋体"/>
                <w:b w:val="0"/>
                <w:bCs/>
                <w:color w:val="auto"/>
                <w:sz w:val="21"/>
                <w:szCs w:val="21"/>
                <w:highlight w:val="none"/>
              </w:rPr>
              <w:t>标书内附由单位负责人或授权代理人签字或盖章并加盖公章的承诺书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4" w:type="dxa"/>
            <w:noWrap w:val="0"/>
            <w:vAlign w:val="center"/>
          </w:tcPr>
          <w:p>
            <w:pPr>
              <w:autoSpaceDE w:val="0"/>
              <w:autoSpaceDN w:val="0"/>
              <w:adjustRightInd w:val="0"/>
              <w:spacing w:line="24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074" w:type="dxa"/>
            <w:noWrap w:val="0"/>
            <w:vAlign w:val="center"/>
          </w:tcPr>
          <w:p>
            <w:pPr>
              <w:autoSpaceDE w:val="0"/>
              <w:autoSpaceDN w:val="0"/>
              <w:adjustRightInd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基本资质</w:t>
            </w:r>
          </w:p>
        </w:tc>
        <w:tc>
          <w:tcPr>
            <w:tcW w:w="5795" w:type="dxa"/>
            <w:noWrap w:val="0"/>
            <w:vAlign w:val="center"/>
          </w:tcPr>
          <w:p>
            <w:pPr>
              <w:autoSpaceDE w:val="0"/>
              <w:autoSpaceDN w:val="0"/>
              <w:adjustRightInd w:val="0"/>
              <w:spacing w:line="24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本项目专门面向中小企业采购，供应商应为中小微企业、监狱企业、残疾人福利性单位。</w:t>
            </w:r>
          </w:p>
          <w:p>
            <w:pPr>
              <w:autoSpaceDE w:val="0"/>
              <w:autoSpaceDN w:val="0"/>
              <w:adjustRightInd w:val="0"/>
              <w:spacing w:line="240" w:lineRule="auto"/>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r>
              <w:rPr>
                <w:rFonts w:hint="eastAsia" w:ascii="宋体" w:hAnsi="宋体" w:eastAsia="宋体" w:cs="宋体"/>
                <w:color w:val="auto"/>
                <w:sz w:val="21"/>
                <w:szCs w:val="21"/>
                <w:highlight w:val="none"/>
                <w:lang w:eastAsia="zh-CN"/>
              </w:rPr>
              <w:t>。</w:t>
            </w:r>
          </w:p>
          <w:p>
            <w:pPr>
              <w:numPr>
                <w:ilvl w:val="0"/>
                <w:numId w:val="0"/>
              </w:numPr>
              <w:autoSpaceDE w:val="0"/>
              <w:autoSpaceDN w:val="0"/>
              <w:adjustRightInd w:val="0"/>
              <w:spacing w:line="240" w:lineRule="auto"/>
              <w:jc w:val="both"/>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备注：1.专门面向中小企业采购的项目，投标人提供的货物须全部由符合政策要求的中小企业制造，否则投标无效。</w:t>
            </w:r>
          </w:p>
          <w:p>
            <w:pPr>
              <w:numPr>
                <w:ilvl w:val="0"/>
                <w:numId w:val="0"/>
              </w:numPr>
              <w:autoSpaceDE w:val="0"/>
              <w:autoSpaceDN w:val="0"/>
              <w:adjustRightInd w:val="0"/>
              <w:spacing w:line="240" w:lineRule="auto"/>
              <w:ind w:leftChars="0"/>
              <w:jc w:val="both"/>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2.专门面向中小企业采购的项目，不再执行价格评审优惠的扶持政策。</w:t>
            </w:r>
          </w:p>
          <w:p>
            <w:pPr>
              <w:numPr>
                <w:ilvl w:val="0"/>
                <w:numId w:val="0"/>
              </w:numPr>
              <w:autoSpaceDE w:val="0"/>
              <w:autoSpaceDN w:val="0"/>
              <w:adjustRightInd w:val="0"/>
              <w:spacing w:line="240" w:lineRule="auto"/>
              <w:ind w:leftChars="0"/>
              <w:jc w:val="both"/>
              <w:outlineLvl w:val="9"/>
              <w:rPr>
                <w:rFonts w:hint="eastAsia" w:ascii="宋体" w:hAnsi="宋体" w:eastAsia="宋体" w:cs="宋体"/>
                <w:color w:val="auto"/>
                <w:sz w:val="21"/>
                <w:szCs w:val="21"/>
                <w:highlight w:val="none"/>
                <w:lang w:eastAsia="zh-CN"/>
              </w:rPr>
            </w:pPr>
            <w:r>
              <w:rPr>
                <w:rFonts w:hint="eastAsia" w:ascii="宋体" w:hAnsi="宋体" w:cs="宋体"/>
                <w:b w:val="0"/>
                <w:bCs w:val="0"/>
                <w:color w:val="auto"/>
                <w:sz w:val="21"/>
                <w:szCs w:val="21"/>
                <w:highlight w:val="none"/>
                <w:lang w:val="en-US" w:eastAsia="zh-CN"/>
              </w:rPr>
              <w:t>3.专门面向中小企业采购的项目，投标人需提供此声明函并对其真实性负责。</w:t>
            </w:r>
          </w:p>
        </w:tc>
        <w:tc>
          <w:tcPr>
            <w:tcW w:w="2032" w:type="dxa"/>
            <w:noWrap w:val="0"/>
            <w:vAlign w:val="center"/>
          </w:tcPr>
          <w:p>
            <w:pPr>
              <w:numPr>
                <w:ilvl w:val="0"/>
                <w:numId w:val="0"/>
              </w:numPr>
              <w:autoSpaceDE w:val="0"/>
              <w:autoSpaceDN w:val="0"/>
              <w:adjustRightInd w:val="0"/>
              <w:spacing w:line="240" w:lineRule="auto"/>
              <w:jc w:val="both"/>
              <w:outlineLvl w:val="9"/>
              <w:rPr>
                <w:rFonts w:hint="eastAsia" w:ascii="宋体" w:hAnsi="宋体" w:eastAsia="宋体" w:cs="宋体"/>
                <w:b w:val="0"/>
                <w:bCs/>
                <w:color w:val="auto"/>
                <w:sz w:val="21"/>
                <w:szCs w:val="21"/>
                <w:highlight w:val="none"/>
              </w:rPr>
            </w:pPr>
            <w:r>
              <w:rPr>
                <w:rFonts w:hint="eastAsia" w:ascii="宋体" w:hAnsi="宋体" w:cs="宋体"/>
                <w:b w:val="0"/>
                <w:bCs w:val="0"/>
                <w:color w:val="auto"/>
                <w:sz w:val="21"/>
                <w:szCs w:val="21"/>
                <w:highlight w:val="none"/>
                <w:lang w:val="en-US" w:eastAsia="zh-CN"/>
              </w:rPr>
              <w:t>标书</w:t>
            </w:r>
            <w:r>
              <w:rPr>
                <w:rFonts w:hint="eastAsia" w:ascii="宋体" w:hAnsi="宋体" w:eastAsia="宋体" w:cs="宋体"/>
                <w:b w:val="0"/>
                <w:bCs w:val="0"/>
                <w:color w:val="auto"/>
                <w:sz w:val="21"/>
                <w:szCs w:val="21"/>
                <w:highlight w:val="none"/>
                <w:lang w:eastAsia="zh-CN"/>
              </w:rPr>
              <w:t>内附</w:t>
            </w:r>
            <w:r>
              <w:rPr>
                <w:rFonts w:hint="eastAsia" w:ascii="宋体" w:hAnsi="宋体" w:cs="宋体"/>
                <w:b w:val="0"/>
                <w:bCs w:val="0"/>
                <w:color w:val="auto"/>
                <w:sz w:val="21"/>
                <w:szCs w:val="21"/>
                <w:highlight w:val="none"/>
                <w:lang w:val="en-US" w:eastAsia="zh-CN"/>
              </w:rPr>
              <w:t>相关材料并</w:t>
            </w:r>
            <w:r>
              <w:rPr>
                <w:rFonts w:hint="eastAsia" w:ascii="宋体" w:hAnsi="宋体" w:eastAsia="宋体" w:cs="宋体"/>
                <w:b w:val="0"/>
                <w:bCs w:val="0"/>
                <w:color w:val="auto"/>
                <w:sz w:val="21"/>
                <w:szCs w:val="21"/>
                <w:highlight w:val="none"/>
                <w:lang w:eastAsia="zh-CN"/>
              </w:rPr>
              <w:t>加盖</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lang w:eastAsia="zh-CN"/>
              </w:rPr>
              <w:t>公章。</w:t>
            </w:r>
          </w:p>
        </w:tc>
      </w:tr>
    </w:tbl>
    <w:p>
      <w:pPr>
        <w:ind w:firstLine="422" w:firstLineChars="200"/>
        <w:outlineLvl w:val="9"/>
        <w:rPr>
          <w:rFonts w:hint="eastAsia"/>
          <w:b/>
          <w:bCs/>
          <w:color w:val="auto"/>
          <w:szCs w:val="22"/>
          <w:lang w:val="en-US" w:eastAsia="zh-CN"/>
        </w:rPr>
      </w:pPr>
    </w:p>
    <w:p>
      <w:pPr>
        <w:ind w:firstLine="422" w:firstLineChars="200"/>
        <w:outlineLvl w:val="9"/>
        <w:rPr>
          <w:rFonts w:hint="eastAsia"/>
          <w:b/>
          <w:bCs/>
          <w:color w:val="auto"/>
          <w:szCs w:val="22"/>
          <w:lang w:val="en-US" w:eastAsia="zh-CN"/>
        </w:rPr>
      </w:pPr>
    </w:p>
    <w:p>
      <w:pPr>
        <w:spacing w:line="360" w:lineRule="auto"/>
        <w:ind w:firstLine="482" w:firstLineChars="200"/>
        <w:outlineLvl w:val="1"/>
        <w:rPr>
          <w:rFonts w:hint="eastAsia"/>
          <w:b/>
          <w:bCs/>
          <w:color w:val="auto"/>
          <w:sz w:val="24"/>
          <w:szCs w:val="24"/>
          <w:lang w:val="en-US" w:eastAsia="zh-CN"/>
        </w:rPr>
        <w:sectPr>
          <w:pgSz w:w="11906" w:h="16838"/>
          <w:pgMar w:top="1361" w:right="1304" w:bottom="1247" w:left="1304" w:header="680" w:footer="680" w:gutter="0"/>
          <w:pgNumType w:fmt="decimal"/>
          <w:cols w:space="720" w:num="1"/>
          <w:docGrid w:linePitch="312" w:charSpace="0"/>
        </w:sectPr>
      </w:pPr>
      <w:bookmarkStart w:id="84" w:name="_Toc21650"/>
      <w:bookmarkStart w:id="85" w:name="_Toc25170"/>
    </w:p>
    <w:p>
      <w:pPr>
        <w:spacing w:line="360" w:lineRule="auto"/>
        <w:ind w:firstLine="482" w:firstLineChars="200"/>
        <w:outlineLvl w:val="1"/>
        <w:rPr>
          <w:rFonts w:hint="eastAsia"/>
          <w:b/>
          <w:bCs/>
          <w:color w:val="auto"/>
          <w:sz w:val="24"/>
          <w:szCs w:val="24"/>
          <w:highlight w:val="none"/>
          <w:lang w:val="en-US" w:eastAsia="zh-CN"/>
        </w:rPr>
      </w:pPr>
      <w:r>
        <w:rPr>
          <w:rFonts w:hint="eastAsia"/>
          <w:b/>
          <w:bCs/>
          <w:color w:val="auto"/>
          <w:sz w:val="24"/>
          <w:szCs w:val="24"/>
          <w:lang w:val="en-US" w:eastAsia="zh-CN"/>
        </w:rPr>
        <w:t>3.2</w:t>
      </w:r>
      <w:bookmarkEnd w:id="84"/>
      <w:bookmarkEnd w:id="85"/>
      <w:r>
        <w:rPr>
          <w:rFonts w:hint="eastAsia"/>
          <w:b/>
          <w:bCs/>
          <w:color w:val="auto"/>
          <w:sz w:val="24"/>
          <w:szCs w:val="24"/>
          <w:highlight w:val="none"/>
          <w:lang w:val="en-US" w:eastAsia="zh-CN"/>
        </w:rPr>
        <w:t>符合性审查表（不满足任何一项审查内容要求，符合性审查即为不合格）</w:t>
      </w:r>
    </w:p>
    <w:p>
      <w:pPr>
        <w:spacing w:line="360" w:lineRule="auto"/>
        <w:ind w:firstLine="480" w:firstLineChars="200"/>
        <w:outlineLvl w:val="9"/>
        <w:rPr>
          <w:rFonts w:hint="eastAsia"/>
          <w:color w:val="auto"/>
          <w:sz w:val="24"/>
          <w:szCs w:val="24"/>
        </w:rPr>
      </w:pPr>
      <w:r>
        <w:rPr>
          <w:rFonts w:hint="eastAsia"/>
          <w:color w:val="auto"/>
          <w:sz w:val="24"/>
          <w:szCs w:val="24"/>
          <w:highlight w:val="none"/>
        </w:rPr>
        <w:t>3.</w:t>
      </w:r>
      <w:r>
        <w:rPr>
          <w:rFonts w:hint="eastAsia"/>
          <w:color w:val="auto"/>
          <w:sz w:val="24"/>
          <w:szCs w:val="24"/>
          <w:highlight w:val="none"/>
          <w:lang w:val="en-US" w:eastAsia="zh-CN"/>
        </w:rPr>
        <w:t>2</w:t>
      </w:r>
      <w:r>
        <w:rPr>
          <w:rFonts w:hint="eastAsia"/>
          <w:color w:val="auto"/>
          <w:sz w:val="24"/>
          <w:szCs w:val="24"/>
          <w:highlight w:val="none"/>
        </w:rPr>
        <w:t>.1 评标委员会将对符合资格的投标人的投标文件进行符合性审查，以确定其是否满足招标文件的实质性要求</w:t>
      </w:r>
      <w:r>
        <w:rPr>
          <w:rFonts w:hint="eastAsia"/>
          <w:color w:val="auto"/>
          <w:sz w:val="24"/>
          <w:szCs w:val="24"/>
        </w:rPr>
        <w:t>。</w:t>
      </w:r>
    </w:p>
    <w:tbl>
      <w:tblPr>
        <w:tblStyle w:val="23"/>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00"/>
        <w:gridCol w:w="1700"/>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noWrap w:val="0"/>
            <w:vAlign w:val="center"/>
          </w:tcPr>
          <w:p>
            <w:pPr>
              <w:pStyle w:val="1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val="0"/>
                <w:color w:val="auto"/>
                <w:sz w:val="21"/>
                <w:szCs w:val="21"/>
                <w:highlight w:val="none"/>
                <w:lang w:val="zh-CN"/>
              </w:rPr>
            </w:pPr>
            <w:r>
              <w:rPr>
                <w:rFonts w:hint="eastAsia" w:ascii="宋体" w:hAnsi="宋体" w:eastAsia="宋体" w:cs="宋体"/>
                <w:b/>
                <w:color w:val="auto"/>
                <w:sz w:val="21"/>
                <w:szCs w:val="21"/>
                <w:highlight w:val="none"/>
                <w:lang w:eastAsia="zh-CN"/>
              </w:rPr>
              <w:t>序号</w:t>
            </w:r>
          </w:p>
        </w:tc>
        <w:tc>
          <w:tcPr>
            <w:tcW w:w="900" w:type="dxa"/>
            <w:noWrap w:val="0"/>
            <w:vAlign w:val="center"/>
          </w:tcPr>
          <w:p>
            <w:pPr>
              <w:pStyle w:val="1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val="0"/>
                <w:color w:val="auto"/>
                <w:sz w:val="21"/>
                <w:szCs w:val="21"/>
                <w:highlight w:val="none"/>
                <w:lang w:val="zh-CN"/>
              </w:rPr>
            </w:pPr>
            <w:r>
              <w:rPr>
                <w:rFonts w:hint="eastAsia" w:ascii="宋体" w:hAnsi="宋体" w:eastAsia="宋体" w:cs="宋体"/>
                <w:b/>
                <w:color w:val="auto"/>
                <w:sz w:val="21"/>
                <w:szCs w:val="21"/>
                <w:highlight w:val="none"/>
                <w:lang w:eastAsia="zh-CN"/>
              </w:rPr>
              <w:t>类型</w:t>
            </w:r>
          </w:p>
        </w:tc>
        <w:tc>
          <w:tcPr>
            <w:tcW w:w="1700" w:type="dxa"/>
            <w:noWrap w:val="0"/>
            <w:vAlign w:val="center"/>
          </w:tcPr>
          <w:p>
            <w:pPr>
              <w:pStyle w:val="1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val="0"/>
                <w:color w:val="auto"/>
                <w:sz w:val="21"/>
                <w:szCs w:val="21"/>
                <w:highlight w:val="none"/>
                <w:lang w:val="zh-CN"/>
              </w:rPr>
            </w:pPr>
            <w:r>
              <w:rPr>
                <w:rFonts w:hint="eastAsia" w:ascii="宋体" w:hAnsi="宋体" w:eastAsia="宋体" w:cs="宋体"/>
                <w:b/>
                <w:color w:val="auto"/>
                <w:sz w:val="21"/>
                <w:szCs w:val="21"/>
                <w:highlight w:val="none"/>
                <w:lang w:eastAsia="zh-CN"/>
              </w:rPr>
              <w:t>要求</w:t>
            </w:r>
          </w:p>
        </w:tc>
        <w:tc>
          <w:tcPr>
            <w:tcW w:w="6183" w:type="dxa"/>
            <w:noWrap w:val="0"/>
            <w:vAlign w:val="center"/>
          </w:tcPr>
          <w:p>
            <w:pPr>
              <w:pStyle w:val="10"/>
              <w:keepNext w:val="0"/>
              <w:keepLines w:val="0"/>
              <w:pageBreakBefore w:val="0"/>
              <w:widowControl w:val="0"/>
              <w:suppressLineNumbers w:val="0"/>
              <w:kinsoku/>
              <w:wordWrap/>
              <w:overflowPunct/>
              <w:topLinePunct w:val="0"/>
              <w:bidi w:val="0"/>
              <w:spacing w:before="0" w:beforeAutospacing="0" w:after="0" w:afterAutospacing="0" w:line="240" w:lineRule="auto"/>
              <w:ind w:left="0" w:leftChars="0" w:right="0" w:rightChars="0"/>
              <w:jc w:val="center"/>
              <w:textAlignment w:val="auto"/>
              <w:rPr>
                <w:rFonts w:hint="eastAsia" w:ascii="宋体" w:hAnsi="宋体" w:cs="宋体"/>
                <w:b/>
                <w:bCs w:val="0"/>
                <w:color w:val="auto"/>
                <w:sz w:val="21"/>
                <w:szCs w:val="21"/>
                <w:highlight w:val="none"/>
                <w:lang w:val="zh-CN"/>
              </w:rPr>
            </w:pPr>
            <w:r>
              <w:rPr>
                <w:rFonts w:hint="eastAsia" w:ascii="宋体" w:hAnsi="宋体" w:eastAsia="宋体" w:cs="宋体"/>
                <w:b/>
                <w:color w:val="auto"/>
                <w:sz w:val="21"/>
                <w:szCs w:val="21"/>
                <w:highlight w:val="none"/>
                <w:lang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900" w:type="dxa"/>
            <w:noWrap w:val="0"/>
            <w:vAlign w:val="center"/>
          </w:tcPr>
          <w:p>
            <w:pPr>
              <w:adjustRightInd w:val="0"/>
              <w:snapToGrid w:val="0"/>
              <w:spacing w:before="73" w:beforeLines="15" w:line="240" w:lineRule="auto"/>
              <w:ind w:left="-105" w:leftChars="-50" w:right="-105" w:rightChars="-50"/>
              <w:jc w:val="center"/>
              <w:outlineLvl w:val="9"/>
              <w:rPr>
                <w:rFonts w:hint="eastAsia" w:ascii="宋体" w:hAnsi="宋体"/>
                <w:color w:val="auto"/>
                <w:sz w:val="21"/>
                <w:szCs w:val="21"/>
                <w:highlight w:val="none"/>
              </w:rPr>
            </w:pPr>
            <w:r>
              <w:rPr>
                <w:rFonts w:hint="eastAsia" w:ascii="宋体" w:hAnsi="宋体" w:eastAsia="宋体" w:cs="宋体"/>
                <w:color w:val="auto"/>
                <w:sz w:val="21"/>
                <w:szCs w:val="21"/>
                <w:highlight w:val="none"/>
                <w:lang w:eastAsia="zh-CN"/>
              </w:rPr>
              <w:t>商务</w:t>
            </w:r>
          </w:p>
        </w:tc>
        <w:tc>
          <w:tcPr>
            <w:tcW w:w="1700" w:type="dxa"/>
            <w:noWrap w:val="0"/>
            <w:vAlign w:val="center"/>
          </w:tcPr>
          <w:p>
            <w:pPr>
              <w:adjustRightInd w:val="0"/>
              <w:snapToGrid w:val="0"/>
              <w:spacing w:before="73" w:beforeLines="15" w:line="240" w:lineRule="auto"/>
              <w:ind w:left="-105" w:leftChars="-50" w:right="-105" w:rightChars="-50"/>
              <w:jc w:val="center"/>
              <w:outlineLvl w:val="9"/>
              <w:rPr>
                <w:rFonts w:ascii="宋体" w:hAnsi="宋体"/>
                <w:color w:val="auto"/>
                <w:sz w:val="21"/>
                <w:szCs w:val="21"/>
                <w:highlight w:val="none"/>
              </w:rPr>
            </w:pPr>
            <w:r>
              <w:rPr>
                <w:rFonts w:hint="eastAsia" w:ascii="宋体" w:hAnsi="宋体"/>
                <w:color w:val="auto"/>
                <w:sz w:val="21"/>
                <w:szCs w:val="21"/>
                <w:highlight w:val="none"/>
              </w:rPr>
              <w:t>投标人名称</w:t>
            </w:r>
          </w:p>
        </w:tc>
        <w:tc>
          <w:tcPr>
            <w:tcW w:w="6183" w:type="dxa"/>
            <w:noWrap w:val="0"/>
            <w:vAlign w:val="center"/>
          </w:tcPr>
          <w:p>
            <w:pPr>
              <w:adjustRightInd w:val="0"/>
              <w:snapToGrid w:val="0"/>
              <w:spacing w:before="73" w:beforeLines="15" w:line="240" w:lineRule="auto"/>
              <w:outlineLvl w:val="9"/>
              <w:rPr>
                <w:rFonts w:ascii="宋体" w:hAnsi="宋体"/>
                <w:color w:val="auto"/>
                <w:sz w:val="21"/>
                <w:szCs w:val="21"/>
                <w:highlight w:val="none"/>
              </w:rPr>
            </w:pPr>
            <w:r>
              <w:rPr>
                <w:rFonts w:hint="eastAsia" w:ascii="宋体" w:hAnsi="宋体"/>
                <w:color w:val="auto"/>
                <w:sz w:val="21"/>
                <w:szCs w:val="21"/>
                <w:highlight w:val="none"/>
              </w:rPr>
              <w:t>与营业执照等一致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900" w:type="dxa"/>
            <w:noWrap w:val="0"/>
            <w:vAlign w:val="center"/>
          </w:tcPr>
          <w:p>
            <w:pPr>
              <w:adjustRightInd w:val="0"/>
              <w:snapToGrid w:val="0"/>
              <w:spacing w:before="73" w:beforeLines="15" w:line="240" w:lineRule="auto"/>
              <w:ind w:left="-105" w:leftChars="-50" w:right="-105" w:rightChars="-50"/>
              <w:jc w:val="center"/>
              <w:outlineLvl w:val="9"/>
              <w:rPr>
                <w:rFonts w:hint="eastAsia" w:ascii="宋体" w:hAnsi="宋体"/>
                <w:color w:val="auto"/>
                <w:sz w:val="21"/>
                <w:szCs w:val="21"/>
                <w:highlight w:val="none"/>
              </w:rPr>
            </w:pPr>
            <w:r>
              <w:rPr>
                <w:rFonts w:hint="eastAsia" w:ascii="宋体" w:hAnsi="宋体" w:eastAsia="宋体" w:cs="宋体"/>
                <w:color w:val="auto"/>
                <w:sz w:val="21"/>
                <w:szCs w:val="21"/>
                <w:highlight w:val="none"/>
                <w:lang w:eastAsia="zh-CN"/>
              </w:rPr>
              <w:t>商务</w:t>
            </w:r>
          </w:p>
        </w:tc>
        <w:tc>
          <w:tcPr>
            <w:tcW w:w="1700" w:type="dxa"/>
            <w:noWrap w:val="0"/>
            <w:vAlign w:val="center"/>
          </w:tcPr>
          <w:p>
            <w:pPr>
              <w:adjustRightInd w:val="0"/>
              <w:snapToGrid w:val="0"/>
              <w:spacing w:before="73" w:beforeLines="15" w:line="240" w:lineRule="auto"/>
              <w:ind w:left="-105" w:leftChars="-50" w:right="-105" w:rightChars="-50"/>
              <w:jc w:val="center"/>
              <w:outlineLvl w:val="9"/>
              <w:rPr>
                <w:rFonts w:ascii="宋体" w:hAnsi="宋体"/>
                <w:color w:val="auto"/>
                <w:sz w:val="21"/>
                <w:szCs w:val="21"/>
                <w:highlight w:val="none"/>
              </w:rPr>
            </w:pPr>
            <w:r>
              <w:rPr>
                <w:rFonts w:hint="eastAsia" w:ascii="宋体" w:hAnsi="宋体"/>
                <w:color w:val="auto"/>
                <w:sz w:val="21"/>
                <w:szCs w:val="21"/>
                <w:highlight w:val="none"/>
              </w:rPr>
              <w:t>投标函签字盖章</w:t>
            </w:r>
          </w:p>
        </w:tc>
        <w:tc>
          <w:tcPr>
            <w:tcW w:w="6183" w:type="dxa"/>
            <w:noWrap w:val="0"/>
            <w:vAlign w:val="center"/>
          </w:tcPr>
          <w:p>
            <w:pPr>
              <w:adjustRightInd w:val="0"/>
              <w:snapToGrid w:val="0"/>
              <w:spacing w:before="73" w:beforeLines="15" w:line="240" w:lineRule="auto"/>
              <w:outlineLvl w:val="9"/>
              <w:rPr>
                <w:rFonts w:ascii="宋体" w:hAnsi="宋体"/>
                <w:color w:val="auto"/>
                <w:sz w:val="21"/>
                <w:szCs w:val="21"/>
                <w:highlight w:val="none"/>
              </w:rPr>
            </w:pPr>
            <w:r>
              <w:rPr>
                <w:rFonts w:hint="eastAsia" w:ascii="宋体" w:hAnsi="宋体"/>
                <w:color w:val="auto"/>
                <w:sz w:val="21"/>
                <w:szCs w:val="21"/>
                <w:highlight w:val="none"/>
              </w:rPr>
              <w:t>有</w:t>
            </w:r>
            <w:r>
              <w:rPr>
                <w:rFonts w:hint="eastAsia" w:ascii="宋体" w:hAnsi="宋体"/>
                <w:color w:val="auto"/>
                <w:sz w:val="21"/>
                <w:szCs w:val="21"/>
                <w:highlight w:val="none"/>
                <w:lang w:eastAsia="zh-CN"/>
              </w:rPr>
              <w:t>单位负责人</w:t>
            </w:r>
            <w:r>
              <w:rPr>
                <w:rFonts w:hint="eastAsia" w:ascii="宋体" w:hAnsi="宋体"/>
                <w:color w:val="auto"/>
                <w:sz w:val="21"/>
                <w:szCs w:val="21"/>
                <w:highlight w:val="none"/>
              </w:rPr>
              <w:t>或其委托代理人签字或</w:t>
            </w:r>
            <w:r>
              <w:rPr>
                <w:rFonts w:ascii="宋体" w:hAnsi="宋体"/>
                <w:color w:val="auto"/>
                <w:sz w:val="21"/>
                <w:szCs w:val="21"/>
                <w:highlight w:val="none"/>
              </w:rPr>
              <w:t>盖章</w:t>
            </w:r>
            <w:r>
              <w:rPr>
                <w:rFonts w:hint="eastAsia" w:ascii="宋体" w:hAnsi="宋体"/>
                <w:color w:val="auto"/>
                <w:sz w:val="21"/>
                <w:szCs w:val="21"/>
                <w:highlight w:val="none"/>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900" w:type="dxa"/>
            <w:noWrap w:val="0"/>
            <w:vAlign w:val="center"/>
          </w:tcPr>
          <w:p>
            <w:pPr>
              <w:adjustRightInd w:val="0"/>
              <w:snapToGrid w:val="0"/>
              <w:spacing w:before="73" w:beforeLines="15" w:line="240" w:lineRule="auto"/>
              <w:ind w:left="-105" w:leftChars="-50" w:right="-105" w:rightChars="-50"/>
              <w:jc w:val="center"/>
              <w:outlineLvl w:val="9"/>
              <w:rPr>
                <w:rFonts w:hint="eastAsia" w:ascii="宋体" w:hAnsi="宋体"/>
                <w:color w:val="auto"/>
                <w:sz w:val="21"/>
                <w:szCs w:val="21"/>
                <w:highlight w:val="none"/>
              </w:rPr>
            </w:pPr>
            <w:r>
              <w:rPr>
                <w:rFonts w:hint="eastAsia" w:ascii="宋体" w:hAnsi="宋体" w:eastAsia="宋体" w:cs="宋体"/>
                <w:color w:val="auto"/>
                <w:sz w:val="21"/>
                <w:szCs w:val="21"/>
                <w:highlight w:val="none"/>
                <w:lang w:eastAsia="zh-CN"/>
              </w:rPr>
              <w:t>商务</w:t>
            </w:r>
          </w:p>
        </w:tc>
        <w:tc>
          <w:tcPr>
            <w:tcW w:w="1700" w:type="dxa"/>
            <w:noWrap w:val="0"/>
            <w:vAlign w:val="center"/>
          </w:tcPr>
          <w:p>
            <w:pPr>
              <w:adjustRightInd w:val="0"/>
              <w:snapToGrid w:val="0"/>
              <w:spacing w:before="73" w:beforeLines="15" w:line="240" w:lineRule="auto"/>
              <w:ind w:left="-105" w:leftChars="-50" w:right="-105" w:rightChars="-50"/>
              <w:jc w:val="center"/>
              <w:outlineLvl w:val="9"/>
              <w:rPr>
                <w:rFonts w:ascii="宋体" w:hAnsi="宋体"/>
                <w:color w:val="auto"/>
                <w:sz w:val="21"/>
                <w:szCs w:val="21"/>
                <w:highlight w:val="none"/>
              </w:rPr>
            </w:pPr>
            <w:r>
              <w:rPr>
                <w:rFonts w:hint="eastAsia" w:ascii="宋体" w:hAnsi="宋体"/>
                <w:color w:val="auto"/>
                <w:sz w:val="21"/>
                <w:szCs w:val="21"/>
                <w:highlight w:val="none"/>
              </w:rPr>
              <w:t>投标文件格式</w:t>
            </w:r>
          </w:p>
        </w:tc>
        <w:tc>
          <w:tcPr>
            <w:tcW w:w="6183" w:type="dxa"/>
            <w:noWrap w:val="0"/>
            <w:vAlign w:val="center"/>
          </w:tcPr>
          <w:p>
            <w:pPr>
              <w:adjustRightInd w:val="0"/>
              <w:snapToGrid w:val="0"/>
              <w:spacing w:before="73" w:beforeLines="15" w:line="240" w:lineRule="auto"/>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符合第六章“投标文件构成、要求及格式”的规定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900" w:type="dxa"/>
            <w:noWrap w:val="0"/>
            <w:vAlign w:val="center"/>
          </w:tcPr>
          <w:p>
            <w:pPr>
              <w:adjustRightInd w:val="0"/>
              <w:snapToGrid w:val="0"/>
              <w:spacing w:before="73" w:beforeLines="15" w:line="240" w:lineRule="auto"/>
              <w:ind w:left="-105" w:leftChars="-50" w:right="-105" w:rightChars="-50"/>
              <w:jc w:val="center"/>
              <w:outlineLvl w:val="9"/>
              <w:rPr>
                <w:rFonts w:hint="eastAsia" w:ascii="宋体" w:hAnsi="宋体"/>
                <w:color w:val="auto"/>
                <w:sz w:val="21"/>
                <w:szCs w:val="21"/>
                <w:highlight w:val="none"/>
              </w:rPr>
            </w:pPr>
            <w:r>
              <w:rPr>
                <w:rFonts w:hint="eastAsia" w:ascii="宋体" w:hAnsi="宋体" w:eastAsia="宋体" w:cs="宋体"/>
                <w:color w:val="auto"/>
                <w:sz w:val="21"/>
                <w:szCs w:val="21"/>
                <w:highlight w:val="none"/>
                <w:lang w:eastAsia="zh-CN"/>
              </w:rPr>
              <w:t>商务</w:t>
            </w:r>
          </w:p>
        </w:tc>
        <w:tc>
          <w:tcPr>
            <w:tcW w:w="1700" w:type="dxa"/>
            <w:noWrap w:val="0"/>
            <w:vAlign w:val="center"/>
          </w:tcPr>
          <w:p>
            <w:pPr>
              <w:adjustRightInd w:val="0"/>
              <w:snapToGrid w:val="0"/>
              <w:spacing w:before="73" w:beforeLines="15" w:line="240" w:lineRule="auto"/>
              <w:ind w:left="-105" w:leftChars="-50" w:right="-105" w:rightChars="-50"/>
              <w:jc w:val="center"/>
              <w:outlineLvl w:val="9"/>
              <w:rPr>
                <w:rFonts w:ascii="宋体" w:hAnsi="宋体"/>
                <w:color w:val="auto"/>
                <w:sz w:val="21"/>
                <w:szCs w:val="21"/>
                <w:highlight w:val="none"/>
              </w:rPr>
            </w:pPr>
            <w:r>
              <w:rPr>
                <w:rFonts w:hint="eastAsia" w:ascii="宋体" w:hAnsi="宋体"/>
                <w:color w:val="auto"/>
                <w:sz w:val="21"/>
                <w:szCs w:val="21"/>
                <w:highlight w:val="none"/>
              </w:rPr>
              <w:t>报价唯一</w:t>
            </w:r>
          </w:p>
        </w:tc>
        <w:tc>
          <w:tcPr>
            <w:tcW w:w="6183" w:type="dxa"/>
            <w:noWrap w:val="0"/>
            <w:vAlign w:val="center"/>
          </w:tcPr>
          <w:p>
            <w:pPr>
              <w:adjustRightInd w:val="0"/>
              <w:snapToGrid w:val="0"/>
              <w:spacing w:before="73" w:beforeLines="15" w:line="240" w:lineRule="auto"/>
              <w:outlineLvl w:val="9"/>
              <w:rPr>
                <w:rFonts w:ascii="宋体" w:hAnsi="宋体"/>
                <w:color w:val="auto"/>
                <w:sz w:val="21"/>
                <w:szCs w:val="21"/>
                <w:highlight w:val="none"/>
              </w:rPr>
            </w:pPr>
            <w:r>
              <w:rPr>
                <w:rFonts w:hint="eastAsia" w:ascii="宋体" w:hAnsi="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5</w:t>
            </w:r>
          </w:p>
        </w:tc>
        <w:tc>
          <w:tcPr>
            <w:tcW w:w="900" w:type="dxa"/>
            <w:noWrap w:val="0"/>
            <w:vAlign w:val="center"/>
          </w:tcPr>
          <w:p>
            <w:pPr>
              <w:autoSpaceDE w:val="0"/>
              <w:autoSpaceDN w:val="0"/>
              <w:adjustRightInd w:val="0"/>
              <w:spacing w:line="240" w:lineRule="auto"/>
              <w:jc w:val="center"/>
              <w:outlineLvl w:val="9"/>
              <w:rPr>
                <w:rFonts w:hint="eastAsia" w:ascii="宋体" w:hAnsi="宋体" w:cs="宋体"/>
                <w:bCs/>
                <w:color w:val="auto"/>
                <w:sz w:val="21"/>
                <w:szCs w:val="21"/>
                <w:highlight w:val="none"/>
                <w:lang w:val="zh-CN"/>
              </w:rPr>
            </w:pPr>
            <w:r>
              <w:rPr>
                <w:rFonts w:hint="eastAsia" w:ascii="宋体" w:hAnsi="宋体" w:eastAsia="宋体" w:cs="宋体"/>
                <w:color w:val="auto"/>
                <w:sz w:val="21"/>
                <w:szCs w:val="21"/>
                <w:highlight w:val="none"/>
                <w:lang w:eastAsia="zh-CN"/>
              </w:rPr>
              <w:t>商务</w:t>
            </w:r>
          </w:p>
        </w:tc>
        <w:tc>
          <w:tcPr>
            <w:tcW w:w="1700" w:type="dxa"/>
            <w:noWrap w:val="0"/>
            <w:vAlign w:val="center"/>
          </w:tcPr>
          <w:p>
            <w:pPr>
              <w:autoSpaceDE w:val="0"/>
              <w:autoSpaceDN w:val="0"/>
              <w:adjustRightInd w:val="0"/>
              <w:spacing w:line="240" w:lineRule="auto"/>
              <w:jc w:val="center"/>
              <w:outlineLvl w:val="9"/>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投标内容</w:t>
            </w:r>
          </w:p>
        </w:tc>
        <w:tc>
          <w:tcPr>
            <w:tcW w:w="6183" w:type="dxa"/>
            <w:noWrap w:val="0"/>
            <w:vAlign w:val="center"/>
          </w:tcPr>
          <w:p>
            <w:pPr>
              <w:autoSpaceDE w:val="0"/>
              <w:autoSpaceDN w:val="0"/>
              <w:adjustRightInd w:val="0"/>
              <w:spacing w:line="240" w:lineRule="auto"/>
              <w:jc w:val="left"/>
              <w:outlineLvl w:val="9"/>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6</w:t>
            </w:r>
          </w:p>
        </w:tc>
        <w:tc>
          <w:tcPr>
            <w:tcW w:w="900" w:type="dxa"/>
            <w:noWrap w:val="0"/>
            <w:vAlign w:val="center"/>
          </w:tcPr>
          <w:p>
            <w:pPr>
              <w:autoSpaceDE w:val="0"/>
              <w:autoSpaceDN w:val="0"/>
              <w:adjustRightInd w:val="0"/>
              <w:spacing w:line="240" w:lineRule="auto"/>
              <w:jc w:val="center"/>
              <w:outlineLvl w:val="9"/>
              <w:rPr>
                <w:rFonts w:hint="eastAsia" w:ascii="宋体" w:hAnsi="宋体" w:cs="宋体"/>
                <w:bCs/>
                <w:color w:val="auto"/>
                <w:sz w:val="21"/>
                <w:szCs w:val="21"/>
                <w:highlight w:val="none"/>
                <w:lang w:val="zh-CN"/>
              </w:rPr>
            </w:pPr>
            <w:r>
              <w:rPr>
                <w:rFonts w:hint="eastAsia" w:ascii="宋体" w:hAnsi="宋体" w:eastAsia="宋体" w:cs="宋体"/>
                <w:color w:val="auto"/>
                <w:sz w:val="21"/>
                <w:szCs w:val="21"/>
                <w:highlight w:val="none"/>
                <w:lang w:eastAsia="zh-CN"/>
              </w:rPr>
              <w:t>商务</w:t>
            </w:r>
          </w:p>
        </w:tc>
        <w:tc>
          <w:tcPr>
            <w:tcW w:w="1700" w:type="dxa"/>
            <w:noWrap w:val="0"/>
            <w:vAlign w:val="center"/>
          </w:tcPr>
          <w:p>
            <w:pPr>
              <w:autoSpaceDE w:val="0"/>
              <w:autoSpaceDN w:val="0"/>
              <w:adjustRightInd w:val="0"/>
              <w:spacing w:line="240" w:lineRule="auto"/>
              <w:jc w:val="center"/>
              <w:outlineLvl w:val="9"/>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合同履行期限</w:t>
            </w:r>
          </w:p>
        </w:tc>
        <w:tc>
          <w:tcPr>
            <w:tcW w:w="6183" w:type="dxa"/>
            <w:noWrap w:val="0"/>
            <w:vAlign w:val="center"/>
          </w:tcPr>
          <w:p>
            <w:pPr>
              <w:autoSpaceDE w:val="0"/>
              <w:autoSpaceDN w:val="0"/>
              <w:adjustRightInd w:val="0"/>
              <w:spacing w:line="240" w:lineRule="auto"/>
              <w:jc w:val="left"/>
              <w:outlineLvl w:val="9"/>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eastAsia="zh-CN"/>
              </w:rPr>
              <w:t>合同签订后30个工作日内供货、安装及调试并保证验收合格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7</w:t>
            </w:r>
          </w:p>
        </w:tc>
        <w:tc>
          <w:tcPr>
            <w:tcW w:w="900" w:type="dxa"/>
            <w:noWrap w:val="0"/>
            <w:vAlign w:val="center"/>
          </w:tcPr>
          <w:p>
            <w:pPr>
              <w:autoSpaceDE w:val="0"/>
              <w:autoSpaceDN w:val="0"/>
              <w:adjustRightInd w:val="0"/>
              <w:spacing w:line="240" w:lineRule="auto"/>
              <w:jc w:val="center"/>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eastAsia="zh-CN"/>
              </w:rPr>
              <w:t>商务</w:t>
            </w:r>
          </w:p>
        </w:tc>
        <w:tc>
          <w:tcPr>
            <w:tcW w:w="1700" w:type="dxa"/>
            <w:noWrap w:val="0"/>
            <w:vAlign w:val="center"/>
          </w:tcPr>
          <w:p>
            <w:pPr>
              <w:autoSpaceDE w:val="0"/>
              <w:autoSpaceDN w:val="0"/>
              <w:adjustRightInd w:val="0"/>
              <w:spacing w:line="240" w:lineRule="auto"/>
              <w:jc w:val="center"/>
              <w:outlineLvl w:val="9"/>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质量要求</w:t>
            </w:r>
          </w:p>
        </w:tc>
        <w:tc>
          <w:tcPr>
            <w:tcW w:w="6183" w:type="dxa"/>
            <w:noWrap w:val="0"/>
            <w:vAlign w:val="center"/>
          </w:tcPr>
          <w:p>
            <w:pPr>
              <w:autoSpaceDE w:val="0"/>
              <w:autoSpaceDN w:val="0"/>
              <w:adjustRightInd w:val="0"/>
              <w:spacing w:line="240" w:lineRule="auto"/>
              <w:jc w:val="left"/>
              <w:outlineLvl w:val="9"/>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符合国家及相关行业要求的合格标准，并达到采购人的验收标准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shd w:val="clear" w:color="auto" w:fill="auto"/>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eastAsiaTheme="minorEastAsia"/>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900" w:type="dxa"/>
            <w:shd w:val="clear" w:color="auto" w:fill="auto"/>
            <w:noWrap w:val="0"/>
            <w:vAlign w:val="center"/>
          </w:tcPr>
          <w:p>
            <w:pPr>
              <w:autoSpaceDE w:val="0"/>
              <w:autoSpaceDN w:val="0"/>
              <w:adjustRightInd w:val="0"/>
              <w:spacing w:line="240" w:lineRule="auto"/>
              <w:jc w:val="center"/>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商务</w:t>
            </w:r>
          </w:p>
        </w:tc>
        <w:tc>
          <w:tcPr>
            <w:tcW w:w="1700"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eastAsiaTheme="minorEastAsia"/>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投标有效期</w:t>
            </w:r>
          </w:p>
        </w:tc>
        <w:tc>
          <w:tcPr>
            <w:tcW w:w="6183" w:type="dxa"/>
            <w:shd w:val="clear" w:color="auto" w:fill="auto"/>
            <w:noWrap w:val="0"/>
            <w:vAlign w:val="center"/>
          </w:tcPr>
          <w:p>
            <w:pPr>
              <w:autoSpaceDE w:val="0"/>
              <w:autoSpaceDN w:val="0"/>
              <w:adjustRightInd w:val="0"/>
              <w:spacing w:line="240" w:lineRule="auto"/>
              <w:jc w:val="left"/>
              <w:outlineLvl w:val="9"/>
              <w:rPr>
                <w:rFonts w:hint="eastAsia" w:ascii="宋体" w:hAnsi="宋体" w:cs="宋体" w:eastAsiaTheme="minorEastAsia"/>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shd w:val="clear" w:color="auto" w:fill="auto"/>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eastAsiaTheme="minorEastAsia"/>
                <w:bCs/>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9</w:t>
            </w:r>
          </w:p>
        </w:tc>
        <w:tc>
          <w:tcPr>
            <w:tcW w:w="900"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eastAsiaTheme="minorEastAsia"/>
                <w:bCs/>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商务</w:t>
            </w:r>
          </w:p>
        </w:tc>
        <w:tc>
          <w:tcPr>
            <w:tcW w:w="1700"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eastAsiaTheme="minorEastAsia"/>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投标保证金</w:t>
            </w:r>
          </w:p>
        </w:tc>
        <w:tc>
          <w:tcPr>
            <w:tcW w:w="6183" w:type="dxa"/>
            <w:shd w:val="clear" w:color="auto" w:fill="auto"/>
            <w:noWrap w:val="0"/>
            <w:vAlign w:val="center"/>
          </w:tcPr>
          <w:p>
            <w:pPr>
              <w:autoSpaceDE w:val="0"/>
              <w:autoSpaceDN w:val="0"/>
              <w:adjustRightInd w:val="0"/>
              <w:spacing w:line="240" w:lineRule="auto"/>
              <w:outlineLvl w:val="9"/>
              <w:rPr>
                <w:rFonts w:hint="eastAsia" w:ascii="宋体" w:hAnsi="宋体" w:cs="宋体" w:eastAsiaTheme="minorEastAsia"/>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符合投标人须知前附表要求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shd w:val="clear" w:color="auto" w:fill="auto"/>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eastAsiaTheme="minorEastAsia"/>
                <w:bCs/>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10</w:t>
            </w:r>
          </w:p>
        </w:tc>
        <w:tc>
          <w:tcPr>
            <w:tcW w:w="900"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eastAsiaTheme="minorEastAsia"/>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报价</w:t>
            </w:r>
          </w:p>
        </w:tc>
        <w:tc>
          <w:tcPr>
            <w:tcW w:w="1700"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eastAsiaTheme="minorEastAsia"/>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投标报价</w:t>
            </w:r>
          </w:p>
        </w:tc>
        <w:tc>
          <w:tcPr>
            <w:tcW w:w="6183" w:type="dxa"/>
            <w:shd w:val="clear" w:color="auto" w:fill="auto"/>
            <w:noWrap w:val="0"/>
            <w:vAlign w:val="center"/>
          </w:tcPr>
          <w:p>
            <w:pPr>
              <w:autoSpaceDE w:val="0"/>
              <w:autoSpaceDN w:val="0"/>
              <w:adjustRightInd w:val="0"/>
              <w:spacing w:line="240" w:lineRule="auto"/>
              <w:outlineLvl w:val="9"/>
              <w:rPr>
                <w:rFonts w:hint="eastAsia" w:ascii="宋体" w:hAnsi="宋体" w:cs="宋体" w:eastAsiaTheme="minorEastAsia"/>
                <w:bCs/>
                <w:color w:val="auto"/>
                <w:kern w:val="2"/>
                <w:sz w:val="21"/>
                <w:szCs w:val="21"/>
                <w:highlight w:val="none"/>
                <w:lang w:val="zh-CN" w:eastAsia="zh-CN" w:bidi="ar-SA"/>
              </w:rPr>
            </w:pPr>
            <w:r>
              <w:rPr>
                <w:rFonts w:hint="eastAsia" w:ascii="宋体" w:hAnsi="宋体" w:cs="宋体"/>
                <w:b w:val="0"/>
                <w:bCs w:val="0"/>
                <w:color w:val="auto"/>
                <w:sz w:val="21"/>
                <w:szCs w:val="21"/>
                <w:highlight w:val="none"/>
              </w:rPr>
              <w:t>未超出采购预算（不得超出采购预算,否则其投标被否决）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shd w:val="clear" w:color="auto" w:fill="auto"/>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eastAsiaTheme="minorEastAsia"/>
                <w:bCs/>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900"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eastAsiaTheme="minorEastAsia"/>
                <w:bCs/>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商务</w:t>
            </w:r>
          </w:p>
        </w:tc>
        <w:tc>
          <w:tcPr>
            <w:tcW w:w="1700"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商务及</w:t>
            </w:r>
          </w:p>
          <w:p>
            <w:pPr>
              <w:autoSpaceDE w:val="0"/>
              <w:autoSpaceDN w:val="0"/>
              <w:adjustRightInd w:val="0"/>
              <w:spacing w:line="240" w:lineRule="auto"/>
              <w:jc w:val="center"/>
              <w:outlineLvl w:val="9"/>
              <w:rPr>
                <w:rFonts w:hint="eastAsia" w:ascii="宋体" w:hAnsi="宋体" w:cs="宋体" w:eastAsiaTheme="minorEastAsia"/>
                <w:b w:val="0"/>
                <w:bCs/>
                <w:color w:val="auto"/>
                <w:kern w:val="2"/>
                <w:sz w:val="21"/>
                <w:szCs w:val="21"/>
                <w:highlight w:val="none"/>
                <w:lang w:val="zh-CN" w:eastAsia="zh-CN" w:bidi="ar-SA"/>
              </w:rPr>
            </w:pPr>
            <w:r>
              <w:rPr>
                <w:rFonts w:hint="eastAsia" w:ascii="宋体" w:hAnsi="宋体" w:cs="宋体"/>
                <w:b w:val="0"/>
                <w:bCs/>
                <w:color w:val="auto"/>
                <w:sz w:val="21"/>
                <w:szCs w:val="21"/>
                <w:highlight w:val="none"/>
                <w:lang w:val="zh-CN"/>
              </w:rPr>
              <w:t>技术要求</w:t>
            </w:r>
          </w:p>
        </w:tc>
        <w:tc>
          <w:tcPr>
            <w:tcW w:w="6183" w:type="dxa"/>
            <w:shd w:val="clear" w:color="auto" w:fill="auto"/>
            <w:noWrap w:val="0"/>
            <w:vAlign w:val="center"/>
          </w:tcPr>
          <w:p>
            <w:pPr>
              <w:autoSpaceDE w:val="0"/>
              <w:autoSpaceDN w:val="0"/>
              <w:adjustRightInd w:val="0"/>
              <w:spacing w:line="240" w:lineRule="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sz w:val="21"/>
                <w:szCs w:val="21"/>
                <w:highlight w:val="none"/>
                <w:lang w:eastAsia="zh-CN"/>
              </w:rPr>
              <w:t>逐条对招标文件要求的商务</w:t>
            </w:r>
            <w:r>
              <w:rPr>
                <w:rFonts w:hint="eastAsia" w:ascii="宋体" w:hAnsi="宋体" w:eastAsia="宋体" w:cs="宋体"/>
                <w:b w:val="0"/>
                <w:bCs/>
                <w:color w:val="auto"/>
                <w:sz w:val="21"/>
                <w:szCs w:val="21"/>
                <w:highlight w:val="none"/>
                <w:lang w:val="en-US" w:eastAsia="zh-CN"/>
              </w:rPr>
              <w:t>条款</w:t>
            </w:r>
            <w:r>
              <w:rPr>
                <w:rFonts w:hint="eastAsia" w:ascii="宋体" w:hAnsi="宋体" w:eastAsia="宋体" w:cs="宋体"/>
                <w:b w:val="0"/>
                <w:bCs/>
                <w:color w:val="auto"/>
                <w:sz w:val="21"/>
                <w:szCs w:val="21"/>
                <w:highlight w:val="none"/>
                <w:lang w:eastAsia="zh-CN"/>
              </w:rPr>
              <w:t>和技术需求进行应答，商务</w:t>
            </w:r>
            <w:r>
              <w:rPr>
                <w:rFonts w:hint="eastAsia" w:ascii="宋体" w:hAnsi="宋体" w:eastAsia="宋体" w:cs="宋体"/>
                <w:b w:val="0"/>
                <w:bCs/>
                <w:color w:val="auto"/>
                <w:sz w:val="21"/>
                <w:szCs w:val="21"/>
                <w:highlight w:val="none"/>
                <w:lang w:val="en-US" w:eastAsia="zh-CN"/>
              </w:rPr>
              <w:t>条款</w:t>
            </w:r>
            <w:r>
              <w:rPr>
                <w:rFonts w:hint="eastAsia" w:ascii="宋体" w:hAnsi="宋体" w:eastAsia="宋体" w:cs="宋体"/>
                <w:b w:val="0"/>
                <w:bCs/>
                <w:color w:val="auto"/>
                <w:sz w:val="21"/>
                <w:szCs w:val="21"/>
                <w:highlight w:val="none"/>
                <w:lang w:eastAsia="zh-CN"/>
              </w:rPr>
              <w:t>其中每有一项*号条款负偏离，将导致其投标将作无效标处理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67"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eastAsiaTheme="minorEastAsia"/>
                <w:b w:val="0"/>
                <w:bCs/>
                <w:color w:val="auto"/>
                <w:kern w:val="2"/>
                <w:sz w:val="21"/>
                <w:szCs w:val="21"/>
                <w:highlight w:val="none"/>
                <w:lang w:val="zh-CN" w:eastAsia="zh-CN" w:bidi="ar-SA"/>
              </w:rPr>
            </w:pPr>
            <w:r>
              <w:rPr>
                <w:rFonts w:hint="eastAsia" w:ascii="宋体" w:hAnsi="宋体" w:cs="宋体"/>
                <w:b w:val="0"/>
                <w:bCs/>
                <w:color w:val="auto"/>
                <w:sz w:val="21"/>
                <w:szCs w:val="21"/>
                <w:highlight w:val="none"/>
                <w:lang w:val="en-US" w:eastAsia="zh-CN"/>
              </w:rPr>
              <w:t>12</w:t>
            </w:r>
          </w:p>
        </w:tc>
        <w:tc>
          <w:tcPr>
            <w:tcW w:w="900"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eastAsiaTheme="minorEastAsia"/>
                <w:b w:val="0"/>
                <w:bCs/>
                <w:color w:val="auto"/>
                <w:kern w:val="2"/>
                <w:sz w:val="21"/>
                <w:szCs w:val="21"/>
                <w:highlight w:val="none"/>
                <w:lang w:val="zh-CN" w:eastAsia="zh-CN" w:bidi="ar-SA"/>
              </w:rPr>
            </w:pPr>
            <w:r>
              <w:rPr>
                <w:rFonts w:hint="eastAsia" w:ascii="宋体" w:hAnsi="宋体" w:eastAsia="宋体" w:cs="宋体"/>
                <w:color w:val="auto"/>
                <w:sz w:val="21"/>
                <w:szCs w:val="21"/>
                <w:highlight w:val="none"/>
                <w:lang w:eastAsia="zh-CN"/>
              </w:rPr>
              <w:t>商务</w:t>
            </w:r>
          </w:p>
        </w:tc>
        <w:tc>
          <w:tcPr>
            <w:tcW w:w="1700" w:type="dxa"/>
            <w:shd w:val="clear" w:color="auto" w:fill="auto"/>
            <w:noWrap w:val="0"/>
            <w:vAlign w:val="center"/>
          </w:tcPr>
          <w:p>
            <w:pPr>
              <w:autoSpaceDE w:val="0"/>
              <w:autoSpaceDN w:val="0"/>
              <w:adjustRightInd w:val="0"/>
              <w:spacing w:line="240" w:lineRule="auto"/>
              <w:jc w:val="center"/>
              <w:outlineLvl w:val="9"/>
              <w:rPr>
                <w:rFonts w:hint="eastAsia" w:ascii="宋体" w:hAnsi="宋体" w:cs="宋体" w:eastAsiaTheme="minorEastAsia"/>
                <w:b w:val="0"/>
                <w:bCs/>
                <w:color w:val="auto"/>
                <w:kern w:val="2"/>
                <w:sz w:val="21"/>
                <w:szCs w:val="21"/>
                <w:highlight w:val="none"/>
                <w:lang w:val="zh-CN" w:eastAsia="zh-CN" w:bidi="ar-SA"/>
              </w:rPr>
            </w:pPr>
            <w:r>
              <w:rPr>
                <w:rFonts w:hint="eastAsia" w:ascii="宋体" w:hAnsi="宋体" w:cs="宋体"/>
                <w:b w:val="0"/>
                <w:bCs/>
                <w:color w:val="auto"/>
                <w:sz w:val="21"/>
                <w:szCs w:val="21"/>
                <w:highlight w:val="none"/>
                <w:lang w:val="zh-CN"/>
              </w:rPr>
              <w:t>其他</w:t>
            </w:r>
          </w:p>
        </w:tc>
        <w:tc>
          <w:tcPr>
            <w:tcW w:w="6183" w:type="dxa"/>
            <w:shd w:val="clear" w:color="auto" w:fill="auto"/>
            <w:noWrap w:val="0"/>
            <w:vAlign w:val="center"/>
          </w:tcPr>
          <w:p>
            <w:pPr>
              <w:autoSpaceDE w:val="0"/>
              <w:autoSpaceDN w:val="0"/>
              <w:adjustRightInd w:val="0"/>
              <w:spacing w:line="240" w:lineRule="auto"/>
              <w:outlineLvl w:val="9"/>
              <w:rPr>
                <w:rFonts w:hint="eastAsia" w:ascii="Segoe UI Symbol" w:hAnsi="Segoe UI Symbol" w:cs="Segoe UI Symbol" w:eastAsiaTheme="minorEastAsia"/>
                <w:b w:val="0"/>
                <w:bCs/>
                <w:color w:val="auto"/>
                <w:kern w:val="2"/>
                <w:sz w:val="21"/>
                <w:szCs w:val="21"/>
                <w:highlight w:val="none"/>
                <w:lang w:val="en-US" w:eastAsia="zh-CN" w:bidi="ar-SA"/>
              </w:rPr>
            </w:pPr>
            <w:r>
              <w:rPr>
                <w:rFonts w:hint="eastAsia" w:ascii="宋体" w:hAnsi="宋体" w:eastAsia="宋体" w:cs="宋体"/>
                <w:color w:val="auto"/>
                <w:szCs w:val="21"/>
                <w:highlight w:val="none"/>
                <w:lang w:val="zh-CN"/>
              </w:rPr>
              <w:t>没有法律法规和招标文件规定的其他无效情形</w:t>
            </w:r>
          </w:p>
        </w:tc>
      </w:tr>
    </w:tbl>
    <w:p>
      <w:pPr>
        <w:bidi w:val="0"/>
        <w:spacing w:line="360" w:lineRule="auto"/>
        <w:outlineLvl w:val="9"/>
        <w:rPr>
          <w:rFonts w:hint="eastAsia"/>
          <w:b/>
          <w:bCs/>
          <w:color w:val="auto"/>
          <w:sz w:val="24"/>
          <w:szCs w:val="24"/>
          <w:lang w:val="zh-CN" w:eastAsia="zh-CN"/>
        </w:rPr>
        <w:sectPr>
          <w:pgSz w:w="11906" w:h="16838"/>
          <w:pgMar w:top="1361" w:right="1304" w:bottom="1247" w:left="1304" w:header="680" w:footer="680" w:gutter="0"/>
          <w:pgNumType w:fmt="decimal"/>
          <w:cols w:space="720" w:num="1"/>
          <w:docGrid w:linePitch="312" w:charSpace="0"/>
        </w:sectPr>
      </w:pPr>
    </w:p>
    <w:p>
      <w:pPr>
        <w:bidi w:val="0"/>
        <w:spacing w:line="360" w:lineRule="auto"/>
        <w:ind w:left="0" w:leftChars="0" w:firstLine="422" w:firstLineChars="175"/>
        <w:outlineLvl w:val="9"/>
        <w:rPr>
          <w:rFonts w:hint="eastAsia"/>
          <w:b/>
          <w:bCs/>
          <w:color w:val="auto"/>
          <w:sz w:val="24"/>
          <w:szCs w:val="24"/>
          <w:lang w:val="zh-CN" w:eastAsia="zh-CN"/>
        </w:rPr>
      </w:pPr>
      <w:r>
        <w:rPr>
          <w:rFonts w:hint="eastAsia"/>
          <w:b/>
          <w:bCs/>
          <w:color w:val="auto"/>
          <w:sz w:val="24"/>
          <w:szCs w:val="24"/>
          <w:lang w:val="zh-CN" w:eastAsia="zh-CN"/>
        </w:rPr>
        <w:t>评标委员会发现有下列情形之一的，视为投标人串通投标，其投标无效：</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一、有下列情形之一的，属于投标人相互串通投标：</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（一）投标人之间协商投标报价等投标文件的实质性内容；</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（二）投标人之间约定中标人；</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（三）投标人之间约定部分投标人放弃投标或者中标；</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（四）属于同一集团、协会、商会等组织成员的投标人按照该组织要求协同投标；</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（五）投标人之间为谋取中标或者排斥特定投标人而采取的其他联合行动。</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二、 有下列情形之一的，视为投标人相互串通投标：</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（一）不同投标人的投标文件由同一单位或者个人编制；</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（二）不同投标人委托同一单位或者个人办理投标事宜；</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（三）不同投标人的投标文件载明的项目管理成员为同一人；</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（四）不同投标人的投标文件异常一致或者投标报价呈规律性差异；</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（五）不同投标人的投标文件相互混装；</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（六）不同投标人的投标保证金从同一单位或者个人的账户转出。</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三、有下列情形之一的，属于招标人与投标人串通投标：</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（一）招标人在开标前开启投标文件并将有关信息泄露给其他投标人;</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（二）招标人直接或者间接向投标人泄露标底、评标委员会成员等信息；</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（三）招标人明示或者暗示投标人压低或者抬高投标报价；</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（四）招标人授意投标人撤换、修改投标文件；</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（五）招标人明示或者暗示投标人为特定投标人中标提供方便；</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（六）招标人与投标人为谋求特定投标人中标而采取的其他串通行为。</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注：经评标委员会评审合格投标人的家数不足三家，该项目废标，采购人有权委托采购代理机构重新组织招标。</w:t>
      </w:r>
    </w:p>
    <w:p>
      <w:pPr>
        <w:spacing w:line="360" w:lineRule="auto"/>
        <w:ind w:left="0" w:leftChars="0" w:firstLine="422" w:firstLineChars="175"/>
        <w:outlineLvl w:val="1"/>
        <w:rPr>
          <w:rFonts w:hint="eastAsia"/>
          <w:b/>
          <w:bCs/>
          <w:color w:val="auto"/>
          <w:sz w:val="24"/>
          <w:szCs w:val="24"/>
          <w:lang w:val="zh-CN" w:eastAsia="zh-CN"/>
        </w:rPr>
      </w:pPr>
      <w:bookmarkStart w:id="86" w:name="_Toc11728"/>
      <w:bookmarkStart w:id="87" w:name="_Toc19965"/>
      <w:r>
        <w:rPr>
          <w:rFonts w:hint="eastAsia"/>
          <w:b/>
          <w:bCs/>
          <w:color w:val="auto"/>
          <w:sz w:val="24"/>
          <w:szCs w:val="24"/>
          <w:lang w:val="zh-CN" w:eastAsia="zh-CN"/>
        </w:rPr>
        <w:t>3.</w:t>
      </w:r>
      <w:r>
        <w:rPr>
          <w:rFonts w:hint="eastAsia"/>
          <w:b/>
          <w:bCs/>
          <w:color w:val="auto"/>
          <w:sz w:val="24"/>
          <w:szCs w:val="24"/>
          <w:lang w:val="en-US" w:eastAsia="zh-CN"/>
        </w:rPr>
        <w:t>3</w:t>
      </w:r>
      <w:r>
        <w:rPr>
          <w:rFonts w:hint="eastAsia"/>
          <w:b/>
          <w:bCs/>
          <w:color w:val="auto"/>
          <w:sz w:val="24"/>
          <w:szCs w:val="24"/>
          <w:lang w:val="zh-CN" w:eastAsia="zh-CN"/>
        </w:rPr>
        <w:t>澄清有关问题</w:t>
      </w:r>
      <w:bookmarkEnd w:id="86"/>
      <w:bookmarkEnd w:id="87"/>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3.</w:t>
      </w:r>
      <w:r>
        <w:rPr>
          <w:rFonts w:hint="eastAsia"/>
          <w:color w:val="auto"/>
          <w:sz w:val="24"/>
          <w:szCs w:val="24"/>
          <w:lang w:val="en-US" w:eastAsia="zh-CN"/>
        </w:rPr>
        <w:t>3</w:t>
      </w:r>
      <w:r>
        <w:rPr>
          <w:rFonts w:hint="eastAsia"/>
          <w:color w:val="auto"/>
          <w:sz w:val="24"/>
          <w:szCs w:val="24"/>
          <w:lang w:val="zh-CN" w:eastAsia="zh-CN"/>
        </w:rPr>
        <w:t>.1评标委员会将允许修正投标文件中不构成重大偏离的细微偏离，但这些修正应不会对实质上响应招标文件要求的投标人的竞争地位（相互排序）产生不公正的影响。</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3.</w:t>
      </w:r>
      <w:r>
        <w:rPr>
          <w:rFonts w:hint="eastAsia"/>
          <w:color w:val="auto"/>
          <w:sz w:val="24"/>
          <w:szCs w:val="24"/>
          <w:lang w:val="en-US" w:eastAsia="zh-CN"/>
        </w:rPr>
        <w:t>3</w:t>
      </w:r>
      <w:r>
        <w:rPr>
          <w:rFonts w:hint="eastAsia"/>
          <w:color w:val="auto"/>
          <w:sz w:val="24"/>
          <w:szCs w:val="24"/>
          <w:lang w:val="zh-CN" w:eastAsia="zh-CN"/>
        </w:rPr>
        <w:t>.2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3.</w:t>
      </w:r>
      <w:r>
        <w:rPr>
          <w:rFonts w:hint="eastAsia"/>
          <w:color w:val="auto"/>
          <w:sz w:val="24"/>
          <w:szCs w:val="24"/>
          <w:lang w:val="en-US" w:eastAsia="zh-CN"/>
        </w:rPr>
        <w:t>3</w:t>
      </w:r>
      <w:r>
        <w:rPr>
          <w:rFonts w:hint="eastAsia"/>
          <w:color w:val="auto"/>
          <w:sz w:val="24"/>
          <w:szCs w:val="24"/>
          <w:lang w:val="zh-CN" w:eastAsia="zh-CN"/>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0" w:leftChars="0" w:firstLine="422" w:firstLineChars="175"/>
        <w:outlineLvl w:val="1"/>
        <w:rPr>
          <w:rFonts w:hint="eastAsia"/>
          <w:b/>
          <w:bCs/>
          <w:color w:val="auto"/>
          <w:sz w:val="24"/>
          <w:szCs w:val="24"/>
          <w:lang w:val="en-US" w:eastAsia="zh-CN"/>
        </w:rPr>
      </w:pPr>
      <w:bookmarkStart w:id="88" w:name="_Toc25020"/>
      <w:bookmarkStart w:id="89" w:name="_Toc32311"/>
      <w:r>
        <w:rPr>
          <w:rFonts w:hint="eastAsia"/>
          <w:b/>
          <w:bCs/>
          <w:color w:val="auto"/>
          <w:sz w:val="24"/>
          <w:szCs w:val="24"/>
          <w:lang w:val="en-US" w:eastAsia="zh-CN"/>
        </w:rPr>
        <w:t>3.4详细评审</w:t>
      </w:r>
      <w:bookmarkEnd w:id="88"/>
      <w:bookmarkEnd w:id="89"/>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3.4.1 评标委员会应当按照招标文件中规定的评标方法和标准，对符合性审查合格的投标文件进行商务和技术评估，综合比较与评价。</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3.4.2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pPr>
        <w:bidi w:val="0"/>
        <w:spacing w:line="360" w:lineRule="auto"/>
        <w:ind w:left="0" w:leftChars="0" w:firstLine="420" w:firstLineChars="175"/>
        <w:outlineLvl w:val="9"/>
        <w:rPr>
          <w:rFonts w:hint="eastAsia"/>
          <w:color w:val="auto"/>
          <w:sz w:val="24"/>
          <w:szCs w:val="24"/>
          <w:lang w:val="zh-CN" w:eastAsia="zh-CN"/>
        </w:rPr>
      </w:pPr>
      <w:r>
        <w:rPr>
          <w:rFonts w:hint="eastAsia"/>
          <w:color w:val="auto"/>
          <w:sz w:val="24"/>
          <w:szCs w:val="24"/>
          <w:lang w:val="zh-CN" w:eastAsia="zh-CN"/>
        </w:rPr>
        <w:t>非单一产品采购项目，采购人根据采购项目技术构成、产品价格比重等合理确定核心产品，并在招标文件第五章中载明。多家投标人提供的核心产品品牌相同的，按前款规定处理。</w:t>
      </w:r>
    </w:p>
    <w:p>
      <w:pPr>
        <w:bidi w:val="0"/>
        <w:spacing w:line="360" w:lineRule="auto"/>
        <w:ind w:left="0" w:leftChars="0" w:firstLine="420" w:firstLineChars="175"/>
        <w:outlineLvl w:val="9"/>
        <w:rPr>
          <w:rFonts w:hint="eastAsia"/>
          <w:color w:val="auto"/>
          <w:sz w:val="24"/>
          <w:szCs w:val="24"/>
          <w:lang w:val="zh-CN" w:eastAsia="zh-CN"/>
        </w:rPr>
        <w:sectPr>
          <w:pgSz w:w="11906" w:h="16838"/>
          <w:pgMar w:top="1440" w:right="1106" w:bottom="1440" w:left="1531" w:header="851" w:footer="992" w:gutter="0"/>
          <w:pgNumType w:fmt="decimal"/>
          <w:cols w:space="720" w:num="1"/>
          <w:docGrid w:type="lines" w:linePitch="312" w:charSpace="0"/>
        </w:sectPr>
      </w:pPr>
    </w:p>
    <w:p>
      <w:pPr>
        <w:rPr>
          <w:rFonts w:hint="eastAsia"/>
          <w:color w:val="auto"/>
        </w:rPr>
      </w:pPr>
      <w:r>
        <w:rPr>
          <w:rFonts w:hint="eastAsia"/>
          <w:b/>
          <w:bCs/>
          <w:color w:val="auto"/>
          <w:sz w:val="24"/>
          <w:szCs w:val="24"/>
          <w:highlight w:val="none"/>
          <w:lang w:val="zh-CN"/>
        </w:rPr>
        <w:t>详细评审表（计算结果精确到小数点后两位）</w:t>
      </w:r>
    </w:p>
    <w:tbl>
      <w:tblPr>
        <w:tblStyle w:val="23"/>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1"/>
        <w:gridCol w:w="765"/>
        <w:gridCol w:w="1155"/>
        <w:gridCol w:w="6390"/>
        <w:gridCol w:w="375"/>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 w:hRule="atLeast"/>
          <w:tblHeader/>
        </w:trPr>
        <w:tc>
          <w:tcPr>
            <w:tcW w:w="381"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76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eastAsia="zh-CN"/>
              </w:rPr>
              <w:t>类型</w:t>
            </w:r>
          </w:p>
        </w:tc>
        <w:tc>
          <w:tcPr>
            <w:tcW w:w="115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因素</w:t>
            </w:r>
          </w:p>
        </w:tc>
        <w:tc>
          <w:tcPr>
            <w:tcW w:w="6390"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评分标准</w:t>
            </w:r>
          </w:p>
        </w:tc>
        <w:tc>
          <w:tcPr>
            <w:tcW w:w="375"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79"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3" w:hRule="atLeast"/>
        </w:trPr>
        <w:tc>
          <w:tcPr>
            <w:tcW w:w="3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w:t>
            </w:r>
          </w:p>
        </w:tc>
        <w:tc>
          <w:tcPr>
            <w:tcW w:w="76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投标报价30分</w:t>
            </w:r>
          </w:p>
        </w:tc>
        <w:tc>
          <w:tcPr>
            <w:tcW w:w="115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sz w:val="21"/>
                <w:szCs w:val="21"/>
                <w:highlight w:val="none"/>
              </w:rPr>
              <w:t>投标报价</w:t>
            </w:r>
          </w:p>
        </w:tc>
        <w:tc>
          <w:tcPr>
            <w:tcW w:w="6390" w:type="dxa"/>
            <w:noWrap w:val="0"/>
            <w:tcMar>
              <w:top w:w="15" w:type="dxa"/>
              <w:left w:w="15" w:type="dxa"/>
              <w:right w:w="15" w:type="dxa"/>
            </w:tcMar>
            <w:vAlign w:val="center"/>
          </w:tcPr>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所有有效报价中的最低报价作为评标基准价，有效报价最低报价=评标基准价得满分30分。其余投标人的有效评标报价得分按如下公式计算：</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投标报价得分=(评标基准价／投标报价) ×100 ×价格权值30%</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如评标委员会认为投标人的投标报价明显低于其他通过符合性审查投标人的报价，有可能影响产品质量或者不能诚信履约的，将要求投标人在评标现场合理的时间内提供书面说明，必要时提交相关证明材料；投标人不能证明其报价合理性的，评标委员会将其作为无效投标处理。</w:t>
            </w:r>
          </w:p>
        </w:tc>
        <w:tc>
          <w:tcPr>
            <w:tcW w:w="3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30</w:t>
            </w:r>
          </w:p>
        </w:tc>
        <w:tc>
          <w:tcPr>
            <w:tcW w:w="6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sz w:val="21"/>
                <w:szCs w:val="21"/>
                <w:highlight w:val="none"/>
                <w:lang w:val="en-US" w:eastAsia="zh-CN"/>
              </w:rPr>
              <w:t>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3" w:hRule="atLeast"/>
        </w:trPr>
        <w:tc>
          <w:tcPr>
            <w:tcW w:w="381"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765"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商务部分</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tc>
        <w:tc>
          <w:tcPr>
            <w:tcW w:w="115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投标人的同类项目业绩</w:t>
            </w:r>
          </w:p>
        </w:tc>
        <w:tc>
          <w:tcPr>
            <w:tcW w:w="639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投标人20</w:t>
            </w: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年1月1日至今</w:t>
            </w:r>
            <w:r>
              <w:rPr>
                <w:rFonts w:hint="eastAsia" w:ascii="宋体" w:hAnsi="宋体" w:eastAsia="宋体" w:cs="宋体"/>
                <w:b w:val="0"/>
                <w:bCs w:val="0"/>
                <w:color w:val="auto"/>
                <w:sz w:val="21"/>
                <w:szCs w:val="21"/>
                <w:highlight w:val="none"/>
                <w:lang w:val="en-US" w:eastAsia="zh-CN"/>
              </w:rPr>
              <w:t>有类似</w:t>
            </w:r>
            <w:r>
              <w:rPr>
                <w:rFonts w:hint="eastAsia" w:ascii="宋体" w:hAnsi="宋体" w:eastAsia="宋体" w:cs="宋体"/>
                <w:b w:val="0"/>
                <w:bCs w:val="0"/>
                <w:color w:val="auto"/>
                <w:sz w:val="21"/>
                <w:szCs w:val="21"/>
                <w:highlight w:val="none"/>
              </w:rPr>
              <w:t>业绩，</w:t>
            </w:r>
            <w:r>
              <w:rPr>
                <w:rFonts w:hint="eastAsia" w:ascii="宋体" w:hAnsi="宋体" w:eastAsia="宋体" w:cs="宋体"/>
                <w:b w:val="0"/>
                <w:bCs w:val="0"/>
                <w:color w:val="auto"/>
                <w:sz w:val="21"/>
                <w:szCs w:val="21"/>
                <w:highlight w:val="none"/>
                <w:lang w:val="en-US" w:eastAsia="zh-CN"/>
              </w:rPr>
              <w:t>每有一项</w:t>
            </w:r>
            <w:r>
              <w:rPr>
                <w:rFonts w:hint="eastAsia" w:ascii="宋体" w:hAnsi="宋体" w:eastAsia="宋体" w:cs="宋体"/>
                <w:b w:val="0"/>
                <w:bCs w:val="0"/>
                <w:color w:val="auto"/>
                <w:sz w:val="21"/>
                <w:szCs w:val="21"/>
                <w:highlight w:val="none"/>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分，最高得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分。（评分依据：标书内提供业绩中标通知书</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合同</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验收报告单复印件，未提供不得分。）</w:t>
            </w:r>
          </w:p>
        </w:tc>
        <w:tc>
          <w:tcPr>
            <w:tcW w:w="375" w:type="dxa"/>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lang w:val="en-US" w:eastAsia="zh-CN"/>
              </w:rPr>
              <w:t>6</w:t>
            </w:r>
          </w:p>
        </w:tc>
        <w:tc>
          <w:tcPr>
            <w:tcW w:w="6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3" w:hRule="atLeast"/>
        </w:trPr>
        <w:tc>
          <w:tcPr>
            <w:tcW w:w="381"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rPr>
            </w:pPr>
          </w:p>
        </w:tc>
        <w:tc>
          <w:tcPr>
            <w:tcW w:w="1155" w:type="dxa"/>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eastAsia="zh-CN"/>
              </w:rPr>
              <w:t>优惠条件</w:t>
            </w:r>
          </w:p>
        </w:tc>
        <w:tc>
          <w:tcPr>
            <w:tcW w:w="6390" w:type="dxa"/>
            <w:noWrap w:val="0"/>
            <w:tcMar>
              <w:top w:w="15" w:type="dxa"/>
              <w:left w:w="15" w:type="dxa"/>
              <w:right w:w="15" w:type="dxa"/>
            </w:tcMar>
            <w:vAlign w:val="center"/>
          </w:tcPr>
          <w:p>
            <w:pPr>
              <w:widowControl/>
              <w:spacing w:line="240" w:lineRule="auto"/>
              <w:textAlignment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有</w:t>
            </w:r>
            <w:r>
              <w:rPr>
                <w:rFonts w:hint="eastAsia" w:ascii="宋体" w:hAnsi="宋体" w:eastAsia="宋体" w:cs="宋体"/>
                <w:b w:val="0"/>
                <w:bCs w:val="0"/>
                <w:color w:val="auto"/>
                <w:sz w:val="21"/>
                <w:szCs w:val="21"/>
                <w:lang w:val="en-US" w:eastAsia="zh-CN"/>
              </w:rPr>
              <w:t>优惠条件</w:t>
            </w:r>
            <w:r>
              <w:rPr>
                <w:rFonts w:hint="eastAsia" w:ascii="宋体" w:hAnsi="宋体" w:eastAsia="宋体" w:cs="宋体"/>
                <w:b w:val="0"/>
                <w:bCs w:val="0"/>
                <w:color w:val="auto"/>
                <w:sz w:val="21"/>
                <w:szCs w:val="21"/>
                <w:lang w:eastAsia="zh-CN"/>
              </w:rPr>
              <w:t>，并有招标人可接受的实质性优惠条件（其他增值优惠和增值服务），每有一项实质性的优惠或承诺得1分，最多得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分，没有不得分。</w:t>
            </w:r>
          </w:p>
          <w:p>
            <w:pPr>
              <w:widowControl/>
              <w:spacing w:line="240" w:lineRule="auto"/>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lang w:eastAsia="zh-CN"/>
              </w:rPr>
              <w:t>注：投标文件内提供承诺书加盖单位公章</w:t>
            </w:r>
          </w:p>
        </w:tc>
        <w:tc>
          <w:tcPr>
            <w:tcW w:w="375" w:type="dxa"/>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3</w:t>
            </w:r>
          </w:p>
        </w:tc>
        <w:tc>
          <w:tcPr>
            <w:tcW w:w="6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81"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765"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技术部分</w:t>
            </w:r>
            <w:r>
              <w:rPr>
                <w:rFonts w:hint="eastAsia" w:ascii="宋体" w:hAnsi="宋体" w:eastAsia="宋体" w:cs="宋体"/>
                <w:b w:val="0"/>
                <w:bCs w:val="0"/>
                <w:color w:val="auto"/>
                <w:sz w:val="21"/>
                <w:szCs w:val="21"/>
                <w:lang w:val="en-US" w:eastAsia="zh-CN"/>
              </w:rPr>
              <w:t>61</w:t>
            </w:r>
            <w:r>
              <w:rPr>
                <w:rFonts w:hint="eastAsia" w:ascii="宋体" w:hAnsi="宋体" w:eastAsia="宋体" w:cs="宋体"/>
                <w:b w:val="0"/>
                <w:bCs w:val="0"/>
                <w:color w:val="auto"/>
                <w:sz w:val="21"/>
                <w:szCs w:val="21"/>
              </w:rPr>
              <w:t>分</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rPr>
            </w:pPr>
          </w:p>
        </w:tc>
        <w:tc>
          <w:tcPr>
            <w:tcW w:w="1155" w:type="dxa"/>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技术指标</w:t>
            </w:r>
          </w:p>
        </w:tc>
        <w:tc>
          <w:tcPr>
            <w:tcW w:w="6390" w:type="dxa"/>
            <w:noWrap w:val="0"/>
            <w:tcMar>
              <w:top w:w="15" w:type="dxa"/>
              <w:left w:w="15" w:type="dxa"/>
              <w:right w:w="15" w:type="dxa"/>
            </w:tcMar>
            <w:vAlign w:val="center"/>
          </w:tcPr>
          <w:p>
            <w:pPr>
              <w:widowControl/>
              <w:spacing w:line="240" w:lineRule="auto"/>
              <w:jc w:val="left"/>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指标按重要性分为“*”重要指标项和一般指标项，“*”重要指标项</w:t>
            </w:r>
            <w:r>
              <w:rPr>
                <w:rFonts w:hint="eastAsia" w:ascii="宋体" w:hAnsi="宋体" w:eastAsia="宋体" w:cs="宋体"/>
                <w:b w:val="0"/>
                <w:bCs w:val="0"/>
                <w:color w:val="auto"/>
                <w:sz w:val="21"/>
                <w:szCs w:val="21"/>
                <w:lang w:val="en-US" w:eastAsia="zh-CN"/>
              </w:rPr>
              <w:t>每有一项负偏离扣2分，一般指标项</w:t>
            </w:r>
            <w:r>
              <w:rPr>
                <w:rFonts w:hint="eastAsia" w:ascii="宋体" w:hAnsi="宋体" w:eastAsia="宋体" w:cs="宋体"/>
                <w:b w:val="0"/>
                <w:bCs w:val="0"/>
                <w:color w:val="auto"/>
                <w:sz w:val="21"/>
                <w:szCs w:val="21"/>
              </w:rPr>
              <w:t>每有一项负偏离扣</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分，扣至0分止(注：投标人须如实填写技术参数偏离表，如有虚假采购人及评标委员会有权追求其法律责任)。</w:t>
            </w:r>
          </w:p>
          <w:p>
            <w:pPr>
              <w:widowControl/>
              <w:spacing w:line="240" w:lineRule="auto"/>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rPr>
              <w:t>注：</w:t>
            </w:r>
            <w:r>
              <w:rPr>
                <w:rFonts w:hint="eastAsia" w:ascii="宋体" w:hAnsi="宋体" w:eastAsia="宋体" w:cs="宋体"/>
                <w:b w:val="0"/>
                <w:bCs w:val="0"/>
                <w:color w:val="auto"/>
                <w:sz w:val="21"/>
                <w:szCs w:val="21"/>
                <w:lang w:val="en-US" w:eastAsia="zh-CN"/>
              </w:rPr>
              <w:t>按照第五章技术标准和要求提供相关证明材料</w:t>
            </w:r>
          </w:p>
        </w:tc>
        <w:tc>
          <w:tcPr>
            <w:tcW w:w="375" w:type="dxa"/>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30</w:t>
            </w:r>
          </w:p>
        </w:tc>
        <w:tc>
          <w:tcPr>
            <w:tcW w:w="679" w:type="dxa"/>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7" w:hRule="atLeast"/>
        </w:trPr>
        <w:tc>
          <w:tcPr>
            <w:tcW w:w="381"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76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1155" w:type="dxa"/>
            <w:shd w:val="clear" w:color="auto" w:fill="auto"/>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供货方案</w:t>
            </w:r>
          </w:p>
        </w:tc>
        <w:tc>
          <w:tcPr>
            <w:tcW w:w="6390" w:type="dxa"/>
            <w:shd w:val="clear" w:color="auto" w:fill="auto"/>
            <w:noWrap w:val="0"/>
            <w:tcMar>
              <w:top w:w="15" w:type="dxa"/>
              <w:left w:w="15" w:type="dxa"/>
              <w:right w:w="15" w:type="dxa"/>
            </w:tcMar>
            <w:vAlign w:val="center"/>
          </w:tcPr>
          <w:p>
            <w:pPr>
              <w:rPr>
                <w:rFonts w:hint="eastAsia"/>
                <w:color w:val="auto"/>
                <w:lang w:val="en-US" w:eastAsia="zh-CN"/>
              </w:rPr>
            </w:pPr>
            <w:r>
              <w:rPr>
                <w:rFonts w:hint="eastAsia"/>
                <w:color w:val="auto"/>
                <w:lang w:val="en-US" w:eastAsia="zh-CN"/>
              </w:rPr>
              <w:t>审查投标人提供的供货方案的详尽程度、完善性、合理性以及是否满足招标文件要求。供货方案至少包括：①供货时间安排；②供货人员安排；③产品的配送流程；④包装方式及产品保护措施。</w:t>
            </w:r>
          </w:p>
          <w:p>
            <w:pPr>
              <w:rPr>
                <w:rFonts w:hint="eastAsia"/>
                <w:color w:val="auto"/>
                <w:lang w:val="en-US" w:eastAsia="zh-CN"/>
              </w:rPr>
            </w:pPr>
            <w:r>
              <w:rPr>
                <w:rFonts w:hint="eastAsia"/>
                <w:color w:val="auto"/>
                <w:lang w:val="en-US" w:eastAsia="zh-CN"/>
              </w:rPr>
              <w:t>上述小项方案对项目的理解清晰，内容全面合理、满足采购人实际需求的，每项得2分。</w:t>
            </w:r>
          </w:p>
          <w:p>
            <w:pPr>
              <w:rPr>
                <w:rFonts w:hint="eastAsia"/>
                <w:color w:val="auto"/>
                <w:lang w:val="en-US" w:eastAsia="zh-CN"/>
              </w:rPr>
            </w:pPr>
            <w:r>
              <w:rPr>
                <w:rFonts w:hint="eastAsia"/>
                <w:color w:val="auto"/>
                <w:lang w:val="en-US" w:eastAsia="zh-CN"/>
              </w:rPr>
              <w:t>存在一般缺陷的小项方案得1分（一般缺陷是指方案内容前后不一致、前后逻辑错误、内容有缺失，但不影响项目的实施）。</w:t>
            </w:r>
          </w:p>
          <w:p>
            <w:pPr>
              <w:rPr>
                <w:rFonts w:hint="eastAsia"/>
                <w:color w:val="auto"/>
                <w:lang w:val="en-US" w:eastAsia="zh-CN"/>
              </w:rPr>
            </w:pPr>
            <w:r>
              <w:rPr>
                <w:rFonts w:hint="eastAsia"/>
                <w:color w:val="auto"/>
                <w:lang w:val="en-US" w:eastAsia="zh-CN"/>
              </w:rPr>
              <w:t>未提供或存在重大缺陷的小项方案不得分（重大缺陷是指方案凭空编造、套用其他方案、与采购项目和采购需求无关，无法指导项目实施）。</w:t>
            </w:r>
          </w:p>
        </w:tc>
        <w:tc>
          <w:tcPr>
            <w:tcW w:w="375" w:type="dxa"/>
            <w:shd w:val="clear" w:color="auto" w:fill="auto"/>
            <w:noWrap w:val="0"/>
            <w:tcMar>
              <w:top w:w="15" w:type="dxa"/>
              <w:left w:w="15" w:type="dxa"/>
              <w:right w:w="15" w:type="dxa"/>
            </w:tcMar>
            <w:vAlign w:val="center"/>
          </w:tcPr>
          <w:p>
            <w:pPr>
              <w:widowControl/>
              <w:spacing w:line="240" w:lineRule="auto"/>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w:t>
            </w:r>
          </w:p>
        </w:tc>
        <w:tc>
          <w:tcPr>
            <w:tcW w:w="6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trPr>
        <w:tc>
          <w:tcPr>
            <w:tcW w:w="381"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76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1155" w:type="dxa"/>
            <w:shd w:val="clear" w:color="auto" w:fill="auto"/>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质量保证体</w:t>
            </w:r>
          </w:p>
          <w:p>
            <w:pPr>
              <w:widowControl/>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系及措施</w:t>
            </w:r>
          </w:p>
        </w:tc>
        <w:tc>
          <w:tcPr>
            <w:tcW w:w="6390" w:type="dxa"/>
            <w:shd w:val="clear" w:color="auto" w:fill="auto"/>
            <w:noWrap w:val="0"/>
            <w:tcMar>
              <w:top w:w="15" w:type="dxa"/>
              <w:left w:w="15" w:type="dxa"/>
              <w:right w:w="15" w:type="dxa"/>
            </w:tcMar>
            <w:vAlign w:val="center"/>
          </w:tcPr>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审查投标人提供的质量保证体系及措施的详尽程度、完善性、合理性以及是否满足招标文件要求。措施至少包括：①货物出厂运输保护措施；②安装调试质量保障措施；③质量目标及相关依据；④质量保证制度。</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上述小项方案对项目的理解清晰，内容全面合理、满足采购人实际需求的，每项得2分。</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存在一般缺陷的小项方案得1分（一般缺陷是指方案内容前后不一致、前后逻辑错误、内容有缺失，但不影响项目的实施）。</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未提供或存在重大缺陷的小项方案不得分（重大缺陷是指方案凭空编造、套用其他方案、与采购项目和采购需求无关，无法指导项目实施）。</w:t>
            </w:r>
          </w:p>
        </w:tc>
        <w:tc>
          <w:tcPr>
            <w:tcW w:w="375" w:type="dxa"/>
            <w:shd w:val="clear" w:color="auto" w:fill="auto"/>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w:t>
            </w:r>
          </w:p>
        </w:tc>
        <w:tc>
          <w:tcPr>
            <w:tcW w:w="6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trPr>
        <w:tc>
          <w:tcPr>
            <w:tcW w:w="381"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76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1155" w:type="dxa"/>
            <w:shd w:val="clear" w:color="auto" w:fill="auto"/>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应急预案</w:t>
            </w:r>
          </w:p>
        </w:tc>
        <w:tc>
          <w:tcPr>
            <w:tcW w:w="6390" w:type="dxa"/>
            <w:shd w:val="clear" w:color="auto" w:fill="auto"/>
            <w:noWrap w:val="0"/>
            <w:tcMar>
              <w:top w:w="15" w:type="dxa"/>
              <w:left w:w="15" w:type="dxa"/>
              <w:right w:w="15" w:type="dxa"/>
            </w:tcMar>
            <w:vAlign w:val="center"/>
          </w:tcPr>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投标人根据服务内容，制定应急预案，内容详实、科学合理、有效。应急预案中包括：①总则、机构设置及职责；②应急响应；③后期处置；④保障措施等内容。</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上述小项方案对项目的理解清晰，内容全面合理、满足采购人实际需求的，每项得1分。</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存在一般缺陷的小项方案得0.5分（一般缺陷是指方案内容前后不一致、前后逻辑错误、内容有缺失，但不影响项目的实施）。</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未提供或存在重大缺陷的小项方案不得分（重大缺陷是指方案凭空编造、套用其他方案、与采购项目和采购需求无关，无法指导项目实施）。</w:t>
            </w:r>
          </w:p>
        </w:tc>
        <w:tc>
          <w:tcPr>
            <w:tcW w:w="375" w:type="dxa"/>
            <w:shd w:val="clear" w:color="auto" w:fill="auto"/>
            <w:noWrap w:val="0"/>
            <w:tcMar>
              <w:top w:w="15" w:type="dxa"/>
              <w:left w:w="15" w:type="dxa"/>
              <w:right w:w="15" w:type="dxa"/>
            </w:tcMar>
            <w:vAlign w:val="center"/>
          </w:tcPr>
          <w:p>
            <w:pPr>
              <w:widowControl/>
              <w:spacing w:line="240" w:lineRule="auto"/>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w:t>
            </w:r>
          </w:p>
        </w:tc>
        <w:tc>
          <w:tcPr>
            <w:tcW w:w="6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trPr>
        <w:tc>
          <w:tcPr>
            <w:tcW w:w="381"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76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1155" w:type="dxa"/>
            <w:shd w:val="clear" w:color="auto" w:fill="auto"/>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售后服务方</w:t>
            </w:r>
          </w:p>
          <w:p>
            <w:pPr>
              <w:widowControl/>
              <w:spacing w:line="240" w:lineRule="auto"/>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案</w:t>
            </w:r>
          </w:p>
        </w:tc>
        <w:tc>
          <w:tcPr>
            <w:tcW w:w="6390" w:type="dxa"/>
            <w:shd w:val="clear" w:color="auto" w:fill="auto"/>
            <w:noWrap w:val="0"/>
            <w:tcMar>
              <w:top w:w="15" w:type="dxa"/>
              <w:left w:w="15" w:type="dxa"/>
              <w:right w:w="15" w:type="dxa"/>
            </w:tcMar>
            <w:vAlign w:val="center"/>
          </w:tcPr>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审查投标人提供的售后服务方案的详尽程度、完善性、合理性以及是否满足招标文件要求。售后服务方案至少包括：①售后服务网点的设定；②拟投入售后服务人员配置情况；③日常维护保养，运行、维修等各种保修方案、费用、消耗品价格等；④项目交付用户后出现故障响应时间及措施。</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上述小项方案对项目的理解清晰，内容全面合理、满足采购人实际需求的，每项得2分。</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存在一般缺陷的小项方案得1分（一般缺陷是指方案内容前后不一致、前后逻辑错误、内容有缺失，但不影响项目的实施）。</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未提供或存在重大缺陷的小项方案不得分（重大缺陷是指方案凭空编造、套用其他方案、与采购项目和采购需求无关，无法指导项目实施）。</w:t>
            </w:r>
          </w:p>
        </w:tc>
        <w:tc>
          <w:tcPr>
            <w:tcW w:w="375" w:type="dxa"/>
            <w:shd w:val="clear" w:color="auto" w:fill="auto"/>
            <w:noWrap w:val="0"/>
            <w:tcMar>
              <w:top w:w="15" w:type="dxa"/>
              <w:left w:w="15" w:type="dxa"/>
              <w:right w:w="15" w:type="dxa"/>
            </w:tcMar>
            <w:vAlign w:val="center"/>
          </w:tcPr>
          <w:p>
            <w:pPr>
              <w:widowControl/>
              <w:spacing w:line="240" w:lineRule="auto"/>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w:t>
            </w:r>
          </w:p>
        </w:tc>
        <w:tc>
          <w:tcPr>
            <w:tcW w:w="6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trPr>
        <w:tc>
          <w:tcPr>
            <w:tcW w:w="381"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76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kern w:val="0"/>
                <w:sz w:val="21"/>
                <w:szCs w:val="21"/>
                <w:highlight w:val="none"/>
                <w:lang w:bidi="ar"/>
              </w:rPr>
            </w:pPr>
          </w:p>
        </w:tc>
        <w:tc>
          <w:tcPr>
            <w:tcW w:w="1155" w:type="dxa"/>
            <w:shd w:val="clear" w:color="auto" w:fill="auto"/>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培训方案</w:t>
            </w:r>
          </w:p>
        </w:tc>
        <w:tc>
          <w:tcPr>
            <w:tcW w:w="6390" w:type="dxa"/>
            <w:shd w:val="clear" w:color="auto" w:fill="auto"/>
            <w:noWrap w:val="0"/>
            <w:tcMar>
              <w:top w:w="15" w:type="dxa"/>
              <w:left w:w="15" w:type="dxa"/>
              <w:right w:w="15" w:type="dxa"/>
            </w:tcMar>
            <w:vAlign w:val="center"/>
          </w:tcPr>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审查投标人提供的培训方案的详尽程度、完善性、合理性以及是否满足招标文件要求。培训方案至少包括：①培训目标、培训效果评估；②培训时间、培训人数、培训内容应包括所提供产品的原理和技术性</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能、操作维护方法、安装调试、排除故障等各个方面；③培训人员和培训方式；</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上述小项方案对项目的理解清晰，内容全面合理、满足采购人实际需求的，每项得 1 分。存在一般缺陷的小项方案得 0.5 分（一般缺陷是指方案内容前后不一致、前后逻辑错误、内容有缺失，但不影响项目的实施）。</w:t>
            </w:r>
          </w:p>
          <w:p>
            <w:pPr>
              <w:pStyle w:val="10"/>
              <w:spacing w:line="24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未提供或存在重大缺陷的小项方案不得分（重大缺陷是指方案凭空编造、套用其他方案、与采购项目和采购需求无关，无法指导项目实施）。</w:t>
            </w:r>
          </w:p>
        </w:tc>
        <w:tc>
          <w:tcPr>
            <w:tcW w:w="375" w:type="dxa"/>
            <w:shd w:val="clear" w:color="auto" w:fill="auto"/>
            <w:noWrap w:val="0"/>
            <w:tcMar>
              <w:top w:w="15" w:type="dxa"/>
              <w:left w:w="15" w:type="dxa"/>
              <w:right w:w="15" w:type="dxa"/>
            </w:tcMar>
            <w:vAlign w:val="center"/>
          </w:tcPr>
          <w:p>
            <w:pPr>
              <w:widowControl/>
              <w:spacing w:line="240" w:lineRule="auto"/>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w:t>
            </w:r>
          </w:p>
        </w:tc>
        <w:tc>
          <w:tcPr>
            <w:tcW w:w="67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r>
              <w:rPr>
                <w:rFonts w:hint="eastAsia" w:ascii="宋体" w:hAnsi="宋体" w:eastAsia="宋体" w:cs="宋体"/>
                <w:color w:val="auto"/>
                <w:sz w:val="21"/>
                <w:szCs w:val="21"/>
                <w:highlight w:val="none"/>
                <w:lang w:val="en-US" w:eastAsia="zh-CN"/>
              </w:rPr>
              <w:t>项</w:t>
            </w:r>
          </w:p>
        </w:tc>
      </w:tr>
    </w:tbl>
    <w:p>
      <w:pPr>
        <w:rPr>
          <w:rFonts w:hint="eastAsia" w:ascii="宋体" w:hAnsi="宋体" w:cs="宋体"/>
          <w:color w:val="auto"/>
          <w:sz w:val="24"/>
          <w:szCs w:val="24"/>
          <w:lang w:val="zh-CN"/>
        </w:rPr>
      </w:pPr>
    </w:p>
    <w:p>
      <w:pPr>
        <w:spacing w:line="360" w:lineRule="auto"/>
        <w:outlineLvl w:val="9"/>
        <w:rPr>
          <w:rFonts w:hint="eastAsia" w:ascii="宋体" w:hAnsi="宋体" w:cs="宋体"/>
          <w:color w:val="auto"/>
          <w:sz w:val="24"/>
          <w:szCs w:val="24"/>
          <w:lang w:val="zh-CN"/>
        </w:rPr>
      </w:pPr>
      <w:r>
        <w:rPr>
          <w:rFonts w:hint="eastAsia" w:ascii="宋体" w:hAnsi="宋体" w:cs="宋体"/>
          <w:color w:val="auto"/>
          <w:sz w:val="24"/>
          <w:szCs w:val="24"/>
          <w:lang w:val="zh-CN"/>
        </w:rPr>
        <w:t>注：评标总得分＝F1×A1＋F2×A2＋……＋Fn×An</w:t>
      </w:r>
    </w:p>
    <w:p>
      <w:pPr>
        <w:spacing w:line="360" w:lineRule="auto"/>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lang w:val="zh-CN"/>
        </w:rPr>
        <w:t>F1、F2……Fn分别为各项评审因素的得分；</w:t>
      </w:r>
    </w:p>
    <w:p>
      <w:pPr>
        <w:spacing w:line="360" w:lineRule="auto"/>
        <w:ind w:firstLine="480" w:firstLineChars="200"/>
        <w:outlineLvl w:val="9"/>
        <w:rPr>
          <w:rFonts w:hint="eastAsia" w:ascii="宋体" w:hAnsi="宋体" w:cs="宋体"/>
          <w:color w:val="auto"/>
          <w:sz w:val="24"/>
          <w:szCs w:val="24"/>
          <w:lang w:val="zh-CN"/>
        </w:rPr>
      </w:pPr>
      <w:r>
        <w:rPr>
          <w:rFonts w:hint="eastAsia" w:ascii="宋体" w:hAnsi="宋体" w:cs="宋体"/>
          <w:color w:val="auto"/>
          <w:sz w:val="24"/>
          <w:szCs w:val="24"/>
          <w:lang w:val="zh-CN"/>
        </w:rPr>
        <w:t>A1、A2、……An 分别为各项评审因素所占的权重(A1＋A2＋……＋An＝1)。</w:t>
      </w:r>
    </w:p>
    <w:p>
      <w:pPr>
        <w:spacing w:line="360" w:lineRule="auto"/>
        <w:outlineLvl w:val="9"/>
        <w:rPr>
          <w:rFonts w:hint="eastAsia"/>
          <w:b/>
          <w:bCs/>
          <w:color w:val="auto"/>
          <w:sz w:val="24"/>
          <w:szCs w:val="24"/>
          <w:lang w:val="en-US" w:eastAsia="zh-CN"/>
        </w:rPr>
      </w:pPr>
      <w:r>
        <w:rPr>
          <w:rFonts w:hint="eastAsia"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.3</w:t>
      </w:r>
      <w:r>
        <w:rPr>
          <w:rFonts w:hint="eastAsia"/>
          <w:b/>
          <w:bCs/>
          <w:color w:val="auto"/>
          <w:sz w:val="24"/>
          <w:szCs w:val="24"/>
          <w:lang w:val="en-US" w:eastAsia="zh-CN"/>
        </w:rPr>
        <w:t>价格加分</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3.4.3.1</w:t>
      </w:r>
      <w:r>
        <w:rPr>
          <w:rFonts w:hint="eastAsia" w:ascii="宋体" w:hAnsi="宋体" w:cs="宋体"/>
          <w:color w:val="auto"/>
          <w:sz w:val="24"/>
          <w:szCs w:val="24"/>
          <w:highlight w:val="none"/>
        </w:rPr>
        <w:t>小型和微型企业价格扣除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专门面向中小企业项目不适用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根据《政府采购促进中小企业发展管理办法》(财库[2020]46号)</w:t>
      </w:r>
      <w:r>
        <w:rPr>
          <w:rFonts w:hint="eastAsia" w:ascii="宋体" w:hAnsi="宋体" w:cs="宋体"/>
          <w:color w:val="auto"/>
          <w:sz w:val="24"/>
          <w:szCs w:val="24"/>
          <w:highlight w:val="none"/>
          <w:lang w:eastAsia="zh-CN"/>
        </w:rPr>
        <w:t>、关于进一步加大政府采购支持中小企业力度的通知》（</w:t>
      </w:r>
      <w:r>
        <w:rPr>
          <w:rFonts w:hint="eastAsia" w:ascii="宋体" w:hAnsi="宋体" w:cs="宋体"/>
          <w:color w:val="auto"/>
          <w:sz w:val="24"/>
          <w:szCs w:val="24"/>
          <w:highlight w:val="none"/>
          <w:lang w:val="en-US" w:eastAsia="zh-CN"/>
        </w:rPr>
        <w:t>详见</w:t>
      </w:r>
      <w:r>
        <w:rPr>
          <w:rFonts w:hint="eastAsia" w:ascii="宋体" w:hAnsi="宋体" w:cs="宋体"/>
          <w:color w:val="auto"/>
          <w:sz w:val="24"/>
          <w:szCs w:val="24"/>
          <w:highlight w:val="none"/>
          <w:lang w:eastAsia="zh-CN"/>
        </w:rPr>
        <w:t>财库〔2022〕19 号）</w:t>
      </w:r>
      <w:r>
        <w:rPr>
          <w:rFonts w:hint="eastAsia" w:ascii="宋体" w:hAnsi="宋体" w:cs="宋体"/>
          <w:color w:val="auto"/>
          <w:sz w:val="24"/>
          <w:szCs w:val="24"/>
          <w:highlight w:val="none"/>
        </w:rPr>
        <w:t>，对符合本办法规定的小微企业，评标时应当给予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 的价格扣除，用扣除后的价格参与评审。小型、微型企业应当提供《中小企业声明函》</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3.4.3.2</w:t>
      </w:r>
      <w:r>
        <w:rPr>
          <w:rFonts w:hint="eastAsia" w:ascii="宋体" w:hAnsi="宋体" w:cs="宋体"/>
          <w:color w:val="auto"/>
          <w:sz w:val="24"/>
          <w:szCs w:val="24"/>
          <w:highlight w:val="none"/>
        </w:rPr>
        <w:t>监狱企业价格扣除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专门面向中小企业项目不适用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3.4.3.3</w:t>
      </w:r>
      <w:r>
        <w:rPr>
          <w:rFonts w:hint="eastAsia" w:ascii="宋体" w:hAnsi="宋体" w:cs="宋体"/>
          <w:color w:val="auto"/>
          <w:sz w:val="24"/>
          <w:szCs w:val="24"/>
          <w:highlight w:val="none"/>
        </w:rPr>
        <w:t>残疾人福利性单位价格扣除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专门面向中小企业项目不适用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以上</w:t>
      </w:r>
      <w:r>
        <w:rPr>
          <w:rFonts w:hint="eastAsia" w:ascii="宋体" w:hAnsi="宋体" w:cs="宋体"/>
          <w:color w:val="auto"/>
          <w:sz w:val="24"/>
          <w:szCs w:val="24"/>
          <w:highlight w:val="none"/>
          <w:lang w:val="en-US" w:eastAsia="zh-CN"/>
        </w:rPr>
        <w:t>3.4.3.1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3.4.3.2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3.4.3.3</w:t>
      </w:r>
      <w:r>
        <w:rPr>
          <w:rFonts w:hint="eastAsia" w:ascii="宋体" w:hAnsi="宋体" w:cs="宋体"/>
          <w:color w:val="auto"/>
          <w:sz w:val="24"/>
          <w:szCs w:val="24"/>
          <w:highlight w:val="none"/>
        </w:rPr>
        <w:t>条款不得同时适用。</w:t>
      </w:r>
    </w:p>
    <w:p>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3.4.3.4</w:t>
      </w:r>
      <w:r>
        <w:rPr>
          <w:rFonts w:hint="eastAsia" w:ascii="宋体" w:hAnsi="宋体" w:cs="宋体"/>
          <w:color w:val="auto"/>
          <w:sz w:val="24"/>
          <w:szCs w:val="24"/>
          <w:highlight w:val="none"/>
        </w:rPr>
        <w:t>节能产品价格扣除：</w:t>
      </w:r>
    </w:p>
    <w:p>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对于列入财政部、发展改革委最新发布的《节能产品政府采购品目清单》但不属于国家强制采购的产品，对其响应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w:t>
      </w:r>
    </w:p>
    <w:p>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（2）价格扣除的依据：投标文件中需提供认证证明</w:t>
      </w:r>
      <w:r>
        <w:rPr>
          <w:rFonts w:hint="eastAsia" w:ascii="宋体" w:hAnsi="宋体" w:cs="宋体"/>
          <w:color w:val="auto"/>
          <w:sz w:val="24"/>
          <w:szCs w:val="24"/>
          <w:highlight w:val="none"/>
          <w:lang w:val="en-US" w:eastAsia="zh-CN"/>
        </w:rPr>
        <w:t>及公告标注（未按要求提供不予认证）</w:t>
      </w:r>
      <w:r>
        <w:rPr>
          <w:rFonts w:hint="eastAsia" w:ascii="宋体" w:hAnsi="宋体" w:cs="宋体"/>
          <w:color w:val="auto"/>
          <w:sz w:val="24"/>
          <w:szCs w:val="24"/>
          <w:highlight w:val="none"/>
        </w:rPr>
        <w:t>，认证机构须在市场监管总局公布的名录内（详见《市场监管总局关于发布参与实施政府采购节能产品、环境标志产品认证机构名录的公告》）</w:t>
      </w:r>
    </w:p>
    <w:p>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3.4.3.5</w:t>
      </w:r>
      <w:r>
        <w:rPr>
          <w:rFonts w:hint="eastAsia" w:ascii="宋体" w:hAnsi="宋体" w:cs="宋体"/>
          <w:color w:val="auto"/>
          <w:sz w:val="24"/>
          <w:szCs w:val="24"/>
          <w:highlight w:val="none"/>
        </w:rPr>
        <w:t>环境标志产品价格扣除：</w:t>
      </w:r>
    </w:p>
    <w:p>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对于列入财政部、生态环境部最新发布的《环境标志产品政府采购品目清单》的产品，对其响应价格给予3%的价格扣除，并按照扣除后的价格参加排序。采购项目或者分包中既包含环境标志产品也包含非环境标志产品的，只对列入《环境标志产品政府采购品目清单》的产品按其在总报价中所占的比例给予价格扣除。</w:t>
      </w:r>
    </w:p>
    <w:p>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（2）价格扣除的依据：投标文件中需提供认证证明</w:t>
      </w:r>
      <w:r>
        <w:rPr>
          <w:rFonts w:hint="eastAsia" w:ascii="宋体" w:hAnsi="宋体" w:cs="宋体"/>
          <w:color w:val="auto"/>
          <w:sz w:val="24"/>
          <w:szCs w:val="24"/>
          <w:highlight w:val="none"/>
          <w:lang w:val="en-US" w:eastAsia="zh-CN"/>
        </w:rPr>
        <w:t>及公告标注（未按要求提供不予认证）</w:t>
      </w:r>
      <w:r>
        <w:rPr>
          <w:rFonts w:hint="eastAsia" w:ascii="宋体" w:hAnsi="宋体" w:cs="宋体"/>
          <w:color w:val="auto"/>
          <w:sz w:val="24"/>
          <w:szCs w:val="24"/>
          <w:highlight w:val="none"/>
        </w:rPr>
        <w:t>，认证机构须在市场监管总局公布的名录内（详见《市场监管总局关于发布参与实施政府采购节能产品、环境标志产品认证机构名录的公告》）</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highlight w:val="none"/>
        </w:rPr>
        <w:t>3.4</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中标候选供应商名单：评标委员会按得分由高到低的顺序推荐3名中标候选人,并标明排列顺序,</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人依据评标委员会推荐的中标候选人确定中标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rPr>
        <w:t>。</w:t>
      </w:r>
    </w:p>
    <w:p>
      <w:pPr>
        <w:spacing w:line="360" w:lineRule="auto"/>
        <w:jc w:val="center"/>
        <w:outlineLvl w:val="9"/>
        <w:rPr>
          <w:rFonts w:hint="eastAsia"/>
          <w:color w:val="auto"/>
          <w:sz w:val="24"/>
          <w:szCs w:val="24"/>
        </w:rPr>
        <w:sectPr>
          <w:pgSz w:w="11906" w:h="16838"/>
          <w:pgMar w:top="1361" w:right="1304" w:bottom="1247" w:left="1140" w:header="680" w:footer="680" w:gutter="0"/>
          <w:pgNumType w:fmt="decimal"/>
          <w:cols w:space="720" w:num="1"/>
          <w:docGrid w:linePitch="312" w:charSpace="0"/>
        </w:sectPr>
      </w:pPr>
    </w:p>
    <w:p>
      <w:pPr>
        <w:pStyle w:val="2"/>
        <w:keepNext w:val="0"/>
        <w:keepLines w:val="0"/>
        <w:spacing w:line="360" w:lineRule="auto"/>
        <w:jc w:val="center"/>
        <w:rPr>
          <w:rFonts w:hint="eastAsia" w:eastAsiaTheme="minorEastAsia"/>
          <w:color w:val="auto"/>
          <w:lang w:eastAsia="zh-CN"/>
        </w:rPr>
      </w:pPr>
      <w:bookmarkStart w:id="90" w:name="_Toc26551"/>
      <w:r>
        <w:rPr>
          <w:rFonts w:hint="eastAsia"/>
          <w:color w:val="auto"/>
        </w:rPr>
        <w:t>第四章 合同条款</w:t>
      </w:r>
      <w:bookmarkEnd w:id="78"/>
      <w:bookmarkEnd w:id="79"/>
      <w:bookmarkEnd w:id="80"/>
      <w:bookmarkEnd w:id="81"/>
      <w:r>
        <w:rPr>
          <w:rFonts w:hint="eastAsia"/>
          <w:color w:val="auto"/>
          <w:lang w:eastAsia="zh-CN"/>
        </w:rPr>
        <w:t>（</w:t>
      </w:r>
      <w:r>
        <w:rPr>
          <w:rFonts w:hint="eastAsia"/>
          <w:color w:val="auto"/>
          <w:lang w:val="en-US" w:eastAsia="zh-CN"/>
        </w:rPr>
        <w:t>参考格式</w:t>
      </w:r>
      <w:r>
        <w:rPr>
          <w:rFonts w:hint="eastAsia"/>
          <w:color w:val="auto"/>
          <w:lang w:eastAsia="zh-CN"/>
        </w:rPr>
        <w:t>）</w:t>
      </w:r>
      <w:bookmarkEnd w:id="90"/>
    </w:p>
    <w:p>
      <w:pPr>
        <w:spacing w:line="360" w:lineRule="auto"/>
        <w:jc w:val="center"/>
        <w:outlineLvl w:val="0"/>
        <w:rPr>
          <w:rStyle w:val="64"/>
          <w:rFonts w:hint="eastAsia"/>
          <w:color w:val="auto"/>
        </w:rPr>
      </w:pPr>
      <w:bookmarkStart w:id="91" w:name="_Toc179632804"/>
      <w:bookmarkStart w:id="92" w:name="_Toc1819"/>
      <w:bookmarkStart w:id="93" w:name="_Toc31877"/>
      <w:bookmarkStart w:id="94" w:name="_Toc144974854"/>
      <w:bookmarkStart w:id="95" w:name="_Toc247085870"/>
      <w:bookmarkStart w:id="96" w:name="_Toc29761"/>
      <w:bookmarkStart w:id="97" w:name="_Toc16884"/>
      <w:bookmarkStart w:id="98" w:name="_Toc246997096"/>
      <w:bookmarkStart w:id="99" w:name="_Toc152042574"/>
      <w:bookmarkStart w:id="100" w:name="_Toc152045785"/>
      <w:bookmarkStart w:id="101" w:name="_Toc246996353"/>
    </w:p>
    <w:p>
      <w:pPr>
        <w:pStyle w:val="3"/>
        <w:rPr>
          <w:rFonts w:hint="eastAsia"/>
          <w:color w:val="auto"/>
        </w:rPr>
        <w:sectPr>
          <w:headerReference r:id="rId7" w:type="default"/>
          <w:footerReference r:id="rId8" w:type="default"/>
          <w:pgSz w:w="11906" w:h="16838"/>
          <w:pgMar w:top="1440" w:right="1196" w:bottom="1440" w:left="1196" w:header="142" w:footer="329" w:gutter="0"/>
          <w:pgNumType w:fmt="decimal"/>
          <w:cols w:space="720" w:num="1"/>
          <w:titlePg/>
          <w:docGrid w:type="lines" w:linePitch="490" w:charSpace="0"/>
        </w:sectPr>
      </w:pPr>
    </w:p>
    <w:p>
      <w:pPr>
        <w:wordWrap w:val="0"/>
        <w:rPr>
          <w:rFonts w:hint="eastAsia" w:ascii="宋体" w:hAnsi="宋体" w:eastAsia="宋体" w:cs="宋体"/>
          <w:b/>
          <w:color w:val="auto"/>
          <w:kern w:val="0"/>
          <w:sz w:val="24"/>
          <w:szCs w:val="24"/>
        </w:rPr>
      </w:pPr>
      <w:bookmarkStart w:id="102" w:name="_Toc492451831"/>
      <w:bookmarkStart w:id="103" w:name="_Toc2862"/>
      <w:bookmarkStart w:id="104" w:name="_Toc8918"/>
      <w:bookmarkStart w:id="105" w:name="_Toc21587"/>
      <w:bookmarkStart w:id="106" w:name="_Toc16858212"/>
      <w:bookmarkStart w:id="107" w:name="_Toc16666379"/>
      <w:bookmarkStart w:id="108" w:name="_Toc14304"/>
      <w:bookmarkStart w:id="109" w:name="_Toc19882"/>
      <w:r>
        <w:rPr>
          <w:rFonts w:hint="eastAsia" w:ascii="宋体" w:hAnsi="宋体" w:eastAsia="宋体" w:cs="宋体"/>
          <w:b/>
          <w:color w:val="auto"/>
          <w:kern w:val="0"/>
          <w:sz w:val="28"/>
          <w:szCs w:val="28"/>
        </w:rPr>
        <w:t>合同编号：</w:t>
      </w:r>
    </w:p>
    <w:p>
      <w:pPr>
        <w:wordWrap w:val="0"/>
        <w:jc w:val="center"/>
        <w:rPr>
          <w:rFonts w:hint="eastAsia" w:ascii="宋体" w:hAnsi="宋体" w:eastAsia="宋体" w:cs="宋体"/>
          <w:b/>
          <w:bCs/>
          <w:color w:val="auto"/>
          <w:kern w:val="0"/>
          <w:sz w:val="44"/>
          <w:szCs w:val="44"/>
        </w:rPr>
      </w:pPr>
    </w:p>
    <w:p>
      <w:pPr>
        <w:wordWrap w:val="0"/>
        <w:jc w:val="center"/>
        <w:rPr>
          <w:rFonts w:hint="eastAsia" w:ascii="宋体" w:hAnsi="宋体" w:eastAsia="宋体" w:cs="宋体"/>
          <w:color w:val="auto"/>
          <w:sz w:val="24"/>
          <w:szCs w:val="21"/>
          <w:u w:val="single"/>
        </w:rPr>
      </w:pPr>
    </w:p>
    <w:p>
      <w:pPr>
        <w:wordWrap w:val="0"/>
        <w:jc w:val="center"/>
        <w:rPr>
          <w:rFonts w:hint="eastAsia" w:ascii="宋体" w:hAnsi="宋体" w:eastAsia="宋体" w:cs="宋体"/>
          <w:color w:val="auto"/>
          <w:kern w:val="0"/>
          <w:sz w:val="24"/>
          <w:szCs w:val="24"/>
        </w:rPr>
      </w:pPr>
      <w:r>
        <w:rPr>
          <w:rFonts w:hint="eastAsia" w:ascii="宋体" w:hAnsi="宋体" w:eastAsia="宋体" w:cs="宋体"/>
          <w:color w:val="auto"/>
          <w:sz w:val="24"/>
          <w:szCs w:val="21"/>
          <w:u w:val="single"/>
        </w:rPr>
        <w:t xml:space="preserve">                                  </w:t>
      </w:r>
      <w:r>
        <w:rPr>
          <w:rFonts w:hint="eastAsia" w:ascii="宋体" w:hAnsi="宋体" w:eastAsia="宋体" w:cs="宋体"/>
          <w:b/>
          <w:bCs/>
          <w:color w:val="auto"/>
          <w:kern w:val="0"/>
          <w:sz w:val="44"/>
          <w:szCs w:val="44"/>
        </w:rPr>
        <w:t>（项目名称）</w:t>
      </w:r>
    </w:p>
    <w:p>
      <w:pPr>
        <w:wordWrap w:val="0"/>
        <w:jc w:val="left"/>
        <w:rPr>
          <w:rFonts w:hint="eastAsia" w:ascii="宋体" w:hAnsi="宋体" w:eastAsia="宋体" w:cs="宋体"/>
          <w:b/>
          <w:bCs/>
          <w:color w:val="auto"/>
          <w:kern w:val="0"/>
          <w:sz w:val="52"/>
          <w:szCs w:val="52"/>
        </w:rPr>
      </w:pPr>
    </w:p>
    <w:p>
      <w:pPr>
        <w:wordWrap w:val="0"/>
        <w:jc w:val="left"/>
        <w:rPr>
          <w:rFonts w:hint="eastAsia" w:ascii="宋体" w:hAnsi="宋体" w:eastAsia="宋体" w:cs="宋体"/>
          <w:b/>
          <w:bCs/>
          <w:color w:val="auto"/>
          <w:kern w:val="0"/>
          <w:sz w:val="52"/>
          <w:szCs w:val="52"/>
        </w:rPr>
      </w:pPr>
    </w:p>
    <w:p>
      <w:pPr>
        <w:widowControl w:val="0"/>
        <w:wordWrap w:val="0"/>
        <w:spacing w:after="120"/>
        <w:jc w:val="both"/>
        <w:rPr>
          <w:rFonts w:hint="eastAsia" w:ascii="宋体" w:hAnsi="宋体" w:eastAsia="宋体" w:cs="宋体"/>
          <w:color w:val="auto"/>
          <w:kern w:val="0"/>
          <w:sz w:val="20"/>
          <w:lang w:val="en-US" w:eastAsia="zh-CN" w:bidi="ar-SA"/>
        </w:rPr>
      </w:pPr>
    </w:p>
    <w:p>
      <w:pPr>
        <w:widowControl w:val="0"/>
        <w:wordWrap w:val="0"/>
        <w:spacing w:after="120"/>
        <w:jc w:val="both"/>
        <w:rPr>
          <w:rFonts w:hint="eastAsia" w:ascii="宋体" w:hAnsi="宋体" w:eastAsia="宋体" w:cs="宋体"/>
          <w:color w:val="auto"/>
          <w:kern w:val="0"/>
          <w:sz w:val="20"/>
          <w:lang w:val="en-US" w:eastAsia="zh-CN" w:bidi="ar-SA"/>
        </w:rPr>
      </w:pPr>
    </w:p>
    <w:p>
      <w:pPr>
        <w:wordWrap w:val="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52"/>
          <w:szCs w:val="52"/>
        </w:rPr>
        <w:t>政府采购合同书</w:t>
      </w:r>
    </w:p>
    <w:p>
      <w:pPr>
        <w:wordWrap w:val="0"/>
        <w:jc w:val="left"/>
        <w:rPr>
          <w:rFonts w:hint="eastAsia" w:ascii="宋体" w:hAnsi="宋体" w:eastAsia="宋体" w:cs="宋体"/>
          <w:b/>
          <w:bCs/>
          <w:color w:val="auto"/>
          <w:kern w:val="0"/>
          <w:sz w:val="28"/>
          <w:szCs w:val="28"/>
        </w:rPr>
      </w:pPr>
    </w:p>
    <w:p>
      <w:pPr>
        <w:wordWrap w:val="0"/>
        <w:jc w:val="left"/>
        <w:rPr>
          <w:rFonts w:hint="eastAsia" w:ascii="宋体" w:hAnsi="宋体" w:eastAsia="宋体" w:cs="宋体"/>
          <w:b/>
          <w:bCs/>
          <w:color w:val="auto"/>
          <w:kern w:val="0"/>
          <w:sz w:val="28"/>
          <w:szCs w:val="28"/>
        </w:rPr>
      </w:pPr>
    </w:p>
    <w:p>
      <w:pPr>
        <w:wordWrap w:val="0"/>
        <w:jc w:val="left"/>
        <w:rPr>
          <w:rFonts w:hint="eastAsia" w:ascii="宋体" w:hAnsi="宋体" w:eastAsia="宋体" w:cs="宋体"/>
          <w:b/>
          <w:bCs/>
          <w:color w:val="auto"/>
          <w:kern w:val="0"/>
          <w:sz w:val="28"/>
          <w:szCs w:val="28"/>
        </w:rPr>
      </w:pPr>
    </w:p>
    <w:p>
      <w:pPr>
        <w:widowControl w:val="0"/>
        <w:wordWrap w:val="0"/>
        <w:spacing w:after="120"/>
        <w:jc w:val="both"/>
        <w:rPr>
          <w:rFonts w:hint="eastAsia" w:ascii="宋体" w:hAnsi="宋体" w:eastAsia="宋体" w:cs="宋体"/>
          <w:b/>
          <w:bCs/>
          <w:color w:val="auto"/>
          <w:kern w:val="0"/>
          <w:sz w:val="28"/>
          <w:szCs w:val="28"/>
          <w:lang w:val="en-US" w:eastAsia="zh-CN" w:bidi="ar-SA"/>
        </w:rPr>
      </w:pPr>
    </w:p>
    <w:p>
      <w:pPr>
        <w:widowControl w:val="0"/>
        <w:wordWrap w:val="0"/>
        <w:spacing w:after="120"/>
        <w:jc w:val="both"/>
        <w:rPr>
          <w:rFonts w:hint="eastAsia" w:ascii="宋体" w:hAnsi="宋体" w:eastAsia="宋体" w:cs="宋体"/>
          <w:b/>
          <w:bCs/>
          <w:color w:val="auto"/>
          <w:kern w:val="0"/>
          <w:sz w:val="28"/>
          <w:szCs w:val="28"/>
          <w:lang w:val="en-US" w:eastAsia="zh-CN" w:bidi="ar-SA"/>
        </w:rPr>
      </w:pPr>
    </w:p>
    <w:p>
      <w:pPr>
        <w:wordWrap w:val="0"/>
        <w:jc w:val="left"/>
        <w:rPr>
          <w:rFonts w:hint="eastAsia" w:ascii="宋体" w:hAnsi="宋体" w:eastAsia="宋体" w:cs="宋体"/>
          <w:b/>
          <w:bCs/>
          <w:color w:val="auto"/>
          <w:kern w:val="0"/>
          <w:sz w:val="28"/>
          <w:szCs w:val="28"/>
        </w:rPr>
      </w:pPr>
    </w:p>
    <w:p>
      <w:pPr>
        <w:widowControl w:val="0"/>
        <w:wordWrap w:val="0"/>
        <w:spacing w:after="120"/>
        <w:jc w:val="both"/>
        <w:rPr>
          <w:rFonts w:hint="eastAsia" w:ascii="宋体" w:hAnsi="宋体" w:eastAsia="宋体" w:cs="宋体"/>
          <w:b/>
          <w:bCs/>
          <w:color w:val="auto"/>
          <w:kern w:val="0"/>
          <w:sz w:val="28"/>
          <w:szCs w:val="28"/>
          <w:lang w:val="en-US" w:eastAsia="zh-CN" w:bidi="ar-SA"/>
        </w:rPr>
      </w:pPr>
    </w:p>
    <w:p>
      <w:pPr>
        <w:wordWrap w:val="0"/>
        <w:ind w:firstLine="2249" w:firstLineChars="8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8"/>
          <w:szCs w:val="28"/>
        </w:rPr>
        <w:t>需方：</w:t>
      </w:r>
      <w:r>
        <w:rPr>
          <w:rFonts w:hint="eastAsia" w:ascii="宋体" w:hAnsi="宋体" w:eastAsia="宋体" w:cs="宋体"/>
          <w:color w:val="auto"/>
          <w:sz w:val="24"/>
          <w:szCs w:val="24"/>
          <w:u w:val="single"/>
          <w:lang w:val="zh-CN"/>
        </w:rPr>
        <w:t xml:space="preserve">                 </w:t>
      </w:r>
      <w:r>
        <w:rPr>
          <w:rFonts w:hint="eastAsia" w:ascii="宋体" w:hAnsi="宋体" w:eastAsia="宋体" w:cs="宋体"/>
          <w:b/>
          <w:bCs/>
          <w:color w:val="auto"/>
          <w:kern w:val="0"/>
          <w:sz w:val="28"/>
          <w:szCs w:val="28"/>
          <w:u w:val="single"/>
        </w:rPr>
        <w:t xml:space="preserve"> </w:t>
      </w:r>
      <w:r>
        <w:rPr>
          <w:rFonts w:hint="eastAsia" w:ascii="宋体" w:hAnsi="宋体" w:eastAsia="宋体" w:cs="宋体"/>
          <w:color w:val="auto"/>
          <w:sz w:val="24"/>
          <w:szCs w:val="21"/>
          <w:u w:val="single"/>
        </w:rPr>
        <w:t xml:space="preserve">                 </w:t>
      </w:r>
    </w:p>
    <w:p>
      <w:pPr>
        <w:wordWrap w:val="0"/>
        <w:ind w:firstLine="2249" w:firstLineChars="8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8"/>
          <w:szCs w:val="28"/>
        </w:rPr>
        <w:t xml:space="preserve">供方： </w:t>
      </w:r>
      <w:r>
        <w:rPr>
          <w:rFonts w:hint="eastAsia" w:ascii="宋体" w:hAnsi="宋体" w:eastAsia="宋体" w:cs="宋体"/>
          <w:color w:val="auto"/>
          <w:sz w:val="24"/>
          <w:szCs w:val="21"/>
          <w:u w:val="single"/>
        </w:rPr>
        <w:t xml:space="preserve">                                  </w:t>
      </w:r>
    </w:p>
    <w:p>
      <w:pPr>
        <w:wordWrap w:val="0"/>
        <w:ind w:firstLine="2249" w:firstLineChars="800"/>
        <w:rPr>
          <w:rFonts w:hint="eastAsia" w:ascii="宋体" w:hAnsi="宋体" w:eastAsia="宋体" w:cs="宋体"/>
          <w:color w:val="auto"/>
          <w:szCs w:val="20"/>
        </w:rPr>
      </w:pPr>
      <w:r>
        <w:rPr>
          <w:rFonts w:hint="eastAsia" w:ascii="宋体" w:hAnsi="宋体" w:eastAsia="宋体" w:cs="宋体"/>
          <w:b/>
          <w:bCs/>
          <w:color w:val="auto"/>
          <w:kern w:val="0"/>
          <w:sz w:val="28"/>
          <w:szCs w:val="28"/>
        </w:rPr>
        <w:t>签订日期：</w:t>
      </w:r>
      <w:r>
        <w:rPr>
          <w:rFonts w:hint="eastAsia" w:ascii="宋体" w:hAnsi="宋体" w:eastAsia="宋体" w:cs="宋体"/>
          <w:color w:val="auto"/>
          <w:sz w:val="24"/>
          <w:szCs w:val="21"/>
          <w:u w:val="single"/>
        </w:rPr>
        <w:t xml:space="preserve">         </w:t>
      </w:r>
      <w:r>
        <w:rPr>
          <w:rFonts w:hint="eastAsia" w:ascii="宋体" w:hAnsi="宋体" w:eastAsia="宋体" w:cs="宋体"/>
          <w:b/>
          <w:bCs/>
          <w:color w:val="auto"/>
          <w:kern w:val="0"/>
          <w:sz w:val="28"/>
          <w:szCs w:val="28"/>
        </w:rPr>
        <w:t>年</w:t>
      </w:r>
      <w:r>
        <w:rPr>
          <w:rFonts w:hint="eastAsia" w:ascii="宋体" w:hAnsi="宋体" w:eastAsia="宋体" w:cs="宋体"/>
          <w:color w:val="auto"/>
          <w:sz w:val="24"/>
          <w:szCs w:val="21"/>
          <w:u w:val="single"/>
        </w:rPr>
        <w:t xml:space="preserve">       </w:t>
      </w:r>
      <w:r>
        <w:rPr>
          <w:rFonts w:hint="eastAsia" w:ascii="宋体" w:hAnsi="宋体" w:eastAsia="宋体" w:cs="宋体"/>
          <w:b/>
          <w:bCs/>
          <w:color w:val="auto"/>
          <w:kern w:val="0"/>
          <w:sz w:val="28"/>
          <w:szCs w:val="28"/>
        </w:rPr>
        <w:t>月</w:t>
      </w:r>
      <w:r>
        <w:rPr>
          <w:rFonts w:hint="eastAsia" w:ascii="宋体" w:hAnsi="宋体" w:eastAsia="宋体" w:cs="宋体"/>
          <w:color w:val="auto"/>
          <w:sz w:val="24"/>
          <w:szCs w:val="21"/>
          <w:u w:val="single"/>
        </w:rPr>
        <w:t xml:space="preserve">       </w:t>
      </w:r>
      <w:r>
        <w:rPr>
          <w:rFonts w:hint="eastAsia" w:ascii="宋体" w:hAnsi="宋体" w:eastAsia="宋体" w:cs="宋体"/>
          <w:b/>
          <w:bCs/>
          <w:color w:val="auto"/>
          <w:kern w:val="0"/>
          <w:sz w:val="28"/>
          <w:szCs w:val="28"/>
        </w:rPr>
        <w:t>日</w:t>
      </w:r>
    </w:p>
    <w:p>
      <w:pPr>
        <w:wordWrap w:val="0"/>
        <w:jc w:val="center"/>
        <w:rPr>
          <w:rFonts w:hint="eastAsia" w:ascii="宋体" w:hAnsi="宋体" w:eastAsia="宋体" w:cs="宋体"/>
          <w:b/>
          <w:bCs/>
          <w:color w:val="auto"/>
          <w:sz w:val="32"/>
          <w:szCs w:val="32"/>
          <w:lang w:val="zh-CN"/>
        </w:rPr>
      </w:pPr>
      <w:r>
        <w:rPr>
          <w:rFonts w:hint="eastAsia" w:ascii="宋体" w:hAnsi="宋体" w:eastAsia="宋体" w:cs="宋体"/>
          <w:color w:val="auto"/>
          <w:szCs w:val="20"/>
          <w:lang w:val="zh-CN"/>
        </w:rPr>
        <w:br w:type="page"/>
      </w:r>
      <w:r>
        <w:rPr>
          <w:rFonts w:hint="eastAsia" w:ascii="宋体" w:hAnsi="宋体" w:eastAsia="宋体" w:cs="宋体"/>
          <w:b/>
          <w:bCs/>
          <w:color w:val="auto"/>
          <w:sz w:val="32"/>
          <w:szCs w:val="32"/>
          <w:lang w:val="zh-CN"/>
        </w:rPr>
        <w:t>政府采购合同通用条款</w:t>
      </w:r>
      <w:bookmarkEnd w:id="102"/>
      <w:bookmarkEnd w:id="103"/>
      <w:bookmarkEnd w:id="104"/>
      <w:bookmarkEnd w:id="105"/>
      <w:bookmarkEnd w:id="106"/>
      <w:bookmarkEnd w:id="107"/>
      <w:bookmarkEnd w:id="108"/>
    </w:p>
    <w:p>
      <w:pPr>
        <w:wordWrap w:val="0"/>
        <w:adjustRightInd w:val="0"/>
        <w:spacing w:line="500" w:lineRule="exact"/>
        <w:ind w:firstLine="482"/>
        <w:rPr>
          <w:rFonts w:hint="eastAsia" w:ascii="宋体" w:hAnsi="宋体" w:eastAsia="宋体" w:cs="宋体"/>
          <w:b/>
          <w:color w:val="auto"/>
          <w:sz w:val="24"/>
          <w:szCs w:val="24"/>
          <w:lang w:val="zh-CN"/>
        </w:rPr>
      </w:pPr>
      <w:bookmarkStart w:id="110" w:name="_Toc16652"/>
      <w:bookmarkStart w:id="111" w:name="_Toc7308"/>
      <w:bookmarkStart w:id="112" w:name="_Toc19213"/>
      <w:bookmarkStart w:id="113" w:name="_Toc29176"/>
      <w:bookmarkStart w:id="114" w:name="_Toc16666380"/>
      <w:bookmarkStart w:id="115" w:name="_Toc16858213"/>
      <w:bookmarkStart w:id="116" w:name="_Toc492451832"/>
      <w:r>
        <w:rPr>
          <w:rFonts w:hint="eastAsia" w:ascii="宋体" w:hAnsi="宋体" w:eastAsia="宋体" w:cs="宋体"/>
          <w:b/>
          <w:color w:val="auto"/>
          <w:sz w:val="24"/>
          <w:szCs w:val="24"/>
          <w:lang w:val="zh-CN"/>
        </w:rPr>
        <w:t>1．定义：除非另有约定，在本合同下列术语按如下定义进行解释：</w:t>
      </w:r>
      <w:bookmarkEnd w:id="109"/>
      <w:bookmarkEnd w:id="110"/>
      <w:bookmarkEnd w:id="111"/>
      <w:bookmarkEnd w:id="112"/>
      <w:bookmarkEnd w:id="113"/>
      <w:bookmarkEnd w:id="114"/>
      <w:bookmarkEnd w:id="115"/>
      <w:bookmarkEnd w:id="116"/>
    </w:p>
    <w:p>
      <w:pPr>
        <w:wordWrap w:val="0"/>
        <w:adjustRightInd w:val="0"/>
        <w:spacing w:line="500" w:lineRule="exact"/>
        <w:ind w:firstLine="480"/>
        <w:rPr>
          <w:rFonts w:hint="eastAsia" w:ascii="宋体" w:hAnsi="宋体" w:eastAsia="宋体" w:cs="宋体"/>
          <w:color w:val="auto"/>
          <w:sz w:val="24"/>
          <w:szCs w:val="24"/>
          <w:lang w:val="zh-CN"/>
        </w:rPr>
      </w:pPr>
      <w:bookmarkStart w:id="117" w:name="_Toc3861"/>
      <w:bookmarkStart w:id="118" w:name="_Toc31103"/>
      <w:bookmarkStart w:id="119" w:name="_Toc3481"/>
      <w:bookmarkStart w:id="120" w:name="_Toc492451833"/>
      <w:bookmarkStart w:id="121" w:name="_Toc16666381"/>
      <w:bookmarkStart w:id="122" w:name="_Toc16858214"/>
      <w:bookmarkStart w:id="123" w:name="_Toc3207"/>
      <w:bookmarkStart w:id="124" w:name="_Toc9892"/>
      <w:r>
        <w:rPr>
          <w:rFonts w:hint="eastAsia" w:ascii="宋体" w:hAnsi="宋体" w:eastAsia="宋体" w:cs="宋体"/>
          <w:color w:val="auto"/>
          <w:sz w:val="24"/>
          <w:szCs w:val="24"/>
          <w:lang w:val="zh-CN"/>
        </w:rPr>
        <w:t>（1）“合同”指供需双方签署的、在合同中载明的合同各方所达成的协议，包括构成合同的所有附件、附录和其他文件。</w:t>
      </w:r>
      <w:bookmarkEnd w:id="117"/>
      <w:bookmarkEnd w:id="118"/>
      <w:bookmarkEnd w:id="119"/>
      <w:bookmarkEnd w:id="120"/>
      <w:bookmarkEnd w:id="121"/>
      <w:bookmarkEnd w:id="122"/>
      <w:bookmarkEnd w:id="123"/>
      <w:bookmarkEnd w:id="124"/>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附件、附录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指与本合同的订立、履行有关的，经供需双方认可的，对本合同约定内容进行细化、补充、修改、变更等的文件资料。</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合同价格</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指根据合同规定供方正确地完全履行合同义务后需方应支付给供方的价格。</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服务</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指根据合同规定供方承担的与供货和履行合同有关的辅助服务。</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需方</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指政府采购服务的使用单位。</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供方</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指按照合同规定向需方提供服务的公司或实体。</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第三方</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指本合同以外的任何中国境内、境外的法人、自然人或其他组织。</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日、天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均指日历天数。</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工作日</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指扣除公休日和国家法定节假日以外的日历日。</w:t>
      </w:r>
    </w:p>
    <w:p>
      <w:pPr>
        <w:wordWrap w:val="0"/>
        <w:adjustRightInd w:val="0"/>
        <w:spacing w:line="500" w:lineRule="exact"/>
        <w:ind w:firstLine="482"/>
        <w:rPr>
          <w:rFonts w:hint="eastAsia" w:ascii="宋体" w:hAnsi="宋体" w:eastAsia="宋体" w:cs="宋体"/>
          <w:color w:val="auto"/>
          <w:sz w:val="24"/>
          <w:szCs w:val="24"/>
          <w:u w:val="single"/>
        </w:rPr>
      </w:pPr>
      <w:r>
        <w:rPr>
          <w:rFonts w:hint="eastAsia" w:ascii="宋体" w:hAnsi="宋体" w:eastAsia="宋体" w:cs="宋体"/>
          <w:b/>
          <w:color w:val="auto"/>
          <w:sz w:val="24"/>
          <w:szCs w:val="24"/>
          <w:lang w:val="zh-CN"/>
        </w:rPr>
        <w:t>2．适用范围：</w:t>
      </w:r>
      <w:r>
        <w:rPr>
          <w:rFonts w:hint="eastAsia" w:ascii="宋体" w:hAnsi="宋体" w:eastAsia="宋体" w:cs="宋体"/>
          <w:color w:val="auto"/>
          <w:sz w:val="24"/>
          <w:szCs w:val="24"/>
          <w:lang w:val="zh-CN"/>
        </w:rPr>
        <w:t>本合同条款仅适用</w:t>
      </w:r>
      <w:r>
        <w:rPr>
          <w:rFonts w:hint="eastAsia" w:ascii="宋体" w:hAnsi="宋体" w:eastAsia="宋体" w:cs="宋体"/>
          <w:color w:val="auto"/>
          <w:sz w:val="24"/>
          <w:szCs w:val="24"/>
          <w:u w:val="single"/>
        </w:rPr>
        <w:t xml:space="preserve">                （项目名称）。</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3．合同内容：</w:t>
      </w:r>
      <w:r>
        <w:rPr>
          <w:rFonts w:hint="eastAsia" w:ascii="宋体" w:hAnsi="宋体" w:eastAsia="宋体" w:cs="宋体"/>
          <w:color w:val="auto"/>
          <w:sz w:val="24"/>
          <w:szCs w:val="24"/>
          <w:lang w:val="zh-CN"/>
        </w:rPr>
        <w:t>详见招标文件</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服务需求</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及供方的投标文件。未尽事宜在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政府采购合同书中</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约定。</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4．合同价格、服务时间及服务地点、付款方式及条件：</w:t>
      </w:r>
      <w:r>
        <w:rPr>
          <w:rFonts w:hint="eastAsia" w:ascii="宋体" w:hAnsi="宋体" w:eastAsia="宋体" w:cs="宋体"/>
          <w:color w:val="auto"/>
          <w:sz w:val="24"/>
          <w:szCs w:val="24"/>
          <w:lang w:val="zh-CN"/>
        </w:rPr>
        <w:t>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政府采购合同书</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中约定。</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5．知识产权及有关规定：</w:t>
      </w:r>
      <w:r>
        <w:rPr>
          <w:rFonts w:hint="eastAsia" w:ascii="宋体" w:hAnsi="宋体" w:eastAsia="宋体" w:cs="宋体"/>
          <w:color w:val="auto"/>
          <w:sz w:val="24"/>
          <w:szCs w:val="24"/>
          <w:lang w:val="zh-CN"/>
        </w:rPr>
        <w:t>供方应保证需方在使用本合同项下的服务或其任何一部分时免受第三方提出侵犯其知识产权、商标权或工业设计权的起诉。如果发生此类问题，供方应负责交涉并承担一切费用和责任。</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6．保密条款</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任何一方对其获知的本合同涉及的所有有形、无形的信息及资料（包括但不限于供需双方的往来书面文字文件、电子邮件等）中另一方的商业秘密或国家秘密负有保密义务。</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7.合同的解释</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任何一方对本合同及其附件的解释均应遵循诚实信用原则，依照本合同签订时有效的中华人民共和国的法律、法规以及人们通常的理解进行。</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本合同中以日（天）表述的时间期限均指公历日。</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对本合同的任何解释均应以书面做出。</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8．伴随服务</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供方应提供所服务项目服务手册、服务指南以及相关技术参考信息等。</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伴随服务的费用应包含在合同总价中，需方不单独进行支付。</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rPr>
        <w:t>9</w:t>
      </w:r>
      <w:r>
        <w:rPr>
          <w:rFonts w:hint="eastAsia" w:ascii="宋体" w:hAnsi="宋体" w:eastAsia="宋体" w:cs="宋体"/>
          <w:b/>
          <w:color w:val="auto"/>
          <w:sz w:val="24"/>
          <w:szCs w:val="24"/>
          <w:lang w:val="zh-CN"/>
        </w:rPr>
        <w:t>．具备履行合同所必需的设备和专业技术能力：</w:t>
      </w:r>
      <w:r>
        <w:rPr>
          <w:rFonts w:hint="eastAsia" w:ascii="宋体" w:hAnsi="宋体" w:eastAsia="宋体" w:cs="宋体"/>
          <w:color w:val="auto"/>
          <w:sz w:val="24"/>
          <w:szCs w:val="24"/>
          <w:lang w:val="zh-CN"/>
        </w:rPr>
        <w:t>详见招标文件的要求，供方提交的具备履行合同所必需的设备和专业技术能力的证明材料中的相关文件，如果上述文件有不一致之处，以对需方有利的为准。</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0</w:t>
      </w:r>
      <w:r>
        <w:rPr>
          <w:rFonts w:hint="eastAsia" w:ascii="宋体" w:hAnsi="宋体" w:eastAsia="宋体" w:cs="宋体"/>
          <w:b/>
          <w:color w:val="auto"/>
          <w:sz w:val="24"/>
          <w:szCs w:val="24"/>
          <w:lang w:val="zh-CN"/>
        </w:rPr>
        <w:t>．履约延误</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 供方应按照合同规定的时间、地点提供服务；需方应按照合同规定的时间、地点接受服务。</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.2 如果供方无正当理由拖延，将受到以下制裁：加收误期赔偿和／或违约终止合同；如果需方无正当理由拖延和接受服务，应承担相应的违约责任。</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.3 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zh-CN"/>
        </w:rPr>
        <w:t>．误期赔偿</w:t>
      </w:r>
    </w:p>
    <w:p>
      <w:pPr>
        <w:wordWrap w:val="0"/>
        <w:adjustRightInd w:val="0"/>
        <w:spacing w:line="50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除本合同条款</w:t>
      </w:r>
      <w:r>
        <w:rPr>
          <w:rFonts w:hint="eastAsia" w:ascii="宋体" w:hAnsi="宋体" w:eastAsia="宋体" w:cs="宋体"/>
          <w:b/>
          <w:color w:val="auto"/>
          <w:sz w:val="24"/>
          <w:szCs w:val="24"/>
          <w:lang w:val="zh-CN"/>
        </w:rPr>
        <w:t>第1</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条</w:t>
      </w:r>
      <w:r>
        <w:rPr>
          <w:rFonts w:hint="eastAsia" w:ascii="宋体" w:hAnsi="宋体" w:eastAsia="宋体" w:cs="宋体"/>
          <w:color w:val="auto"/>
          <w:sz w:val="24"/>
          <w:szCs w:val="24"/>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pPr>
        <w:wordWrap w:val="0"/>
        <w:adjustRightInd w:val="0"/>
        <w:spacing w:line="50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误期赔偿费可从应付款中扣除。</w:t>
      </w:r>
    </w:p>
    <w:p>
      <w:pPr>
        <w:wordWrap w:val="0"/>
        <w:adjustRightInd w:val="0"/>
        <w:spacing w:line="50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CN"/>
        </w:rPr>
        <w:t>.3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收取误期赔偿费不影响需方采取合同规定的其他补救措施的权利。</w:t>
      </w:r>
    </w:p>
    <w:p>
      <w:pPr>
        <w:wordWrap w:val="0"/>
        <w:adjustRightInd w:val="0"/>
        <w:spacing w:line="50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在收取误期赔偿费期间，需方有权决定是否终止合同。</w:t>
      </w:r>
    </w:p>
    <w:p>
      <w:pPr>
        <w:wordWrap w:val="0"/>
        <w:adjustRightInd w:val="0"/>
        <w:spacing w:line="50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如果需方违约，应承担相应的违约责任。</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12</w:t>
      </w:r>
      <w:r>
        <w:rPr>
          <w:rFonts w:hint="eastAsia" w:ascii="宋体" w:hAnsi="宋体" w:eastAsia="宋体" w:cs="宋体"/>
          <w:b/>
          <w:color w:val="auto"/>
          <w:sz w:val="24"/>
          <w:szCs w:val="24"/>
          <w:lang w:val="zh-CN"/>
        </w:rPr>
        <w:t>．履约保证金和质量保证金：无。</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13</w:t>
      </w:r>
      <w:r>
        <w:rPr>
          <w:rFonts w:hint="eastAsia" w:ascii="宋体" w:hAnsi="宋体" w:eastAsia="宋体" w:cs="宋体"/>
          <w:b/>
          <w:color w:val="auto"/>
          <w:sz w:val="24"/>
          <w:szCs w:val="24"/>
          <w:lang w:val="zh-CN"/>
        </w:rPr>
        <w:t>．不可抗力</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zh-CN"/>
        </w:rPr>
        <w:t>.1 如果供方和需方因不可抗力导致合同实施延误或不能履行合同义务，不应该承担误期赔偿或不能履行合同义务的责任。但因供方或需方先延误或不能履行合同而后遇不可抗力的情形除外。</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zh-CN"/>
        </w:rPr>
        <w:t>.2 本条所述的</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不可抗力</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系指那些双方无法控制，不可预见的事件，但不包括双方的违约或疏忽。这些事件包括但不限于：战争、严重火灾、洪水、台风、地震以及其它双方商定的事件。</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14</w:t>
      </w:r>
      <w:r>
        <w:rPr>
          <w:rFonts w:hint="eastAsia" w:ascii="宋体" w:hAnsi="宋体" w:eastAsia="宋体" w:cs="宋体"/>
          <w:b/>
          <w:color w:val="auto"/>
          <w:sz w:val="24"/>
          <w:szCs w:val="24"/>
          <w:lang w:val="zh-CN"/>
        </w:rPr>
        <w:t>．税费</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.1 根据现行法律规定对需方征收的与本合同有关的一切税费均由需方负担。</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.2 根据现行法律规定对供方征收的与本合同有关的一切税费均由供方负担。</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.3 在中国境外发生的与执行本合同有关的一切税费均由供方负担。</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15</w:t>
      </w:r>
      <w:r>
        <w:rPr>
          <w:rFonts w:hint="eastAsia" w:ascii="宋体" w:hAnsi="宋体" w:eastAsia="宋体" w:cs="宋体"/>
          <w:b/>
          <w:color w:val="auto"/>
          <w:sz w:val="24"/>
          <w:szCs w:val="24"/>
          <w:lang w:val="zh-CN"/>
        </w:rPr>
        <w:t>．争议解决方式</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szCs w:val="24"/>
          <w:lang w:val="zh-CN"/>
        </w:rPr>
        <w:t>政府采购合同书</w:t>
      </w:r>
      <w:r>
        <w:rPr>
          <w:rFonts w:hint="eastAsia" w:ascii="宋体" w:hAnsi="宋体" w:eastAsia="宋体" w:cs="宋体"/>
          <w:color w:val="auto"/>
          <w:sz w:val="24"/>
          <w:szCs w:val="24"/>
          <w:lang w:val="zh-CN"/>
        </w:rPr>
        <w:t>内约定以下一种方式解决争议：</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第一种方式：双方达成仲裁协议，向约定的仲裁机构申请仲裁；</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第二种方式：向有管辖权的人民法院提起诉讼。</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.2 因合同部分履行引发仲裁（诉讼）的，在仲裁（诉讼）期间，除正在进行仲裁（诉讼）的部分外，本合同的其它部分应继续执行。</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16</w:t>
      </w:r>
      <w:r>
        <w:rPr>
          <w:rFonts w:hint="eastAsia" w:ascii="宋体" w:hAnsi="宋体" w:eastAsia="宋体" w:cs="宋体"/>
          <w:b/>
          <w:color w:val="auto"/>
          <w:sz w:val="24"/>
          <w:szCs w:val="24"/>
          <w:lang w:val="zh-CN"/>
        </w:rPr>
        <w:t>．违约终止合同</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zh-CN"/>
        </w:rPr>
        <w:t>.1 在需方因供方违约而按合同约定采取的任何补救措施不受影响的情况下，需方可在下列情况下向供方发出书面通知，提出终止部分或全部合同。</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（1）如果供方未能在合同规定的限期或需方同意延长的限期内提供部分或全部服务。</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（2）如果供方未能履行合同规定的其它任何义务。</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（3）如果供方在本合同订立和履行过程中采取了任何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不正当竞争行为</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，危害到国家利益、社会公共利益和需方的合法权益。</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zh-CN"/>
        </w:rPr>
        <w:t>.2 如果需方违约，应承担相应的违约责任。</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rPr>
        <w:t>17</w:t>
      </w:r>
      <w:r>
        <w:rPr>
          <w:rFonts w:hint="eastAsia" w:ascii="宋体" w:hAnsi="宋体" w:eastAsia="宋体" w:cs="宋体"/>
          <w:b/>
          <w:color w:val="auto"/>
          <w:sz w:val="24"/>
          <w:szCs w:val="24"/>
          <w:lang w:val="zh-CN"/>
        </w:rPr>
        <w:t>．破产终止合同：</w:t>
      </w:r>
      <w:r>
        <w:rPr>
          <w:rFonts w:hint="eastAsia" w:ascii="宋体" w:hAnsi="宋体" w:eastAsia="宋体" w:cs="宋体"/>
          <w:color w:val="auto"/>
          <w:sz w:val="24"/>
          <w:szCs w:val="24"/>
          <w:lang w:val="zh-CN"/>
        </w:rPr>
        <w:t>如果供方破产或丧失清偿能力，需方可在任何时候以书面形式通知供方终止合同而不给供方补偿。该终止合同将不损害或影响需方已经采取或将要采取任何补救措施的权力。</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zh-CN"/>
        </w:rPr>
        <w:t>．合同转让和分包：</w:t>
      </w:r>
      <w:r>
        <w:rPr>
          <w:rFonts w:hint="eastAsia" w:ascii="宋体" w:hAnsi="宋体" w:eastAsia="宋体" w:cs="宋体"/>
          <w:color w:val="auto"/>
          <w:sz w:val="24"/>
          <w:szCs w:val="24"/>
          <w:lang w:val="zh-CN"/>
        </w:rPr>
        <w:t>本合同不得转让或分包。</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rPr>
        <w:t>19</w:t>
      </w:r>
      <w:r>
        <w:rPr>
          <w:rFonts w:hint="eastAsia" w:ascii="宋体" w:hAnsi="宋体" w:eastAsia="宋体" w:cs="宋体"/>
          <w:b/>
          <w:color w:val="auto"/>
          <w:sz w:val="24"/>
          <w:szCs w:val="24"/>
          <w:lang w:val="zh-CN"/>
        </w:rPr>
        <w:t>．需要补充的合同条款：</w:t>
      </w:r>
      <w:r>
        <w:rPr>
          <w:rFonts w:hint="eastAsia" w:ascii="宋体" w:hAnsi="宋体" w:eastAsia="宋体" w:cs="宋体"/>
          <w:color w:val="auto"/>
          <w:sz w:val="24"/>
          <w:szCs w:val="24"/>
          <w:lang w:val="zh-CN"/>
        </w:rPr>
        <w:t>在政府采购合同书中约定。</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．适用法律：</w:t>
      </w:r>
      <w:r>
        <w:rPr>
          <w:rFonts w:hint="eastAsia" w:ascii="宋体" w:hAnsi="宋体" w:eastAsia="宋体" w:cs="宋体"/>
          <w:color w:val="auto"/>
          <w:sz w:val="24"/>
          <w:szCs w:val="24"/>
          <w:lang w:val="zh-CN"/>
        </w:rPr>
        <w:t>本合同及附件的订立、效力、解释、履行、争议的解决等适用本合同签订时有效的中华人民共和国法律、法规的有关规定。</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21</w:t>
      </w:r>
      <w:r>
        <w:rPr>
          <w:rFonts w:hint="eastAsia" w:ascii="宋体" w:hAnsi="宋体" w:eastAsia="宋体" w:cs="宋体"/>
          <w:b/>
          <w:color w:val="auto"/>
          <w:sz w:val="24"/>
          <w:szCs w:val="24"/>
          <w:lang w:val="zh-CN"/>
        </w:rPr>
        <w:t>.主导语言与计量单位</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合同应用中文书写。供需双方所有来往信函，以及合同有关的文件均应以中文书写。</w:t>
      </w:r>
    </w:p>
    <w:p>
      <w:pPr>
        <w:wordWrap w:val="0"/>
        <w:adjustRightInd w:val="0"/>
        <w:spacing w:line="5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除合同另有规定外，计量单位均使用中华人民共和国法定计量单位。</w:t>
      </w:r>
    </w:p>
    <w:p>
      <w:pPr>
        <w:wordWrap w:val="0"/>
        <w:adjustRightInd w:val="0"/>
        <w:spacing w:line="500" w:lineRule="exact"/>
        <w:ind w:firstLine="482"/>
        <w:rPr>
          <w:rFonts w:hint="eastAsia" w:ascii="宋体" w:hAnsi="宋体" w:eastAsia="宋体" w:cs="宋体"/>
          <w:color w:val="auto"/>
          <w:sz w:val="24"/>
          <w:szCs w:val="24"/>
        </w:rPr>
      </w:pPr>
      <w:r>
        <w:rPr>
          <w:rFonts w:hint="eastAsia" w:ascii="宋体" w:hAnsi="宋体" w:eastAsia="宋体" w:cs="宋体"/>
          <w:b/>
          <w:color w:val="auto"/>
          <w:sz w:val="24"/>
          <w:szCs w:val="24"/>
        </w:rPr>
        <w:t>22</w:t>
      </w:r>
      <w:r>
        <w:rPr>
          <w:rFonts w:hint="eastAsia" w:ascii="宋体" w:hAnsi="宋体" w:eastAsia="宋体" w:cs="宋体"/>
          <w:b/>
          <w:color w:val="auto"/>
          <w:sz w:val="24"/>
          <w:szCs w:val="24"/>
          <w:lang w:val="zh-CN"/>
        </w:rPr>
        <w:t>．《中华人民共和国政府采购法》对政府采购合同变更、终止的规定：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rPr>
        <w:t>”</w:t>
      </w:r>
    </w:p>
    <w:p>
      <w:pPr>
        <w:wordWrap w:val="0"/>
        <w:adjustRightInd w:val="0"/>
        <w:spacing w:line="50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23</w:t>
      </w:r>
      <w:r>
        <w:rPr>
          <w:rFonts w:hint="eastAsia" w:ascii="宋体" w:hAnsi="宋体" w:eastAsia="宋体" w:cs="宋体"/>
          <w:b/>
          <w:color w:val="auto"/>
          <w:sz w:val="24"/>
          <w:szCs w:val="24"/>
          <w:lang w:val="zh-CN"/>
        </w:rPr>
        <w:t xml:space="preserve">.其他 </w:t>
      </w:r>
    </w:p>
    <w:p>
      <w:pPr>
        <w:wordWrap w:val="0"/>
        <w:adjustRightInd w:val="0"/>
        <w:spacing w:line="50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此合同文本仅为通用参考合同文本，在确定中标人后，双方将对商务、技术、承诺等内容签订更加详细的内容，采购人保留对合同条款修改的权利。</w:t>
      </w:r>
    </w:p>
    <w:p>
      <w:pPr>
        <w:wordWrap w:val="0"/>
        <w:spacing w:line="500" w:lineRule="exact"/>
        <w:jc w:val="center"/>
        <w:rPr>
          <w:rFonts w:hint="eastAsia" w:ascii="宋体" w:hAnsi="宋体" w:eastAsia="宋体" w:cs="宋体"/>
          <w:b/>
          <w:color w:val="auto"/>
          <w:kern w:val="0"/>
          <w:sz w:val="32"/>
          <w:szCs w:val="32"/>
        </w:rPr>
      </w:pPr>
      <w:r>
        <w:rPr>
          <w:rFonts w:hint="eastAsia" w:ascii="宋体" w:hAnsi="宋体" w:eastAsia="宋体" w:cs="宋体"/>
          <w:color w:val="auto"/>
          <w:sz w:val="24"/>
          <w:szCs w:val="24"/>
          <w:lang w:val="zh-CN"/>
        </w:rPr>
        <w:br w:type="page"/>
      </w:r>
      <w:r>
        <w:rPr>
          <w:rFonts w:hint="eastAsia" w:ascii="宋体" w:hAnsi="宋体" w:eastAsia="宋体" w:cs="宋体"/>
          <w:b/>
          <w:color w:val="auto"/>
          <w:kern w:val="0"/>
          <w:sz w:val="32"/>
          <w:szCs w:val="32"/>
        </w:rPr>
        <w:t>政府采购合同书格式</w:t>
      </w:r>
    </w:p>
    <w:p>
      <w:pPr>
        <w:wordWrap w:val="0"/>
        <w:adjustRightInd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合同编号：</w:t>
      </w:r>
      <w:r>
        <w:rPr>
          <w:rFonts w:hint="eastAsia" w:ascii="宋体" w:hAnsi="宋体" w:eastAsia="宋体" w:cs="宋体"/>
          <w:color w:val="auto"/>
          <w:sz w:val="24"/>
          <w:szCs w:val="21"/>
          <w:u w:val="single"/>
        </w:rPr>
        <w:t xml:space="preserve">                                  </w:t>
      </w:r>
    </w:p>
    <w:p>
      <w:pPr>
        <w:wordWrap w:val="0"/>
        <w:adjustRightInd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签订地点：</w:t>
      </w:r>
      <w:r>
        <w:rPr>
          <w:rFonts w:hint="eastAsia" w:ascii="宋体" w:hAnsi="宋体" w:eastAsia="宋体" w:cs="宋体"/>
          <w:color w:val="auto"/>
          <w:sz w:val="24"/>
          <w:szCs w:val="21"/>
          <w:u w:val="single"/>
        </w:rPr>
        <w:t xml:space="preserve">                                  </w:t>
      </w:r>
    </w:p>
    <w:p>
      <w:pPr>
        <w:wordWrap w:val="0"/>
        <w:adjustRightInd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签订日期：</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4"/>
          <w:lang w:val="zh-CN"/>
        </w:rPr>
        <w:t xml:space="preserve">日 </w:t>
      </w:r>
    </w:p>
    <w:p>
      <w:pPr>
        <w:wordWrap w:val="0"/>
        <w:adjustRightInd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采购任务通知书编号：</w:t>
      </w:r>
      <w:r>
        <w:rPr>
          <w:rFonts w:hint="eastAsia" w:ascii="宋体" w:hAnsi="宋体" w:eastAsia="宋体" w:cs="宋体"/>
          <w:color w:val="auto"/>
          <w:sz w:val="24"/>
          <w:szCs w:val="21"/>
          <w:u w:val="single"/>
        </w:rPr>
        <w:t xml:space="preserve">                        </w:t>
      </w:r>
    </w:p>
    <w:p>
      <w:pPr>
        <w:wordWrap w:val="0"/>
        <w:adjustRightInd w:val="0"/>
        <w:spacing w:line="44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（需方）需求的</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（货物名称）经代理机构以编号为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的招标文件在国内公开招标，评标委员会评定</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（供方）为中标供应商。供需双方按照《中华人民共和国民法典》、《中华人民共和国</w:t>
      </w:r>
      <w:r>
        <w:rPr>
          <w:rFonts w:hint="eastAsia" w:ascii="宋体" w:hAnsi="宋体" w:eastAsia="宋体" w:cs="宋体"/>
          <w:color w:val="auto"/>
          <w:sz w:val="24"/>
          <w:szCs w:val="24"/>
        </w:rPr>
        <w:t>政府采购法</w:t>
      </w:r>
      <w:r>
        <w:rPr>
          <w:rFonts w:hint="eastAsia" w:ascii="宋体" w:hAnsi="宋体" w:eastAsia="宋体" w:cs="宋体"/>
          <w:color w:val="auto"/>
          <w:sz w:val="24"/>
          <w:szCs w:val="24"/>
          <w:lang w:val="zh-CN"/>
        </w:rPr>
        <w:t>》和有关法律法规，遵循平等、自愿、公平和诚实信用原则，同意按照下面的条款和条件订立本合同，共同信守。</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1.合同标的</w:t>
      </w:r>
      <w:r>
        <w:rPr>
          <w:rFonts w:hint="eastAsia" w:ascii="宋体" w:hAnsi="宋体" w:eastAsia="宋体" w:cs="宋体"/>
          <w:color w:val="auto"/>
          <w:sz w:val="24"/>
          <w:szCs w:val="24"/>
          <w:lang w:val="zh-CN"/>
        </w:rPr>
        <w:t>：</w:t>
      </w:r>
    </w:p>
    <w:tbl>
      <w:tblPr>
        <w:tblStyle w:val="23"/>
        <w:tblW w:w="8555" w:type="dxa"/>
        <w:jc w:val="center"/>
        <w:tblInd w:w="0" w:type="dxa"/>
        <w:tblLayout w:type="fixed"/>
        <w:tblCellMar>
          <w:top w:w="0" w:type="dxa"/>
          <w:left w:w="10" w:type="dxa"/>
          <w:bottom w:w="0" w:type="dxa"/>
          <w:right w:w="10" w:type="dxa"/>
        </w:tblCellMar>
      </w:tblPr>
      <w:tblGrid>
        <w:gridCol w:w="1728"/>
        <w:gridCol w:w="2864"/>
        <w:gridCol w:w="1128"/>
        <w:gridCol w:w="1114"/>
        <w:gridCol w:w="1721"/>
      </w:tblGrid>
      <w:tr>
        <w:tblPrEx>
          <w:tblLayout w:type="fixed"/>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采购项目名称</w:t>
            </w:r>
          </w:p>
        </w:tc>
        <w:tc>
          <w:tcPr>
            <w:tcW w:w="2864"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详细配置及主要技术参数</w:t>
            </w:r>
          </w:p>
        </w:tc>
        <w:tc>
          <w:tcPr>
            <w:tcW w:w="1128"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数量</w:t>
            </w: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单价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元</w:t>
            </w:r>
            <w:r>
              <w:rPr>
                <w:rFonts w:hint="eastAsia" w:ascii="宋体" w:hAnsi="宋体" w:eastAsia="宋体" w:cs="宋体"/>
                <w:color w:val="auto"/>
                <w:sz w:val="24"/>
                <w:szCs w:val="24"/>
              </w:rPr>
              <w:t>)</w:t>
            </w:r>
          </w:p>
        </w:tc>
        <w:tc>
          <w:tcPr>
            <w:tcW w:w="1721"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小计金额</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元</w:t>
            </w:r>
            <w:r>
              <w:rPr>
                <w:rFonts w:hint="eastAsia" w:ascii="宋体" w:hAnsi="宋体" w:eastAsia="宋体" w:cs="宋体"/>
                <w:color w:val="auto"/>
                <w:sz w:val="24"/>
                <w:szCs w:val="24"/>
              </w:rPr>
              <w:t>)</w:t>
            </w:r>
          </w:p>
        </w:tc>
      </w:tr>
      <w:tr>
        <w:tblPrEx>
          <w:tblLayout w:type="fixed"/>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lang w:val="zh-CN"/>
              </w:rPr>
            </w:pPr>
          </w:p>
        </w:tc>
        <w:tc>
          <w:tcPr>
            <w:tcW w:w="2864"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lang w:val="zh-CN"/>
              </w:rPr>
            </w:pPr>
          </w:p>
        </w:tc>
        <w:tc>
          <w:tcPr>
            <w:tcW w:w="1128"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lang w:val="zh-CN"/>
              </w:rPr>
            </w:pPr>
          </w:p>
        </w:tc>
        <w:tc>
          <w:tcPr>
            <w:tcW w:w="1721"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lang w:val="zh-CN"/>
              </w:rPr>
            </w:pPr>
          </w:p>
        </w:tc>
      </w:tr>
      <w:tr>
        <w:tblPrEx>
          <w:tblLayout w:type="fixed"/>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p>
        </w:tc>
        <w:tc>
          <w:tcPr>
            <w:tcW w:w="2864"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p>
        </w:tc>
        <w:tc>
          <w:tcPr>
            <w:tcW w:w="1128"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p>
        </w:tc>
        <w:tc>
          <w:tcPr>
            <w:tcW w:w="1721" w:type="dxa"/>
            <w:tcBorders>
              <w:top w:val="single" w:color="000000" w:sz="6" w:space="0"/>
              <w:left w:val="single" w:color="000000" w:sz="6" w:space="0"/>
              <w:bottom w:val="single" w:color="000000" w:sz="6" w:space="0"/>
              <w:right w:val="single" w:color="000000" w:sz="6" w:space="0"/>
            </w:tcBorders>
            <w:noWrap w:val="0"/>
            <w:vAlign w:val="center"/>
          </w:tcPr>
          <w:p>
            <w:pPr>
              <w:wordWrap w:val="0"/>
              <w:adjustRightInd w:val="0"/>
              <w:spacing w:line="440" w:lineRule="exact"/>
              <w:jc w:val="center"/>
              <w:rPr>
                <w:rFonts w:hint="eastAsia" w:ascii="宋体" w:hAnsi="宋体" w:eastAsia="宋体" w:cs="宋体"/>
                <w:color w:val="auto"/>
                <w:sz w:val="24"/>
                <w:szCs w:val="24"/>
              </w:rPr>
            </w:pPr>
          </w:p>
        </w:tc>
      </w:tr>
    </w:tbl>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2.合同价格：</w:t>
      </w:r>
      <w:r>
        <w:rPr>
          <w:rFonts w:hint="eastAsia" w:ascii="宋体" w:hAnsi="宋体" w:eastAsia="宋体" w:cs="宋体"/>
          <w:color w:val="auto"/>
          <w:sz w:val="24"/>
          <w:szCs w:val="24"/>
          <w:lang w:val="zh-CN"/>
        </w:rPr>
        <w:t>大写：</w:t>
      </w:r>
      <w:r>
        <w:rPr>
          <w:rFonts w:hint="eastAsia" w:ascii="宋体" w:hAnsi="宋体" w:eastAsia="宋体" w:cs="宋体"/>
          <w:color w:val="auto"/>
          <w:sz w:val="24"/>
          <w:szCs w:val="24"/>
          <w:u w:val="single"/>
          <w:lang w:val="zh-CN"/>
        </w:rPr>
        <w:t xml:space="preserve">人民币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，小写：</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w:t>
      </w:r>
    </w:p>
    <w:p>
      <w:pPr>
        <w:wordWrap w:val="0"/>
        <w:adjustRightInd w:val="0"/>
        <w:spacing w:line="44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3.交货时间、地点、方式、质量</w:t>
      </w:r>
    </w:p>
    <w:p>
      <w:pPr>
        <w:wordWrap w:val="0"/>
        <w:adjustRightInd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交货时间：</w:t>
      </w:r>
    </w:p>
    <w:p>
      <w:pPr>
        <w:wordWrap w:val="0"/>
        <w:adjustRightInd w:val="0"/>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3.2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交货地点：</w:t>
      </w:r>
    </w:p>
    <w:p>
      <w:pPr>
        <w:wordWrap w:val="0"/>
        <w:adjustRightInd w:val="0"/>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3.3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交货方式：</w:t>
      </w:r>
      <w:r>
        <w:rPr>
          <w:rFonts w:hint="eastAsia" w:ascii="宋体" w:hAnsi="宋体" w:eastAsia="宋体" w:cs="宋体"/>
          <w:color w:val="auto"/>
          <w:sz w:val="24"/>
          <w:szCs w:val="24"/>
        </w:rPr>
        <w:t>供方负责将货物安全完好运抵交货地点、安装调试并保证验收合格。</w:t>
      </w:r>
    </w:p>
    <w:p>
      <w:pPr>
        <w:wordWrap w:val="0"/>
        <w:adjustRightInd w:val="0"/>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3.4 质量要求：供方提供的货物必须是原厂生产的、全新的、未使用过的（包括零部件），并完全符合国家质量检测标准行业和质量检测标准以及合同规定的质量规格和性能要求。供方完成对货物安装调试后，由需方对货物的质量、规格、数量、软件安装和运行状况及其他进行检验。如发现货物的质量、规格、数量与合同规定不符，甲方有权拒绝接收。</w:t>
      </w:r>
    </w:p>
    <w:p>
      <w:pPr>
        <w:wordWrap w:val="0"/>
        <w:adjustRightInd w:val="0"/>
        <w:spacing w:line="44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4.付款方式 </w:t>
      </w:r>
    </w:p>
    <w:p>
      <w:pPr>
        <w:wordWrap w:val="0"/>
        <w:adjustRightIn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4.1</w:t>
      </w:r>
      <w:r>
        <w:rPr>
          <w:rFonts w:hint="eastAsia" w:ascii="宋体" w:hAnsi="宋体" w:eastAsia="宋体" w:cs="宋体"/>
          <w:color w:val="auto"/>
          <w:sz w:val="24"/>
          <w:szCs w:val="24"/>
        </w:rPr>
        <w:t xml:space="preserve"> 供方交货时应提交下列文件：销售发票，国家有关质检机构出具的检验报告或证书（如果合同约定有的话），进口产品的报关文件（如果合同约定有的话），制造厂商出具的质量检验证书、产品合格证等。</w:t>
      </w:r>
    </w:p>
    <w:p>
      <w:pPr>
        <w:wordWrap w:val="0"/>
        <w:adjustRightInd w:val="0"/>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4.2 本合同总价款中由需方自行支付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元。需方承诺供货结束且需方组织验收合格后付款</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bCs/>
          <w:color w:val="auto"/>
          <w:sz w:val="24"/>
          <w:szCs w:val="24"/>
        </w:rPr>
        <w:t>。</w:t>
      </w:r>
    </w:p>
    <w:p>
      <w:pPr>
        <w:wordWrap w:val="0"/>
        <w:adjustRightIn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4.3 </w:t>
      </w:r>
      <w:r>
        <w:rPr>
          <w:rFonts w:hint="eastAsia" w:ascii="宋体" w:hAnsi="宋体" w:eastAsia="宋体" w:cs="宋体"/>
          <w:color w:val="auto"/>
          <w:sz w:val="24"/>
          <w:szCs w:val="24"/>
        </w:rPr>
        <w:t>如果需方未按上述原则支付，由需方承担违约责任，供方承担全部收款责任，与招标机构无关。</w:t>
      </w:r>
    </w:p>
    <w:p>
      <w:pPr>
        <w:wordWrap w:val="0"/>
        <w:adjustRightInd w:val="0"/>
        <w:spacing w:line="44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5．履约保证金</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w:t>
      </w:r>
    </w:p>
    <w:p>
      <w:pPr>
        <w:wordWrap w:val="0"/>
        <w:adjustRightInd w:val="0"/>
        <w:spacing w:line="44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6.质量保证金</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w:t>
      </w:r>
    </w:p>
    <w:p>
      <w:pPr>
        <w:wordWrap w:val="0"/>
        <w:adjustRightInd w:val="0"/>
        <w:spacing w:line="44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7.合同补充条款：</w:t>
      </w:r>
    </w:p>
    <w:p>
      <w:pPr>
        <w:wordWrap w:val="0"/>
        <w:adjustRightInd w:val="0"/>
        <w:spacing w:line="440" w:lineRule="exact"/>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8.争议解决方式：</w:t>
      </w:r>
      <w:r>
        <w:rPr>
          <w:rFonts w:hint="eastAsia" w:ascii="宋体" w:hAnsi="宋体" w:eastAsia="宋体" w:cs="宋体"/>
          <w:color w:val="auto"/>
          <w:sz w:val="24"/>
          <w:szCs w:val="24"/>
          <w:lang w:val="zh-CN"/>
        </w:rPr>
        <w:t>供需双方达成仲裁协议，向仲裁委员会申请仲裁（向合同签定地人民法院提起诉讼）。</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9．合同构成：</w:t>
      </w:r>
      <w:r>
        <w:rPr>
          <w:rFonts w:hint="eastAsia" w:ascii="宋体" w:hAnsi="宋体" w:eastAsia="宋体" w:cs="宋体"/>
          <w:color w:val="auto"/>
          <w:sz w:val="24"/>
          <w:szCs w:val="24"/>
          <w:lang w:val="zh-CN"/>
        </w:rPr>
        <w:t>下列文件构成本合同不可分割的组成部分，与本合同具有同等法律效力：</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本合同书；</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中标通知书；</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招标文件及澄清、修改、补遗文件；</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供方的投标文件及书面澄清、说明、补正文件；</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产品样本、样品、说明书、图纸等有关资料；</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9.6</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政府采购验收报告单；</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9.7</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合同的其它附件。</w:t>
      </w:r>
    </w:p>
    <w:p>
      <w:pPr>
        <w:wordWrap w:val="0"/>
        <w:adjustRightInd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上述组成合同的文件如有不一致之处，以日期在后的为准。</w:t>
      </w:r>
    </w:p>
    <w:p>
      <w:pPr>
        <w:wordWrap w:val="0"/>
        <w:adjustRightInd w:val="0"/>
        <w:spacing w:line="440" w:lineRule="exact"/>
        <w:ind w:firstLine="480"/>
        <w:rPr>
          <w:rFonts w:hint="eastAsia" w:ascii="宋体" w:hAnsi="宋体" w:eastAsia="宋体" w:cs="宋体"/>
          <w:color w:val="auto"/>
          <w:sz w:val="24"/>
          <w:szCs w:val="24"/>
          <w:u w:val="single"/>
          <w:lang w:val="zh-CN"/>
        </w:rPr>
      </w:pPr>
      <w:r>
        <w:rPr>
          <w:rFonts w:hint="eastAsia" w:ascii="宋体" w:hAnsi="宋体" w:eastAsia="宋体" w:cs="宋体"/>
          <w:b/>
          <w:color w:val="auto"/>
          <w:sz w:val="24"/>
          <w:szCs w:val="24"/>
          <w:lang w:val="zh-CN"/>
        </w:rPr>
        <w:t>10.</w:t>
      </w:r>
      <w:r>
        <w:rPr>
          <w:rFonts w:hint="eastAsia" w:ascii="宋体" w:hAnsi="宋体" w:eastAsia="宋体" w:cs="宋体"/>
          <w:b/>
          <w:color w:val="auto"/>
          <w:spacing w:val="-20"/>
          <w:sz w:val="24"/>
          <w:szCs w:val="24"/>
          <w:lang w:val="zh-CN"/>
        </w:rPr>
        <w:t>合同份数</w:t>
      </w:r>
      <w:r>
        <w:rPr>
          <w:rFonts w:hint="eastAsia" w:ascii="宋体" w:hAnsi="宋体" w:eastAsia="宋体" w:cs="宋体"/>
          <w:b/>
          <w:color w:val="auto"/>
          <w:sz w:val="24"/>
          <w:szCs w:val="24"/>
          <w:lang w:val="zh-CN"/>
        </w:rPr>
        <w:t>：</w:t>
      </w:r>
      <w:r>
        <w:rPr>
          <w:rFonts w:hint="eastAsia" w:ascii="宋体" w:hAnsi="宋体" w:eastAsia="宋体" w:cs="宋体"/>
          <w:color w:val="auto"/>
          <w:kern w:val="10"/>
          <w:sz w:val="24"/>
          <w:szCs w:val="24"/>
          <w:lang w:val="zh-CN"/>
        </w:rPr>
        <w:t>本合同一式</w:t>
      </w:r>
      <w:r>
        <w:rPr>
          <w:rFonts w:hint="eastAsia" w:ascii="宋体" w:hAnsi="宋体" w:eastAsia="宋体" w:cs="宋体"/>
          <w:color w:val="auto"/>
          <w:kern w:val="10"/>
          <w:sz w:val="24"/>
          <w:szCs w:val="24"/>
          <w:u w:val="single"/>
          <w:lang w:val="zh-CN"/>
        </w:rPr>
        <w:t xml:space="preserve">            </w:t>
      </w:r>
      <w:r>
        <w:rPr>
          <w:rFonts w:hint="eastAsia" w:ascii="宋体" w:hAnsi="宋体" w:eastAsia="宋体" w:cs="宋体"/>
          <w:color w:val="auto"/>
          <w:kern w:val="10"/>
          <w:sz w:val="24"/>
          <w:szCs w:val="24"/>
          <w:lang w:val="zh-CN"/>
        </w:rPr>
        <w:t>份，供需双方和相关机构各执一份，另一份作为需方向</w:t>
      </w:r>
      <w:r>
        <w:rPr>
          <w:rFonts w:hint="eastAsia" w:ascii="宋体" w:hAnsi="宋体" w:eastAsia="宋体" w:cs="宋体"/>
          <w:color w:val="auto"/>
          <w:kern w:val="10"/>
          <w:sz w:val="24"/>
          <w:szCs w:val="24"/>
          <w:u w:val="single"/>
          <w:lang w:val="zh-CN"/>
        </w:rPr>
        <w:t xml:space="preserve">         </w:t>
      </w:r>
      <w:r>
        <w:rPr>
          <w:rFonts w:hint="eastAsia" w:ascii="宋体" w:hAnsi="宋体" w:eastAsia="宋体" w:cs="宋体"/>
          <w:color w:val="auto"/>
          <w:kern w:val="10"/>
          <w:sz w:val="24"/>
          <w:szCs w:val="24"/>
          <w:lang w:val="zh-CN"/>
        </w:rPr>
        <w:t>提请付款的凭证。</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11.合同生效：</w:t>
      </w:r>
      <w:r>
        <w:rPr>
          <w:rFonts w:hint="eastAsia" w:ascii="宋体" w:hAnsi="宋体" w:eastAsia="宋体" w:cs="宋体"/>
          <w:color w:val="auto"/>
          <w:sz w:val="24"/>
          <w:szCs w:val="24"/>
          <w:lang w:val="zh-CN"/>
        </w:rPr>
        <w:t>本合同在供需双方法定代表人或其委托代理人签字、加盖公章或者合同专用章后生效。</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12.合同修改：</w:t>
      </w:r>
      <w:r>
        <w:rPr>
          <w:rFonts w:hint="eastAsia" w:ascii="宋体" w:hAnsi="宋体" w:eastAsia="宋体" w:cs="宋体"/>
          <w:color w:val="auto"/>
          <w:sz w:val="24"/>
          <w:szCs w:val="24"/>
          <w:lang w:val="zh-CN"/>
        </w:rPr>
        <w:t>除供需双方签署书面修改、补充协议外，本合同条件不得有任何变化或修改。</w:t>
      </w:r>
    </w:p>
    <w:p>
      <w:pPr>
        <w:wordWrap w:val="0"/>
        <w:adjustRightInd w:val="0"/>
        <w:spacing w:line="440" w:lineRule="exact"/>
        <w:ind w:firstLine="482"/>
        <w:rPr>
          <w:rFonts w:hint="eastAsia" w:ascii="宋体" w:hAnsi="宋体" w:eastAsia="宋体" w:cs="宋体"/>
          <w:color w:val="auto"/>
          <w:sz w:val="24"/>
          <w:szCs w:val="24"/>
          <w:lang w:val="zh-CN"/>
        </w:rPr>
      </w:pP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需方：（加盖公章或合同专用章）             </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地址：                                     </w:t>
      </w:r>
    </w:p>
    <w:p>
      <w:pPr>
        <w:wordWrap w:val="0"/>
        <w:adjustRightInd w:val="0"/>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法定代表人或委托代理人：（签字或盖章）     </w:t>
      </w:r>
    </w:p>
    <w:p>
      <w:pPr>
        <w:wordWrap w:val="0"/>
        <w:adjustRightIn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联系电话：                                 </w:t>
      </w:r>
    </w:p>
    <w:p>
      <w:pPr>
        <w:wordWrap w:val="0"/>
        <w:adjustRightInd w:val="0"/>
        <w:spacing w:after="120" w:afterLines="50"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邮政编码：                                 </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供方：（加盖公章或合同专用章）             </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地址：                                     </w:t>
      </w:r>
    </w:p>
    <w:p>
      <w:pPr>
        <w:wordWrap w:val="0"/>
        <w:adjustRightInd w:val="0"/>
        <w:spacing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法定代表人或委托代理人：（签字或盖章）     </w:t>
      </w:r>
    </w:p>
    <w:p>
      <w:pPr>
        <w:wordWrap w:val="0"/>
        <w:adjustRightIn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联系电话：                                 </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邮政编码：                                 </w:t>
      </w:r>
    </w:p>
    <w:p>
      <w:pPr>
        <w:wordWrap w:val="0"/>
        <w:adjustRightInd w:val="0"/>
        <w:spacing w:line="44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传    真：                                 </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帐户名称：                                 </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开户银行：                                 </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帐    号：                                 </w:t>
      </w:r>
    </w:p>
    <w:p>
      <w:pPr>
        <w:wordWrap w:val="0"/>
        <w:adjustRightInd w:val="0"/>
        <w:spacing w:line="440" w:lineRule="exact"/>
        <w:ind w:firstLine="48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联 系 人：                                 </w:t>
      </w:r>
    </w:p>
    <w:p>
      <w:pPr>
        <w:widowControl w:val="0"/>
        <w:wordWrap w:val="0"/>
        <w:spacing w:after="120"/>
        <w:jc w:val="both"/>
        <w:rPr>
          <w:rFonts w:hint="eastAsia" w:ascii="宋体" w:hAnsi="宋体" w:eastAsia="宋体" w:cs="宋体"/>
          <w:color w:val="auto"/>
          <w:kern w:val="0"/>
          <w:sz w:val="20"/>
          <w:lang w:val="zh-CN" w:eastAsia="zh-CN" w:bidi="ar-SA"/>
        </w:rPr>
      </w:pPr>
    </w:p>
    <w:p>
      <w:pPr>
        <w:wordWrap w:val="0"/>
        <w:adjustRightInd w:val="0"/>
        <w:spacing w:line="440" w:lineRule="exact"/>
        <w:ind w:firstLine="482"/>
        <w:jc w:val="right"/>
        <w:rPr>
          <w:rFonts w:hint="eastAsia" w:ascii="宋体" w:hAnsi="宋体" w:eastAsia="宋体" w:cs="宋体"/>
          <w:b/>
          <w:color w:val="auto"/>
          <w:sz w:val="24"/>
          <w:szCs w:val="28"/>
        </w:rPr>
      </w:pPr>
      <w:r>
        <w:rPr>
          <w:rFonts w:hint="eastAsia" w:ascii="宋体" w:hAnsi="宋体" w:eastAsia="宋体" w:cs="宋体"/>
          <w:color w:val="auto"/>
          <w:sz w:val="24"/>
          <w:szCs w:val="24"/>
          <w:lang w:val="zh-CN"/>
        </w:rPr>
        <w:t>签约时间：   年   月   日</w:t>
      </w:r>
    </w:p>
    <w:p>
      <w:pPr>
        <w:wordWrap w:val="0"/>
        <w:spacing w:line="440" w:lineRule="exact"/>
        <w:rPr>
          <w:rFonts w:hint="eastAsia" w:ascii="宋体" w:hAnsi="宋体" w:eastAsia="宋体" w:cs="宋体"/>
          <w:b/>
          <w:color w:val="auto"/>
          <w:sz w:val="24"/>
          <w:szCs w:val="28"/>
        </w:rPr>
      </w:pPr>
    </w:p>
    <w:p>
      <w:pPr>
        <w:spacing w:line="360" w:lineRule="auto"/>
        <w:jc w:val="center"/>
        <w:outlineLvl w:val="0"/>
        <w:rPr>
          <w:rStyle w:val="64"/>
          <w:rFonts w:hint="eastAsia"/>
          <w:color w:val="auto"/>
        </w:rPr>
        <w:sectPr>
          <w:pgSz w:w="11906" w:h="16838"/>
          <w:pgMar w:top="1440" w:right="1417" w:bottom="1440" w:left="1531" w:header="142" w:footer="1077" w:gutter="0"/>
          <w:pgNumType w:fmt="decimal"/>
          <w:cols w:space="720" w:num="1"/>
          <w:titlePg/>
          <w:docGrid w:type="lines" w:linePitch="490" w:charSpace="0"/>
        </w:sectPr>
      </w:pPr>
      <w:bookmarkStart w:id="125" w:name="_Toc3646"/>
      <w:r>
        <w:rPr>
          <w:rFonts w:hint="eastAsia" w:ascii="宋体" w:hAnsi="宋体" w:eastAsia="宋体" w:cs="宋体"/>
          <w:b/>
          <w:color w:val="auto"/>
          <w:kern w:val="0"/>
          <w:sz w:val="24"/>
          <w:szCs w:val="28"/>
          <w:lang w:val="en-US" w:eastAsia="zh-CN" w:bidi="ar-SA"/>
        </w:rPr>
        <w:t>注：本合同条款仅供参考，最终以甲方提供的样本并经甲乙双方协商一致的合同为准。</w:t>
      </w:r>
      <w:bookmarkEnd w:id="125"/>
    </w:p>
    <w:p>
      <w:pPr>
        <w:spacing w:line="360" w:lineRule="auto"/>
        <w:jc w:val="center"/>
        <w:outlineLvl w:val="0"/>
        <w:rPr>
          <w:b/>
          <w:bCs/>
          <w:color w:val="auto"/>
          <w:kern w:val="44"/>
          <w:sz w:val="44"/>
          <w:szCs w:val="44"/>
        </w:rPr>
      </w:pPr>
      <w:bookmarkStart w:id="126" w:name="_Toc5903"/>
      <w:r>
        <w:rPr>
          <w:rStyle w:val="64"/>
          <w:rFonts w:hint="eastAsia"/>
          <w:color w:val="auto"/>
        </w:rPr>
        <w:t>第</w:t>
      </w:r>
      <w:r>
        <w:rPr>
          <w:rStyle w:val="64"/>
          <w:rFonts w:hint="eastAsia"/>
          <w:color w:val="auto"/>
          <w:lang w:eastAsia="zh-CN"/>
        </w:rPr>
        <w:t>五</w:t>
      </w:r>
      <w:r>
        <w:rPr>
          <w:rStyle w:val="64"/>
          <w:rFonts w:hint="eastAsia"/>
          <w:color w:val="auto"/>
        </w:rPr>
        <w:t xml:space="preserve">章  </w:t>
      </w:r>
      <w:bookmarkEnd w:id="91"/>
      <w:bookmarkEnd w:id="92"/>
      <w:bookmarkEnd w:id="93"/>
      <w:bookmarkEnd w:id="94"/>
      <w:bookmarkEnd w:id="95"/>
      <w:bookmarkEnd w:id="96"/>
      <w:bookmarkEnd w:id="97"/>
      <w:bookmarkEnd w:id="98"/>
      <w:bookmarkEnd w:id="99"/>
      <w:bookmarkEnd w:id="100"/>
      <w:bookmarkEnd w:id="101"/>
      <w:bookmarkEnd w:id="126"/>
      <w:r>
        <w:rPr>
          <w:rStyle w:val="64"/>
          <w:rFonts w:hint="eastAsia"/>
          <w:color w:val="auto"/>
          <w:lang w:val="en-US" w:eastAsia="zh-CN"/>
        </w:rPr>
        <w:t>技术标准和要求</w:t>
      </w:r>
    </w:p>
    <w:p>
      <w:pPr>
        <w:rPr>
          <w:rFonts w:hint="eastAsia" w:ascii="仿宋" w:hAnsi="仿宋" w:eastAsia="仿宋" w:cs="仿宋"/>
          <w:color w:val="auto"/>
          <w:sz w:val="32"/>
          <w:szCs w:val="32"/>
          <w:highlight w:val="none"/>
          <w:lang w:val="en-US" w:eastAsia="zh-CN"/>
        </w:rPr>
      </w:pPr>
      <w:bookmarkStart w:id="127" w:name="_Toc461089032"/>
      <w:bookmarkStart w:id="128" w:name="_Toc28217"/>
      <w:bookmarkStart w:id="129" w:name="_Toc6315"/>
      <w:bookmarkStart w:id="130" w:name="_Toc14054"/>
      <w:bookmarkStart w:id="131" w:name="_Toc3606"/>
      <w:bookmarkStart w:id="132" w:name="_Toc26078"/>
      <w:r>
        <w:rPr>
          <w:rFonts w:hint="eastAsia" w:ascii="仿宋" w:hAnsi="仿宋" w:eastAsia="仿宋" w:cs="仿宋"/>
          <w:color w:val="auto"/>
          <w:sz w:val="32"/>
          <w:szCs w:val="32"/>
          <w:highlight w:val="none"/>
          <w:lang w:val="en-US" w:eastAsia="zh-CN"/>
        </w:rPr>
        <w:t>一、核心产品</w:t>
      </w:r>
    </w:p>
    <w:p>
      <w:pPr>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（一）多功能厅改造：</w:t>
      </w:r>
    </w:p>
    <w:p>
      <w:pPr>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序号1：线阵音箱（主扩）</w:t>
      </w:r>
    </w:p>
    <w:p>
      <w:pPr>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（二）电教室改造：</w:t>
      </w:r>
    </w:p>
    <w:p>
      <w:pPr>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序号33：多功能功率放大器。</w:t>
      </w:r>
    </w:p>
    <w:p>
      <w:pPr>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（三）监控中心改造：</w:t>
      </w:r>
    </w:p>
    <w:p>
      <w:pPr>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序号49：液晶拼接屏</w:t>
      </w:r>
    </w:p>
    <w:p>
      <w:pPr>
        <w:widowControl/>
        <w:spacing w:line="480" w:lineRule="auto"/>
        <w:jc w:val="left"/>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widowControl/>
        <w:spacing w:line="240" w:lineRule="auto"/>
        <w:jc w:val="center"/>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1"/>
          <w:szCs w:val="21"/>
          <w:lang w:val="en-US" w:eastAsia="zh-CN"/>
        </w:rPr>
        <w:t>吉林省老年大学教学设备更新项目1包（标包编号：采购计划-[2025]-09342号-1-JLLYZB-2025-138-1）</w:t>
      </w:r>
    </w:p>
    <w:p>
      <w:pPr>
        <w:widowControl/>
        <w:spacing w:line="240" w:lineRule="auto"/>
        <w:jc w:val="center"/>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技术标准和要求</w:t>
      </w:r>
    </w:p>
    <w:p>
      <w:pPr>
        <w:widowControl/>
        <w:spacing w:line="240" w:lineRule="auto"/>
        <w:jc w:val="left"/>
        <w:rPr>
          <w:rFonts w:ascii="宋体" w:hAnsi="宋体" w:eastAsia="宋体" w:cs="宋体"/>
          <w:b/>
          <w:color w:val="auto"/>
          <w:kern w:val="0"/>
          <w:sz w:val="24"/>
        </w:rPr>
      </w:pPr>
      <w:r>
        <w:rPr>
          <w:rFonts w:hint="eastAsia" w:ascii="宋体" w:hAnsi="宋体" w:eastAsia="宋体" w:cs="宋体"/>
          <w:b/>
          <w:color w:val="auto"/>
          <w:kern w:val="0"/>
          <w:sz w:val="24"/>
        </w:rPr>
        <w:t>一、项目概述</w:t>
      </w:r>
    </w:p>
    <w:p>
      <w:pPr>
        <w:widowControl/>
        <w:spacing w:line="40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为进一步提升吉林省老年大学日常教学活动的质量，拟对校内的多功能厅、电教室、监控中心等进行改造更新并采购相关设备。</w:t>
      </w:r>
      <w:r>
        <w:rPr>
          <w:rFonts w:ascii="宋体" w:hAnsi="宋体" w:eastAsia="宋体" w:cs="宋体"/>
          <w:bCs/>
          <w:color w:val="auto"/>
          <w:sz w:val="24"/>
        </w:rPr>
        <w:t>本项目需进行现场踏勘，投标人需现场踏勘后根据项目实际情况提供</w:t>
      </w:r>
      <w:r>
        <w:rPr>
          <w:rFonts w:hint="eastAsia" w:ascii="宋体" w:hAnsi="宋体" w:eastAsia="宋体" w:cs="宋体"/>
          <w:bCs/>
          <w:color w:val="auto"/>
          <w:sz w:val="24"/>
        </w:rPr>
        <w:t>完成本项目的设备及综合布线和集成等服务。</w:t>
      </w:r>
    </w:p>
    <w:p>
      <w:pPr>
        <w:pStyle w:val="19"/>
        <w:numPr>
          <w:ilvl w:val="0"/>
          <w:numId w:val="2"/>
        </w:numPr>
        <w:wordWrap w:val="0"/>
        <w:spacing w:beforeAutospacing="0" w:afterAutospacing="0" w:line="400" w:lineRule="exact"/>
        <w:rPr>
          <w:rFonts w:eastAsia="宋体" w:cs="宋体"/>
          <w:bCs/>
          <w:color w:val="auto"/>
        </w:rPr>
      </w:pPr>
      <w:r>
        <w:rPr>
          <w:rFonts w:hint="eastAsia" w:eastAsia="宋体" w:cs="宋体"/>
          <w:b/>
          <w:color w:val="auto"/>
        </w:rPr>
        <w:t>技术条款（</w:t>
      </w:r>
      <w:r>
        <w:rPr>
          <w:rFonts w:hint="eastAsia" w:eastAsia="宋体" w:cs="宋体"/>
          <w:b/>
          <w:color w:val="auto"/>
          <w:lang w:val="zh-CN"/>
        </w:rPr>
        <w:t>采购标的的功能和质量要求，包括性能、材料、结构、外观、安全、</w:t>
      </w:r>
      <w:r>
        <w:rPr>
          <w:rFonts w:hint="eastAsia" w:eastAsia="宋体" w:cs="宋体"/>
          <w:b/>
          <w:color w:val="auto"/>
        </w:rPr>
        <w:t>服务内容和标准</w:t>
      </w:r>
      <w:r>
        <w:rPr>
          <w:rFonts w:hint="eastAsia" w:eastAsia="宋体" w:cs="宋体"/>
          <w:b/>
          <w:color w:val="auto"/>
          <w:lang w:val="zh-CN"/>
        </w:rPr>
        <w:t>等</w:t>
      </w:r>
      <w:r>
        <w:rPr>
          <w:rFonts w:hint="eastAsia" w:eastAsia="宋体" w:cs="宋体"/>
          <w:b/>
          <w:color w:val="auto"/>
        </w:rPr>
        <w:t>）：</w:t>
      </w:r>
    </w:p>
    <w:p>
      <w:pPr>
        <w:widowControl/>
        <w:spacing w:line="400" w:lineRule="exact"/>
        <w:ind w:firstLine="480" w:firstLineChars="200"/>
        <w:jc w:val="left"/>
        <w:rPr>
          <w:rFonts w:ascii="宋体" w:hAnsi="宋体" w:eastAsia="宋体" w:cs="宋体"/>
          <w:bCs/>
          <w:color w:val="auto"/>
          <w:sz w:val="24"/>
        </w:rPr>
      </w:pPr>
      <w:r>
        <w:rPr>
          <w:rFonts w:hint="eastAsia" w:ascii="宋体" w:hAnsi="宋体" w:eastAsia="宋体" w:cs="宋体"/>
          <w:bCs/>
          <w:color w:val="auto"/>
          <w:sz w:val="24"/>
        </w:rPr>
        <w:t>1.投标人须对采购内容全部响应，本项目所涉及的综合布线和集成服务必须保证整套设备系统可正常使用，报价若有遗漏，视为对本项目让利；同时，一旦中标，采购人将认为中标人对遗漏部分免费提供。</w:t>
      </w:r>
    </w:p>
    <w:p>
      <w:pPr>
        <w:widowControl/>
        <w:spacing w:line="400" w:lineRule="exact"/>
        <w:ind w:firstLine="480" w:firstLineChars="200"/>
        <w:jc w:val="left"/>
        <w:rPr>
          <w:rFonts w:ascii="宋体" w:hAnsi="宋体" w:eastAsia="宋体" w:cs="宋体"/>
          <w:bCs/>
          <w:color w:val="auto"/>
          <w:sz w:val="24"/>
        </w:rPr>
      </w:pPr>
      <w:r>
        <w:rPr>
          <w:rFonts w:hint="eastAsia" w:ascii="宋体" w:hAnsi="宋体" w:eastAsia="宋体" w:cs="宋体"/>
          <w:bCs/>
          <w:color w:val="auto"/>
          <w:sz w:val="24"/>
        </w:rPr>
        <w:t>2.指标按重要性分为“</w:t>
      </w:r>
      <w:r>
        <w:rPr>
          <w:rFonts w:hint="eastAsia" w:ascii="宋体" w:hAnsi="宋体" w:eastAsia="宋体" w:cs="宋体"/>
          <w:color w:val="auto"/>
          <w:sz w:val="22"/>
          <w:szCs w:val="22"/>
        </w:rPr>
        <w:t>*</w:t>
      </w:r>
      <w:r>
        <w:rPr>
          <w:rFonts w:hint="eastAsia" w:ascii="宋体" w:hAnsi="宋体" w:eastAsia="宋体" w:cs="宋体"/>
          <w:bCs/>
          <w:color w:val="auto"/>
          <w:sz w:val="24"/>
        </w:rPr>
        <w:t xml:space="preserve">”重要指标项和一般指标项。 </w:t>
      </w:r>
    </w:p>
    <w:p>
      <w:pPr>
        <w:widowControl/>
        <w:spacing w:line="400" w:lineRule="exact"/>
        <w:ind w:firstLine="480" w:firstLineChars="200"/>
        <w:jc w:val="left"/>
        <w:rPr>
          <w:rFonts w:ascii="宋体" w:hAnsi="宋体" w:eastAsia="宋体" w:cs="宋体"/>
          <w:bCs/>
          <w:color w:val="auto"/>
          <w:sz w:val="24"/>
        </w:rPr>
      </w:pPr>
      <w:r>
        <w:rPr>
          <w:rFonts w:hint="eastAsia" w:ascii="宋体" w:hAnsi="宋体" w:eastAsia="宋体" w:cs="宋体"/>
          <w:bCs/>
          <w:color w:val="auto"/>
          <w:sz w:val="24"/>
        </w:rPr>
        <w:t xml:space="preserve">3.“提供证明材料”：投标人须提供包含相关指标项的证明材料，证明材料如文件中有明确要求的则需按照相应要求提供，没有明确要求的可以使用生产厂商官方网站截图或第三方机构检验报告或其他相关证明材料，未提供有效证明材料或证明材料中内容与所填报指标参数不满足要求的，该指标按负偏离处理。 </w:t>
      </w:r>
    </w:p>
    <w:p>
      <w:pPr>
        <w:widowControl/>
        <w:spacing w:line="400" w:lineRule="exact"/>
        <w:ind w:firstLine="480" w:firstLineChars="200"/>
        <w:jc w:val="left"/>
        <w:rPr>
          <w:rFonts w:ascii="宋体" w:hAnsi="宋体" w:eastAsia="宋体" w:cs="宋体"/>
          <w:bCs/>
          <w:color w:val="auto"/>
          <w:sz w:val="24"/>
        </w:rPr>
      </w:pPr>
      <w:r>
        <w:rPr>
          <w:rFonts w:hint="eastAsia" w:ascii="宋体" w:hAnsi="宋体" w:eastAsia="宋体" w:cs="宋体"/>
          <w:bCs/>
          <w:color w:val="auto"/>
          <w:sz w:val="24"/>
        </w:rPr>
        <w:t xml:space="preserve">4.投标人对所提供除文件中明确规定要求提供证明材料以外的产品技术参数的真实性承担法律责任。 </w:t>
      </w:r>
    </w:p>
    <w:p>
      <w:pPr>
        <w:pStyle w:val="19"/>
        <w:wordWrap w:val="0"/>
        <w:spacing w:beforeAutospacing="0" w:afterAutospacing="0" w:line="400" w:lineRule="exact"/>
        <w:rPr>
          <w:rFonts w:eastAsia="宋体" w:cs="宋体"/>
          <w:bCs/>
          <w:color w:val="auto"/>
        </w:rPr>
      </w:pPr>
      <w:r>
        <w:rPr>
          <w:rFonts w:hint="eastAsia" w:eastAsia="宋体" w:cs="宋体"/>
          <w:bCs/>
          <w:color w:val="auto"/>
        </w:rPr>
        <w:t>（一）多功能厅改造设备技术指标要求</w:t>
      </w:r>
    </w:p>
    <w:tbl>
      <w:tblPr>
        <w:tblStyle w:val="24"/>
        <w:tblpPr w:leftFromText="180" w:rightFromText="180" w:vertAnchor="text" w:horzAnchor="page" w:tblpX="1820" w:tblpY="406"/>
        <w:tblOverlap w:val="never"/>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00"/>
        <w:gridCol w:w="513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序号</w:t>
            </w:r>
          </w:p>
        </w:tc>
        <w:tc>
          <w:tcPr>
            <w:tcW w:w="120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标的名称</w:t>
            </w:r>
          </w:p>
        </w:tc>
        <w:tc>
          <w:tcPr>
            <w:tcW w:w="513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具体参数值或功能要求表述</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
                <w:color w:val="auto"/>
                <w:sz w:val="21"/>
                <w:szCs w:val="21"/>
              </w:rPr>
            </w:pPr>
            <w:r>
              <w:rPr>
                <w:rFonts w:hint="eastAsia" w:eastAsia="宋体" w:cs="宋体"/>
                <w:bCs/>
                <w:color w:val="auto"/>
                <w:sz w:val="21"/>
                <w:szCs w:val="21"/>
              </w:rPr>
              <w:t>1</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线阵音箱（主扩）</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1、音箱类型为二分频线性阵列全频音箱，低频扬声器：10" x 2，功率≥600W，标称阻抗：≤8Ω。</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2、频率范围≥65Hz-20KHz，灵敏度≥102dB (1M/1W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3、高频扬声器：≥75mm（3"）压缩驱动器*1，水平覆盖角(-6dB)≥90°，垂直覆盖角(-6dB)≥10°。</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
                <w:color w:val="auto"/>
                <w:sz w:val="21"/>
                <w:szCs w:val="21"/>
              </w:rPr>
            </w:pPr>
            <w:r>
              <w:rPr>
                <w:rFonts w:hint="eastAsia" w:eastAsia="宋体" w:cs="宋体"/>
                <w:color w:val="auto"/>
                <w:sz w:val="21"/>
                <w:szCs w:val="21"/>
              </w:rPr>
              <w:t>2</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szCs w:val="21"/>
              </w:rPr>
              <w:t>线阵音箱（次低音）</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1、音箱类型为低频音箱，低频扬声器：≥18" x 1。</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2、功率≥800W，标称阻抗：≤8Ω。</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3、频率范围≥40Hz-400Hz，灵敏度≥100dB (1M/1W)。</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3</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highlight w:val="red"/>
              </w:rPr>
            </w:pPr>
            <w:r>
              <w:rPr>
                <w:rFonts w:hint="eastAsia" w:ascii="宋体" w:hAnsi="宋体" w:eastAsia="宋体" w:cs="宋体"/>
                <w:color w:val="auto"/>
                <w:kern w:val="0"/>
                <w:szCs w:val="21"/>
              </w:rPr>
              <w:t>支架（葫芦架）</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highlight w:val="red"/>
              </w:rPr>
            </w:pPr>
            <w:r>
              <w:rPr>
                <w:rFonts w:hint="eastAsia" w:ascii="宋体" w:hAnsi="宋体" w:eastAsia="宋体" w:cs="宋体"/>
                <w:color w:val="auto"/>
                <w:kern w:val="0"/>
                <w:szCs w:val="21"/>
              </w:rPr>
              <w:t>1、标配长度：≥6米；包含：葫芦架1套。承重：≥2t。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2、材质：国标G80级锰钢；外壳：加厚合金钢。</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3、表面处理：淬火工艺+镀锌；颜色：黄色+红色。</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4、链条破断应力：≥800Mpa。</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5、刹车系统：双重干式；轴承：滚针轴承。</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4</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支架（田字架）</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线阵音箱支架</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5</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钢丝绳</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1、钢丝绳，Φ8mm*1米（7*19）。</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2、参考重量：100米/Kg=25.6。</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3、最小破断拉力：33.35KN。</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4、最大承重：3403Kg。</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实需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6</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吊环膨胀螺丝挂钩</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304不锈钢吊环，M8*50</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实需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7</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钢丝绳锁扣</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304不锈钢741夹头、卡头</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实需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8</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1000W专业功放</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1、标准≤1U机柜式设计机柜式设计，采用PFC+开关电源+D类数字功放设计方案。</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2、开机软启动功能，软启动过程中电源需求缓慢上升，减少对电网和其他电子设备的电流冲击。</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*3、采用数字功放双环路压限保护电路，避免开机瞬间的大电流冲击扬声器，减少对扬声器的损害风险，为功放全方位系统保护。</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*4、采用开关电源输出电压自启停动态节能的功能，自适应动态功率高效转换功能。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*5、支持过压保护、欠压保护、过流保护、输出短路保护、温度压限、信号压限、温度自动控风扇等功能，很大程度提高功放稳定性和可靠性。</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6、XLR平衡式输入/XLR 平衡式LINK输出；SPEAKON音响插座输出。</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7、MONO /STEREO/BRIDGE三种模式可选择切换。</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8、灵敏度1V/2V可选择切换。</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9、带温控风机，开机即转，随着温度长高风扇加速。</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10、面板有信号（绿）、削顶（橙）、保护指示灯（红）、电源指示灯（蓝）。</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11、输出功率（1KHz/THD≤1％）：连续功率：立体声8Ω×2：≥2*1000W；立体声4Ω×2：≥2*1700W；立体声2Ω×2：≥2*2900W；桥接16Ω：≥2000W；桥接8Ω：≥3400W；桥接4Ω：≥5800W。</w:t>
            </w:r>
          </w:p>
          <w:p>
            <w:pPr>
              <w:keepNext w:val="0"/>
              <w:keepLines w:val="0"/>
              <w:pageBreakBefore w:val="0"/>
              <w:widowControl/>
              <w:kinsoku/>
              <w:overflowPunct/>
              <w:topLinePunct w:val="0"/>
              <w:autoSpaceDE/>
              <w:autoSpaceDN/>
              <w:bidi w:val="0"/>
              <w:adjustRightInd/>
              <w:snapToGrid/>
              <w:spacing w:line="320" w:lineRule="exact"/>
              <w:ind w:firstLine="420" w:firstLineChars="200"/>
              <w:jc w:val="left"/>
              <w:textAlignment w:val="center"/>
              <w:rPr>
                <w:rFonts w:ascii="宋体" w:hAnsi="宋体" w:eastAsia="宋体" w:cs="宋体"/>
                <w:color w:val="auto"/>
                <w:szCs w:val="21"/>
              </w:rPr>
            </w:pPr>
            <w:r>
              <w:rPr>
                <w:rFonts w:hint="eastAsia" w:ascii="宋体" w:hAnsi="宋体" w:eastAsia="宋体" w:cs="宋体"/>
                <w:color w:val="auto"/>
                <w:szCs w:val="21"/>
              </w:rPr>
              <w:t>以上参数需提供证明材料复印并加盖生产厂商公章。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9</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1200W专业功放</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1、标准≤1U机柜式设计机柜式设计，采用PFC+开关电源+D类数字功放设计方案。</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2、开机软启动功能，软启动过程中电源需求缓慢上升，减少对电网和其他电子设备的电流冲击。</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*3、采用数字功放双环路压限保护电路，避免开机瞬间的大电流冲击扬声器，减少对扬声器的损害风险，为功放全方位系统保护。</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*4、采用开关电源输出电压自启停动态节能的功能，自适应动态功率高效转换功能。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*5、支持过压保护、欠压保护、过流保护、输出短路保护、温度压限、信号压限、温度自动控风扇等功能，很大程度提高功放稳定性和可靠性。</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6、XLR平衡式输入/XLR 平衡式LINK输出；SPEAKON音响插座输出。</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7、MONO /STEREO/BRIDGE三种模式可选择切换。</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8、灵敏度1V/2V可选择切换。</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9、带温控风机，开机即转，随着温度长高风扇加速。</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10、面板有信号（绿）、削顶（橙）、保护指示灯（红）、电源指示灯（蓝）。</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11、输出功率（1KHz/THD≤1％）：连续功率：立体声8Ω×2：2*1200W；立体声4Ω×2：≥2*1900W；立体声2Ω×2：≥2*3200W；桥接16Ω：≥2400W；桥接8Ω：≥3800W；桥接4Ω：≥6400W；"</w:t>
            </w:r>
          </w:p>
          <w:p>
            <w:pPr>
              <w:keepNext w:val="0"/>
              <w:keepLines w:val="0"/>
              <w:pageBreakBefore w:val="0"/>
              <w:widowControl/>
              <w:kinsoku/>
              <w:overflowPunct/>
              <w:topLinePunct w:val="0"/>
              <w:autoSpaceDE/>
              <w:autoSpaceDN/>
              <w:bidi w:val="0"/>
              <w:adjustRightInd/>
              <w:snapToGrid/>
              <w:spacing w:line="320" w:lineRule="exact"/>
              <w:ind w:firstLine="420" w:firstLineChars="200"/>
              <w:jc w:val="left"/>
              <w:textAlignment w:val="center"/>
              <w:rPr>
                <w:rFonts w:ascii="宋体" w:hAnsi="宋体" w:eastAsia="宋体" w:cs="宋体"/>
                <w:color w:val="auto"/>
                <w:szCs w:val="21"/>
              </w:rPr>
            </w:pPr>
            <w:r>
              <w:rPr>
                <w:rFonts w:hint="eastAsia" w:ascii="宋体" w:hAnsi="宋体" w:eastAsia="宋体" w:cs="宋体"/>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10</w:t>
            </w:r>
          </w:p>
        </w:tc>
        <w:tc>
          <w:tcPr>
            <w:tcW w:w="120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color w:val="auto"/>
                <w:szCs w:val="21"/>
              </w:rPr>
            </w:pPr>
            <w:r>
              <w:rPr>
                <w:rFonts w:hint="eastAsia" w:ascii="宋体" w:hAnsi="宋体" w:eastAsia="宋体" w:cs="宋体"/>
                <w:color w:val="auto"/>
                <w:szCs w:val="21"/>
              </w:rPr>
              <w:t>支架</w:t>
            </w:r>
          </w:p>
        </w:tc>
        <w:tc>
          <w:tcPr>
            <w:tcW w:w="513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音箱支架</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11</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szCs w:val="21"/>
              </w:rPr>
              <w:t>700W专业功放</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1、标准≤1U机柜式设计；采用PFC+开关电源+D类数字功放设计方案；输出功率：立体声@8Ω：≥700W×2；立体声@4Ω：≥1000W×2；桥接@16Ω：≥1400W；桥接@8Ω：≥2000W。</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2、开关电源采用LLC谐振电源短路保护电路和D类数字功放一体模块化设计，保证半桥LLC开关电源稳定性和可靠性。</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3、支持开机软启动功能，软启动过程中电源需求缓慢上升，减少对电网和其他电子设备的电流冲击。</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4、开关电源内置EMI电路，有效的抑制电源谐波，达到欧盟绿色电源标准。</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5、数字功放核心的调制和匹配电路技术，让功放还原真实原声。</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6、整机转换效率达到85%以上。</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 xml:space="preserve">7、数字功放电源自适应音频调整节能功能，实现智能削峰限幅器，控制功率模块及扬声器系统在安全范围内工作。 </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8、MONO /STEREO/BRIDGE三种模式可选择切换。</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9、开机软启动，防止开机时向电网吸收大电流，干扰其它用电设备。</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10、内置六大保护电路模块，为功放的可靠性保驾护航，具有：过压保护，欠压保护，过流保护，直流保护，输出短路保护，温控风扇等功能。"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kern w:val="0"/>
                <w:szCs w:val="21"/>
              </w:rPr>
              <w:t xml:space="preserve">  </w:t>
            </w:r>
            <w:r>
              <w:rPr>
                <w:rFonts w:hint="eastAsia" w:ascii="宋体" w:hAnsi="宋体" w:eastAsia="宋体" w:cs="宋体"/>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12</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szCs w:val="21"/>
              </w:rPr>
              <w:t>400W专业反听音箱</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1、阻抗≤8Ω</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2、频响等同或优于50Hz-20KHz</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3、额定功率≥400W</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4、灵敏度≥99dB/W/M</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5、水平覆盖角≥80°，垂直覆盖角≥60°</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6、高音≥1.7"压缩高音单元×1；低音：12"低音×1"</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kern w:val="0"/>
                <w:szCs w:val="21"/>
              </w:rPr>
              <w:t xml:space="preserve">   </w:t>
            </w:r>
            <w:r>
              <w:rPr>
                <w:rFonts w:hint="eastAsia" w:ascii="宋体" w:hAnsi="宋体" w:eastAsia="宋体" w:cs="宋体"/>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13</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音频处理器</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 xml:space="preserve">1、输入：≥4路平衡式线路输入，采用标准卡侬接口，平衡接法。 </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2、输出：≥8路平衡式线路输出，采用标准卡侬接口，平衡接法。</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3、支持FIR滤波器。</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4、内置数字音频处理算法：增益、延迟、EQ、混音矩阵、压缩器、分配和限幅器。</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5、支持断电自动保护记忆功能。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6、支持通道联控功能。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szCs w:val="21"/>
              </w:rPr>
              <w:t>7、支持USB和RJ45两种连接方式，实现PC软件控制，支持RS232控制，提供第三方控制协议，用于对接中控系统。"</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14</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反馈抑制器</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1、基于啸叫检测门限更新法，具有移频+陷波反馈抑制功能，可以使用≥48个可编程陷波点。</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2、前面板具有≥48个LED灯陷波状态指示灯（具有≥2×12个静态点和≥2×12个动态点）、≥2英寸IPS真彩显示屏、≥1个编码旋钮；后面板具有≥1个船形开关、≥2路XLR母座+2路TRS母座模拟输入、≥2路XLR公座+2路TRS公座模拟输出、≥1个RJ45接口。（提供设备接口照片佐证）</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3、设备具有编码旋钮和≥2.0英寸IPS屏幕，可用于控制和配置设备直通、场景。IPS屏幕能够显示IP地址，输入和输出通道的实时电平。</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4、具有设备定位，PC客户端具有一键定位局域网内同类设备功能，被定位到的设备会在显示屏上显示定位信息。</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5、设备具有统一集中控制功能，支持≥65535台设备通过软件集中控制。</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6、支持多客户端数据同步，≥2个客户端以上连接混音器设备时，可实现多端数据同步。</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界面截图佐证）。</w:t>
            </w:r>
          </w:p>
          <w:p>
            <w:pPr>
              <w:keepNext w:val="0"/>
              <w:keepLines w:val="0"/>
              <w:pageBreakBefore w:val="0"/>
              <w:widowControl/>
              <w:kinsoku/>
              <w:overflowPunct/>
              <w:topLinePunct w:val="0"/>
              <w:autoSpaceDE/>
              <w:autoSpaceDN/>
              <w:bidi w:val="0"/>
              <w:adjustRightInd/>
              <w:snapToGrid/>
              <w:spacing w:line="320" w:lineRule="exact"/>
              <w:ind w:firstLine="420" w:firstLineChars="200"/>
              <w:jc w:val="left"/>
              <w:textAlignment w:val="center"/>
              <w:rPr>
                <w:rFonts w:ascii="宋体" w:hAnsi="宋体" w:eastAsia="宋体" w:cs="宋体"/>
                <w:color w:val="auto"/>
                <w:szCs w:val="21"/>
              </w:rPr>
            </w:pPr>
            <w:r>
              <w:rPr>
                <w:rFonts w:hint="eastAsia" w:ascii="宋体" w:hAnsi="宋体" w:eastAsia="宋体" w:cs="宋体"/>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15</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数字调音台</w:t>
            </w:r>
          </w:p>
        </w:tc>
        <w:tc>
          <w:tcPr>
            <w:tcW w:w="5130" w:type="dxa"/>
            <w:vAlign w:val="center"/>
          </w:tcPr>
          <w:p>
            <w:pPr>
              <w:keepNext w:val="0"/>
              <w:keepLines w:val="0"/>
              <w:pageBreakBefore w:val="0"/>
              <w:widowControl/>
              <w:numPr>
                <w:ilvl w:val="0"/>
                <w:numId w:val="3"/>
              </w:numPr>
              <w:kinsoku/>
              <w:overflowPunct/>
              <w:topLinePunct w:val="0"/>
              <w:autoSpaceDE/>
              <w:autoSpaceDN/>
              <w:bidi w:val="0"/>
              <w:adjustRightInd/>
              <w:snapToGrid/>
              <w:spacing w:line="320" w:lineRule="exact"/>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rPr>
              <w:t>具有≥10.1英寸1280x800电容触摸屏、数字编码器以及按键构成的操作面板。</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2、具有≥17个电动推子，电动推子可操控：≥1个LR主声道推子、≥16个通道推子。</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3、支持中英文界面切换，且无需重启。</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4、内置USB录音、放音功能。能够识别USB电子盘内的中英文歌曲名，具备快进、下一曲、快速暂停等功能；且支持播放APE、FLAC、MP3、WAV音频格式。</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*5、内置≥16个通道独立的反馈抑制器，内置≥16路自动混音（增益共享型）。（提供功能界面截图佐证）</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6、具有≥2个内置效果器，自带有经典混响、大房间混响等效果模块；FX音效可使用专用的返回通道返回到混音且不占用单声道和立体声输入通道。</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7、支持iPad触摸屏全功能控制，实时数据同步；支持≥8个终端同时控制。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8、可通过网络或者USB升级ARM固件、DSP固件。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*9、每个输入通道具有≥4段参数均衡、噪声门、高低通、压缩、反相。（提供功能界面截图佐证）</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*10、每个输出通道具有≥8段参数均衡、高低通、压缩、反相、延时器。（提供功能界面截图佐证）</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11、模拟输入≥32CH ( MIC/Line)；输出通道支持L/R、10BUS、HeadPhone(L/R)，10BUS混音总线可选择推子前、推子后（PRE/POST）。</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12、支持≥100组场景预设功能，可导出、导入USB存储器，便于数据备份；支持32个PEQ模式存储。</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13、内置信号发生器：正弦波、粉红噪声、白噪声。</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14、支持通道参数拷贝功能，相同的通道快速复制数据，通道名称可自定义。</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15、接线方式：平衡式输入、输出卡侬。</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16、支持≥8个推子编组、≥8个用户自定义按键、≥4个快速静音组按键。</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17、具有面板锁定按键，防止误操作。</w:t>
            </w:r>
          </w:p>
          <w:p>
            <w:pPr>
              <w:keepNext w:val="0"/>
              <w:keepLines w:val="0"/>
              <w:pageBreakBefore w:val="0"/>
              <w:widowControl/>
              <w:kinsoku/>
              <w:overflowPunct/>
              <w:topLinePunct w:val="0"/>
              <w:autoSpaceDE/>
              <w:autoSpaceDN/>
              <w:bidi w:val="0"/>
              <w:adjustRightInd/>
              <w:snapToGrid/>
              <w:spacing w:line="320" w:lineRule="exact"/>
              <w:ind w:firstLine="420" w:firstLineChars="200"/>
              <w:jc w:val="left"/>
              <w:textAlignment w:val="center"/>
              <w:rPr>
                <w:rFonts w:ascii="宋体" w:hAnsi="宋体" w:eastAsia="宋体" w:cs="宋体"/>
                <w:color w:val="auto"/>
                <w:kern w:val="0"/>
                <w:szCs w:val="21"/>
              </w:rPr>
            </w:pPr>
            <w:r>
              <w:rPr>
                <w:rFonts w:hint="eastAsia" w:ascii="宋体" w:hAnsi="宋体" w:eastAsia="宋体" w:cs="宋体"/>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16</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话筒</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1、采用柱极式电容麦克风设计，具有良好的束状特性。</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2、接口：平衡式XLR接口；方向特性：束状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3、支持单只麦克风或多只麦克风同时使用。</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4、幻象供电：≥+48V。</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Cs/>
                <w:color w:val="auto"/>
                <w:szCs w:val="21"/>
              </w:rPr>
            </w:pPr>
            <w:r>
              <w:rPr>
                <w:rFonts w:hint="eastAsia" w:ascii="宋体" w:hAnsi="宋体" w:eastAsia="宋体" w:cs="宋体"/>
                <w:color w:val="auto"/>
                <w:kern w:val="0"/>
                <w:szCs w:val="21"/>
              </w:rPr>
              <w:t>8支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17</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吊麦机</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1、支持1-8m活动行程。</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2、支持≤1KG最大承重。</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3、支持≤90cm/s速度。</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4、支持物理制动、电子保护防坠保障。</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5、支持直径6MM牵引线缆。</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6、支持≤6MM同步误差。</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7、支持符合国际标准DMX512信号控制协议，3 芯DMX512信号接口；支持ArtNet协议及程序在线更新功能控制方式。</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8、支持≥2种操作模式（DMX模式、手动模式）。</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9、支持≥3种DMX控制通道数。</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Cs/>
                <w:color w:val="auto"/>
                <w:szCs w:val="21"/>
              </w:rPr>
            </w:pPr>
            <w:r>
              <w:rPr>
                <w:rFonts w:hint="eastAsia" w:ascii="宋体" w:hAnsi="宋体" w:eastAsia="宋体" w:cs="宋体"/>
                <w:color w:val="auto"/>
                <w:kern w:val="0"/>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18</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多功能灯勾</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1、规格：≥30mm厚。</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2、重量：≤440g。</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3、承重：≥150kg。</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4、卡管：44-52mm。</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5、底部螺丝总长：40mm。</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Cs/>
                <w:color w:val="auto"/>
                <w:szCs w:val="21"/>
              </w:rPr>
            </w:pPr>
            <w:r>
              <w:rPr>
                <w:rFonts w:hint="eastAsia" w:ascii="宋体" w:hAnsi="宋体" w:eastAsia="宋体" w:cs="宋体"/>
                <w:color w:val="auto"/>
                <w:kern w:val="0"/>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19</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无线话筒</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1、基于数字U段的传输技术，pi/4-DQPSK调制方式，采用国产主控芯片，传输距离≥80米，接收机具有≥2路平衡输出、≥1路非平衡混音输出；具有混响、均衡、智能静音、音频加密、功率调节功能。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2、具有≥1台接收主机、≥2只手持发射机；频率范围等同或优于470MHz-510MHz、540MHz-590MHz、640MHz-690MHz、807MHz-830MHz四个频段使用。</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显示屏、≥1个开关机/静音按键、≥2个工作状态指示灯。（提供设备照片佐证）。</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*4、具有自动静音功能，麦克风跌落、抛掷时，毫秒级自动静音，避免冲击声；实时监测设备姿态，静置≥5秒静音，≥8分钟关机，无需手动干预。</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*5、具有多档位混响调节功能，混响效果≥15625个，效果占比、回响延时、混响幅度调节，三种音效各具有≥25档调节方式。</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6、具有多频段均衡调节功能，均衡调节≥2197种，麦克风均衡器调节功能，具有高、中、低音三种调节档位，每种效果支持≥13档调节。</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7、具有长时间续航，发射机使用时长≥10小时。</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8、具有ID码防串扰功能，采用32位唯一ID码，用于接收和发射配对，收发ID码必须相同才能对码，能够有效防止相同频率的信号相互串台。</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szCs w:val="21"/>
              </w:rPr>
              <w:t>9、接收机具有≥2个2.2英寸的TFT-LCD显示屏；发射机具有≥0.96英寸OLED显示屏，能够显示频率信息、音频加密状态、功率挡位、静音状态、电量格数信息。</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Cs/>
                <w:color w:val="auto"/>
                <w:szCs w:val="21"/>
              </w:rPr>
            </w:pPr>
            <w:r>
              <w:rPr>
                <w:rFonts w:hint="eastAsia" w:ascii="宋体" w:hAnsi="宋体" w:eastAsia="宋体" w:cs="宋体"/>
                <w:color w:val="auto"/>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20</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话筒呼叫控制嵌入软件</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1、软件内嵌于无线话筒系统设备，话筒呼叫控制功能。</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2、采用UHF超高频段双真分集接收，并采用PLL锁相环多信道频率合成技术。</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3、支持自动选讯接收方式。</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4、支持信道选择、频率可调、可设置主机与话筒配对。</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Cs/>
                <w:color w:val="auto"/>
                <w:szCs w:val="21"/>
              </w:rPr>
            </w:pPr>
            <w:r>
              <w:rPr>
                <w:rFonts w:hint="eastAsia" w:ascii="宋体" w:hAnsi="宋体" w:eastAsia="宋体" w:cs="宋体"/>
                <w:color w:val="auto"/>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21</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szCs w:val="21"/>
              </w:rPr>
              <w:t>话筒呼叫控制嵌入软件(1拖2无线手持话筒)</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1、软件内嵌于无线话筒系统设备，话筒呼叫控制功能。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2、采用UHF超高频段双真分集接收，并采用PLL锁相环多信道频率合成技术。</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3、支持自动选讯接收方式。</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highlight w:val="red"/>
              </w:rPr>
            </w:pPr>
            <w:r>
              <w:rPr>
                <w:rFonts w:hint="eastAsia" w:ascii="宋体" w:hAnsi="宋体" w:eastAsia="宋体" w:cs="宋体"/>
                <w:color w:val="auto"/>
                <w:szCs w:val="21"/>
              </w:rPr>
              <w:t>4、支持信道选择、频率可调、可设置主机与话筒配对。</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Cs/>
                <w:color w:val="auto"/>
                <w:szCs w:val="21"/>
              </w:rPr>
            </w:pPr>
            <w:r>
              <w:rPr>
                <w:rFonts w:hint="eastAsia" w:ascii="宋体" w:hAnsi="宋体" w:eastAsia="宋体" w:cs="宋体"/>
                <w:color w:val="auto"/>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22</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color w:val="auto"/>
                <w:szCs w:val="21"/>
              </w:rPr>
            </w:pPr>
            <w:r>
              <w:rPr>
                <w:rFonts w:hint="eastAsia" w:ascii="宋体" w:hAnsi="宋体" w:eastAsia="宋体" w:cs="宋体"/>
                <w:color w:val="auto"/>
                <w:szCs w:val="21"/>
              </w:rPr>
              <w:t>1拖4无线桌面话筒</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1、基于数字U段的传输技术，pi/4-DQPSK调制方式，采用国产主控芯片，传输距离≥80米，接收机具有≥4路平衡输出、≥1路非平衡混音输出；具有混响、均衡、智能静音、音频加密、功率调节功能。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2、具有≥1台接收主机、≥4台桌面式鹅颈咪杆发射机；频率范围等同或优于470MHz-510MHz、540MHz-590MHz、640MHz-690MHz、807MHz-830MHz四个频段使用。</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*3、接收机前面板具有≥4个LCD 显示屏、≥4个编码旋钮、≥4个频率扫描实体按键、≥4个红外对频实体按键、≥1个电源开关按键、≥1个二合一指示灯（红外发射管+对频指示灯）；后面板具有≥1个LINE-OUT接口、≥4个XLR-OUT接口、≥4个BNC接口、≥1个DC接口。桌面式发射机具有≥1个TYPE-C 充电口、≥1个3.5mm耳麦输入接口、≥1个OLED显示屏、≥1个电源开关按键，≥1个触摸开关麦按键。</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*4、具有多档位混响调节功能，混响效果≥15625个，效果占比、回响延时、混响幅度调节，三种音效各具有≥25档调节方式。</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5、具有多频段均衡调节功能，均衡调节≥2197种，麦克风均衡器调节功能，具有高、中、低音三种调节档位，每种效果支持≥13档调节。</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6、具有ID码防串扰功能，采用32位唯一ID码，用于接收和发射配对，收发ID码必须相同才能对码，能够有效防止相同频率的信号相互串台。</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7、接收机具有≥4个2.2英寸的TFT-LCD显示屏；发射机具有≥0.96英寸OLED显示屏，能够显示频率信息、音频加密状态、功率挡位、静音状态、电量格数信息。</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szCs w:val="21"/>
              </w:rPr>
              <w:t>*8、桌面式发射机配置≥1颗容量2400mAh的锂电池，使用时长≥15小时；设备电池孔位≥4个，电池具有扩展性，通过拓展连续使用时长≥60小时。</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23</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color w:val="auto"/>
                <w:szCs w:val="21"/>
              </w:rPr>
            </w:pPr>
            <w:r>
              <w:rPr>
                <w:rFonts w:hint="eastAsia" w:ascii="宋体" w:hAnsi="宋体" w:eastAsia="宋体" w:cs="宋体"/>
                <w:color w:val="auto"/>
                <w:szCs w:val="21"/>
              </w:rPr>
              <w:t>话筒呼叫控制嵌入软件(1拖4无线桌面话筒)</w:t>
            </w:r>
          </w:p>
        </w:tc>
        <w:tc>
          <w:tcPr>
            <w:tcW w:w="513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1、软件内嵌于无线话筒系统设备，话筒呼叫控制功能。</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2、采用UHF超高频段双真分集接收，并采用PLL锁相环多信道频率合成技术。</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3、支持自动选讯接收方式。</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4、支持信道选择、频率可调、可设置主机与话筒配对。</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24</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天线分配器</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1、具备≥2个天线输入接口，支持接收天线信号，实现分配多路射频信号的效果。</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2、具备放大射频信号，补偿因信号功率被分配至多个输出而造成的插入损耗。</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3、具备≥2个天线级联接口，支持无限制级联分配器，可实现扩展无线话筒的目的。</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4、具备≥4个直流电源输出接口，支持给≥4台接收机供电，减少适配器数量和免去繁琐布线。</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Cs/>
                <w:color w:val="auto"/>
                <w:szCs w:val="21"/>
              </w:rPr>
            </w:pPr>
            <w:r>
              <w:rPr>
                <w:rFonts w:hint="eastAsia" w:ascii="宋体" w:hAnsi="宋体" w:eastAsia="宋体" w:cs="宋体"/>
                <w:color w:val="auto"/>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25</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话筒天线</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1、射频频率范围等同或优于470～950MHz。</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2、驻波比：≤2.0。</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3、输入阻抗：≤50Ω。</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4、指向性：≥180度指向。</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Cs/>
                <w:color w:val="auto"/>
                <w:szCs w:val="21"/>
              </w:rPr>
            </w:pPr>
            <w:r>
              <w:rPr>
                <w:rFonts w:hint="eastAsia" w:ascii="宋体" w:hAnsi="宋体" w:eastAsia="宋体" w:cs="宋体"/>
                <w:color w:val="auto"/>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26</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
                <w:color w:val="auto"/>
                <w:szCs w:val="21"/>
              </w:rPr>
            </w:pPr>
            <w:r>
              <w:rPr>
                <w:rFonts w:hint="eastAsia" w:ascii="宋体" w:hAnsi="宋体" w:eastAsia="宋体" w:cs="宋体"/>
                <w:color w:val="auto"/>
                <w:kern w:val="0"/>
                <w:szCs w:val="21"/>
              </w:rPr>
              <w:t>天线耦合器</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宋体" w:hAnsi="宋体" w:eastAsia="宋体" w:cs="宋体"/>
                <w:b/>
                <w:color w:val="auto"/>
                <w:szCs w:val="21"/>
              </w:rPr>
            </w:pPr>
            <w:r>
              <w:rPr>
                <w:rFonts w:hint="eastAsia" w:ascii="宋体" w:hAnsi="宋体" w:eastAsia="宋体" w:cs="宋体"/>
                <w:color w:val="auto"/>
                <w:kern w:val="0"/>
                <w:szCs w:val="21"/>
              </w:rPr>
              <w:t>1、宽带设计，在应用频率范围内提供高隔离度，防止信号相互干扰。</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2、在系统中，通过此耦合器方便转接和安装。</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3、可使用多组耦合器进行拓展覆盖区域。</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4、耦合器在线路中有隔离杂讯的功能，防止自激。</w:t>
            </w:r>
          </w:p>
        </w:tc>
        <w:tc>
          <w:tcPr>
            <w:tcW w:w="1485"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宋体" w:hAnsi="宋体" w:eastAsia="宋体" w:cs="宋体"/>
                <w:bCs/>
                <w:color w:val="auto"/>
                <w:szCs w:val="21"/>
              </w:rPr>
            </w:pPr>
            <w:r>
              <w:rPr>
                <w:rFonts w:hint="eastAsia" w:ascii="宋体" w:hAnsi="宋体" w:eastAsia="宋体" w:cs="宋体"/>
                <w:color w:val="auto"/>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27</w:t>
            </w:r>
          </w:p>
        </w:tc>
        <w:tc>
          <w:tcPr>
            <w:tcW w:w="120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机柜</w:t>
            </w:r>
          </w:p>
        </w:tc>
        <w:tc>
          <w:tcPr>
            <w:tcW w:w="513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最低配置:容量42U、8位10APDU插排一个、固定板3块、风扇部件2组、4只两寸重型脚轮、M6方螺母钉40套、内六角扳手一只。</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28</w:t>
            </w:r>
          </w:p>
        </w:tc>
        <w:tc>
          <w:tcPr>
            <w:tcW w:w="120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电源管理器1</w:t>
            </w:r>
          </w:p>
        </w:tc>
        <w:tc>
          <w:tcPr>
            <w:tcW w:w="513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1、支持≥8通道电源时序打开/关闭，每路动作延时时间：≤1秒，支持远程控制（上电+24V直流信号）8通道电源时序打开/关闭—当电源开关处于off位置时有效。支持配置CH1和CH2通道为受控或不受控状态。</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2、当远程控制有效时同时控制后板ALARM（报警）端口导通以起到级联控制ALARM（报警）功能。</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3、单个通道最大负载功率≥2200W，所有通道负载总功率≥6000W。输出连接器：多用途电源插座。</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4、具有一路及以上USB输出接口。</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29</w:t>
            </w:r>
          </w:p>
        </w:tc>
        <w:tc>
          <w:tcPr>
            <w:tcW w:w="120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电源管理器2</w:t>
            </w:r>
          </w:p>
        </w:tc>
        <w:tc>
          <w:tcPr>
            <w:tcW w:w="513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1、支持≥8通道电源时序打开/关闭，支持远程控制（上电+24V直流信号）≥8通道电源时序打开/关闭—当电源开关锁处于off位置时有效。支持配置CH1和CH2通道为受控或不受控状态。</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2、当远程控制有效时同时控制后板ALARM（报警）端口导通以起到级联控制ALARM（报警）功能。</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 xml:space="preserve">3、单个通道最大负载功率≥3500W，所有通道负载总功率达≥6000W，输入连接器：大功率线码式电源连接器。 </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4、输出连接器：≥2个16A，≥2个16A接线端子和≥4个10A电源插座。</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5、具有≥1路USB接口。</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30</w:t>
            </w:r>
          </w:p>
        </w:tc>
        <w:tc>
          <w:tcPr>
            <w:tcW w:w="120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音频隔离器</w:t>
            </w:r>
          </w:p>
        </w:tc>
        <w:tc>
          <w:tcPr>
            <w:tcW w:w="513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1、一款双通道音频隔离器。</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2、低底噪、无50Hz交流“嗡”声、无高频“嗞啦”干扰。</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3、点对点平衡传输音频，可以选择前面板2个接口中的任意一个COMBO接口输入，从后面板对应COMBO接口输出。</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4、即插即用，支持热插拨。</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5、隔离滤波音频传输最远传输信号等同或优于450－600米。</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6、内置瞬态、浪涌抑制、抗静电保护电路。</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7、具有≥2路XLR输入；具有≥2路XLR输出。</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31</w:t>
            </w:r>
          </w:p>
        </w:tc>
        <w:tc>
          <w:tcPr>
            <w:tcW w:w="120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有源音箱</w:t>
            </w:r>
          </w:p>
        </w:tc>
        <w:tc>
          <w:tcPr>
            <w:tcW w:w="513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1、有源音箱内置高保真扬声器，额定输出功率支持≥2×25W，支持4-8Ω输出阻抗。</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2、支持≥1路话筒和≥1路立体声线路输入接口、≥1路立体声线路输出接口，带默音功能，话筒优先于线路输入。具有≥1个麦克风音量调节，≥1个线路输入音量调节，≥2个高低音调节。（提供设备接口照片佐证）</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*3、支持≥100V广播输入接口。（提供设备接口照片佐证）</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4、具有输出过载、过压、短路保护。</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5、信噪比≥70dB，频率响应等同或优于40Hz~20KHz(≤±3dB)，谐波失真≤1%。</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color w:val="auto"/>
                <w:sz w:val="21"/>
                <w:szCs w:val="21"/>
              </w:rPr>
            </w:pPr>
            <w:r>
              <w:rPr>
                <w:rFonts w:hint="eastAsia" w:eastAsia="宋体" w:cs="宋体"/>
                <w:color w:val="auto"/>
                <w:sz w:val="21"/>
                <w:szCs w:val="21"/>
              </w:rPr>
              <w:t>32</w:t>
            </w:r>
          </w:p>
        </w:tc>
        <w:tc>
          <w:tcPr>
            <w:tcW w:w="120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综合布线及集成服务</w:t>
            </w:r>
          </w:p>
        </w:tc>
        <w:tc>
          <w:tcPr>
            <w:tcW w:w="513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*1、完成本次项目所涉及的所有综合布线，包含但不限于音频连接线、音箱线材、动力电缆线等所需辅材。</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eastAsia="宋体" w:cs="宋体"/>
                <w:bCs/>
                <w:color w:val="auto"/>
                <w:sz w:val="21"/>
                <w:szCs w:val="21"/>
              </w:rPr>
            </w:pPr>
            <w:r>
              <w:rPr>
                <w:rFonts w:hint="eastAsia" w:eastAsia="宋体" w:cs="宋体"/>
                <w:bCs/>
                <w:color w:val="auto"/>
                <w:sz w:val="21"/>
                <w:szCs w:val="21"/>
              </w:rPr>
              <w:t>*2、完成本次项目所涉及的所有设备的运输（德邦/顺丰保价运输）、安装、调试等服务。</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eastAsia="宋体" w:cs="宋体"/>
                <w:bCs/>
                <w:color w:val="auto"/>
                <w:sz w:val="21"/>
                <w:szCs w:val="21"/>
              </w:rPr>
            </w:pPr>
            <w:r>
              <w:rPr>
                <w:rFonts w:hint="eastAsia" w:eastAsia="宋体" w:cs="宋体"/>
                <w:bCs/>
                <w:color w:val="auto"/>
                <w:sz w:val="21"/>
                <w:szCs w:val="21"/>
              </w:rPr>
              <w:t>1项</w:t>
            </w:r>
          </w:p>
        </w:tc>
      </w:tr>
    </w:tbl>
    <w:p>
      <w:pPr>
        <w:widowControl/>
        <w:spacing w:line="400" w:lineRule="exact"/>
        <w:jc w:val="left"/>
        <w:rPr>
          <w:rFonts w:ascii="宋体" w:hAnsi="宋体" w:eastAsia="宋体" w:cs="宋体"/>
          <w:bCs/>
          <w:color w:val="auto"/>
          <w:sz w:val="24"/>
        </w:rPr>
      </w:pPr>
    </w:p>
    <w:p>
      <w:pPr>
        <w:pStyle w:val="19"/>
        <w:wordWrap w:val="0"/>
        <w:spacing w:beforeAutospacing="0" w:afterAutospacing="0" w:line="400" w:lineRule="exact"/>
        <w:rPr>
          <w:rFonts w:eastAsia="宋体" w:cs="宋体"/>
          <w:bCs/>
          <w:color w:val="auto"/>
        </w:rPr>
      </w:pPr>
      <w:r>
        <w:rPr>
          <w:rFonts w:hint="eastAsia" w:eastAsia="宋体" w:cs="宋体"/>
          <w:b/>
          <w:color w:val="auto"/>
          <w:lang w:val="zh-CN"/>
        </w:rPr>
        <w:t>（</w:t>
      </w:r>
      <w:r>
        <w:rPr>
          <w:rFonts w:hint="eastAsia" w:eastAsia="宋体" w:cs="宋体"/>
          <w:b/>
          <w:color w:val="auto"/>
        </w:rPr>
        <w:t>二</w:t>
      </w:r>
      <w:r>
        <w:rPr>
          <w:rFonts w:hint="eastAsia" w:eastAsia="宋体" w:cs="宋体"/>
          <w:b/>
          <w:color w:val="auto"/>
          <w:lang w:val="zh-CN"/>
        </w:rPr>
        <w:t>）</w:t>
      </w:r>
      <w:r>
        <w:rPr>
          <w:rFonts w:hint="eastAsia" w:eastAsia="宋体" w:cs="宋体"/>
          <w:bCs/>
          <w:color w:val="auto"/>
        </w:rPr>
        <w:t>电教室改造设备技术指标要求</w:t>
      </w:r>
    </w:p>
    <w:tbl>
      <w:tblPr>
        <w:tblStyle w:val="24"/>
        <w:tblpPr w:leftFromText="180" w:rightFromText="180" w:vertAnchor="text" w:horzAnchor="page" w:tblpX="1816" w:tblpY="390"/>
        <w:tblOverlap w:val="never"/>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00"/>
        <w:gridCol w:w="513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序号</w:t>
            </w:r>
          </w:p>
        </w:tc>
        <w:tc>
          <w:tcPr>
            <w:tcW w:w="120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标的名称</w:t>
            </w:r>
          </w:p>
        </w:tc>
        <w:tc>
          <w:tcPr>
            <w:tcW w:w="5130" w:type="dxa"/>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具体参数值或功能要求表述</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33</w:t>
            </w:r>
          </w:p>
        </w:tc>
        <w:tc>
          <w:tcPr>
            <w:tcW w:w="1200" w:type="dxa"/>
            <w:vAlign w:val="center"/>
          </w:tcPr>
          <w:p>
            <w:pPr>
              <w:keepNext w:val="0"/>
              <w:keepLines w:val="0"/>
              <w:pageBreakBefore w:val="0"/>
              <w:kinsoku/>
              <w:overflowPunct/>
              <w:topLinePunct w:val="0"/>
              <w:autoSpaceDE/>
              <w:autoSpaceDN/>
              <w:bidi w:val="0"/>
              <w:adjustRightInd/>
              <w:snapToGrid/>
              <w:spacing w:line="320" w:lineRule="exact"/>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高清中控器</w:t>
            </w:r>
          </w:p>
        </w:tc>
        <w:tc>
          <w:tcPr>
            <w:tcW w:w="5130" w:type="dxa"/>
            <w:shd w:val="clear" w:color="auto" w:fill="auto"/>
            <w:vAlign w:val="center"/>
          </w:tcPr>
          <w:p>
            <w:pPr>
              <w:keepNext w:val="0"/>
              <w:keepLines w:val="0"/>
              <w:pageBreakBefore w:val="0"/>
              <w:widowControl/>
              <w:numPr>
                <w:ilvl w:val="0"/>
                <w:numId w:val="4"/>
              </w:numPr>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采用≤1U机架式设计，黑色氧化铝拉丝面板，专业机械组装工艺。</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2、设备高度集成化，内置音频控制、视频矩阵、物联中控、功放以及网络广播解码模块。</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3、具有≥3路HDMI输入和≥2路HDMI输出接口、≥1组线路输入、≥1路MIC输入、≥1组线路输出接口、≥2路RS-232接口、≥2路RS-485接口、≥1路韦根协议接口、≥2路弱继电器接口、≥2路I/O控制口、≥2路IR控制口、≥1路电源控制接口、≥1路幕布控制接口4、内置2≥*45W（MAX）智能数字功放模块，具备≥2路功放输出接口，可直接接定阻音箱。</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5、集成网络广播功能，内置一体化网络IP解码模块，可作为数字广播解码终端使用，配合网络广播系统可实现定时打铃、音频播放、手机端远程点播节目、广播喊话功能，可搭配消防采集器对接消防短路输入信号，实现全区和分区消防报警功能。</w:t>
            </w:r>
          </w:p>
          <w:p>
            <w:pPr>
              <w:keepNext w:val="0"/>
              <w:keepLines w:val="0"/>
              <w:pageBreakBefore w:val="0"/>
              <w:widowControl/>
              <w:numPr>
                <w:ilvl w:val="0"/>
                <w:numId w:val="5"/>
              </w:numPr>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内置视频解码模块，配合服务器可实现视频文件或视频流推送功能，可实现定时推送和分区推送方式。</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采用跨平台软件技术，搭配控制主机，具备≥8个端控制和管理，包括教师web端、管理员web端、安卓APP、苹果APP、触控控制屏、H5、微信小程序、钉钉，并且可以实现触发联动与定时控制，允许自定义所有的场景动作，提供灵活操作选项。</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8、支持多种教室控制面板设置策略，采用刷卡和控制面板按键组合的方式对终端进行控制。</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9、集成无线投屏模块，可实现DLNA、Mircast、AirPlay投屏协议，安卓移动端和苹果移动端均可实现无线投屏功能。</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34</w:t>
            </w:r>
          </w:p>
        </w:tc>
        <w:tc>
          <w:tcPr>
            <w:tcW w:w="1200" w:type="dxa"/>
            <w:vAlign w:val="center"/>
          </w:tcPr>
          <w:p>
            <w:pPr>
              <w:keepNext w:val="0"/>
              <w:keepLines w:val="0"/>
              <w:pageBreakBefore w:val="0"/>
              <w:kinsoku/>
              <w:overflowPunct/>
              <w:topLinePunct w:val="0"/>
              <w:autoSpaceDE/>
              <w:autoSpaceDN/>
              <w:bidi w:val="0"/>
              <w:adjustRightInd/>
              <w:snapToGrid/>
              <w:spacing w:line="320" w:lineRule="exact"/>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电动投影幕</w:t>
            </w:r>
          </w:p>
        </w:tc>
        <w:tc>
          <w:tcPr>
            <w:tcW w:w="5130" w:type="dxa"/>
            <w:shd w:val="clear" w:color="auto" w:fill="auto"/>
            <w:vAlign w:val="center"/>
          </w:tcPr>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color w:val="auto"/>
                <w:szCs w:val="21"/>
              </w:rPr>
            </w:pPr>
            <w:r>
              <w:rPr>
                <w:rFonts w:hint="eastAsia" w:asciiTheme="minorEastAsia" w:hAnsiTheme="minorEastAsia" w:cstheme="minorEastAsia"/>
                <w:b/>
                <w:color w:val="auto"/>
                <w:szCs w:val="21"/>
              </w:rPr>
              <w:t>一</w:t>
            </w:r>
            <w:r>
              <w:rPr>
                <w:rFonts w:hint="eastAsia" w:asciiTheme="minorEastAsia" w:hAnsiTheme="minorEastAsia" w:cstheme="minorEastAsia"/>
                <w:color w:val="auto"/>
                <w:szCs w:val="21"/>
              </w:rPr>
              <w:t>、投影幕，</w:t>
            </w:r>
          </w:p>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1.120寸16比9</w:t>
            </w:r>
          </w:p>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2.画面大小投影尺寸2660mm *1490mm，外壳长度2940MM转轴</w:t>
            </w:r>
          </w:p>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3幕布拉伸强度（纵/横）MPa≥等于10。</w:t>
            </w:r>
          </w:p>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4.断裂伸长率（纵/横）≥140%。</w:t>
            </w:r>
          </w:p>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5.直角撕裂强度（纵/横）KN/m≥40。</w:t>
            </w:r>
          </w:p>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6.亮度系数大于等于1.0。</w:t>
            </w:r>
          </w:p>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7.有效散射角大于等于160度。</w:t>
            </w:r>
          </w:p>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8.产品的甲醛含量≤300mg/kg。</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9、*可遥控升降，可与中控器教学设备匹配自动升降。</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8张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35</w:t>
            </w:r>
          </w:p>
        </w:tc>
        <w:tc>
          <w:tcPr>
            <w:tcW w:w="1200" w:type="dxa"/>
            <w:vAlign w:val="center"/>
          </w:tcPr>
          <w:p>
            <w:pPr>
              <w:keepNext w:val="0"/>
              <w:keepLines w:val="0"/>
              <w:pageBreakBefore w:val="0"/>
              <w:kinsoku/>
              <w:overflowPunct/>
              <w:topLinePunct w:val="0"/>
              <w:autoSpaceDE/>
              <w:autoSpaceDN/>
              <w:bidi w:val="0"/>
              <w:adjustRightInd/>
              <w:snapToGrid/>
              <w:spacing w:line="320" w:lineRule="exact"/>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多功能功率放大器</w:t>
            </w:r>
          </w:p>
        </w:tc>
        <w:tc>
          <w:tcPr>
            <w:tcW w:w="513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1、音源具备光纤，同轴，USB，蓝牙，路线，麦克风等多路输入；</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r>
              <w:rPr>
                <w:rFonts w:hint="eastAsia" w:asciiTheme="minorEastAsia" w:hAnsiTheme="minorEastAsia" w:cstheme="minorEastAsia"/>
                <w:color w:val="auto"/>
                <w:szCs w:val="21"/>
              </w:rPr>
              <w:t>2、内置DSP音效处理，具备延时、混响、混音、防啸叫（7级移频）、变调（10级），人声激励，消原唱等功能。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3、控制可以通过红外遥控、编码开关、按键实现其功能；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4、面板LCD显示屏,实现直观显示各种功能及工作状态；</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5、提供≥3路RCA线路输入，≥3路平衡麦带幻象电源输入；</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6、采用DSP处理器，预置多种场景模式；</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7、每路话筒音量独立可调，效果可调，音乐音量独立可调，高中低音调节；</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r>
              <w:rPr>
                <w:rFonts w:hint="eastAsia" w:asciiTheme="minorEastAsia" w:hAnsiTheme="minorEastAsia" w:cstheme="minorEastAsia"/>
                <w:color w:val="auto"/>
                <w:szCs w:val="21"/>
              </w:rPr>
              <w:t>8、具备≥1路RS485接口，支持RS485通讯中控集成控制；（提供设备接口图佐证）</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9、支持USB播放，支持MP3、WAV、APE、FLAC等主流音乐格式。</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10、具有开关机软启动保护功能，具有功放有压限、短路、过载、过热保护。</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11、面板：铝合金材质；</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12、内置≥48V幻象开关控制功能。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13、支持蓝牙功能，可以手机，电脑等设备连接；</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14、每个话筒输入有增益调节功能，话筒能最佳匹配功放输入状态。</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15、额定输出功率：≥2x500W@4R；≥2x350W@8R。</w:t>
            </w:r>
          </w:p>
          <w:p>
            <w:pPr>
              <w:keepNext w:val="0"/>
              <w:keepLines w:val="0"/>
              <w:pageBreakBefore w:val="0"/>
              <w:widowControl/>
              <w:kinsoku/>
              <w:overflowPunct/>
              <w:topLinePunct w:val="0"/>
              <w:autoSpaceDE/>
              <w:autoSpaceDN/>
              <w:bidi w:val="0"/>
              <w:adjustRightInd/>
              <w:snapToGrid/>
              <w:spacing w:line="320" w:lineRule="exact"/>
              <w:ind w:firstLine="420" w:firstLineChars="200"/>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36</w:t>
            </w:r>
          </w:p>
        </w:tc>
        <w:tc>
          <w:tcPr>
            <w:tcW w:w="1200" w:type="dxa"/>
            <w:vAlign w:val="center"/>
          </w:tcPr>
          <w:p>
            <w:pPr>
              <w:keepNext w:val="0"/>
              <w:keepLines w:val="0"/>
              <w:pageBreakBefore w:val="0"/>
              <w:kinsoku/>
              <w:overflowPunct/>
              <w:topLinePunct w:val="0"/>
              <w:autoSpaceDE/>
              <w:autoSpaceDN/>
              <w:bidi w:val="0"/>
              <w:adjustRightInd/>
              <w:snapToGrid/>
              <w:spacing w:line="320" w:lineRule="exact"/>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音箱</w:t>
            </w:r>
          </w:p>
        </w:tc>
        <w:tc>
          <w:tcPr>
            <w:tcW w:w="513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1、两分频KTV全频音箱，采用≥一个10寸低音单元和≥一个1.4寸压缩式高频驱动器。</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2、标称阻抗≤8Ω</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3、频率范围：等同或优于60Hz-20kHz</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4、功率≥300W</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5、灵敏度≥96dB (1M/1W)</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6、水平覆盖角（-6dB）≥100°；垂直覆盖角(-6dB)≥70°。</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37</w:t>
            </w:r>
          </w:p>
        </w:tc>
        <w:tc>
          <w:tcPr>
            <w:tcW w:w="1200" w:type="dxa"/>
            <w:vAlign w:val="center"/>
          </w:tcPr>
          <w:p>
            <w:pPr>
              <w:keepNext w:val="0"/>
              <w:keepLines w:val="0"/>
              <w:pageBreakBefore w:val="0"/>
              <w:kinsoku/>
              <w:overflowPunct/>
              <w:topLinePunct w:val="0"/>
              <w:autoSpaceDE/>
              <w:autoSpaceDN/>
              <w:bidi w:val="0"/>
              <w:adjustRightInd/>
              <w:snapToGrid/>
              <w:spacing w:line="320" w:lineRule="exact"/>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钢琴耳机</w:t>
            </w:r>
          </w:p>
        </w:tc>
        <w:tc>
          <w:tcPr>
            <w:tcW w:w="5130" w:type="dxa"/>
            <w:shd w:val="clear" w:color="auto" w:fill="auto"/>
            <w:vAlign w:val="center"/>
          </w:tcPr>
          <w:p>
            <w:pPr>
              <w:keepNext w:val="0"/>
              <w:keepLines w:val="0"/>
              <w:pageBreakBefore w:val="0"/>
              <w:widowControl/>
              <w:numPr>
                <w:ilvl w:val="0"/>
                <w:numId w:val="6"/>
              </w:numPr>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耳机规格：适配雅马哈专业钢琴。</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2、佩戴方式为头戴式、耳包式、可调节及可旋转耳包。</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3、是否带麦克风：否。</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4、降噪功能：主动降噪。</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5、频响范围20Hz-20 kHz；阻抗48ohms；接口类型直型。</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6、灵敏度98.5dB±3 dB。</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7、最大承载功率1000MW。</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8、声压98.5dB±3 dB。</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9、重量≤180g。</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10、线型双边等长线。</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45个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38</w:t>
            </w:r>
          </w:p>
        </w:tc>
        <w:tc>
          <w:tcPr>
            <w:tcW w:w="1200" w:type="dxa"/>
            <w:vAlign w:val="center"/>
          </w:tcPr>
          <w:p>
            <w:pPr>
              <w:keepNext w:val="0"/>
              <w:keepLines w:val="0"/>
              <w:pageBreakBefore w:val="0"/>
              <w:kinsoku/>
              <w:overflowPunct/>
              <w:topLinePunct w:val="0"/>
              <w:autoSpaceDE/>
              <w:autoSpaceDN/>
              <w:bidi w:val="0"/>
              <w:adjustRightInd/>
              <w:snapToGrid/>
              <w:spacing w:line="320" w:lineRule="exact"/>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变焦镜头</w:t>
            </w:r>
          </w:p>
        </w:tc>
        <w:tc>
          <w:tcPr>
            <w:tcW w:w="513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bCs/>
                <w:color w:val="auto"/>
                <w:szCs w:val="21"/>
              </w:rPr>
              <w:t>FE24-105mmF4，适配索尼原相机。</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39</w:t>
            </w:r>
          </w:p>
        </w:tc>
        <w:tc>
          <w:tcPr>
            <w:tcW w:w="1200" w:type="dxa"/>
            <w:vAlign w:val="center"/>
          </w:tcPr>
          <w:p>
            <w:pPr>
              <w:keepNext w:val="0"/>
              <w:keepLines w:val="0"/>
              <w:pageBreakBefore w:val="0"/>
              <w:kinsoku/>
              <w:overflowPunct/>
              <w:topLinePunct w:val="0"/>
              <w:autoSpaceDE/>
              <w:autoSpaceDN/>
              <w:bidi w:val="0"/>
              <w:adjustRightInd/>
              <w:snapToGrid/>
              <w:spacing w:line="320" w:lineRule="exact"/>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无线一拖四头麦</w:t>
            </w:r>
          </w:p>
        </w:tc>
        <w:tc>
          <w:tcPr>
            <w:tcW w:w="513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1.釆用双液晶LCD显示，所有操作均可在液晶屏显示。</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2.所有发射机的电池电量可实时显示在各自的液晶显示屏上，并在电池低电量时发出警告提示。</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3.音频输出设有XLR平衡式插座输出和6. 3非平衡式插座输出两种方式，方便用户连接到不同的外部设备上。</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4.频率范围：580-630MHz</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5.频带宽度：60MHz</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6.调制方式：FM调频</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7.最大频偏：±45KHz</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8.频率响应：80Hz-18KHz</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9.信噪比（S/N）：&gt;50dB</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10.失真度（IkDz）: &lt;5%</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11.工作温度：TOP ~ 55°C</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12.工作距离：100米（理想环境下）                                                                                                                                                  13.可搭配四只腰挂式发射器。</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40</w:t>
            </w:r>
          </w:p>
        </w:tc>
        <w:tc>
          <w:tcPr>
            <w:tcW w:w="1200" w:type="dxa"/>
            <w:vAlign w:val="center"/>
          </w:tcPr>
          <w:p>
            <w:pPr>
              <w:keepNext w:val="0"/>
              <w:keepLines w:val="0"/>
              <w:pageBreakBefore w:val="0"/>
              <w:kinsoku/>
              <w:overflowPunct/>
              <w:topLinePunct w:val="0"/>
              <w:autoSpaceDE/>
              <w:autoSpaceDN/>
              <w:bidi w:val="0"/>
              <w:adjustRightInd/>
              <w:snapToGrid/>
              <w:spacing w:line="320" w:lineRule="exact"/>
              <w:rPr>
                <w:rFonts w:asciiTheme="minorEastAsia" w:hAnsiTheme="minorEastAsia" w:cstheme="minorEastAsia"/>
                <w:bCs/>
                <w:color w:val="auto"/>
                <w:szCs w:val="21"/>
              </w:rPr>
            </w:pPr>
            <w:r>
              <w:rPr>
                <w:rFonts w:hint="eastAsia" w:asciiTheme="minorEastAsia" w:hAnsiTheme="minorEastAsia" w:cstheme="minorEastAsia"/>
                <w:bCs/>
                <w:color w:val="auto"/>
                <w:szCs w:val="21"/>
              </w:rPr>
              <w:t>无线一拖四领麦</w:t>
            </w:r>
          </w:p>
        </w:tc>
        <w:tc>
          <w:tcPr>
            <w:tcW w:w="513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1.釆用双液晶LCD显示，所有操作均可在液晶屏显示</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2.所有发射机的电池电量可实时显示在各自的液晶显示屏上， 并在电池低电量时发出警告提示；</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3.音频输出设有XLR平衡式插座输出和6. 3非平衡式插座输出两种方式，方便用户连接到不同的外部设备上；</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4.频率范围：580-630MHz</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5.频带宽度：60MHz</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6.调制方式：FM调频</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7.最大频偏：±45KHz</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8.频率响应：80Hz-18KHz</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9.信噪比（S/N）：&gt;50dB</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10.失真度（IkDz）: &lt;5%</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highlight w:val="lightGray"/>
              </w:rPr>
            </w:pPr>
            <w:r>
              <w:rPr>
                <w:rFonts w:hint="eastAsia" w:asciiTheme="minorEastAsia" w:hAnsiTheme="minorEastAsia" w:cstheme="minorEastAsia"/>
                <w:color w:val="auto"/>
                <w:kern w:val="0"/>
                <w:szCs w:val="21"/>
              </w:rPr>
              <w:t>11.工作温度：TOP ~ 55°C</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12.工作距离：100米（理想环境下）                                                                                                                                                13.可搭配四只腰挂式发射器</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41</w:t>
            </w:r>
          </w:p>
        </w:tc>
        <w:tc>
          <w:tcPr>
            <w:tcW w:w="1200" w:type="dxa"/>
            <w:vAlign w:val="center"/>
          </w:tcPr>
          <w:p>
            <w:pPr>
              <w:keepNext w:val="0"/>
              <w:keepLines w:val="0"/>
              <w:pageBreakBefore w:val="0"/>
              <w:kinsoku/>
              <w:overflowPunct/>
              <w:topLinePunct w:val="0"/>
              <w:autoSpaceDE/>
              <w:autoSpaceDN/>
              <w:bidi w:val="0"/>
              <w:adjustRightInd/>
              <w:snapToGrid/>
              <w:spacing w:line="320" w:lineRule="exact"/>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话筒处理器</w:t>
            </w:r>
          </w:p>
        </w:tc>
        <w:tc>
          <w:tcPr>
            <w:tcW w:w="513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1、具有≥16路模拟平衡输入≥16路模拟平衡输出，最大输入输出17dBu（5.48Vrms）不失真。</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2、输入每通道带48V幻像电源。</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3、输入每通道带麦克风放大器，0~40dB增益可调，步进1dB。</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4、立体声USB声卡功能，支持播放和录音。</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5、USB接口，电脑软件控制和USB声卡传输功能。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6、RS232接口，电脑软件控制和中控功能。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7、RS485接口，电脑软件控制和中控功能。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8、网络接口，电脑软件控制和中控功能，通过网络连接可同时管理多设备。</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9、外置8路≥GPIO接口。</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10、液晶屏，支持配置设备名称、设备预设、设备IP、输入音量、输出音量、输入模式、设备版本查看等功能。</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11、DSP功能有，AFC（反馈抑制）、AEC（回声消除）、ANC（噪声消除）、AGC（自动增益）、AUTO MIX（自动混音）、MATRIX MIX（矩阵混音）、噪声门、PEQ（参量均衡器）、延时器、PHASE相位滤波器、高低通分频、压缩器、限幅器。</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12、输入8≥段PEQ，输出8≥段PEQ。</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13、每通道输入2000ms延时器，输出2000ms延时器。</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14、输入每通道语音激励功能（摄像跟踪），支持带PELCO-D、PELCO-P、VISCA协议摄像头控制。</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15、具有≥60个预设记忆位置。</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16、支持线控盒控制。</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17、安卓APP网络控制。</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18、支持存档加锁，隐藏设置参数，保证项目技术安全，输入通道≥16 路平衡输入. Mic/line level</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，输入阻抗 16kΩ，指示灯 Link、+48V、输入输出音频信号，电气与物理参数 ELECTRICAL AND PHYSICAL，供电范围 90V-264V AC 50-60 Hz，工作温度 -20℃-80℃。</w:t>
            </w:r>
          </w:p>
          <w:p>
            <w:pPr>
              <w:keepNext w:val="0"/>
              <w:keepLines w:val="0"/>
              <w:pageBreakBefore w:val="0"/>
              <w:widowControl/>
              <w:kinsoku/>
              <w:overflowPunct/>
              <w:topLinePunct w:val="0"/>
              <w:autoSpaceDE/>
              <w:autoSpaceDN/>
              <w:bidi w:val="0"/>
              <w:adjustRightInd/>
              <w:snapToGrid/>
              <w:spacing w:line="320" w:lineRule="exact"/>
              <w:ind w:firstLine="420" w:firstLineChars="200"/>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42</w:t>
            </w:r>
          </w:p>
        </w:tc>
        <w:tc>
          <w:tcPr>
            <w:tcW w:w="1200" w:type="dxa"/>
            <w:vAlign w:val="center"/>
          </w:tcPr>
          <w:p>
            <w:pPr>
              <w:keepNext w:val="0"/>
              <w:keepLines w:val="0"/>
              <w:pageBreakBefore w:val="0"/>
              <w:kinsoku/>
              <w:overflowPunct/>
              <w:topLinePunct w:val="0"/>
              <w:autoSpaceDE/>
              <w:autoSpaceDN/>
              <w:bidi w:val="0"/>
              <w:adjustRightInd/>
              <w:snapToGrid/>
              <w:spacing w:line="320" w:lineRule="exact"/>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信号放大器</w:t>
            </w:r>
          </w:p>
        </w:tc>
        <w:tc>
          <w:tcPr>
            <w:tcW w:w="5130" w:type="dxa"/>
            <w:shd w:val="clear" w:color="auto" w:fill="auto"/>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全频道的UHF天线分配器,它可以在多頻道系统中导引天线讯号从一对天线到数个接收机。SWM-108U會放大射頻讯号以弥补在分配过程中的衰减。内建直流电配电器,可提供四组12V直流电给接收机。单一台天线分配器主机可支援最多8台无线接收机，多台天线分配主机串连使用可支援更多台接收机。</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43</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Theme="minorEastAsia" w:hAnsiTheme="minorEastAsia" w:cstheme="minorEastAsia"/>
                <w:bCs/>
                <w:color w:val="auto"/>
                <w:szCs w:val="21"/>
              </w:rPr>
            </w:pPr>
            <w:r>
              <w:rPr>
                <w:rFonts w:hint="eastAsia" w:asciiTheme="minorEastAsia" w:hAnsiTheme="minorEastAsia" w:cstheme="minorEastAsia"/>
                <w:color w:val="auto"/>
                <w:kern w:val="0"/>
                <w:szCs w:val="21"/>
              </w:rPr>
              <w:t>音频处理器</w:t>
            </w:r>
          </w:p>
        </w:tc>
        <w:tc>
          <w:tcPr>
            <w:tcW w:w="5130" w:type="dxa"/>
            <w:vAlign w:val="center"/>
          </w:tcPr>
          <w:p>
            <w:pPr>
              <w:keepNext w:val="0"/>
              <w:keepLines w:val="0"/>
              <w:pageBreakBefore w:val="0"/>
              <w:widowControl/>
              <w:numPr>
                <w:ilvl w:val="0"/>
                <w:numId w:val="7"/>
              </w:numPr>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bCs/>
                <w:color w:val="auto"/>
                <w:szCs w:val="21"/>
              </w:rPr>
            </w:pPr>
            <w:r>
              <w:rPr>
                <w:rFonts w:hint="eastAsia" w:asciiTheme="minorEastAsia" w:hAnsiTheme="minorEastAsia" w:cstheme="minorEastAsia"/>
                <w:color w:val="auto"/>
                <w:kern w:val="0"/>
                <w:szCs w:val="21"/>
              </w:rPr>
              <w:t>3、具有矩阵增益调节功能，每个输入通道参与混音的增益可调，增益调节范围等同或优于-72db到12db。</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*4、音频处理器具有跨平台软件，可运行的操作系统版本≥8种，包括Windows7/10/11、银河麒麟桌面操作系统（兆芯版）、银河麒麟桌面操作系统（飞腾版）、macOS系统、统信UOS、Ubuntu桌面版操作系统。</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5、产品具有PC客户端、手机移动端、安卓平板端不同控制方式，可以通同时登入APP软件、PC客户端同时连接设备，并实现多端数据的同步。</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6、设备具有编码旋钮和IPS屏幕，可用于控制和配置设备静音，增益，场景；IPS屏幕能够显示IP地址，输入和输出通道的实时电平。</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7、具有设备定位功能，客户端一键定位局域网内同类设备，被定位的设备会显示定位信息。</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8、设备具有统一集中控制功能，支持≥65535台设备通过软件集中控制。</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p>
            <w:pPr>
              <w:keepNext w:val="0"/>
              <w:keepLines w:val="0"/>
              <w:pageBreakBefore w:val="0"/>
              <w:widowControl/>
              <w:kinsoku/>
              <w:overflowPunct/>
              <w:topLinePunct w:val="0"/>
              <w:autoSpaceDE/>
              <w:autoSpaceDN/>
              <w:bidi w:val="0"/>
              <w:adjustRightInd/>
              <w:snapToGrid/>
              <w:spacing w:line="320" w:lineRule="exact"/>
              <w:ind w:firstLine="420" w:firstLineChars="200"/>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44</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专业功放</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1、标准≤1U机柜式设计；采用PFC+开关电源+D类数字功放设计方案；输出功率：立体声@8Ω：≥500W×2；立体声@4Ω：≥850W×2；桥接@8Ω：≥1700W。</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2、开关电源采用LLC谐振电源短路保护电路和D类数字功放一体模块化设计，保证半桥LLC开关电源稳定性和可靠性。</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3、支持开机软启动功能，软启动过程中电源需求缓慢上升，减少对电网和其他电子设备的电流冲击。</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4、开关电源内置EMI电路，有效的抑制电源谐波，达到欧盟绿色电源标准。</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5、数字功放核心的调制和匹配电路技术，让功放还原真实原声。</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6、整机转换效率达到85%以上。</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 xml:space="preserve">7、数字功放电源自适应音频调整节能功能，实现智能削峰限幅器，控制功率模块及扬声器系统在安全范围内工作。 </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8、MONO /STEREO/BRIDGE三种模式可选择切换。</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9、开机软启动，防止开机时向电网吸收大电流，干扰其它用电设备。</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10、内置六大保护电路模块，为功放的可靠性保驾护航，具有：过压保护，欠压保护，过流保护，直流保护，输出短路保护，温控风扇等功能。</w:t>
            </w:r>
          </w:p>
          <w:p>
            <w:pPr>
              <w:keepNext w:val="0"/>
              <w:keepLines w:val="0"/>
              <w:pageBreakBefore w:val="0"/>
              <w:widowControl/>
              <w:kinsoku/>
              <w:overflowPunct/>
              <w:topLinePunct w:val="0"/>
              <w:autoSpaceDE/>
              <w:autoSpaceDN/>
              <w:bidi w:val="0"/>
              <w:adjustRightInd/>
              <w:snapToGrid/>
              <w:spacing w:line="320" w:lineRule="exact"/>
              <w:ind w:firstLine="420" w:firstLineChars="200"/>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45</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综合布线及集成服务</w:t>
            </w:r>
          </w:p>
        </w:tc>
        <w:tc>
          <w:tcPr>
            <w:tcW w:w="513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*1、完成本次项目所涉及的所有综合布线。</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bCs/>
                <w:color w:val="auto"/>
                <w:szCs w:val="21"/>
              </w:rPr>
              <w:t>*2、完成本次项目所涉及的所有设备的运输（德邦/顺丰保价运输）、安装、调试等服务。</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1项</w:t>
            </w:r>
          </w:p>
        </w:tc>
      </w:tr>
    </w:tbl>
    <w:p>
      <w:pPr>
        <w:rPr>
          <w:rFonts w:hint="eastAsia" w:asciiTheme="minorEastAsia" w:hAnsiTheme="minorEastAsia" w:cstheme="minorEastAsia"/>
          <w:color w:val="auto"/>
          <w:kern w:val="0"/>
          <w:sz w:val="22"/>
          <w:szCs w:val="22"/>
        </w:rPr>
      </w:pPr>
      <w:r>
        <w:rPr>
          <w:rFonts w:hint="eastAsia" w:asciiTheme="minorEastAsia" w:hAnsiTheme="minorEastAsia" w:cstheme="minorEastAsia"/>
          <w:color w:val="auto"/>
          <w:kern w:val="0"/>
          <w:sz w:val="22"/>
          <w:szCs w:val="22"/>
        </w:rPr>
        <w:br w:type="page"/>
      </w:r>
    </w:p>
    <w:p>
      <w:pPr>
        <w:widowControl/>
        <w:spacing w:line="400" w:lineRule="exact"/>
        <w:jc w:val="left"/>
        <w:rPr>
          <w:rFonts w:asciiTheme="minorEastAsia" w:hAnsiTheme="minorEastAsia" w:cstheme="minorEastAsia"/>
          <w:color w:val="auto"/>
          <w:kern w:val="0"/>
          <w:sz w:val="22"/>
          <w:szCs w:val="22"/>
        </w:rPr>
      </w:pPr>
      <w:r>
        <w:rPr>
          <w:rFonts w:hint="eastAsia" w:asciiTheme="minorEastAsia" w:hAnsiTheme="minorEastAsia" w:cstheme="minorEastAsia"/>
          <w:color w:val="auto"/>
          <w:kern w:val="0"/>
          <w:sz w:val="22"/>
          <w:szCs w:val="22"/>
        </w:rPr>
        <w:t xml:space="preserve"> </w:t>
      </w:r>
    </w:p>
    <w:p>
      <w:pPr>
        <w:pStyle w:val="19"/>
        <w:numPr>
          <w:ilvl w:val="0"/>
          <w:numId w:val="8"/>
        </w:numPr>
        <w:wordWrap w:val="0"/>
        <w:spacing w:beforeAutospacing="0" w:afterAutospacing="0" w:line="360" w:lineRule="exact"/>
        <w:rPr>
          <w:rFonts w:cs="宋体"/>
          <w:b/>
          <w:color w:val="auto"/>
        </w:rPr>
      </w:pPr>
      <w:r>
        <w:rPr>
          <w:rFonts w:hint="eastAsia" w:cs="宋体"/>
          <w:b/>
          <w:color w:val="auto"/>
        </w:rPr>
        <w:t>监控中心设备参数</w:t>
      </w:r>
    </w:p>
    <w:tbl>
      <w:tblPr>
        <w:tblStyle w:val="24"/>
        <w:tblpPr w:leftFromText="180" w:rightFromText="180" w:vertAnchor="text" w:horzAnchor="page" w:tblpX="1800" w:tblpY="386"/>
        <w:tblOverlap w:val="never"/>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00"/>
        <w:gridCol w:w="513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序号</w:t>
            </w:r>
          </w:p>
        </w:tc>
        <w:tc>
          <w:tcPr>
            <w:tcW w:w="1200" w:type="dxa"/>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标的名称</w:t>
            </w:r>
          </w:p>
        </w:tc>
        <w:tc>
          <w:tcPr>
            <w:tcW w:w="5130" w:type="dxa"/>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具体参数值或功能要求表述</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8"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
                <w:color w:val="auto"/>
                <w:sz w:val="21"/>
                <w:szCs w:val="21"/>
              </w:rPr>
            </w:pPr>
            <w:r>
              <w:rPr>
                <w:rFonts w:hint="eastAsia" w:asciiTheme="minorEastAsia" w:hAnsiTheme="minorEastAsia" w:cstheme="minorEastAsia"/>
                <w:bCs/>
                <w:color w:val="auto"/>
                <w:sz w:val="21"/>
                <w:szCs w:val="21"/>
              </w:rPr>
              <w:t>46</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Theme="minorEastAsia" w:hAnsiTheme="minorEastAsia" w:cstheme="minorEastAsia"/>
                <w:b/>
                <w:color w:val="auto"/>
                <w:szCs w:val="21"/>
              </w:rPr>
            </w:pPr>
            <w:r>
              <w:rPr>
                <w:rFonts w:hint="eastAsia" w:asciiTheme="minorEastAsia" w:hAnsiTheme="minorEastAsia" w:cstheme="minorEastAsia"/>
                <w:color w:val="auto"/>
                <w:kern w:val="0"/>
                <w:szCs w:val="21"/>
              </w:rPr>
              <w:t>半球型摄像机</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w:t>
            </w:r>
            <w:r>
              <w:rPr>
                <w:rFonts w:hint="eastAsia" w:asciiTheme="minorEastAsia" w:hAnsiTheme="minorEastAsia" w:cstheme="minorEastAsia"/>
                <w:color w:val="auto"/>
                <w:kern w:val="0"/>
                <w:szCs w:val="21"/>
              </w:rPr>
              <w:t>1、红外网络摄像机，分辨率≥400万像素，并在此分辨率下可输出25 fps实时图像，图像更流畅支持2种Smart侦测：越界侦测，区域入侵侦测支持1个RJ45 10 M/100 M自适应以太网口。</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w:t>
            </w:r>
            <w:r>
              <w:rPr>
                <w:rFonts w:hint="eastAsia" w:asciiTheme="minorEastAsia" w:hAnsiTheme="minorEastAsia" w:cstheme="minorEastAsia"/>
                <w:color w:val="auto"/>
                <w:kern w:val="0"/>
                <w:szCs w:val="21"/>
              </w:rPr>
              <w:t>2、网络协议：TCP/IP，ICMP，HTTP，DHCP，DNS，RTP，RTSP，RTCP，NTP，IGMP，QoS，UDP，Bonjour，IPv6，IPv4，，Ehome等。</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w:t>
            </w:r>
            <w:r>
              <w:rPr>
                <w:rFonts w:hint="eastAsia" w:asciiTheme="minorEastAsia" w:hAnsiTheme="minorEastAsia" w:cstheme="minorEastAsia"/>
                <w:color w:val="auto"/>
                <w:kern w:val="0"/>
                <w:szCs w:val="21"/>
              </w:rPr>
              <w:t>3、1个内置麦克风，支持背光补偿，强光抑制，3D数字降噪，120 dB宽动态，红外照射距离最远可达30米。</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w:t>
            </w:r>
            <w:r>
              <w:rPr>
                <w:rFonts w:hint="eastAsia" w:asciiTheme="minorEastAsia" w:hAnsiTheme="minorEastAsia" w:cstheme="minorEastAsia"/>
                <w:color w:val="auto"/>
                <w:kern w:val="0"/>
                <w:szCs w:val="21"/>
              </w:rPr>
              <w:t>4、供电DC：12 V ± 25%，支持防反接保护PoE：IEEE 802.3af，CLASS 3。</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b/>
                <w:color w:val="auto"/>
                <w:szCs w:val="21"/>
              </w:rPr>
            </w:pPr>
            <w:r>
              <w:rPr>
                <w:rFonts w:hint="eastAsia" w:asciiTheme="minorEastAsia" w:hAnsiTheme="minorEastAsia" w:cstheme="minorEastAsia"/>
                <w:color w:val="auto"/>
                <w:spacing w:val="-19"/>
                <w:szCs w:val="21"/>
              </w:rPr>
              <w:t>*</w:t>
            </w:r>
            <w:r>
              <w:rPr>
                <w:rFonts w:hint="eastAsia" w:asciiTheme="minorEastAsia" w:hAnsiTheme="minorEastAsia" w:cstheme="minorEastAsia"/>
                <w:color w:val="auto"/>
                <w:kern w:val="0"/>
                <w:szCs w:val="21"/>
              </w:rPr>
              <w:t>5、需提供厂家授权。</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3"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47</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Theme="minorEastAsia" w:hAnsiTheme="minorEastAsia" w:cstheme="minorEastAsia"/>
                <w:b/>
                <w:color w:val="auto"/>
                <w:szCs w:val="21"/>
              </w:rPr>
            </w:pPr>
            <w:r>
              <w:rPr>
                <w:rFonts w:hint="eastAsia" w:asciiTheme="minorEastAsia" w:hAnsiTheme="minorEastAsia" w:cstheme="minorEastAsia"/>
                <w:bCs/>
                <w:color w:val="auto"/>
                <w:szCs w:val="21"/>
              </w:rPr>
              <w:t>硬盘录像机</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*1、</w:t>
            </w:r>
            <w:r>
              <w:rPr>
                <w:rFonts w:hint="eastAsia" w:asciiTheme="minorEastAsia" w:hAnsiTheme="minorEastAsia" w:cstheme="minorEastAsia"/>
                <w:color w:val="auto"/>
                <w:kern w:val="0"/>
                <w:szCs w:val="21"/>
              </w:rPr>
              <w:t>解码性能强劲，解码≥32路，支持接入H.265、Smart265、H.264、Smart264视频编码码流，SATA接口≥8个，最大支持满配16T硬盘，针对人、车及事件类型，支持快速回放与智能检索功能，大幅提升录像回放和检索效率。</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w:t>
            </w:r>
            <w:r>
              <w:rPr>
                <w:rFonts w:hint="eastAsia" w:asciiTheme="minorEastAsia" w:hAnsiTheme="minorEastAsia" w:cstheme="minorEastAsia"/>
                <w:color w:val="auto"/>
                <w:kern w:val="0"/>
                <w:szCs w:val="21"/>
              </w:rPr>
              <w:t>2、支持云服务，APP可实现手机远程预览/回放/配置，支持ISUP以及GB28181协议，实现平台接入。</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b/>
                <w:color w:val="auto"/>
                <w:szCs w:val="21"/>
              </w:rPr>
            </w:pPr>
            <w:r>
              <w:rPr>
                <w:rFonts w:hint="eastAsia" w:asciiTheme="minorEastAsia" w:hAnsiTheme="minorEastAsia" w:cstheme="minorEastAsia"/>
                <w:color w:val="auto"/>
                <w:spacing w:val="-19"/>
                <w:szCs w:val="21"/>
              </w:rPr>
              <w:t>*3、</w:t>
            </w:r>
            <w:r>
              <w:rPr>
                <w:rFonts w:hint="eastAsia" w:asciiTheme="minorEastAsia" w:hAnsiTheme="minorEastAsia" w:cstheme="minorEastAsia"/>
                <w:color w:val="auto"/>
                <w:kern w:val="0"/>
                <w:szCs w:val="21"/>
              </w:rPr>
              <w:t>需提供厂家授权。</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48</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Theme="minorEastAsia" w:hAnsiTheme="minorEastAsia" w:cstheme="minorEastAsia"/>
                <w:b/>
                <w:color w:val="auto"/>
                <w:szCs w:val="21"/>
              </w:rPr>
            </w:pPr>
            <w:r>
              <w:rPr>
                <w:rFonts w:hint="eastAsia" w:asciiTheme="minorEastAsia" w:hAnsiTheme="minorEastAsia" w:cstheme="minorEastAsia"/>
                <w:color w:val="auto"/>
                <w:kern w:val="0"/>
                <w:szCs w:val="21"/>
              </w:rPr>
              <w:t>专用硬盘</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b/>
                <w:color w:val="auto"/>
                <w:szCs w:val="21"/>
              </w:rPr>
            </w:pPr>
            <w:r>
              <w:rPr>
                <w:rFonts w:hint="eastAsia" w:asciiTheme="minorEastAsia" w:hAnsiTheme="minorEastAsia" w:cstheme="minorEastAsia"/>
                <w:color w:val="auto"/>
                <w:kern w:val="0"/>
                <w:szCs w:val="21"/>
              </w:rPr>
              <w:t>容量≥8T，接口SATA，转速≥5900，传输速率≥6Gb/s，缓存≥256MB，和存储服务器同一品牌，保证更好的兼容性。（存储周期30天）</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49</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Theme="minorEastAsia" w:hAnsiTheme="minorEastAsia" w:cstheme="minorEastAsia"/>
                <w:b/>
                <w:color w:val="auto"/>
                <w:szCs w:val="21"/>
              </w:rPr>
            </w:pPr>
            <w:r>
              <w:rPr>
                <w:rFonts w:hint="eastAsia" w:asciiTheme="minorEastAsia" w:hAnsiTheme="minorEastAsia" w:cstheme="minorEastAsia"/>
                <w:color w:val="auto"/>
                <w:kern w:val="0"/>
                <w:szCs w:val="21"/>
              </w:rPr>
              <w:t>液晶拼接屏</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*1、</w:t>
            </w:r>
            <w:r>
              <w:rPr>
                <w:rFonts w:hint="eastAsia" w:asciiTheme="minorEastAsia" w:hAnsiTheme="minorEastAsia" w:cstheme="minorEastAsia"/>
                <w:color w:val="auto"/>
                <w:kern w:val="0"/>
                <w:szCs w:val="21"/>
              </w:rPr>
              <w:t xml:space="preserve">显示尺寸≥55inch，拼缝≤3.5mm，背光源D-LED，分辨率≥1920*1080，亮度≥500cd/m²  。          </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*2、</w:t>
            </w:r>
            <w:r>
              <w:rPr>
                <w:rFonts w:hint="eastAsia" w:asciiTheme="minorEastAsia" w:hAnsiTheme="minorEastAsia" w:cstheme="minorEastAsia"/>
                <w:color w:val="auto"/>
                <w:kern w:val="0"/>
                <w:szCs w:val="21"/>
              </w:rPr>
              <w:t>视角≥178°，趋近于水平。</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3、</w:t>
            </w:r>
            <w:r>
              <w:rPr>
                <w:rFonts w:hint="eastAsia" w:asciiTheme="minorEastAsia" w:hAnsiTheme="minorEastAsia" w:cstheme="minorEastAsia"/>
                <w:color w:val="auto"/>
                <w:kern w:val="0"/>
                <w:szCs w:val="21"/>
              </w:rPr>
              <w:t>整机全金属结构，防辐射、防磁场、防强电干扰。</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 xml:space="preserve">4、工业级设计，高可靠性、高稳定性，支持7*24工作，平均无故障运行时间≥60000小时。   </w:t>
            </w:r>
          </w:p>
          <w:p>
            <w:pPr>
              <w:keepNext w:val="0"/>
              <w:keepLines w:val="0"/>
              <w:pageBreakBefore w:val="0"/>
              <w:kinsoku/>
              <w:overflowPunct/>
              <w:topLinePunct w:val="0"/>
              <w:autoSpaceDE/>
              <w:autoSpaceDN/>
              <w:bidi w:val="0"/>
              <w:adjustRightInd/>
              <w:snapToGrid/>
              <w:spacing w:line="320" w:lineRule="exact"/>
              <w:ind w:firstLine="420"/>
              <w:rPr>
                <w:rFonts w:asciiTheme="minorEastAsia" w:hAnsiTheme="minorEastAsia" w:cstheme="minorEastAsia"/>
                <w:color w:val="auto"/>
                <w:kern w:val="0"/>
                <w:szCs w:val="21"/>
              </w:rPr>
            </w:pPr>
            <w:r>
              <w:rPr>
                <w:rFonts w:hint="eastAsia" w:asciiTheme="minorEastAsia" w:hAnsiTheme="minorEastAsia" w:cstheme="minorEastAsia"/>
                <w:color w:val="auto"/>
                <w:szCs w:val="21"/>
              </w:rPr>
              <w:t>以上参数需提供证明材料复印件并加盖生产厂商公章。</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
                <w:color w:val="auto"/>
                <w:sz w:val="21"/>
                <w:szCs w:val="21"/>
              </w:rPr>
            </w:pPr>
            <w:r>
              <w:rPr>
                <w:rFonts w:hint="eastAsia" w:asciiTheme="minorEastAsia" w:hAnsiTheme="minorEastAsia" w:cstheme="minorEastAsia"/>
                <w:bCs/>
                <w:color w:val="auto"/>
                <w:sz w:val="21"/>
                <w:szCs w:val="21"/>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50</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Theme="minorEastAsia" w:hAnsiTheme="minorEastAsia" w:cstheme="minorEastAsia"/>
                <w:b/>
                <w:color w:val="auto"/>
                <w:szCs w:val="21"/>
              </w:rPr>
            </w:pPr>
            <w:r>
              <w:rPr>
                <w:rFonts w:hint="eastAsia" w:asciiTheme="minorEastAsia" w:hAnsiTheme="minorEastAsia" w:cstheme="minorEastAsia"/>
                <w:color w:val="auto"/>
                <w:kern w:val="0"/>
                <w:szCs w:val="21"/>
              </w:rPr>
              <w:t>液压维护支架</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 xml:space="preserve">需要与拼接屏配套。液压前维护拼接支架需采用优质无缝钢管和高硬度金属冷轧板材质， 表面喷涂黑色沙纹。 </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b/>
                <w:color w:val="auto"/>
                <w:szCs w:val="21"/>
              </w:rPr>
            </w:pPr>
            <w:r>
              <w:rPr>
                <w:rFonts w:hint="eastAsia" w:asciiTheme="minorEastAsia" w:hAnsiTheme="minorEastAsia" w:cstheme="minorEastAsia"/>
                <w:color w:val="auto"/>
                <w:kern w:val="0"/>
                <w:szCs w:val="21"/>
              </w:rPr>
              <w:t>液压链动杆和精密轴承等伸缩主要部件，支持完全正面维护和拆卸，具有上下，左右调节功能。</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2"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9组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2" w:hRule="atLeast"/>
        </w:trPr>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51</w:t>
            </w:r>
          </w:p>
        </w:tc>
        <w:tc>
          <w:tcPr>
            <w:tcW w:w="1200" w:type="dxa"/>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center"/>
              <w:rPr>
                <w:rFonts w:asciiTheme="minorEastAsia" w:hAnsiTheme="minorEastAsia" w:cstheme="minorEastAsia"/>
                <w:b/>
                <w:color w:val="auto"/>
                <w:szCs w:val="21"/>
              </w:rPr>
            </w:pPr>
            <w:r>
              <w:rPr>
                <w:rFonts w:hint="eastAsia" w:asciiTheme="minorEastAsia" w:hAnsiTheme="minorEastAsia" w:cstheme="minorEastAsia"/>
                <w:color w:val="auto"/>
                <w:kern w:val="0"/>
                <w:szCs w:val="21"/>
              </w:rPr>
              <w:t>视频解码器</w:t>
            </w:r>
          </w:p>
        </w:tc>
        <w:tc>
          <w:tcPr>
            <w:tcW w:w="5130" w:type="dxa"/>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w:t>
            </w:r>
            <w:r>
              <w:rPr>
                <w:rFonts w:hint="eastAsia" w:asciiTheme="minorEastAsia" w:hAnsiTheme="minorEastAsia" w:cstheme="minorEastAsia"/>
                <w:color w:val="auto"/>
                <w:kern w:val="0"/>
                <w:szCs w:val="21"/>
              </w:rPr>
              <w:t>1、支持HDMI、BNC输出口≥9个解码输出。</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w:t>
            </w:r>
            <w:r>
              <w:rPr>
                <w:rFonts w:hint="eastAsia" w:asciiTheme="minorEastAsia" w:hAnsiTheme="minorEastAsia" w:cstheme="minorEastAsia"/>
                <w:color w:val="auto"/>
                <w:kern w:val="0"/>
                <w:szCs w:val="21"/>
              </w:rPr>
              <w:t>2、支持H.265、H.264、MPEG4、MJPEG等多种编码码流解码。</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*3、</w:t>
            </w:r>
            <w:r>
              <w:rPr>
                <w:rFonts w:hint="eastAsia" w:asciiTheme="minorEastAsia" w:hAnsiTheme="minorEastAsia" w:cstheme="minorEastAsia"/>
                <w:color w:val="auto"/>
                <w:kern w:val="0"/>
                <w:szCs w:val="21"/>
              </w:rPr>
              <w:t>支持4K超高清输出，HDMI（奇数口）输出分辨率最高支持4K（3840 × 2160@30 Hz）、支持G.722、G.711A、G.726、G.711U、MPEG2-L2、AAC音频格式的解码。</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spacing w:val="-19"/>
                <w:szCs w:val="21"/>
              </w:rPr>
              <w:t>*4、</w:t>
            </w:r>
            <w:r>
              <w:rPr>
                <w:rFonts w:hint="eastAsia" w:asciiTheme="minorEastAsia" w:hAnsiTheme="minorEastAsia" w:cstheme="minorEastAsia"/>
                <w:color w:val="auto"/>
                <w:kern w:val="0"/>
                <w:szCs w:val="21"/>
              </w:rPr>
              <w:t>支持云服务，通过APP可实现手机远程预览/回放/配置，支持ISUP以及GB28181协议，轻松实现平台接入。</w:t>
            </w:r>
          </w:p>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b/>
                <w:color w:val="auto"/>
                <w:szCs w:val="21"/>
              </w:rPr>
            </w:pPr>
            <w:r>
              <w:rPr>
                <w:rFonts w:hint="eastAsia" w:asciiTheme="minorEastAsia" w:hAnsiTheme="minorEastAsia" w:cstheme="minorEastAsia"/>
                <w:color w:val="auto"/>
                <w:spacing w:val="-19"/>
                <w:szCs w:val="21"/>
              </w:rPr>
              <w:t>*5、</w:t>
            </w:r>
            <w:r>
              <w:rPr>
                <w:rFonts w:hint="eastAsia" w:asciiTheme="minorEastAsia" w:hAnsiTheme="minorEastAsia" w:cstheme="minorEastAsia"/>
                <w:color w:val="auto"/>
                <w:kern w:val="0"/>
                <w:szCs w:val="21"/>
              </w:rPr>
              <w:t>需提供厂家授权。</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52</w:t>
            </w:r>
          </w:p>
        </w:tc>
        <w:tc>
          <w:tcPr>
            <w:tcW w:w="1200" w:type="dxa"/>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拼接屏机柜</w:t>
            </w:r>
          </w:p>
        </w:tc>
        <w:tc>
          <w:tcPr>
            <w:tcW w:w="5130" w:type="dxa"/>
            <w:shd w:val="clear" w:color="auto" w:fill="FFFFFF"/>
            <w:vAlign w:val="center"/>
          </w:tcPr>
          <w:p>
            <w:pPr>
              <w:keepNext w:val="0"/>
              <w:keepLines w:val="0"/>
              <w:pageBreakBefore w:val="0"/>
              <w:widowControl/>
              <w:kinsoku/>
              <w:overflowPunct/>
              <w:topLinePunct w:val="0"/>
              <w:autoSpaceDE/>
              <w:autoSpaceDN/>
              <w:bidi w:val="0"/>
              <w:adjustRightInd/>
              <w:snapToGrid/>
              <w:spacing w:line="320" w:lineRule="exact"/>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1、立地式机柜，厚度≥350mm                                                                                  2、外框采用优质冷轧钢板，厚度在1.0mm-1.5mm之间。</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3、拼接屏挂架部分采用40*40方钢。</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4、整体静电喷塑。</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53</w:t>
            </w:r>
          </w:p>
        </w:tc>
        <w:tc>
          <w:tcPr>
            <w:tcW w:w="120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操作台</w:t>
            </w:r>
          </w:p>
        </w:tc>
        <w:tc>
          <w:tcPr>
            <w:tcW w:w="513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尺寸≥1500*950*750mm。两把椅子</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54</w:t>
            </w:r>
          </w:p>
        </w:tc>
        <w:tc>
          <w:tcPr>
            <w:tcW w:w="120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综合布线</w:t>
            </w:r>
          </w:p>
        </w:tc>
        <w:tc>
          <w:tcPr>
            <w:tcW w:w="5130"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*1、完成本次项目所涉及的所有综合布线。其中辅材需使用9条1</w:t>
            </w:r>
            <w:r>
              <w:rPr>
                <w:rFonts w:hint="eastAsia" w:asciiTheme="minorEastAsia" w:hAnsiTheme="minorEastAsia" w:cstheme="minorEastAsia"/>
                <w:color w:val="auto"/>
                <w:sz w:val="21"/>
                <w:szCs w:val="21"/>
              </w:rPr>
              <w:t>0米高清线、超五类网线、3*1.5电源线、静电铜箔6m</w:t>
            </w:r>
            <w:r>
              <w:rPr>
                <w:rFonts w:hint="eastAsia" w:asciiTheme="minorEastAsia" w:hAnsiTheme="minorEastAsia" w:cstheme="minorEastAsia"/>
                <w:color w:val="auto"/>
                <w:sz w:val="21"/>
                <w:szCs w:val="21"/>
                <w:vertAlign w:val="superscript"/>
              </w:rPr>
              <w:t>2、</w:t>
            </w:r>
            <w:r>
              <w:rPr>
                <w:rFonts w:hint="eastAsia" w:asciiTheme="minorEastAsia" w:hAnsiTheme="minorEastAsia" w:cstheme="minorEastAsia"/>
                <w:color w:val="auto"/>
                <w:sz w:val="21"/>
                <w:szCs w:val="21"/>
              </w:rPr>
              <w:t>、pvc贴面地板等。</w:t>
            </w:r>
          </w:p>
          <w:p>
            <w:pPr>
              <w:pStyle w:val="19"/>
              <w:keepNext w:val="0"/>
              <w:keepLines w:val="0"/>
              <w:pageBreakBefore w:val="0"/>
              <w:kinsoku/>
              <w:wordWrap w:val="0"/>
              <w:overflowPunct/>
              <w:topLinePunct w:val="0"/>
              <w:autoSpaceDE/>
              <w:autoSpaceDN/>
              <w:bidi w:val="0"/>
              <w:adjustRightInd/>
              <w:snapToGrid/>
              <w:spacing w:beforeAutospacing="0" w:afterAutospacing="0" w:line="320" w:lineRule="exact"/>
              <w:rPr>
                <w:rFonts w:asciiTheme="minorEastAsia" w:hAnsiTheme="minorEastAsia" w:cstheme="minorEastAsia"/>
                <w:bCs/>
                <w:color w:val="auto"/>
                <w:sz w:val="21"/>
                <w:szCs w:val="21"/>
              </w:rPr>
            </w:pPr>
            <w:r>
              <w:rPr>
                <w:rFonts w:hint="eastAsia" w:asciiTheme="minorEastAsia" w:hAnsiTheme="minorEastAsia" w:cstheme="minorEastAsia"/>
                <w:bCs/>
                <w:color w:val="auto"/>
                <w:sz w:val="21"/>
                <w:szCs w:val="21"/>
              </w:rPr>
              <w:t>*2、完成本次项目所涉及的所有设备的运输（德邦/顺丰保价运输）、安装、调试及室内墙体粉刷等服务。</w:t>
            </w:r>
          </w:p>
        </w:tc>
        <w:tc>
          <w:tcPr>
            <w:tcW w:w="1485" w:type="dxa"/>
            <w:vAlign w:val="center"/>
          </w:tcPr>
          <w:p>
            <w:pPr>
              <w:pStyle w:val="19"/>
              <w:keepNext w:val="0"/>
              <w:keepLines w:val="0"/>
              <w:pageBreakBefore w:val="0"/>
              <w:kinsoku/>
              <w:wordWrap w:val="0"/>
              <w:overflowPunct/>
              <w:topLinePunct w:val="0"/>
              <w:autoSpaceDE/>
              <w:autoSpaceDN/>
              <w:bidi w:val="0"/>
              <w:adjustRightInd/>
              <w:snapToGrid/>
              <w:spacing w:beforeAutospacing="0" w:afterAutospacing="0" w:line="320" w:lineRule="exact"/>
              <w:jc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1项</w:t>
            </w:r>
          </w:p>
        </w:tc>
      </w:tr>
    </w:tbl>
    <w:p>
      <w:pPr>
        <w:widowControl/>
        <w:spacing w:line="400" w:lineRule="exact"/>
        <w:jc w:val="left"/>
        <w:rPr>
          <w:rFonts w:asciiTheme="minorEastAsia" w:hAnsiTheme="minorEastAsia" w:cstheme="minorEastAsia"/>
          <w:bCs/>
          <w:color w:val="auto"/>
          <w:sz w:val="22"/>
          <w:szCs w:val="22"/>
        </w:rPr>
      </w:pPr>
    </w:p>
    <w:p>
      <w:pPr>
        <w:widowControl/>
        <w:spacing w:line="400" w:lineRule="exact"/>
        <w:jc w:val="left"/>
        <w:rPr>
          <w:rFonts w:asciiTheme="minorEastAsia" w:hAnsiTheme="minorEastAsia" w:cstheme="minorEastAsia"/>
          <w:b/>
          <w:color w:val="auto"/>
          <w:sz w:val="22"/>
          <w:szCs w:val="22"/>
        </w:rPr>
      </w:pPr>
      <w:r>
        <w:rPr>
          <w:rFonts w:hint="eastAsia" w:asciiTheme="minorEastAsia" w:hAnsiTheme="minorEastAsia" w:cstheme="minorEastAsia"/>
          <w:b/>
          <w:color w:val="auto"/>
          <w:sz w:val="22"/>
          <w:szCs w:val="22"/>
        </w:rPr>
        <w:t>三、商务要求：</w:t>
      </w:r>
    </w:p>
    <w:p>
      <w:pPr>
        <w:rPr>
          <w:rFonts w:hint="eastAsia" w:asciiTheme="minorEastAsia" w:hAnsiTheme="minorEastAsia" w:cstheme="minorEastAsia"/>
          <w:b/>
          <w:color w:val="auto"/>
          <w:sz w:val="22"/>
          <w:szCs w:val="22"/>
        </w:rPr>
        <w:sectPr>
          <w:footerReference r:id="rId10" w:type="first"/>
          <w:footerReference r:id="rId9" w:type="default"/>
          <w:pgSz w:w="11906" w:h="16838"/>
          <w:pgMar w:top="1440" w:right="1196" w:bottom="1440" w:left="1196" w:header="142" w:footer="1077" w:gutter="0"/>
          <w:pgBorders>
            <w:top w:val="none" w:sz="0" w:space="0"/>
            <w:left w:val="none" w:sz="0" w:space="0"/>
            <w:bottom w:val="none" w:sz="0" w:space="0"/>
            <w:right w:val="none" w:sz="0" w:space="0"/>
          </w:pgBorders>
          <w:pgNumType w:fmt="decimal"/>
          <w:cols w:space="720" w:num="1"/>
          <w:titlePg/>
          <w:docGrid w:type="lines" w:linePitch="490" w:charSpace="0"/>
        </w:sectPr>
      </w:pPr>
      <w:r>
        <w:rPr>
          <w:rFonts w:ascii="宋体" w:hAnsi="宋体" w:eastAsia="宋体" w:cs="宋体"/>
          <w:bCs/>
          <w:color w:val="auto"/>
          <w:sz w:val="22"/>
          <w:szCs w:val="22"/>
        </w:rPr>
        <w:t>*</w:t>
      </w:r>
      <w:r>
        <w:rPr>
          <w:rFonts w:hint="eastAsia" w:asciiTheme="minorEastAsia" w:hAnsiTheme="minorEastAsia" w:cstheme="minorEastAsia"/>
          <w:b/>
          <w:color w:val="auto"/>
          <w:sz w:val="22"/>
          <w:szCs w:val="22"/>
        </w:rPr>
        <w:t>质保期为2年。</w:t>
      </w:r>
    </w:p>
    <w:p>
      <w:pPr>
        <w:widowControl/>
        <w:spacing w:line="240" w:lineRule="auto"/>
        <w:jc w:val="center"/>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1"/>
          <w:szCs w:val="21"/>
          <w:lang w:val="en-US" w:eastAsia="zh-CN"/>
        </w:rPr>
        <w:t>吉林省老年大学教学设备更新项目2包（标包编号：采购计划-[2025]-09342号-1-JLLYZB-2025-138-2）</w:t>
      </w:r>
    </w:p>
    <w:p>
      <w:pPr>
        <w:jc w:val="center"/>
        <w:rPr>
          <w:rFonts w:hint="eastAsia" w:ascii="宋体" w:hAnsi="宋体" w:eastAsia="宋体" w:cs="宋体"/>
          <w:b/>
          <w:color w:val="auto"/>
          <w:kern w:val="0"/>
          <w:sz w:val="28"/>
          <w:szCs w:val="28"/>
          <w:lang w:val="en-US" w:eastAsia="zh-CN"/>
        </w:rPr>
      </w:pPr>
      <w:r>
        <w:rPr>
          <w:rFonts w:hint="eastAsia" w:ascii="宋体" w:hAnsi="宋体" w:eastAsia="宋体" w:cs="宋体"/>
          <w:b/>
          <w:color w:val="auto"/>
          <w:kern w:val="0"/>
          <w:sz w:val="28"/>
          <w:szCs w:val="28"/>
          <w:lang w:val="en-US" w:eastAsia="zh-CN"/>
        </w:rPr>
        <w:t>技术标准和要求</w:t>
      </w:r>
    </w:p>
    <w:p>
      <w:pPr>
        <w:jc w:val="center"/>
        <w:rPr>
          <w:rFonts w:hint="eastAsia" w:ascii="宋体" w:hAnsi="宋体" w:eastAsia="宋体" w:cs="宋体"/>
          <w:b/>
          <w:color w:val="auto"/>
          <w:kern w:val="0"/>
          <w:sz w:val="28"/>
          <w:szCs w:val="28"/>
          <w:lang w:val="en-US" w:eastAsia="zh-CN"/>
        </w:rPr>
      </w:pPr>
    </w:p>
    <w:p>
      <w:pPr>
        <w:ind w:firstLine="420" w:firstLineChars="200"/>
        <w:rPr>
          <w:rFonts w:hint="default"/>
          <w:color w:val="auto"/>
          <w:lang w:val="en-US" w:eastAsia="zh-CN"/>
        </w:rPr>
      </w:pPr>
      <w:r>
        <w:rPr>
          <w:rFonts w:hint="default"/>
          <w:color w:val="auto"/>
          <w:lang w:val="en-US" w:eastAsia="zh-CN"/>
        </w:rPr>
        <w:t>二次供水水箱最高限价为10万元</w:t>
      </w:r>
    </w:p>
    <w:tbl>
      <w:tblPr>
        <w:tblStyle w:val="24"/>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50"/>
        <w:gridCol w:w="466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noWrap w:val="0"/>
            <w:vAlign w:val="top"/>
          </w:tcPr>
          <w:p>
            <w:pPr>
              <w:pStyle w:val="19"/>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20" w:lineRule="exact"/>
              <w:ind w:right="0"/>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序号</w:t>
            </w:r>
          </w:p>
        </w:tc>
        <w:tc>
          <w:tcPr>
            <w:tcW w:w="1350" w:type="dxa"/>
            <w:noWrap w:val="0"/>
            <w:vAlign w:val="top"/>
          </w:tcPr>
          <w:p>
            <w:pPr>
              <w:pStyle w:val="19"/>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20" w:lineRule="exact"/>
              <w:ind w:right="0"/>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kern w:val="0"/>
                <w:sz w:val="21"/>
                <w:szCs w:val="21"/>
                <w:lang w:val="en-US" w:eastAsia="zh-CN"/>
              </w:rPr>
              <w:t>标的名称</w:t>
            </w:r>
          </w:p>
        </w:tc>
        <w:tc>
          <w:tcPr>
            <w:tcW w:w="4665" w:type="dxa"/>
            <w:noWrap w:val="0"/>
            <w:vAlign w:val="top"/>
          </w:tcPr>
          <w:p>
            <w:pPr>
              <w:pStyle w:val="19"/>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20" w:lineRule="exact"/>
              <w:ind w:right="0"/>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kern w:val="0"/>
                <w:sz w:val="21"/>
                <w:szCs w:val="21"/>
                <w:lang w:val="en-US" w:eastAsia="zh-CN" w:bidi="ar-SA"/>
              </w:rPr>
              <w:t>具体参数值或功能要求表述</w:t>
            </w:r>
          </w:p>
        </w:tc>
        <w:tc>
          <w:tcPr>
            <w:tcW w:w="1530" w:type="dxa"/>
            <w:noWrap w:val="0"/>
            <w:vAlign w:val="top"/>
          </w:tcPr>
          <w:p>
            <w:pPr>
              <w:pStyle w:val="19"/>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20" w:lineRule="exact"/>
              <w:ind w:right="0"/>
              <w:jc w:val="center"/>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5" w:hRule="atLeast"/>
          <w:jc w:val="center"/>
        </w:trPr>
        <w:tc>
          <w:tcPr>
            <w:tcW w:w="750" w:type="dxa"/>
            <w:noWrap w:val="0"/>
            <w:vAlign w:val="top"/>
          </w:tcPr>
          <w:p>
            <w:pPr>
              <w:pStyle w:val="19"/>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20" w:lineRule="exact"/>
              <w:ind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w:t>
            </w:r>
          </w:p>
        </w:tc>
        <w:tc>
          <w:tcPr>
            <w:tcW w:w="1350" w:type="dxa"/>
            <w:noWrap w:val="0"/>
            <w:vAlign w:val="center"/>
          </w:tcPr>
          <w:p>
            <w:pPr>
              <w:pStyle w:val="19"/>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20" w:lineRule="exact"/>
              <w:ind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二次供水</w:t>
            </w:r>
          </w:p>
          <w:p>
            <w:pPr>
              <w:pStyle w:val="19"/>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20" w:lineRule="exact"/>
              <w:ind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304不锈钢水箱</w:t>
            </w:r>
          </w:p>
        </w:tc>
        <w:tc>
          <w:tcPr>
            <w:tcW w:w="4665"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Lines="0" w:beforeAutospacing="0" w:after="0" w:afterLines="0" w:afterAutospacing="0" w:line="320" w:lineRule="exact"/>
              <w:ind w:right="0" w:rightChars="0" w:firstLine="344" w:firstLineChars="200"/>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spacing w:val="-19"/>
                <w:sz w:val="21"/>
                <w:szCs w:val="21"/>
              </w:rPr>
              <w:t>*</w:t>
            </w:r>
            <w:r>
              <w:rPr>
                <w:rFonts w:hint="eastAsia" w:ascii="宋体" w:hAnsi="宋体" w:eastAsia="宋体" w:cs="宋体"/>
                <w:b w:val="0"/>
                <w:bCs/>
                <w:color w:val="auto"/>
                <w:sz w:val="21"/>
                <w:szCs w:val="21"/>
                <w:vertAlign w:val="baseline"/>
                <w:lang w:val="en-US" w:eastAsia="zh-CN"/>
              </w:rPr>
              <w:t>1、‌尺寸与容量。长：6米，宽：5米，高2.5米，体积：75立方。</w:t>
            </w:r>
          </w:p>
          <w:p>
            <w:pPr>
              <w:keepNext w:val="0"/>
              <w:keepLines w:val="0"/>
              <w:pageBreakBefore w:val="0"/>
              <w:kinsoku/>
              <w:overflowPunct/>
              <w:topLinePunct w:val="0"/>
              <w:autoSpaceDE/>
              <w:autoSpaceDN/>
              <w:bidi w:val="0"/>
              <w:adjustRightInd/>
              <w:snapToGrid/>
              <w:spacing w:line="320" w:lineRule="exact"/>
              <w:ind w:firstLine="344" w:firstLineChars="200"/>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spacing w:val="-19"/>
                <w:sz w:val="21"/>
                <w:szCs w:val="21"/>
              </w:rPr>
              <w:t>*</w:t>
            </w:r>
            <w:r>
              <w:rPr>
                <w:rFonts w:hint="eastAsia" w:ascii="宋体" w:hAnsi="宋体" w:eastAsia="宋体" w:cs="宋体"/>
                <w:color w:val="auto"/>
                <w:spacing w:val="-19"/>
                <w:sz w:val="21"/>
                <w:szCs w:val="21"/>
                <w:lang w:val="en-US" w:eastAsia="zh-CN"/>
              </w:rPr>
              <w:t xml:space="preserve"> </w:t>
            </w:r>
            <w:r>
              <w:rPr>
                <w:rFonts w:hint="eastAsia" w:ascii="宋体" w:hAnsi="宋体" w:eastAsia="宋体" w:cs="宋体"/>
                <w:b w:val="0"/>
                <w:bCs/>
                <w:color w:val="auto"/>
                <w:sz w:val="21"/>
                <w:szCs w:val="21"/>
                <w:vertAlign w:val="baseline"/>
                <w:lang w:val="en-US" w:eastAsia="zh-CN"/>
              </w:rPr>
              <w:t>2、‌结构设计标准。水箱应设有1个进水、5个出水、1个溢水口法兰、外爬梯、检修口（带盖板）、槽钢底座以及水位计等必要设施。</w:t>
            </w:r>
          </w:p>
          <w:p>
            <w:pPr>
              <w:keepNext w:val="0"/>
              <w:keepLines w:val="0"/>
              <w:pageBreakBefore w:val="0"/>
              <w:kinsoku/>
              <w:overflowPunct/>
              <w:topLinePunct w:val="0"/>
              <w:autoSpaceDE/>
              <w:autoSpaceDN/>
              <w:bidi w:val="0"/>
              <w:adjustRightInd/>
              <w:snapToGrid/>
              <w:spacing w:line="320" w:lineRule="exact"/>
              <w:ind w:firstLine="344" w:firstLineChars="200"/>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color w:val="auto"/>
                <w:spacing w:val="-19"/>
                <w:sz w:val="21"/>
                <w:szCs w:val="21"/>
              </w:rPr>
              <w:t>*</w:t>
            </w:r>
            <w:r>
              <w:rPr>
                <w:rFonts w:hint="eastAsia" w:ascii="宋体" w:hAnsi="宋体" w:eastAsia="宋体" w:cs="宋体"/>
                <w:b w:val="0"/>
                <w:bCs/>
                <w:color w:val="auto"/>
                <w:sz w:val="21"/>
                <w:szCs w:val="21"/>
                <w:vertAlign w:val="baseline"/>
                <w:lang w:val="en-US" w:eastAsia="zh-CN"/>
              </w:rPr>
              <w:t>3、304不锈钢‌材质。底板厚3.0mm；侧一厚2.67mm；侧二厚2.17mm；侧三厚1.67mm；盖板厚1.33mm；10#镀锌槽钢底座。</w:t>
            </w:r>
          </w:p>
          <w:p>
            <w:pPr>
              <w:keepNext w:val="0"/>
              <w:keepLines w:val="0"/>
              <w:pageBreakBefore w:val="0"/>
              <w:kinsoku/>
              <w:overflowPunct/>
              <w:topLinePunct w:val="0"/>
              <w:autoSpaceDE/>
              <w:autoSpaceDN/>
              <w:bidi w:val="0"/>
              <w:adjustRightInd/>
              <w:snapToGrid/>
              <w:spacing w:line="320" w:lineRule="exact"/>
              <w:ind w:firstLine="344" w:firstLineChars="200"/>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spacing w:val="-19"/>
                <w:sz w:val="21"/>
                <w:szCs w:val="21"/>
              </w:rPr>
              <w:t>*</w:t>
            </w:r>
            <w:r>
              <w:rPr>
                <w:rFonts w:hint="eastAsia" w:ascii="宋体" w:hAnsi="宋体" w:eastAsia="宋体" w:cs="宋体"/>
                <w:b w:val="0"/>
                <w:bCs/>
                <w:color w:val="auto"/>
                <w:sz w:val="21"/>
                <w:szCs w:val="21"/>
                <w:vertAlign w:val="baseline"/>
                <w:lang w:val="en-US" w:eastAsia="zh-CN"/>
              </w:rPr>
              <w:t>4、制造标准。不锈钢水箱由冲压标准球形板块现场焊接而成，内设304不锈钢 40mm*40mm角钢为拉筋。</w:t>
            </w:r>
          </w:p>
          <w:p>
            <w:pPr>
              <w:keepNext w:val="0"/>
              <w:keepLines w:val="0"/>
              <w:pageBreakBefore w:val="0"/>
              <w:kinsoku/>
              <w:overflowPunct/>
              <w:topLinePunct w:val="0"/>
              <w:autoSpaceDE/>
              <w:autoSpaceDN/>
              <w:bidi w:val="0"/>
              <w:adjustRightInd/>
              <w:snapToGrid/>
              <w:spacing w:line="320" w:lineRule="exact"/>
              <w:ind w:firstLine="344" w:firstLineChars="200"/>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spacing w:val="-19"/>
                <w:sz w:val="21"/>
                <w:szCs w:val="21"/>
              </w:rPr>
              <w:t>*</w:t>
            </w:r>
            <w:r>
              <w:rPr>
                <w:rFonts w:hint="eastAsia" w:ascii="宋体" w:hAnsi="宋体" w:eastAsia="宋体" w:cs="宋体"/>
                <w:b w:val="0"/>
                <w:bCs/>
                <w:color w:val="auto"/>
                <w:sz w:val="21"/>
                <w:szCs w:val="21"/>
                <w:vertAlign w:val="baseline"/>
                <w:lang w:val="en-US" w:eastAsia="zh-CN"/>
              </w:rPr>
              <w:t>5、卫生标准。必须符合储存饮用水标准。</w:t>
            </w:r>
          </w:p>
          <w:p>
            <w:pPr>
              <w:keepNext w:val="0"/>
              <w:keepLines w:val="0"/>
              <w:pageBreakBefore w:val="0"/>
              <w:kinsoku/>
              <w:overflowPunct/>
              <w:topLinePunct w:val="0"/>
              <w:autoSpaceDE/>
              <w:autoSpaceDN/>
              <w:bidi w:val="0"/>
              <w:adjustRightInd/>
              <w:snapToGrid/>
              <w:spacing w:line="320" w:lineRule="exact"/>
              <w:ind w:firstLine="344" w:firstLineChars="200"/>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spacing w:val="-19"/>
                <w:sz w:val="21"/>
                <w:szCs w:val="21"/>
              </w:rPr>
              <w:t>*</w:t>
            </w:r>
            <w:r>
              <w:rPr>
                <w:rFonts w:hint="eastAsia" w:ascii="宋体" w:hAnsi="宋体" w:eastAsia="宋体" w:cs="宋体"/>
                <w:b w:val="0"/>
                <w:bCs/>
                <w:color w:val="auto"/>
                <w:sz w:val="21"/>
                <w:szCs w:val="21"/>
                <w:vertAlign w:val="baseline"/>
                <w:lang w:val="en-US" w:eastAsia="zh-CN"/>
              </w:rPr>
              <w:t>6、其它要求。（1）拆除原有水箱（玻璃钢材质）并运走。（2）做简单的临时供水装置。（3）提供完成本项目的全部配件辅材料及进行安装。</w:t>
            </w:r>
          </w:p>
        </w:tc>
        <w:tc>
          <w:tcPr>
            <w:tcW w:w="1530" w:type="dxa"/>
            <w:noWrap w:val="0"/>
            <w:vAlign w:val="center"/>
          </w:tcPr>
          <w:p>
            <w:pPr>
              <w:pStyle w:val="19"/>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320" w:lineRule="exact"/>
              <w:ind w:right="0"/>
              <w:jc w:val="center"/>
              <w:textAlignment w:val="auto"/>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1项</w:t>
            </w:r>
          </w:p>
        </w:tc>
      </w:tr>
    </w:tbl>
    <w:p>
      <w:pPr>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zh-CN" w:eastAsia="zh-CN"/>
        </w:rPr>
        <w:t>履约验收</w:t>
      </w:r>
      <w:r>
        <w:rPr>
          <w:rFonts w:hint="eastAsia" w:ascii="宋体" w:hAnsi="宋体" w:eastAsia="宋体" w:cs="宋体"/>
          <w:b w:val="0"/>
          <w:bCs/>
          <w:color w:val="auto"/>
          <w:sz w:val="21"/>
          <w:szCs w:val="21"/>
          <w:lang w:val="zh-CN"/>
        </w:rPr>
        <w:t>要求</w:t>
      </w:r>
      <w:r>
        <w:rPr>
          <w:rFonts w:hint="eastAsia" w:ascii="宋体" w:hAnsi="宋体" w:eastAsia="宋体" w:cs="宋体"/>
          <w:b w:val="0"/>
          <w:bCs/>
          <w:color w:val="auto"/>
          <w:sz w:val="21"/>
          <w:szCs w:val="21"/>
          <w:lang w:val="en-US" w:eastAsia="zh-CN"/>
        </w:rPr>
        <w:t>:</w:t>
      </w:r>
    </w:p>
    <w:p>
      <w:pPr>
        <w:ind w:firstLine="420" w:firstLineChars="200"/>
        <w:rPr>
          <w:rFonts w:hint="default"/>
          <w:color w:val="auto"/>
          <w:lang w:val="en-US" w:eastAsia="zh-CN"/>
        </w:rPr>
      </w:pPr>
      <w:r>
        <w:rPr>
          <w:rFonts w:hint="default"/>
          <w:color w:val="auto"/>
          <w:lang w:val="en-US" w:eastAsia="zh-CN"/>
        </w:rPr>
        <w:t>1、安装完成后，对水箱进行清洗消毒后，需对水箱内水质进行检测，各项指标符合卫生标准后方可投入使用。</w:t>
      </w:r>
    </w:p>
    <w:p>
      <w:pPr>
        <w:ind w:firstLine="420" w:firstLineChars="200"/>
        <w:rPr>
          <w:rFonts w:hint="default"/>
          <w:color w:val="auto"/>
          <w:lang w:val="en-US" w:eastAsia="zh-CN"/>
        </w:rPr>
      </w:pPr>
      <w:r>
        <w:rPr>
          <w:rFonts w:hint="default"/>
          <w:color w:val="auto"/>
          <w:lang w:val="en-US" w:eastAsia="zh-CN"/>
        </w:rPr>
        <w:t>2、检查水箱的结构完整性，包括水箱壁、焊缝、连接件等是否有损坏、渗漏现象；检查水箱的附属设备，如水位计等是否正常运行等。</w:t>
      </w:r>
    </w:p>
    <w:p>
      <w:pPr>
        <w:jc w:val="center"/>
        <w:rPr>
          <w:rFonts w:hint="eastAsia" w:ascii="宋体" w:hAnsi="宋体" w:eastAsia="宋体" w:cs="宋体"/>
          <w:b/>
          <w:color w:val="auto"/>
          <w:kern w:val="0"/>
          <w:sz w:val="28"/>
          <w:szCs w:val="28"/>
          <w:lang w:val="en-US" w:eastAsia="zh-CN"/>
        </w:rPr>
        <w:sectPr>
          <w:pgSz w:w="11906" w:h="16838"/>
          <w:pgMar w:top="1440" w:right="1196" w:bottom="1440" w:left="1196" w:header="142" w:footer="1077" w:gutter="0"/>
          <w:pgBorders>
            <w:top w:val="none" w:sz="0" w:space="0"/>
            <w:left w:val="none" w:sz="0" w:space="0"/>
            <w:bottom w:val="none" w:sz="0" w:space="0"/>
            <w:right w:val="none" w:sz="0" w:space="0"/>
          </w:pgBorders>
          <w:pgNumType w:fmt="decimal"/>
          <w:cols w:space="720" w:num="1"/>
          <w:titlePg/>
          <w:docGrid w:type="lines" w:linePitch="490" w:charSpace="0"/>
        </w:sectPr>
      </w:pPr>
    </w:p>
    <w:p>
      <w:pPr>
        <w:pStyle w:val="2"/>
        <w:keepNext w:val="0"/>
        <w:keepLines w:val="0"/>
        <w:spacing w:line="360" w:lineRule="auto"/>
        <w:jc w:val="center"/>
        <w:rPr>
          <w:b w:val="0"/>
          <w:bCs w:val="0"/>
          <w:color w:val="auto"/>
        </w:rPr>
      </w:pPr>
      <w:r>
        <w:rPr>
          <w:rFonts w:hint="eastAsia"/>
          <w:color w:val="auto"/>
        </w:rPr>
        <w:t>第</w:t>
      </w:r>
      <w:r>
        <w:rPr>
          <w:rFonts w:hint="eastAsia"/>
          <w:color w:val="auto"/>
          <w:lang w:eastAsia="zh-CN"/>
        </w:rPr>
        <w:t>六</w:t>
      </w:r>
      <w:r>
        <w:rPr>
          <w:rFonts w:hint="eastAsia"/>
          <w:color w:val="auto"/>
        </w:rPr>
        <w:t>章  投标文件构成、要求及格式</w:t>
      </w:r>
      <w:bookmarkEnd w:id="127"/>
      <w:bookmarkEnd w:id="128"/>
      <w:bookmarkEnd w:id="129"/>
      <w:bookmarkEnd w:id="130"/>
      <w:bookmarkEnd w:id="131"/>
      <w:bookmarkEnd w:id="132"/>
    </w:p>
    <w:p>
      <w:pPr>
        <w:tabs>
          <w:tab w:val="left" w:pos="709"/>
        </w:tabs>
        <w:autoSpaceDE w:val="0"/>
        <w:autoSpaceDN w:val="0"/>
        <w:adjustRightInd w:val="0"/>
        <w:snapToGrid w:val="0"/>
        <w:spacing w:line="520" w:lineRule="exact"/>
        <w:ind w:firstLine="422" w:firstLineChars="200"/>
        <w:rPr>
          <w:rFonts w:ascii="仿宋_GB2312" w:eastAsia="仿宋_GB2312"/>
          <w:color w:val="auto"/>
          <w:szCs w:val="21"/>
        </w:rPr>
      </w:pPr>
      <w:r>
        <w:rPr>
          <w:rFonts w:ascii="宋体" w:hAnsi="宋体"/>
          <w:b/>
          <w:bCs/>
          <w:color w:val="auto"/>
          <w:kern w:val="0"/>
          <w:szCs w:val="21"/>
          <w:lang w:val="zh-CN"/>
        </w:rPr>
        <w:br w:type="page"/>
      </w:r>
    </w:p>
    <w:p>
      <w:pPr>
        <w:spacing w:line="500" w:lineRule="exact"/>
        <w:jc w:val="right"/>
        <w:rPr>
          <w:rFonts w:ascii="宋体" w:hAnsi="宋体"/>
          <w:bCs/>
          <w:color w:val="auto"/>
          <w:sz w:val="32"/>
          <w:szCs w:val="32"/>
          <w:highlight w:val="none"/>
        </w:rPr>
      </w:pPr>
      <w:r>
        <w:rPr>
          <w:rFonts w:hint="eastAsia" w:ascii="宋体" w:hAnsi="宋体"/>
          <w:bCs/>
          <w:color w:val="auto"/>
          <w:sz w:val="32"/>
          <w:szCs w:val="32"/>
          <w:highlight w:val="none"/>
        </w:rPr>
        <w:t>（正本/副本）</w:t>
      </w:r>
    </w:p>
    <w:p>
      <w:pPr>
        <w:spacing w:line="780" w:lineRule="exact"/>
        <w:jc w:val="center"/>
        <w:rPr>
          <w:rFonts w:ascii="宋体" w:hAnsi="宋体"/>
          <w:b/>
          <w:color w:val="auto"/>
          <w:sz w:val="44"/>
          <w:szCs w:val="44"/>
          <w:highlight w:val="none"/>
        </w:rPr>
      </w:pPr>
    </w:p>
    <w:p>
      <w:pPr>
        <w:spacing w:line="780" w:lineRule="exact"/>
        <w:jc w:val="center"/>
        <w:rPr>
          <w:rFonts w:ascii="宋体" w:hAnsi="宋体"/>
          <w:b/>
          <w:color w:val="auto"/>
          <w:sz w:val="44"/>
          <w:szCs w:val="44"/>
          <w:highlight w:val="none"/>
        </w:rPr>
      </w:pPr>
      <w:r>
        <w:rPr>
          <w:rFonts w:hint="eastAsia" w:ascii="宋体" w:hAnsi="宋体"/>
          <w:b/>
          <w:color w:val="auto"/>
          <w:sz w:val="44"/>
          <w:szCs w:val="44"/>
          <w:highlight w:val="none"/>
          <w:u w:val="single"/>
        </w:rPr>
        <w:t>（项目名称）（分包名称）</w:t>
      </w:r>
    </w:p>
    <w:p>
      <w:pPr>
        <w:tabs>
          <w:tab w:val="left" w:pos="2700"/>
        </w:tabs>
        <w:spacing w:line="500" w:lineRule="exact"/>
        <w:rPr>
          <w:rFonts w:ascii="宋体" w:hAnsi="宋体"/>
          <w:bCs/>
          <w:color w:val="auto"/>
          <w:sz w:val="28"/>
          <w:szCs w:val="28"/>
          <w:highlight w:val="none"/>
        </w:rPr>
      </w:pPr>
      <w:r>
        <w:rPr>
          <w:rFonts w:hint="eastAsia" w:ascii="宋体" w:hAnsi="宋体"/>
          <w:bCs/>
          <w:color w:val="auto"/>
          <w:sz w:val="28"/>
          <w:szCs w:val="28"/>
          <w:highlight w:val="none"/>
        </w:rPr>
        <w:tab/>
      </w: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rPr>
          <w:rFonts w:ascii="宋体" w:hAnsi="宋体"/>
          <w:bCs/>
          <w:color w:val="auto"/>
          <w:sz w:val="28"/>
          <w:szCs w:val="28"/>
          <w:highlight w:val="none"/>
        </w:rPr>
      </w:pPr>
    </w:p>
    <w:p>
      <w:pPr>
        <w:spacing w:line="500" w:lineRule="exact"/>
        <w:jc w:val="center"/>
        <w:rPr>
          <w:rFonts w:ascii="宋体" w:hAnsi="宋体"/>
          <w:bCs/>
          <w:color w:val="auto"/>
          <w:sz w:val="44"/>
          <w:szCs w:val="44"/>
          <w:highlight w:val="none"/>
        </w:rPr>
      </w:pPr>
      <w:r>
        <w:rPr>
          <w:rFonts w:hint="eastAsia" w:ascii="宋体" w:hAnsi="宋体"/>
          <w:bCs/>
          <w:color w:val="auto"/>
          <w:sz w:val="44"/>
          <w:szCs w:val="44"/>
          <w:highlight w:val="none"/>
        </w:rPr>
        <w:t>投   标   文   件</w:t>
      </w:r>
    </w:p>
    <w:p>
      <w:pPr>
        <w:spacing w:line="500" w:lineRule="exact"/>
        <w:jc w:val="center"/>
        <w:rPr>
          <w:rFonts w:ascii="宋体" w:hAnsi="宋体"/>
          <w:color w:val="auto"/>
          <w:kern w:val="44"/>
          <w:sz w:val="44"/>
          <w:szCs w:val="44"/>
          <w:highlight w:val="none"/>
          <w:lang w:val="zh-CN"/>
        </w:rPr>
      </w:pPr>
    </w:p>
    <w:p>
      <w:pPr>
        <w:spacing w:line="500" w:lineRule="exact"/>
        <w:jc w:val="center"/>
        <w:rPr>
          <w:rFonts w:ascii="宋体" w:hAnsi="宋体"/>
          <w:b/>
          <w:color w:val="auto"/>
          <w:sz w:val="32"/>
          <w:szCs w:val="32"/>
          <w:highlight w:val="none"/>
          <w:u w:val="single"/>
        </w:rPr>
      </w:pPr>
    </w:p>
    <w:p>
      <w:pPr>
        <w:spacing w:line="500" w:lineRule="exact"/>
        <w:jc w:val="center"/>
        <w:rPr>
          <w:rFonts w:ascii="宋体" w:hAnsi="宋体"/>
          <w:b/>
          <w:color w:val="auto"/>
          <w:sz w:val="32"/>
          <w:szCs w:val="32"/>
          <w:highlight w:val="none"/>
          <w:u w:val="singl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color w:val="auto"/>
          <w:sz w:val="28"/>
          <w:szCs w:val="28"/>
          <w:highlight w:val="none"/>
        </w:rPr>
      </w:pPr>
    </w:p>
    <w:p>
      <w:pPr>
        <w:spacing w:line="500" w:lineRule="exact"/>
        <w:rPr>
          <w:rFonts w:ascii="宋体" w:hAnsi="宋体"/>
          <w:b/>
          <w:color w:val="auto"/>
          <w:sz w:val="28"/>
          <w:szCs w:val="28"/>
          <w:highlight w:val="none"/>
          <w:u w:val="singl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分包名称</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single"/>
        </w:rPr>
        <w:t xml:space="preserve"> </w:t>
      </w: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分包编号</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none"/>
          <w:lang w:val="en-US" w:eastAsia="zh-CN"/>
        </w:rPr>
        <w:t xml:space="preserve">                                           </w:t>
      </w:r>
      <w:r>
        <w:rPr>
          <w:rFonts w:hint="eastAsia" w:ascii="宋体" w:hAnsi="宋体"/>
          <w:b/>
          <w:color w:val="auto"/>
          <w:sz w:val="28"/>
          <w:szCs w:val="28"/>
          <w:highlight w:val="none"/>
          <w:u w:val="none"/>
        </w:rPr>
        <w:t xml:space="preserve"> </w:t>
      </w:r>
      <w:r>
        <w:rPr>
          <w:rFonts w:hint="eastAsia" w:ascii="宋体" w:hAnsi="宋体"/>
          <w:b/>
          <w:color w:val="auto"/>
          <w:sz w:val="28"/>
          <w:szCs w:val="28"/>
          <w:highlight w:val="none"/>
          <w:u w:val="single"/>
        </w:rPr>
        <w:t xml:space="preserve">                                      </w:t>
      </w:r>
    </w:p>
    <w:p>
      <w:pPr>
        <w:spacing w:line="500" w:lineRule="exact"/>
        <w:rPr>
          <w:rFonts w:ascii="宋体" w:hAnsi="宋体"/>
          <w:b/>
          <w:color w:val="auto"/>
          <w:sz w:val="28"/>
          <w:szCs w:val="28"/>
          <w:highlight w:val="none"/>
        </w:rPr>
      </w:pPr>
      <w:r>
        <w:rPr>
          <w:rFonts w:hint="eastAsia" w:ascii="宋体" w:hAnsi="宋体"/>
          <w:b/>
          <w:color w:val="auto"/>
          <w:sz w:val="28"/>
          <w:szCs w:val="28"/>
          <w:highlight w:val="none"/>
        </w:rPr>
        <w:t>投标人全称：</w:t>
      </w:r>
      <w:r>
        <w:rPr>
          <w:rFonts w:hint="eastAsia" w:ascii="宋体" w:hAnsi="宋体"/>
          <w:b/>
          <w:color w:val="auto"/>
          <w:sz w:val="28"/>
          <w:szCs w:val="28"/>
          <w:highlight w:val="none"/>
          <w:u w:val="single"/>
        </w:rPr>
        <w:t xml:space="preserve">                          （加盖单位公章）</w:t>
      </w:r>
      <w:r>
        <w:rPr>
          <w:rFonts w:hint="eastAsia" w:ascii="宋体" w:hAnsi="宋体"/>
          <w:b/>
          <w:color w:val="auto"/>
          <w:sz w:val="28"/>
          <w:szCs w:val="28"/>
          <w:highlight w:val="none"/>
        </w:rPr>
        <w:t xml:space="preserve"> </w:t>
      </w:r>
    </w:p>
    <w:p>
      <w:pPr>
        <w:autoSpaceDE w:val="0"/>
        <w:autoSpaceDN w:val="0"/>
        <w:adjustRightInd w:val="0"/>
        <w:outlineLvl w:val="1"/>
        <w:rPr>
          <w:rFonts w:hint="eastAsia" w:ascii="宋体" w:hAnsi="宋体" w:cs="宋体"/>
          <w:b/>
          <w:color w:val="auto"/>
          <w:sz w:val="24"/>
          <w:highlight w:val="none"/>
          <w:lang w:val="zh-CN"/>
        </w:rPr>
        <w:sectPr>
          <w:pgSz w:w="11906" w:h="16838"/>
          <w:pgMar w:top="1440" w:right="1196" w:bottom="1440" w:left="1196" w:header="142" w:footer="1077"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年   月   日</w:t>
      </w:r>
    </w:p>
    <w:p>
      <w:pPr>
        <w:tabs>
          <w:tab w:val="left" w:pos="432"/>
        </w:tabs>
        <w:spacing w:before="0" w:after="0" w:line="360" w:lineRule="auto"/>
        <w:ind w:right="-218" w:rightChars="-104"/>
        <w:jc w:val="center"/>
        <w:outlineLvl w:val="9"/>
        <w:rPr>
          <w:rFonts w:ascii="宋体" w:hAnsi="宋体"/>
          <w:color w:val="auto"/>
          <w:sz w:val="28"/>
          <w:szCs w:val="28"/>
          <w:highlight w:val="none"/>
        </w:rPr>
      </w:pPr>
      <w:r>
        <w:rPr>
          <w:rFonts w:hint="eastAsia" w:ascii="宋体" w:hAnsi="宋体"/>
          <w:color w:val="auto"/>
          <w:sz w:val="28"/>
          <w:szCs w:val="28"/>
          <w:highlight w:val="none"/>
        </w:rPr>
        <w:t>评标索引</w:t>
      </w:r>
    </w:p>
    <w:p>
      <w:pPr>
        <w:autoSpaceDE w:val="0"/>
        <w:autoSpaceDN w:val="0"/>
        <w:adjustRightInd w:val="0"/>
        <w:outlineLvl w:val="1"/>
        <w:rPr>
          <w:rFonts w:hint="eastAsia" w:ascii="宋体" w:hAnsi="宋体" w:cs="宋体"/>
          <w:b/>
          <w:color w:val="auto"/>
          <w:sz w:val="24"/>
          <w:highlight w:val="none"/>
          <w:lang w:val="zh-CN"/>
        </w:rPr>
        <w:sectPr>
          <w:pgSz w:w="11906" w:h="16838"/>
          <w:pgMar w:top="1440" w:right="1196" w:bottom="1440" w:left="1196" w:header="142" w:footer="1077"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cs="宋体"/>
          <w:color w:val="auto"/>
          <w:sz w:val="24"/>
          <w:highlight w:val="none"/>
          <w:lang w:val="zh-CN"/>
        </w:rPr>
        <w:t>响应人请在目录后方加入评标索引，将《详细评审表》粘贴于此处，并在最右侧加入“页码”栏</w:t>
      </w:r>
    </w:p>
    <w:p>
      <w:pPr>
        <w:autoSpaceDE w:val="0"/>
        <w:autoSpaceDN w:val="0"/>
        <w:adjustRightInd w:val="0"/>
        <w:outlineLvl w:val="1"/>
        <w:rPr>
          <w:rFonts w:hint="eastAsia" w:ascii="宋体" w:hAnsi="宋体" w:cs="宋体"/>
          <w:b/>
          <w:color w:val="auto"/>
          <w:sz w:val="24"/>
          <w:highlight w:val="none"/>
          <w:lang w:val="zh-CN"/>
        </w:rPr>
      </w:pPr>
      <w:r>
        <w:rPr>
          <w:rFonts w:hint="eastAsia" w:ascii="宋体" w:hAnsi="宋体" w:cs="宋体"/>
          <w:b/>
          <w:color w:val="auto"/>
          <w:sz w:val="24"/>
          <w:highlight w:val="none"/>
          <w:lang w:val="zh-CN"/>
        </w:rPr>
        <w:t>格式一</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val="zh-CN"/>
        </w:rPr>
        <w:t>投标函</w:t>
      </w:r>
    </w:p>
    <w:p>
      <w:pPr>
        <w:autoSpaceDE w:val="0"/>
        <w:autoSpaceDN w:val="0"/>
        <w:adjustRightInd w:val="0"/>
        <w:outlineLvl w:val="9"/>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 xml:space="preserve">                          ：</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根据你方</w:t>
      </w:r>
      <w:r>
        <w:rPr>
          <w:rFonts w:hint="eastAsia" w:ascii="宋体" w:hAnsi="宋体" w:cs="宋体"/>
          <w:color w:val="auto"/>
          <w:szCs w:val="21"/>
          <w:highlight w:val="none"/>
          <w:u w:val="single"/>
          <w:lang w:val="zh-CN"/>
        </w:rPr>
        <w:t xml:space="preserve">  （项目名称）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项目的编号为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招标文件，我方正式授权的下述签字人</w:t>
      </w:r>
      <w:r>
        <w:rPr>
          <w:rFonts w:hint="eastAsia" w:ascii="宋体" w:hAnsi="宋体" w:cs="宋体"/>
          <w:color w:val="auto"/>
          <w:szCs w:val="21"/>
          <w:highlight w:val="none"/>
          <w:u w:val="single"/>
          <w:lang w:val="zh-CN"/>
        </w:rPr>
        <w:t xml:space="preserve">  （姓名和职务）  </w:t>
      </w:r>
      <w:r>
        <w:rPr>
          <w:rFonts w:hint="eastAsia" w:ascii="宋体" w:hAnsi="宋体" w:cs="宋体"/>
          <w:color w:val="auto"/>
          <w:szCs w:val="21"/>
          <w:highlight w:val="none"/>
          <w:lang w:val="zh-CN"/>
        </w:rPr>
        <w:t>代表我方</w:t>
      </w:r>
      <w:r>
        <w:rPr>
          <w:rFonts w:hint="eastAsia" w:ascii="宋体" w:hAnsi="宋体" w:cs="宋体"/>
          <w:color w:val="auto"/>
          <w:szCs w:val="21"/>
          <w:highlight w:val="none"/>
          <w:u w:val="single"/>
          <w:lang w:val="zh-CN"/>
        </w:rPr>
        <w:t xml:space="preserve">  （投标人的名称）  </w:t>
      </w:r>
      <w:r>
        <w:rPr>
          <w:rFonts w:hint="eastAsia" w:ascii="宋体" w:hAnsi="宋体" w:cs="宋体"/>
          <w:color w:val="auto"/>
          <w:szCs w:val="21"/>
          <w:highlight w:val="none"/>
          <w:lang w:val="zh-CN"/>
        </w:rPr>
        <w:t>，按照你方招标文件的规定，提交《投标人须知》</w:t>
      </w:r>
      <w:r>
        <w:rPr>
          <w:rFonts w:hint="eastAsia" w:ascii="宋体" w:hAnsi="宋体" w:cs="宋体"/>
          <w:color w:val="auto"/>
          <w:szCs w:val="21"/>
          <w:highlight w:val="none"/>
        </w:rPr>
        <w:t>“</w:t>
      </w:r>
      <w:r>
        <w:rPr>
          <w:rFonts w:hint="eastAsia" w:ascii="宋体" w:hAnsi="宋体" w:cs="宋体"/>
          <w:color w:val="auto"/>
          <w:szCs w:val="21"/>
          <w:highlight w:val="none"/>
          <w:lang w:val="zh-CN"/>
        </w:rPr>
        <w:t>投标文件构成</w:t>
      </w:r>
      <w:r>
        <w:rPr>
          <w:rFonts w:hint="eastAsia" w:ascii="宋体" w:hAnsi="宋体" w:cs="宋体"/>
          <w:color w:val="auto"/>
          <w:szCs w:val="21"/>
          <w:highlight w:val="none"/>
        </w:rPr>
        <w:t>”</w:t>
      </w:r>
      <w:r>
        <w:rPr>
          <w:rFonts w:hint="eastAsia" w:ascii="宋体" w:hAnsi="宋体" w:cs="宋体"/>
          <w:color w:val="auto"/>
          <w:szCs w:val="21"/>
          <w:highlight w:val="none"/>
          <w:lang w:val="zh-CN"/>
        </w:rPr>
        <w:t>要求的全部文件，并保证所提供的全部文件是真实的、有效的和准确的。</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据此函，签字人兹宣布同意如下：</w:t>
      </w:r>
    </w:p>
    <w:p>
      <w:pPr>
        <w:tabs>
          <w:tab w:val="left" w:pos="8175"/>
        </w:tabs>
        <w:autoSpaceDE w:val="0"/>
        <w:autoSpaceDN w:val="0"/>
        <w:adjustRightInd w:val="0"/>
        <w:ind w:firstLine="420" w:firstLineChars="20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lang w:val="zh-CN"/>
        </w:rPr>
        <w:t>按招标文件规定提供货物及服务的投标总价为（大写）</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元人民币</w:t>
      </w:r>
      <w:r>
        <w:rPr>
          <w:rFonts w:hint="eastAsia" w:ascii="宋体" w:hAnsi="宋体" w:cs="宋体"/>
          <w:color w:val="auto"/>
          <w:szCs w:val="21"/>
          <w:highlight w:val="none"/>
          <w:lang w:val="zh-CN"/>
        </w:rPr>
        <w:t>。</w:t>
      </w:r>
    </w:p>
    <w:p>
      <w:pPr>
        <w:tabs>
          <w:tab w:val="left" w:pos="8175"/>
        </w:tabs>
        <w:autoSpaceDE w:val="0"/>
        <w:autoSpaceDN w:val="0"/>
        <w:adjustRightInd w:val="0"/>
        <w:ind w:firstLine="420" w:firstLineChars="20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2.如果我方中标，我们保证根据招标文件规定履行合同责任和义务。具体</w:t>
      </w:r>
      <w:r>
        <w:rPr>
          <w:rFonts w:hint="eastAsia" w:ascii="宋体" w:hAnsi="宋体" w:cs="宋体"/>
          <w:color w:val="auto"/>
          <w:szCs w:val="21"/>
          <w:highlight w:val="none"/>
          <w:lang w:val="zh-CN" w:eastAsia="zh-CN"/>
        </w:rPr>
        <w:t>供货期</w:t>
      </w:r>
      <w:r>
        <w:rPr>
          <w:rFonts w:hint="eastAsia" w:ascii="宋体" w:hAnsi="宋体" w:cs="宋体"/>
          <w:color w:val="auto"/>
          <w:szCs w:val="21"/>
          <w:highlight w:val="none"/>
          <w:lang w:val="zh-CN"/>
        </w:rPr>
        <w:t>承诺如下：</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zh-CN"/>
        </w:rPr>
        <w:t>。</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3.我方人民币</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元的投标保证金与本投标文件同时提交。</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4.如果我方中标，我方保证按照招标文件规定提交履约保证金，承担履约责任。</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6.我们对招标文件关于时限、程序方面的规定没有异议，保证按照招标文件规定的时限和程序参加投标活动。</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7.我们同意在投标人须知规定的开标时间起遵循本投标书，并在投标人须知规定的投标有效期满之前均具有约束力，并有可能中标。</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8.我们如果在规定的投标有效期内撤回投标，则你方可不予退还我们的投标保证金。</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9.我们保证向你方提供你方可能要求的与本投标有关的任何证据或资料。</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10.我们完全理解你方不一定要接受最低报价的投标或收到的任何投标。</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11.本投标自开标之时起90天内有效。</w:t>
      </w:r>
    </w:p>
    <w:p>
      <w:pPr>
        <w:tabs>
          <w:tab w:val="left" w:pos="709"/>
        </w:tabs>
        <w:autoSpaceDE w:val="0"/>
        <w:autoSpaceDN w:val="0"/>
        <w:adjustRightInd w:val="0"/>
        <w:ind w:firstLine="482"/>
        <w:outlineLvl w:val="9"/>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12.我方保证严格遵守《中华人民共和国政府采购法实施条例》的有关规定，若有下列情形之一的，我方将被处不予退还投标保证金，列入不良行为记录名单，在一至三年内禁止参加政府招标活动，并予以公告：</w:t>
      </w:r>
    </w:p>
    <w:p>
      <w:pPr>
        <w:autoSpaceDE w:val="0"/>
        <w:autoSpaceDN w:val="0"/>
        <w:adjustRightInd w:val="0"/>
        <w:ind w:firstLine="480"/>
        <w:outlineLvl w:val="9"/>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）提供虚假材料谋取中标、成交的；</w:t>
      </w:r>
    </w:p>
    <w:p>
      <w:pPr>
        <w:autoSpaceDE w:val="0"/>
        <w:autoSpaceDN w:val="0"/>
        <w:adjustRightInd w:val="0"/>
        <w:ind w:firstLine="480"/>
        <w:outlineLvl w:val="9"/>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）采取不正当手段诋毁、排挤其他投标人的；</w:t>
      </w:r>
    </w:p>
    <w:p>
      <w:pPr>
        <w:autoSpaceDE w:val="0"/>
        <w:autoSpaceDN w:val="0"/>
        <w:adjustRightInd w:val="0"/>
        <w:ind w:firstLine="480"/>
        <w:outlineLvl w:val="9"/>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）与其他投标人、招标机构或者招标单位人员或者其他有关人员恶意串通的；</w:t>
      </w:r>
    </w:p>
    <w:p>
      <w:pPr>
        <w:autoSpaceDE w:val="0"/>
        <w:autoSpaceDN w:val="0"/>
        <w:adjustRightInd w:val="0"/>
        <w:ind w:firstLine="480"/>
        <w:outlineLvl w:val="9"/>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4</w:t>
      </w:r>
      <w:r>
        <w:rPr>
          <w:rFonts w:hint="eastAsia" w:ascii="宋体" w:hAnsi="宋体" w:cs="宋体"/>
          <w:color w:val="auto"/>
          <w:szCs w:val="21"/>
          <w:highlight w:val="none"/>
          <w:lang w:val="zh-CN"/>
        </w:rPr>
        <w:t>）向评标委员会成员、招标机构或者招标单位人员或者其他有关人员行贿或者提供其他不正当利益的；</w:t>
      </w:r>
    </w:p>
    <w:p>
      <w:pPr>
        <w:autoSpaceDE w:val="0"/>
        <w:autoSpaceDN w:val="0"/>
        <w:adjustRightInd w:val="0"/>
        <w:ind w:firstLine="480"/>
        <w:outlineLvl w:val="9"/>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5</w:t>
      </w:r>
      <w:r>
        <w:rPr>
          <w:rFonts w:hint="eastAsia" w:ascii="宋体" w:hAnsi="宋体" w:cs="宋体"/>
          <w:color w:val="auto"/>
          <w:szCs w:val="21"/>
          <w:highlight w:val="none"/>
          <w:lang w:val="zh-CN"/>
        </w:rPr>
        <w:t>）被评定中标后无正当理由不与招标人或者招标代理机构订立合同，或者中标后不按招标文件和中标投标人的投标文件订立合同，或者与招标人另行订立背离合同实质性内容的协议的；</w:t>
      </w:r>
    </w:p>
    <w:p>
      <w:pPr>
        <w:autoSpaceDE w:val="0"/>
        <w:autoSpaceDN w:val="0"/>
        <w:adjustRightInd w:val="0"/>
        <w:ind w:firstLine="480"/>
        <w:outlineLvl w:val="9"/>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6</w:t>
      </w:r>
      <w:r>
        <w:rPr>
          <w:rFonts w:hint="eastAsia" w:ascii="宋体" w:hAnsi="宋体" w:cs="宋体"/>
          <w:color w:val="auto"/>
          <w:szCs w:val="21"/>
          <w:highlight w:val="none"/>
          <w:lang w:val="zh-CN"/>
        </w:rPr>
        <w:t>）将中标项目转让给他人或者将中标项目分包给他人的；</w:t>
      </w:r>
    </w:p>
    <w:p>
      <w:pPr>
        <w:autoSpaceDE w:val="0"/>
        <w:autoSpaceDN w:val="0"/>
        <w:adjustRightInd w:val="0"/>
        <w:ind w:firstLine="480"/>
        <w:outlineLvl w:val="9"/>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7</w:t>
      </w:r>
      <w:r>
        <w:rPr>
          <w:rFonts w:hint="eastAsia" w:ascii="宋体" w:hAnsi="宋体" w:cs="宋体"/>
          <w:color w:val="auto"/>
          <w:szCs w:val="21"/>
          <w:highlight w:val="none"/>
          <w:lang w:val="zh-CN"/>
        </w:rPr>
        <w:t>）签订合同后拒绝履行合同义务的；</w:t>
      </w:r>
    </w:p>
    <w:p>
      <w:pPr>
        <w:autoSpaceDE w:val="0"/>
        <w:autoSpaceDN w:val="0"/>
        <w:adjustRightInd w:val="0"/>
        <w:ind w:firstLine="480"/>
        <w:outlineLvl w:val="9"/>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）拒绝有关部门监督检查或提供虚假情况的。</w:t>
      </w:r>
    </w:p>
    <w:p>
      <w:pPr>
        <w:autoSpaceDE w:val="0"/>
        <w:autoSpaceDN w:val="0"/>
        <w:adjustRightInd w:val="0"/>
        <w:ind w:firstLine="482"/>
        <w:outlineLvl w:val="9"/>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投标人印刷体名称（加盖公章）：</w:t>
      </w:r>
      <w:r>
        <w:rPr>
          <w:rFonts w:hint="eastAsia" w:ascii="宋体" w:hAnsi="宋体" w:cs="宋体"/>
          <w:color w:val="auto"/>
          <w:szCs w:val="21"/>
          <w:highlight w:val="none"/>
          <w:u w:val="single"/>
          <w:lang w:val="zh-CN"/>
        </w:rPr>
        <w:t xml:space="preserve">                      </w:t>
      </w:r>
    </w:p>
    <w:p>
      <w:pPr>
        <w:autoSpaceDE w:val="0"/>
        <w:autoSpaceDN w:val="0"/>
        <w:adjustRightInd w:val="0"/>
        <w:ind w:firstLine="482"/>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单位负责人或授权代理人（签字</w:t>
      </w:r>
      <w:r>
        <w:rPr>
          <w:rFonts w:ascii="宋体" w:hAnsi="宋体" w:cs="宋体"/>
          <w:color w:val="auto"/>
          <w:szCs w:val="21"/>
          <w:highlight w:val="none"/>
          <w:lang w:val="zh-CN"/>
        </w:rPr>
        <w:t>或盖章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pPr>
        <w:autoSpaceDE w:val="0"/>
        <w:autoSpaceDN w:val="0"/>
        <w:adjustRightInd w:val="0"/>
        <w:ind w:firstLine="480"/>
        <w:outlineLvl w:val="9"/>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地址：</w:t>
      </w:r>
      <w:r>
        <w:rPr>
          <w:rFonts w:hint="eastAsia" w:ascii="宋体" w:hAnsi="宋体" w:cs="宋体"/>
          <w:color w:val="auto"/>
          <w:szCs w:val="21"/>
          <w:highlight w:val="none"/>
          <w:u w:val="single"/>
          <w:lang w:val="zh-CN"/>
        </w:rPr>
        <w:t xml:space="preserve">                                       </w:t>
      </w:r>
    </w:p>
    <w:p>
      <w:pPr>
        <w:autoSpaceDE w:val="0"/>
        <w:autoSpaceDN w:val="0"/>
        <w:adjustRightInd w:val="0"/>
        <w:ind w:firstLine="480"/>
        <w:outlineLvl w:val="9"/>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电话、传真或电传：</w:t>
      </w:r>
      <w:r>
        <w:rPr>
          <w:rFonts w:hint="eastAsia" w:ascii="宋体" w:hAnsi="宋体" w:cs="宋体"/>
          <w:color w:val="auto"/>
          <w:szCs w:val="21"/>
          <w:highlight w:val="none"/>
          <w:u w:val="single"/>
          <w:lang w:val="zh-CN"/>
        </w:rPr>
        <w:t xml:space="preserve">                           </w:t>
      </w:r>
    </w:p>
    <w:p>
      <w:pPr>
        <w:autoSpaceDE w:val="0"/>
        <w:autoSpaceDN w:val="0"/>
        <w:adjustRightInd w:val="0"/>
        <w:ind w:firstLine="480"/>
        <w:outlineLvl w:val="9"/>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邮政编码：</w:t>
      </w:r>
      <w:r>
        <w:rPr>
          <w:rFonts w:hint="eastAsia" w:ascii="宋体" w:hAnsi="宋体" w:cs="宋体"/>
          <w:color w:val="auto"/>
          <w:szCs w:val="21"/>
          <w:highlight w:val="none"/>
          <w:u w:val="single"/>
          <w:lang w:val="zh-CN"/>
        </w:rPr>
        <w:t xml:space="preserve">                                   </w:t>
      </w:r>
    </w:p>
    <w:p>
      <w:pPr>
        <w:autoSpaceDE w:val="0"/>
        <w:autoSpaceDN w:val="0"/>
        <w:adjustRightInd w:val="0"/>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日期：</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p>
    <w:p>
      <w:pPr>
        <w:autoSpaceDE w:val="0"/>
        <w:autoSpaceDN w:val="0"/>
        <w:adjustRightInd w:val="0"/>
        <w:ind w:firstLine="480"/>
        <w:outlineLvl w:val="9"/>
        <w:rPr>
          <w:rFonts w:hint="eastAsia" w:ascii="宋体" w:hAnsi="宋体" w:cs="宋体"/>
          <w:color w:val="auto"/>
          <w:szCs w:val="21"/>
          <w:highlight w:val="none"/>
          <w:lang w:val="zh-CN"/>
        </w:rPr>
      </w:pPr>
    </w:p>
    <w:p>
      <w:pPr>
        <w:autoSpaceDE w:val="0"/>
        <w:autoSpaceDN w:val="0"/>
        <w:adjustRightInd w:val="0"/>
        <w:ind w:firstLine="472"/>
        <w:outlineLvl w:val="9"/>
        <w:rPr>
          <w:rFonts w:ascii="宋体" w:hAnsi="宋体" w:cs="宋体"/>
          <w:color w:val="auto"/>
          <w:szCs w:val="21"/>
          <w:highlight w:val="none"/>
          <w:lang w:val="zh-CN"/>
        </w:rPr>
      </w:pPr>
      <w:r>
        <w:rPr>
          <w:rFonts w:hint="eastAsia" w:ascii="宋体" w:hAnsi="宋体" w:cs="宋体"/>
          <w:color w:val="auto"/>
          <w:szCs w:val="21"/>
          <w:highlight w:val="none"/>
          <w:lang w:val="zh-CN"/>
        </w:rPr>
        <w:t>请投标人注意：投标函必须按规定有效签署和加盖公章。</w:t>
      </w:r>
    </w:p>
    <w:p>
      <w:pPr>
        <w:tabs>
          <w:tab w:val="left" w:pos="4442"/>
        </w:tabs>
        <w:outlineLvl w:val="9"/>
        <w:rPr>
          <w:rFonts w:ascii="宋体" w:hAnsi="宋体" w:cs="宋体"/>
          <w:color w:val="auto"/>
          <w:szCs w:val="21"/>
          <w:highlight w:val="none"/>
          <w:lang w:val="zh-CN"/>
        </w:rPr>
      </w:pPr>
      <w:r>
        <w:rPr>
          <w:rFonts w:ascii="宋体" w:hAnsi="宋体" w:cs="宋体"/>
          <w:color w:val="auto"/>
          <w:szCs w:val="21"/>
          <w:highlight w:val="none"/>
          <w:lang w:val="zh-CN"/>
        </w:rPr>
        <w:tab/>
      </w:r>
    </w:p>
    <w:p>
      <w:pPr>
        <w:tabs>
          <w:tab w:val="left" w:pos="4442"/>
        </w:tabs>
        <w:outlineLvl w:val="9"/>
        <w:rPr>
          <w:rFonts w:ascii="宋体" w:hAnsi="宋体" w:cs="宋体"/>
          <w:color w:val="auto"/>
          <w:szCs w:val="21"/>
          <w:highlight w:val="none"/>
          <w:lang w:val="zh-CN"/>
        </w:rPr>
        <w:sectPr>
          <w:pgSz w:w="11906" w:h="16838"/>
          <w:pgMar w:top="1440" w:right="1196" w:bottom="1440" w:left="1196" w:header="142" w:footer="1077" w:gutter="0"/>
          <w:pgBorders>
            <w:top w:val="none" w:sz="0" w:space="0"/>
            <w:left w:val="none" w:sz="0" w:space="0"/>
            <w:bottom w:val="none" w:sz="0" w:space="0"/>
            <w:right w:val="none" w:sz="0" w:space="0"/>
          </w:pgBorders>
          <w:pgNumType w:fmt="decimal"/>
          <w:cols w:space="720" w:num="1"/>
          <w:titlePg/>
          <w:docGrid w:type="lines" w:linePitch="490" w:charSpace="0"/>
        </w:sectPr>
      </w:pPr>
      <w:r>
        <w:rPr>
          <w:rFonts w:ascii="宋体" w:hAnsi="宋体" w:cs="宋体"/>
          <w:color w:val="auto"/>
          <w:szCs w:val="21"/>
          <w:highlight w:val="none"/>
          <w:lang w:val="zh-CN"/>
        </w:rPr>
        <w:tab/>
      </w:r>
    </w:p>
    <w:p>
      <w:pPr>
        <w:autoSpaceDE w:val="0"/>
        <w:autoSpaceDN w:val="0"/>
        <w:adjustRightInd w:val="0"/>
        <w:outlineLvl w:val="9"/>
        <w:rPr>
          <w:rFonts w:hint="eastAsia" w:ascii="宋体" w:hAnsi="宋体" w:cs="宋体"/>
          <w:b/>
          <w:color w:val="auto"/>
          <w:sz w:val="24"/>
          <w:highlight w:val="none"/>
          <w:lang w:val="zh-CN"/>
        </w:rPr>
        <w:sectPr>
          <w:headerReference r:id="rId11" w:type="default"/>
          <w:type w:val="continuous"/>
          <w:pgSz w:w="11906" w:h="16838"/>
          <w:pgMar w:top="1080" w:right="1440" w:bottom="1080"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outlineLvl w:val="1"/>
        <w:rPr>
          <w:rFonts w:hint="eastAsia" w:ascii="宋体" w:hAnsi="宋体" w:cs="宋体"/>
          <w:b/>
          <w:color w:val="auto"/>
          <w:sz w:val="24"/>
          <w:highlight w:val="none"/>
          <w:u w:val="single"/>
          <w:lang w:val="zh-CN"/>
        </w:rPr>
      </w:pPr>
      <w:bookmarkStart w:id="133" w:name="_Toc29556"/>
      <w:bookmarkStart w:id="134" w:name="_Toc12567"/>
      <w:r>
        <w:rPr>
          <w:rFonts w:hint="eastAsia" w:ascii="宋体" w:hAnsi="宋体" w:cs="宋体"/>
          <w:b/>
          <w:color w:val="auto"/>
          <w:sz w:val="24"/>
          <w:highlight w:val="none"/>
          <w:lang w:val="zh-CN"/>
        </w:rPr>
        <w:t>格式二</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val="zh-CN"/>
        </w:rPr>
        <w:t>开标一览表</w:t>
      </w:r>
      <w:bookmarkEnd w:id="133"/>
      <w:bookmarkEnd w:id="134"/>
      <w:r>
        <w:rPr>
          <w:rFonts w:hint="eastAsia" w:ascii="宋体" w:hAnsi="宋体" w:cs="宋体"/>
          <w:b/>
          <w:color w:val="auto"/>
          <w:sz w:val="24"/>
          <w:highlight w:val="none"/>
          <w:lang w:val="zh-CN"/>
        </w:rPr>
        <w:t xml:space="preserve"> </w:t>
      </w:r>
    </w:p>
    <w:p>
      <w:pPr>
        <w:autoSpaceDE w:val="0"/>
        <w:autoSpaceDN w:val="0"/>
        <w:adjustRightInd w:val="0"/>
        <w:spacing w:line="360" w:lineRule="auto"/>
        <w:outlineLvl w:val="9"/>
        <w:rPr>
          <w:rFonts w:hint="eastAsia" w:ascii="宋体" w:hAnsi="宋体" w:cs="宋体"/>
          <w:color w:val="auto"/>
          <w:sz w:val="24"/>
          <w:highlight w:val="none"/>
          <w:lang w:val="zh-CN"/>
        </w:rPr>
      </w:pPr>
    </w:p>
    <w:p>
      <w:pPr>
        <w:autoSpaceDE w:val="0"/>
        <w:autoSpaceDN w:val="0"/>
        <w:adjustRightInd w:val="0"/>
        <w:spacing w:line="360" w:lineRule="auto"/>
        <w:outlineLvl w:val="9"/>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项目名称：</w:t>
      </w:r>
    </w:p>
    <w:p>
      <w:pPr>
        <w:autoSpaceDE w:val="0"/>
        <w:autoSpaceDN w:val="0"/>
        <w:adjustRightInd w:val="0"/>
        <w:spacing w:line="360" w:lineRule="auto"/>
        <w:outlineLvl w:val="9"/>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项目编号：</w:t>
      </w:r>
    </w:p>
    <w:p>
      <w:pPr>
        <w:autoSpaceDE w:val="0"/>
        <w:autoSpaceDN w:val="0"/>
        <w:adjustRightInd w:val="0"/>
        <w:spacing w:line="360" w:lineRule="auto"/>
        <w:jc w:val="right"/>
        <w:outlineLvl w:val="9"/>
        <w:rPr>
          <w:rFonts w:hint="eastAsia" w:ascii="宋体" w:hAnsi="宋体" w:cs="宋体"/>
          <w:color w:val="auto"/>
          <w:sz w:val="24"/>
          <w:szCs w:val="24"/>
          <w:highlight w:val="none"/>
          <w:lang w:val="zh-CN"/>
        </w:rPr>
      </w:pP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lang w:val="zh-CN"/>
        </w:rPr>
        <w:t>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zh-CN"/>
        </w:rPr>
        <w:t xml:space="preserve">年  月   日  </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 xml:space="preserve">                            </w:t>
      </w:r>
    </w:p>
    <w:tbl>
      <w:tblPr>
        <w:tblStyle w:val="23"/>
        <w:tblW w:w="8793"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142"/>
        <w:gridCol w:w="2052"/>
        <w:gridCol w:w="1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pPr>
              <w:pStyle w:val="4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 xml:space="preserve">   （元）</w:t>
            </w:r>
          </w:p>
        </w:tc>
        <w:tc>
          <w:tcPr>
            <w:tcW w:w="314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3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合同履行期限</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优惠条件</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“有”或“无”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8"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082"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填报的内容必须和投标文件及投标函中的内容一致。</w:t>
            </w:r>
          </w:p>
          <w:p>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投标报价为一览表所列项目报价的总和。</w:t>
            </w:r>
          </w:p>
          <w:p>
            <w:pPr>
              <w:numPr>
                <w:ilvl w:val="0"/>
                <w:numId w:val="0"/>
              </w:numPr>
              <w:ind w:leftChars="0"/>
              <w:rPr>
                <w:rFonts w:hint="eastAsia" w:ascii="宋体" w:hAnsi="宋体" w:eastAsia="宋体" w:cs="宋体"/>
                <w:b/>
                <w:color w:val="auto"/>
                <w:sz w:val="21"/>
                <w:szCs w:val="21"/>
                <w:highlight w:val="none"/>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优惠条件、服务承诺两项，详细内容必须在投标书中载明，如内容较多，本表只填写“有”“无”即可。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7" w:hRule="atLeast"/>
        </w:trPr>
        <w:tc>
          <w:tcPr>
            <w:tcW w:w="879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法定代表人或委托代理人：（签字或盖章）</w:t>
            </w:r>
          </w:p>
          <w:p>
            <w:pPr>
              <w:rPr>
                <w:rFonts w:hint="eastAsia" w:ascii="宋体" w:hAnsi="宋体" w:eastAsia="宋体" w:cs="宋体"/>
                <w:color w:val="auto"/>
                <w:sz w:val="21"/>
                <w:szCs w:val="21"/>
                <w:highlight w:val="none"/>
              </w:rPr>
            </w:pPr>
          </w:p>
        </w:tc>
      </w:tr>
    </w:tbl>
    <w:p>
      <w:pPr>
        <w:autoSpaceDE w:val="0"/>
        <w:autoSpaceDN w:val="0"/>
        <w:adjustRightInd w:val="0"/>
        <w:spacing w:line="360" w:lineRule="auto"/>
        <w:outlineLvl w:val="9"/>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投标要求：</w:t>
      </w:r>
    </w:p>
    <w:p>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1</w:t>
      </w:r>
      <w:r>
        <w:rPr>
          <w:rFonts w:hint="eastAsia" w:ascii="宋体" w:hAnsi="宋体" w:cs="宋体"/>
          <w:color w:val="auto"/>
          <w:sz w:val="21"/>
          <w:szCs w:val="21"/>
          <w:lang w:val="zh-CN"/>
        </w:rPr>
        <w:t>.只允许有一个报价，任何有选择性的报价或者有附加条件的报价招标人将不予接受。</w:t>
      </w:r>
    </w:p>
    <w:p>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cs="宋体"/>
          <w:color w:val="auto"/>
          <w:sz w:val="21"/>
          <w:szCs w:val="21"/>
          <w:lang w:val="zh-CN"/>
        </w:rPr>
        <w:t>投标总价应包括如果授予合同将要缴纳的包括增值税在内的销售税和其他税。</w:t>
      </w:r>
    </w:p>
    <w:p>
      <w:pPr>
        <w:autoSpaceDE w:val="0"/>
        <w:autoSpaceDN w:val="0"/>
        <w:adjustRightInd w:val="0"/>
        <w:spacing w:line="360" w:lineRule="auto"/>
        <w:outlineLvl w:val="9"/>
        <w:rPr>
          <w:rFonts w:hint="eastAsia" w:ascii="宋体" w:hAnsi="宋体" w:cs="宋体"/>
          <w:b/>
          <w:color w:val="auto"/>
          <w:sz w:val="24"/>
          <w:lang w:val="zh-CN"/>
        </w:rPr>
        <w:sectPr>
          <w:pgSz w:w="11906" w:h="16838"/>
          <w:pgMar w:top="1417" w:right="1440" w:bottom="1417" w:left="1440" w:header="851" w:footer="107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outlineLvl w:val="1"/>
        <w:rPr>
          <w:rFonts w:hint="eastAsia" w:ascii="宋体" w:hAnsi="宋体" w:cs="宋体"/>
          <w:b/>
          <w:color w:val="auto"/>
          <w:sz w:val="24"/>
          <w:highlight w:val="none"/>
          <w:lang w:val="zh-CN"/>
        </w:rPr>
      </w:pPr>
      <w:bookmarkStart w:id="135" w:name="_Toc20872"/>
      <w:bookmarkStart w:id="136" w:name="_Toc14114"/>
      <w:r>
        <w:rPr>
          <w:rFonts w:hint="eastAsia" w:ascii="宋体" w:hAnsi="宋体" w:cs="宋体"/>
          <w:b/>
          <w:color w:val="auto"/>
          <w:sz w:val="24"/>
          <w:highlight w:val="none"/>
          <w:lang w:val="zh-CN"/>
        </w:rPr>
        <w:t>格式三</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val="zh-CN"/>
        </w:rPr>
        <w:t>投标人基本情况</w:t>
      </w:r>
      <w:bookmarkEnd w:id="135"/>
      <w:bookmarkEnd w:id="136"/>
    </w:p>
    <w:p>
      <w:pPr>
        <w:autoSpaceDE w:val="0"/>
        <w:autoSpaceDN w:val="0"/>
        <w:adjustRightInd w:val="0"/>
        <w:spacing w:line="360" w:lineRule="auto"/>
        <w:outlineLvl w:val="9"/>
        <w:rPr>
          <w:rFonts w:hint="eastAsia" w:ascii="宋体" w:hAnsi="宋体" w:cs="宋体"/>
          <w:bCs/>
          <w:color w:val="auto"/>
          <w:szCs w:val="21"/>
          <w:highlight w:val="none"/>
          <w:lang w:val="zh-CN"/>
        </w:rPr>
      </w:pPr>
    </w:p>
    <w:p>
      <w:pPr>
        <w:autoSpaceDE w:val="0"/>
        <w:autoSpaceDN w:val="0"/>
        <w:adjustRightInd w:val="0"/>
        <w:outlineLvl w:val="9"/>
        <w:rPr>
          <w:rFonts w:hint="eastAsia" w:ascii="宋体" w:hAnsi="宋体" w:cs="宋体"/>
          <w:color w:val="auto"/>
          <w:sz w:val="24"/>
          <w:highlight w:val="none"/>
        </w:rPr>
      </w:pPr>
      <w:r>
        <w:rPr>
          <w:rFonts w:hint="eastAsia" w:asciiTheme="minorEastAsia" w:hAnsiTheme="minorEastAsia" w:eastAsiaTheme="minorEastAsia" w:cstheme="minorEastAsia"/>
          <w:color w:val="auto"/>
          <w:sz w:val="24"/>
        </w:rPr>
        <w:t>格式自拟</w:t>
      </w: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color w:val="auto"/>
          <w:sz w:val="24"/>
          <w:highlight w:val="none"/>
        </w:rPr>
      </w:pPr>
    </w:p>
    <w:p>
      <w:pPr>
        <w:autoSpaceDE w:val="0"/>
        <w:autoSpaceDN w:val="0"/>
        <w:adjustRightInd w:val="0"/>
        <w:jc w:val="center"/>
        <w:outlineLvl w:val="9"/>
        <w:rPr>
          <w:rFonts w:hint="eastAsia" w:ascii="宋体" w:hAnsi="宋体" w:cs="宋体"/>
          <w:b/>
          <w:color w:val="auto"/>
          <w:sz w:val="24"/>
          <w:highlight w:val="none"/>
          <w:lang w:val="zh-CN"/>
        </w:rPr>
      </w:pPr>
    </w:p>
    <w:p>
      <w:pPr>
        <w:autoSpaceDE w:val="0"/>
        <w:autoSpaceDN w:val="0"/>
        <w:adjustRightInd w:val="0"/>
        <w:jc w:val="left"/>
        <w:outlineLvl w:val="1"/>
        <w:rPr>
          <w:rFonts w:hint="eastAsia" w:ascii="宋体" w:hAnsi="宋体" w:cs="宋体"/>
          <w:b/>
          <w:color w:val="auto"/>
          <w:sz w:val="24"/>
          <w:highlight w:val="none"/>
          <w:lang w:val="zh-CN"/>
        </w:rPr>
        <w:sectPr>
          <w:headerReference r:id="rId12" w:type="default"/>
          <w:pgSz w:w="11906" w:h="16838"/>
          <w:pgMar w:top="1440" w:right="1080" w:bottom="1440" w:left="1080" w:header="851" w:footer="1077" w:gutter="0"/>
          <w:pgBorders>
            <w:top w:val="none" w:sz="0" w:space="0"/>
            <w:left w:val="none" w:sz="0" w:space="0"/>
            <w:bottom w:val="none" w:sz="0" w:space="0"/>
            <w:right w:val="none" w:sz="0" w:space="0"/>
          </w:pgBorders>
          <w:pgNumType w:fmt="decimal"/>
          <w:cols w:space="720" w:num="1"/>
          <w:titlePg/>
          <w:docGrid w:linePitch="490" w:charSpace="0"/>
        </w:sectPr>
      </w:pPr>
      <w:bookmarkStart w:id="137" w:name="_Toc22598"/>
      <w:bookmarkStart w:id="138" w:name="_Toc125"/>
    </w:p>
    <w:p>
      <w:pPr>
        <w:autoSpaceDE w:val="0"/>
        <w:autoSpaceDN w:val="0"/>
        <w:adjustRightInd w:val="0"/>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zh-CN"/>
        </w:rPr>
        <w:t>格式四</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val="zh-CN"/>
        </w:rPr>
        <w:t>投标人的资格声明</w:t>
      </w:r>
      <w:bookmarkEnd w:id="137"/>
      <w:bookmarkEnd w:id="138"/>
    </w:p>
    <w:p>
      <w:pPr>
        <w:autoSpaceDE w:val="0"/>
        <w:autoSpaceDN w:val="0"/>
        <w:adjustRightInd w:val="0"/>
        <w:outlineLvl w:val="9"/>
        <w:rPr>
          <w:rFonts w:hint="eastAsia" w:ascii="宋体" w:hAnsi="宋体" w:cs="宋体"/>
          <w:b/>
          <w:color w:val="auto"/>
          <w:sz w:val="24"/>
          <w:highlight w:val="none"/>
        </w:rPr>
      </w:pPr>
    </w:p>
    <w:p>
      <w:pPr>
        <w:autoSpaceDE w:val="0"/>
        <w:autoSpaceDN w:val="0"/>
        <w:adjustRightInd w:val="0"/>
        <w:spacing w:line="360" w:lineRule="auto"/>
        <w:outlineLvl w:val="9"/>
        <w:rPr>
          <w:rFonts w:hint="eastAsia" w:ascii="宋体" w:hAnsi="宋体" w:cs="宋体"/>
          <w:color w:val="auto"/>
          <w:szCs w:val="21"/>
        </w:rPr>
      </w:pPr>
      <w:r>
        <w:rPr>
          <w:rFonts w:hint="eastAsia" w:ascii="宋体" w:hAnsi="宋体" w:cs="宋体"/>
          <w:color w:val="auto"/>
          <w:szCs w:val="21"/>
          <w:lang w:val="zh-CN"/>
        </w:rPr>
        <w:t>致吉林省联宇项目管理有限公司：</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按照《中华人民共和国政府采购法》、《中华人民共和国政府采购法实施条例》</w:t>
      </w:r>
      <w:r>
        <w:rPr>
          <w:rFonts w:hint="eastAsia" w:ascii="宋体" w:hAnsi="宋体" w:cs="宋体"/>
          <w:color w:val="auto"/>
          <w:szCs w:val="21"/>
          <w:lang w:val="en-US" w:eastAsia="zh-CN"/>
        </w:rPr>
        <w:t>及</w:t>
      </w:r>
      <w:r>
        <w:rPr>
          <w:rFonts w:hint="eastAsia" w:ascii="宋体" w:hAnsi="宋体" w:cs="宋体"/>
          <w:color w:val="auto"/>
          <w:szCs w:val="21"/>
          <w:lang w:val="zh-CN"/>
        </w:rPr>
        <w:t>你公司发布的《</w:t>
      </w:r>
      <w:r>
        <w:rPr>
          <w:rFonts w:hint="eastAsia" w:ascii="宋体" w:hAnsi="宋体" w:cs="宋体"/>
          <w:color w:val="auto"/>
          <w:szCs w:val="21"/>
          <w:u w:val="single"/>
          <w:lang w:val="zh-CN"/>
        </w:rPr>
        <w:t xml:space="preserve">项目名称 </w:t>
      </w:r>
      <w:r>
        <w:rPr>
          <w:rFonts w:hint="eastAsia" w:ascii="宋体" w:hAnsi="宋体" w:cs="宋体"/>
          <w:color w:val="auto"/>
          <w:szCs w:val="21"/>
          <w:lang w:val="zh-CN"/>
        </w:rPr>
        <w:t>招标文件》的规定，我公司郑重声明如下：</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、满足《中华人民共和国政府采购法》第二十二条规定。</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（一）具有独立承担民事责任的能力；</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（二）具有良好的商业信誉和健全的财务会计制度；</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（三）具有履行合同所必需的设备和专业技术能力；</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（四）有依法缴纳税收和社会保障资金的良好记录；</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（五）参加政府采购活动前三年内，在经营活动中没有重大违法记录；</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（六）法律、行政法规规定的其他条件。</w:t>
      </w:r>
    </w:p>
    <w:p>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eastAsia="zh-CN"/>
        </w:rPr>
        <w:t>2.不存在</w:t>
      </w:r>
      <w:r>
        <w:rPr>
          <w:rFonts w:hint="eastAsia" w:ascii="宋体" w:hAnsi="宋体" w:cs="宋体"/>
          <w:color w:val="auto"/>
          <w:szCs w:val="21"/>
          <w:lang w:val="zh-CN"/>
        </w:rPr>
        <w:t>与采购人存在利害关系可能影响采购公正性的法人、其它组织或者个人参加投标；</w:t>
      </w:r>
      <w:r>
        <w:rPr>
          <w:rFonts w:hint="eastAsia" w:ascii="宋体" w:hAnsi="宋体" w:cs="宋体"/>
          <w:color w:val="auto"/>
          <w:szCs w:val="21"/>
          <w:lang w:val="zh-CN" w:eastAsia="zh-CN"/>
        </w:rPr>
        <w:t>不存在</w:t>
      </w:r>
      <w:r>
        <w:rPr>
          <w:rFonts w:hint="eastAsia" w:ascii="宋体" w:hAnsi="宋体" w:cs="宋体"/>
          <w:color w:val="auto"/>
          <w:szCs w:val="21"/>
          <w:lang w:val="zh-CN"/>
        </w:rPr>
        <w:t>单位负责人为同一人或者存在直接控股、管理关系的不同</w:t>
      </w:r>
      <w:r>
        <w:rPr>
          <w:rFonts w:hint="eastAsia" w:ascii="宋体" w:hAnsi="宋体" w:cs="宋体"/>
          <w:color w:val="auto"/>
          <w:szCs w:val="21"/>
          <w:lang w:val="zh-CN" w:eastAsia="zh-CN"/>
        </w:rPr>
        <w:t>投标人</w:t>
      </w:r>
      <w:r>
        <w:rPr>
          <w:rFonts w:hint="eastAsia" w:ascii="宋体" w:hAnsi="宋体" w:cs="宋体"/>
          <w:color w:val="auto"/>
          <w:szCs w:val="21"/>
          <w:lang w:val="zh-CN"/>
        </w:rPr>
        <w:t>，参加同一合同项下的政府采购活动。违反这两款规定的，相关投标均无效。</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val="zh-CN"/>
        </w:rPr>
        <w:t>我公司在参与本次政府招标活动时未受到任何地方政府招标部门作出的暂停参加政府招标活动的处罚。</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w:t>
      </w:r>
      <w:r>
        <w:rPr>
          <w:rFonts w:hint="eastAsia" w:ascii="宋体" w:hAnsi="宋体" w:cs="宋体"/>
          <w:color w:val="auto"/>
          <w:szCs w:val="21"/>
          <w:lang w:val="en-US" w:eastAsia="zh-CN"/>
        </w:rPr>
        <w:t>公司</w:t>
      </w:r>
      <w:r>
        <w:rPr>
          <w:rFonts w:hint="eastAsia" w:ascii="宋体" w:hAnsi="宋体" w:cs="宋体"/>
          <w:color w:val="auto"/>
          <w:szCs w:val="21"/>
          <w:lang w:val="zh-CN"/>
        </w:rPr>
        <w:t>以及本项目招标人所造成的损失。</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pPr>
        <w:autoSpaceDE w:val="0"/>
        <w:autoSpaceDN w:val="0"/>
        <w:adjustRightInd w:val="0"/>
        <w:spacing w:line="360" w:lineRule="auto"/>
        <w:ind w:firstLine="480"/>
        <w:outlineLvl w:val="9"/>
        <w:rPr>
          <w:rFonts w:hint="eastAsia" w:ascii="宋体" w:hAnsi="宋体" w:cs="宋体"/>
          <w:color w:val="auto"/>
          <w:szCs w:val="21"/>
        </w:rPr>
      </w:pP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投标人名称全称：</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投标人单位公章：</w:t>
      </w:r>
    </w:p>
    <w:p>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单位负责人或授权代理人签字：</w:t>
      </w:r>
    </w:p>
    <w:p>
      <w:pPr>
        <w:autoSpaceDE w:val="0"/>
        <w:autoSpaceDN w:val="0"/>
        <w:adjustRightInd w:val="0"/>
        <w:spacing w:line="360" w:lineRule="auto"/>
        <w:ind w:firstLine="480"/>
        <w:outlineLvl w:val="9"/>
        <w:rPr>
          <w:rFonts w:hint="eastAsia" w:ascii="宋体" w:hAnsi="宋体" w:cs="宋体"/>
          <w:color w:val="auto"/>
          <w:szCs w:val="21"/>
          <w:highlight w:val="none"/>
        </w:rPr>
      </w:pPr>
      <w:r>
        <w:rPr>
          <w:rFonts w:hint="eastAsia" w:ascii="宋体" w:hAnsi="宋体" w:cs="宋体"/>
          <w:color w:val="auto"/>
          <w:szCs w:val="21"/>
          <w:lang w:val="zh-CN"/>
        </w:rPr>
        <w:t>时间：</w:t>
      </w:r>
      <w:r>
        <w:rPr>
          <w:rFonts w:hint="eastAsia" w:ascii="宋体" w:hAnsi="宋体" w:cs="宋体"/>
          <w:color w:val="auto"/>
          <w:szCs w:val="21"/>
          <w:lang w:val="en-US" w:eastAsia="zh-CN"/>
        </w:rPr>
        <w:t xml:space="preserve">  </w:t>
      </w:r>
      <w:r>
        <w:rPr>
          <w:rFonts w:hint="eastAsia" w:ascii="宋体" w:hAnsi="宋体" w:cs="宋体"/>
          <w:color w:val="auto"/>
          <w:szCs w:val="21"/>
          <w:lang w:val="zh-CN"/>
        </w:rPr>
        <w:t>年</w:t>
      </w:r>
      <w:r>
        <w:rPr>
          <w:rFonts w:hint="eastAsia" w:ascii="宋体" w:hAnsi="宋体" w:cs="宋体"/>
          <w:color w:val="auto"/>
          <w:szCs w:val="21"/>
        </w:rPr>
        <w:t xml:space="preserve">  </w:t>
      </w:r>
      <w:r>
        <w:rPr>
          <w:rFonts w:hint="eastAsia" w:ascii="宋体" w:hAnsi="宋体" w:cs="宋体"/>
          <w:color w:val="auto"/>
          <w:szCs w:val="21"/>
          <w:lang w:val="zh-CN"/>
        </w:rPr>
        <w:t>月</w:t>
      </w:r>
      <w:r>
        <w:rPr>
          <w:rFonts w:hint="eastAsia" w:ascii="宋体" w:hAnsi="宋体" w:cs="宋体"/>
          <w:color w:val="auto"/>
          <w:szCs w:val="21"/>
        </w:rPr>
        <w:t xml:space="preserve">  </w:t>
      </w:r>
      <w:r>
        <w:rPr>
          <w:rFonts w:hint="eastAsia" w:ascii="宋体" w:hAnsi="宋体" w:cs="宋体"/>
          <w:color w:val="auto"/>
          <w:szCs w:val="21"/>
          <w:lang w:val="zh-CN"/>
        </w:rPr>
        <w:t>日</w:t>
      </w:r>
    </w:p>
    <w:p>
      <w:pPr>
        <w:autoSpaceDE w:val="0"/>
        <w:autoSpaceDN w:val="0"/>
        <w:adjustRightInd w:val="0"/>
        <w:ind w:firstLine="480"/>
        <w:outlineLvl w:val="9"/>
        <w:rPr>
          <w:rFonts w:hint="eastAsia" w:ascii="宋体" w:hAnsi="宋体" w:cs="宋体"/>
          <w:color w:val="auto"/>
          <w:sz w:val="24"/>
          <w:highlight w:val="none"/>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jc w:val="left"/>
        <w:outlineLvl w:val="1"/>
        <w:rPr>
          <w:rFonts w:hint="eastAsia" w:ascii="宋体" w:hAnsi="宋体" w:cs="宋体"/>
          <w:b/>
          <w:color w:val="auto"/>
          <w:sz w:val="24"/>
          <w:highlight w:val="none"/>
          <w:lang w:val="en-US" w:eastAsia="zh-CN"/>
        </w:rPr>
      </w:pPr>
      <w:bookmarkStart w:id="139" w:name="_Toc9192"/>
      <w:bookmarkStart w:id="140" w:name="_Toc1355"/>
      <w:r>
        <w:rPr>
          <w:rFonts w:hint="eastAsia" w:ascii="宋体" w:hAnsi="宋体" w:cs="宋体"/>
          <w:b/>
          <w:color w:val="auto"/>
          <w:sz w:val="24"/>
          <w:highlight w:val="none"/>
          <w:lang w:val="zh-CN"/>
        </w:rPr>
        <w:t>格式五</w:t>
      </w:r>
      <w:r>
        <w:rPr>
          <w:rFonts w:hint="eastAsia" w:ascii="宋体" w:hAnsi="宋体" w:cs="宋体"/>
          <w:b/>
          <w:color w:val="auto"/>
          <w:sz w:val="24"/>
          <w:highlight w:val="none"/>
          <w:lang w:val="en-US" w:eastAsia="zh-CN"/>
        </w:rPr>
        <w:t xml:space="preserve">  </w:t>
      </w:r>
      <w:r>
        <w:rPr>
          <w:rFonts w:hint="eastAsia" w:ascii="宋体" w:hAnsi="宋体" w:cs="宋体"/>
          <w:b/>
          <w:color w:val="auto"/>
          <w:sz w:val="24"/>
          <w:szCs w:val="28"/>
          <w:highlight w:val="none"/>
        </w:rPr>
        <w:t>单位负责人证明书</w:t>
      </w:r>
      <w:bookmarkEnd w:id="139"/>
    </w:p>
    <w:p>
      <w:pPr>
        <w:pStyle w:val="18"/>
        <w:outlineLvl w:val="9"/>
        <w:rPr>
          <w:rFonts w:hint="eastAsia" w:ascii="宋体" w:hAnsi="宋体" w:cs="宋体"/>
          <w:b/>
          <w:color w:val="auto"/>
          <w:sz w:val="24"/>
          <w:highlight w:val="none"/>
          <w:lang w:val="en-US" w:eastAsia="zh-CN"/>
        </w:rPr>
      </w:pPr>
    </w:p>
    <w:p>
      <w:pPr>
        <w:spacing w:line="360" w:lineRule="auto"/>
        <w:jc w:val="center"/>
        <w:outlineLvl w:val="9"/>
        <w:rPr>
          <w:rFonts w:hint="eastAsia" w:ascii="仿宋_GB2312" w:hAnsi="宋体" w:eastAsia="仿宋_GB2312"/>
          <w:b/>
          <w:color w:val="auto"/>
          <w:sz w:val="24"/>
          <w:szCs w:val="28"/>
          <w:highlight w:val="none"/>
        </w:rPr>
      </w:pPr>
      <w:r>
        <w:rPr>
          <w:rFonts w:hint="eastAsia" w:ascii="宋体" w:hAnsi="宋体" w:cs="宋体"/>
          <w:b/>
          <w:color w:val="auto"/>
          <w:sz w:val="24"/>
          <w:szCs w:val="28"/>
          <w:highlight w:val="none"/>
        </w:rPr>
        <w:t>单位负责人证明书（格式）</w:t>
      </w:r>
    </w:p>
    <w:p>
      <w:pPr>
        <w:spacing w:line="360" w:lineRule="auto"/>
        <w:jc w:val="center"/>
        <w:outlineLvl w:val="9"/>
        <w:rPr>
          <w:rFonts w:hint="eastAsia" w:ascii="仿宋_GB2312" w:hAnsi="宋体" w:eastAsia="仿宋_GB2312"/>
          <w:color w:val="auto"/>
          <w:sz w:val="24"/>
          <w:highlight w:val="none"/>
        </w:rPr>
      </w:pPr>
    </w:p>
    <w:p>
      <w:pPr>
        <w:spacing w:line="360" w:lineRule="auto"/>
        <w:ind w:left="439" w:leftChars="209" w:firstLine="38" w:firstLineChars="16"/>
        <w:jc w:val="left"/>
        <w:outlineLvl w:val="9"/>
        <w:rPr>
          <w:rFonts w:hint="eastAsia" w:ascii="宋体" w:hAnsi="宋体" w:cs="宋体"/>
          <w:color w:val="auto"/>
          <w:sz w:val="24"/>
          <w:highlight w:val="none"/>
        </w:rPr>
      </w:pPr>
      <w:r>
        <w:rPr>
          <w:rFonts w:hint="eastAsia" w:ascii="宋体" w:hAnsi="宋体" w:cs="宋体"/>
          <w:color w:val="auto"/>
          <w:sz w:val="24"/>
          <w:highlight w:val="none"/>
        </w:rPr>
        <w:t>兹证明：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（被证明人姓名）现任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（职务），系公司的单位负责人。</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480" w:firstLineChars="200"/>
        <w:outlineLvl w:val="9"/>
        <w:rPr>
          <w:rFonts w:hint="eastAsia" w:ascii="宋体" w:hAnsi="宋体" w:cs="宋体"/>
          <w:color w:val="auto"/>
          <w:sz w:val="24"/>
          <w:highlight w:val="none"/>
        </w:rPr>
      </w:pPr>
    </w:p>
    <w:p>
      <w:pPr>
        <w:spacing w:line="360" w:lineRule="auto"/>
        <w:ind w:firstLine="480" w:firstLineChars="200"/>
        <w:outlineLvl w:val="9"/>
        <w:rPr>
          <w:rFonts w:hint="eastAsia" w:ascii="宋体" w:hAnsi="宋体" w:cs="宋体"/>
          <w:color w:val="auto"/>
          <w:sz w:val="24"/>
          <w:highlight w:val="none"/>
        </w:rPr>
      </w:pPr>
    </w:p>
    <w:p>
      <w:pPr>
        <w:spacing w:line="360" w:lineRule="auto"/>
        <w:ind w:firstLine="480" w:firstLineChars="200"/>
        <w:outlineLvl w:val="9"/>
        <w:rPr>
          <w:rFonts w:hint="eastAsia" w:ascii="宋体" w:hAnsi="宋体" w:cs="宋体"/>
          <w:color w:val="auto"/>
          <w:sz w:val="24"/>
          <w:highlight w:val="none"/>
        </w:rPr>
      </w:pP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投标单位全称（公章）：</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地址：</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被证明人签字：</w:t>
      </w:r>
    </w:p>
    <w:p>
      <w:pPr>
        <w:spacing w:line="360" w:lineRule="auto"/>
        <w:ind w:firstLine="555"/>
        <w:outlineLvl w:val="9"/>
        <w:rPr>
          <w:rFonts w:hint="eastAsia" w:ascii="宋体" w:hAnsi="宋体" w:cs="宋体"/>
          <w:color w:val="auto"/>
          <w:sz w:val="24"/>
          <w:highlight w:val="none"/>
        </w:rPr>
      </w:pPr>
    </w:p>
    <w:p>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pStyle w:val="14"/>
        <w:spacing w:line="360" w:lineRule="auto"/>
        <w:outlineLvl w:val="9"/>
        <w:rPr>
          <w:rFonts w:hint="eastAsia" w:ascii="宋体" w:hAnsi="宋体" w:cs="宋体"/>
          <w:color w:val="auto"/>
          <w:szCs w:val="24"/>
          <w:highlight w:val="none"/>
        </w:rPr>
      </w:pPr>
    </w:p>
    <w:p>
      <w:pPr>
        <w:spacing w:line="360" w:lineRule="auto"/>
        <w:ind w:firstLine="480" w:firstLineChars="200"/>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单位负责人身份证粘贴处</w:t>
      </w:r>
    </w:p>
    <w:p>
      <w:pPr>
        <w:pStyle w:val="14"/>
        <w:spacing w:line="360" w:lineRule="auto"/>
        <w:outlineLvl w:val="9"/>
        <w:rPr>
          <w:rFonts w:hint="eastAsia" w:ascii="宋体" w:hAnsi="宋体" w:cs="宋体"/>
          <w:color w:val="auto"/>
          <w:szCs w:val="24"/>
          <w:highlight w:val="none"/>
        </w:rPr>
      </w:pPr>
    </w:p>
    <w:p>
      <w:pPr>
        <w:rPr>
          <w:rFonts w:hint="eastAsia"/>
          <w:color w:val="auto"/>
          <w:highlight w:val="none"/>
          <w:lang w:val="en-US" w:eastAsia="zh-CN"/>
        </w:rPr>
        <w:sectPr>
          <w:pgSz w:w="11906" w:h="16838"/>
          <w:pgMar w:top="1440" w:right="1080" w:bottom="1440" w:left="1080" w:header="851" w:footer="107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jc w:val="left"/>
        <w:outlineLvl w:val="1"/>
        <w:rPr>
          <w:rFonts w:hint="eastAsia" w:ascii="宋体" w:hAnsi="宋体" w:cs="宋体"/>
          <w:b/>
          <w:color w:val="auto"/>
          <w:sz w:val="24"/>
          <w:highlight w:val="none"/>
          <w:lang w:val="en-US" w:eastAsia="zh-CN"/>
        </w:rPr>
      </w:pPr>
      <w:bookmarkStart w:id="141" w:name="_Toc17761"/>
      <w:r>
        <w:rPr>
          <w:rFonts w:hint="eastAsia" w:ascii="宋体" w:hAnsi="宋体" w:cs="宋体"/>
          <w:b/>
          <w:color w:val="auto"/>
          <w:sz w:val="24"/>
          <w:highlight w:val="none"/>
          <w:lang w:val="zh-CN"/>
        </w:rPr>
        <w:t>格式六</w:t>
      </w:r>
      <w:r>
        <w:rPr>
          <w:rFonts w:hint="eastAsia" w:ascii="宋体" w:hAnsi="宋体" w:cs="宋体"/>
          <w:b/>
          <w:color w:val="auto"/>
          <w:sz w:val="24"/>
          <w:highlight w:val="none"/>
          <w:lang w:val="en-US" w:eastAsia="zh-CN"/>
        </w:rPr>
        <w:t xml:space="preserve">  </w:t>
      </w:r>
      <w:r>
        <w:rPr>
          <w:rFonts w:hint="eastAsia" w:ascii="宋体" w:hAnsi="宋体" w:cs="宋体"/>
          <w:b/>
          <w:color w:val="auto"/>
          <w:sz w:val="24"/>
          <w:szCs w:val="28"/>
          <w:highlight w:val="none"/>
        </w:rPr>
        <w:t>单位负责人授权书</w:t>
      </w:r>
      <w:bookmarkEnd w:id="141"/>
    </w:p>
    <w:p>
      <w:pPr>
        <w:autoSpaceDE w:val="0"/>
        <w:autoSpaceDN w:val="0"/>
        <w:adjustRightInd w:val="0"/>
        <w:jc w:val="left"/>
        <w:outlineLvl w:val="9"/>
        <w:rPr>
          <w:rFonts w:hint="eastAsia" w:ascii="宋体" w:hAnsi="宋体" w:cs="宋体"/>
          <w:b/>
          <w:color w:val="auto"/>
          <w:sz w:val="24"/>
          <w:szCs w:val="28"/>
          <w:highlight w:val="none"/>
        </w:rPr>
      </w:pPr>
    </w:p>
    <w:bookmarkEnd w:id="140"/>
    <w:p>
      <w:pPr>
        <w:autoSpaceDE w:val="0"/>
        <w:autoSpaceDN w:val="0"/>
        <w:adjustRightInd w:val="0"/>
        <w:jc w:val="center"/>
        <w:outlineLvl w:val="9"/>
        <w:rPr>
          <w:rFonts w:hint="eastAsia" w:ascii="宋体" w:hAnsi="宋体" w:cs="宋体"/>
          <w:color w:val="auto"/>
          <w:sz w:val="24"/>
          <w:highlight w:val="none"/>
          <w:lang w:val="zh-CN"/>
        </w:rPr>
      </w:pPr>
      <w:r>
        <w:rPr>
          <w:rFonts w:hint="eastAsia" w:ascii="宋体" w:hAnsi="宋体" w:cs="宋体"/>
          <w:b/>
          <w:color w:val="auto"/>
          <w:sz w:val="24"/>
          <w:szCs w:val="28"/>
          <w:highlight w:val="none"/>
        </w:rPr>
        <w:t>单位负责人授权书</w:t>
      </w:r>
      <w:r>
        <w:rPr>
          <w:rFonts w:hint="eastAsia" w:ascii="宋体" w:hAnsi="宋体" w:cs="宋体"/>
          <w:color w:val="auto"/>
          <w:sz w:val="24"/>
          <w:highlight w:val="none"/>
          <w:lang w:val="zh-CN"/>
        </w:rPr>
        <w:t>（单位负责人投标的可不提供）</w:t>
      </w:r>
    </w:p>
    <w:p>
      <w:pPr>
        <w:autoSpaceDE w:val="0"/>
        <w:autoSpaceDN w:val="0"/>
        <w:adjustRightInd w:val="0"/>
        <w:ind w:firstLine="480"/>
        <w:outlineLvl w:val="9"/>
        <w:rPr>
          <w:rFonts w:hint="eastAsia" w:ascii="宋体" w:hAnsi="宋体" w:cs="宋体"/>
          <w:color w:val="auto"/>
          <w:sz w:val="24"/>
          <w:highlight w:val="none"/>
          <w:lang w:val="zh-CN"/>
        </w:rPr>
      </w:pPr>
    </w:p>
    <w:p>
      <w:pPr>
        <w:autoSpaceDE w:val="0"/>
        <w:autoSpaceDN w:val="0"/>
        <w:adjustRightInd w:val="0"/>
        <w:ind w:firstLine="480"/>
        <w:outlineLvl w:val="9"/>
        <w:rPr>
          <w:rFonts w:hint="eastAsia" w:ascii="宋体" w:hAnsi="宋体" w:cs="宋体"/>
          <w:color w:val="auto"/>
          <w:sz w:val="24"/>
          <w:highlight w:val="none"/>
          <w:lang w:val="zh-CN"/>
        </w:rPr>
      </w:pPr>
    </w:p>
    <w:p>
      <w:pPr>
        <w:snapToGrid w:val="0"/>
        <w:spacing w:line="360" w:lineRule="auto"/>
        <w:ind w:firstLine="480" w:firstLineChars="200"/>
        <w:textAlignment w:val="bottom"/>
        <w:rPr>
          <w:color w:val="auto"/>
          <w:sz w:val="24"/>
        </w:rPr>
      </w:pPr>
      <w:r>
        <w:rPr>
          <w:color w:val="auto"/>
          <w:sz w:val="24"/>
        </w:rPr>
        <w:t>本授权书声明：</w:t>
      </w:r>
      <w:r>
        <w:rPr>
          <w:rFonts w:hint="eastAsia"/>
          <w:color w:val="auto"/>
          <w:sz w:val="24"/>
          <w:u w:val="single"/>
        </w:rPr>
        <w:t xml:space="preserve">         </w:t>
      </w:r>
      <w:r>
        <w:rPr>
          <w:color w:val="auto"/>
          <w:sz w:val="24"/>
        </w:rPr>
        <w:t>（单位负责人姓名、职务）代表本公司授权</w:t>
      </w:r>
      <w:r>
        <w:rPr>
          <w:rFonts w:hint="eastAsia"/>
          <w:color w:val="auto"/>
          <w:sz w:val="24"/>
          <w:u w:val="single"/>
        </w:rPr>
        <w:t xml:space="preserve">         </w:t>
      </w:r>
      <w:r>
        <w:rPr>
          <w:color w:val="auto"/>
          <w:sz w:val="24"/>
        </w:rPr>
        <w:t>（被授权人的姓名、职务）为本公司的合法代理人，就</w:t>
      </w:r>
      <w:r>
        <w:rPr>
          <w:color w:val="auto"/>
          <w:sz w:val="24"/>
          <w:u w:val="single"/>
        </w:rPr>
        <w:t xml:space="preserve">                  </w:t>
      </w:r>
      <w:r>
        <w:rPr>
          <w:color w:val="auto"/>
          <w:sz w:val="24"/>
        </w:rPr>
        <w:t>项目（</w:t>
      </w:r>
      <w:r>
        <w:rPr>
          <w:rFonts w:hint="eastAsia"/>
          <w:color w:val="auto"/>
          <w:sz w:val="24"/>
        </w:rPr>
        <w:t>项目编号</w:t>
      </w:r>
      <w:r>
        <w:rPr>
          <w:color w:val="auto"/>
          <w:sz w:val="24"/>
          <w:u w:val="single"/>
        </w:rPr>
        <w:t xml:space="preserve">               </w:t>
      </w:r>
      <w:r>
        <w:rPr>
          <w:color w:val="auto"/>
          <w:sz w:val="24"/>
        </w:rPr>
        <w:t>）的投标以及合同的谈判、签约、执行、完成和保修等全权负责，以本公司名义处理一切与之有关的事务。</w:t>
      </w:r>
    </w:p>
    <w:p>
      <w:pPr>
        <w:snapToGrid w:val="0"/>
        <w:spacing w:line="360" w:lineRule="auto"/>
        <w:textAlignment w:val="bottom"/>
        <w:rPr>
          <w:color w:val="auto"/>
          <w:sz w:val="24"/>
        </w:rPr>
      </w:pPr>
      <w:r>
        <w:rPr>
          <w:color w:val="auto"/>
          <w:sz w:val="24"/>
        </w:rPr>
        <w:t xml:space="preserve">    本授权书于</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日签字生效，特此声明。</w:t>
      </w:r>
    </w:p>
    <w:p>
      <w:pPr>
        <w:snapToGrid w:val="0"/>
        <w:spacing w:line="360" w:lineRule="auto"/>
        <w:ind w:firstLine="975"/>
        <w:textAlignment w:val="bottom"/>
        <w:rPr>
          <w:color w:val="auto"/>
          <w:sz w:val="24"/>
        </w:rPr>
      </w:pPr>
    </w:p>
    <w:p>
      <w:pPr>
        <w:snapToGrid w:val="0"/>
        <w:spacing w:line="360" w:lineRule="auto"/>
        <w:ind w:firstLine="975"/>
        <w:textAlignment w:val="bottom"/>
        <w:rPr>
          <w:color w:val="auto"/>
          <w:sz w:val="24"/>
        </w:rPr>
      </w:pPr>
    </w:p>
    <w:p>
      <w:pPr>
        <w:snapToGrid w:val="0"/>
        <w:spacing w:line="360" w:lineRule="auto"/>
        <w:ind w:firstLine="480" w:firstLineChars="200"/>
        <w:textAlignment w:val="bottom"/>
        <w:rPr>
          <w:color w:val="auto"/>
          <w:sz w:val="24"/>
        </w:rPr>
      </w:pPr>
      <w:r>
        <w:rPr>
          <w:rFonts w:hint="eastAsia"/>
          <w:color w:val="auto"/>
          <w:sz w:val="24"/>
        </w:rPr>
        <w:t>供应商</w:t>
      </w:r>
      <w:r>
        <w:rPr>
          <w:color w:val="auto"/>
          <w:sz w:val="24"/>
        </w:rPr>
        <w:t>名称（盖章）：</w:t>
      </w:r>
    </w:p>
    <w:p>
      <w:pPr>
        <w:snapToGrid w:val="0"/>
        <w:spacing w:line="360" w:lineRule="auto"/>
        <w:ind w:firstLine="972" w:firstLineChars="405"/>
        <w:textAlignment w:val="bottom"/>
        <w:rPr>
          <w:color w:val="auto"/>
          <w:sz w:val="24"/>
        </w:rPr>
      </w:pPr>
    </w:p>
    <w:p>
      <w:pPr>
        <w:snapToGrid w:val="0"/>
        <w:spacing w:line="360" w:lineRule="auto"/>
        <w:textAlignment w:val="bottom"/>
        <w:rPr>
          <w:color w:val="auto"/>
          <w:sz w:val="24"/>
        </w:rPr>
      </w:pPr>
      <w:r>
        <w:rPr>
          <w:color w:val="auto"/>
          <w:sz w:val="24"/>
        </w:rPr>
        <w:t xml:space="preserve">    地址：</w:t>
      </w:r>
    </w:p>
    <w:p>
      <w:pPr>
        <w:snapToGrid w:val="0"/>
        <w:spacing w:line="360" w:lineRule="auto"/>
        <w:textAlignment w:val="bottom"/>
        <w:rPr>
          <w:color w:val="auto"/>
          <w:sz w:val="24"/>
        </w:rPr>
      </w:pPr>
    </w:p>
    <w:p>
      <w:pPr>
        <w:snapToGrid w:val="0"/>
        <w:spacing w:line="360" w:lineRule="auto"/>
        <w:textAlignment w:val="bottom"/>
        <w:rPr>
          <w:color w:val="auto"/>
          <w:sz w:val="24"/>
        </w:rPr>
      </w:pPr>
      <w:r>
        <w:rPr>
          <w:color w:val="auto"/>
          <w:sz w:val="24"/>
        </w:rPr>
        <w:t xml:space="preserve">    授权人（单位负责人）签字：</w:t>
      </w:r>
    </w:p>
    <w:p>
      <w:pPr>
        <w:snapToGrid w:val="0"/>
        <w:spacing w:line="360" w:lineRule="auto"/>
        <w:textAlignment w:val="bottom"/>
        <w:rPr>
          <w:color w:val="auto"/>
          <w:sz w:val="24"/>
          <w:u w:val="single"/>
        </w:rPr>
      </w:pPr>
    </w:p>
    <w:p>
      <w:pPr>
        <w:snapToGrid w:val="0"/>
        <w:spacing w:line="360" w:lineRule="auto"/>
        <w:textAlignment w:val="bottom"/>
        <w:rPr>
          <w:color w:val="auto"/>
          <w:sz w:val="24"/>
          <w:u w:val="single"/>
        </w:rPr>
      </w:pPr>
      <w:r>
        <w:rPr>
          <w:color w:val="auto"/>
          <w:sz w:val="24"/>
        </w:rPr>
        <w:t xml:space="preserve">    被授权人（代理人）签字：        </w:t>
      </w:r>
    </w:p>
    <w:p>
      <w:pPr>
        <w:snapToGrid w:val="0"/>
        <w:spacing w:line="360" w:lineRule="auto"/>
        <w:textAlignment w:val="bottom"/>
        <w:rPr>
          <w:bCs/>
          <w:color w:val="auto"/>
          <w:sz w:val="24"/>
        </w:rPr>
      </w:pPr>
    </w:p>
    <w:p>
      <w:pPr>
        <w:snapToGrid w:val="0"/>
        <w:spacing w:line="360" w:lineRule="auto"/>
        <w:textAlignment w:val="bottom"/>
        <w:rPr>
          <w:bCs/>
          <w:color w:val="auto"/>
          <w:sz w:val="24"/>
        </w:rPr>
      </w:pPr>
    </w:p>
    <w:p>
      <w:pPr>
        <w:snapToGrid w:val="0"/>
        <w:spacing w:line="360" w:lineRule="auto"/>
        <w:textAlignment w:val="bottom"/>
        <w:rPr>
          <w:bCs/>
          <w:color w:val="auto"/>
          <w:sz w:val="24"/>
        </w:rPr>
      </w:pPr>
    </w:p>
    <w:p>
      <w:pPr>
        <w:autoSpaceDE w:val="0"/>
        <w:autoSpaceDN w:val="0"/>
        <w:adjustRightInd w:val="0"/>
        <w:spacing w:line="360" w:lineRule="auto"/>
        <w:ind w:firstLine="472"/>
        <w:outlineLvl w:val="9"/>
        <w:rPr>
          <w:rFonts w:hint="eastAsia" w:ascii="宋体" w:hAnsi="宋体" w:cs="宋体"/>
          <w:color w:val="auto"/>
          <w:szCs w:val="21"/>
          <w:highlight w:val="none"/>
          <w:lang w:val="zh-CN"/>
        </w:rPr>
      </w:pPr>
      <w:r>
        <w:rPr>
          <w:color w:val="auto"/>
          <w:sz w:val="24"/>
        </w:rPr>
        <w:t>被授权人身份证粘帖处</w:t>
      </w:r>
    </w:p>
    <w:p>
      <w:pPr>
        <w:autoSpaceDE w:val="0"/>
        <w:autoSpaceDN w:val="0"/>
        <w:adjustRightInd w:val="0"/>
        <w:spacing w:line="360" w:lineRule="auto"/>
        <w:outlineLvl w:val="9"/>
        <w:rPr>
          <w:rFonts w:hint="eastAsia" w:ascii="宋体" w:hAnsi="宋体" w:cs="宋体"/>
          <w:b/>
          <w:color w:val="auto"/>
          <w:szCs w:val="21"/>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jc w:val="left"/>
        <w:outlineLvl w:val="1"/>
        <w:rPr>
          <w:rFonts w:hint="eastAsia" w:ascii="宋体" w:hAnsi="宋体" w:cs="宋体"/>
          <w:b/>
          <w:color w:val="auto"/>
          <w:sz w:val="24"/>
          <w:szCs w:val="28"/>
          <w:lang w:val="zh-CN"/>
        </w:rPr>
      </w:pPr>
      <w:bookmarkStart w:id="142" w:name="_Toc3711"/>
      <w:bookmarkStart w:id="143" w:name="_Toc237200085"/>
      <w:bookmarkStart w:id="144" w:name="_Toc13845"/>
      <w:bookmarkStart w:id="145" w:name="_Toc237236997"/>
      <w:bookmarkStart w:id="146" w:name="_Toc423024745"/>
      <w:bookmarkStart w:id="147" w:name="_Toc237199966"/>
      <w:bookmarkStart w:id="148" w:name="_Toc237329052"/>
      <w:bookmarkStart w:id="149" w:name="_Toc357609772"/>
      <w:bookmarkStart w:id="150" w:name="_Toc237200209"/>
      <w:bookmarkStart w:id="151" w:name="_Toc237328730"/>
      <w:bookmarkStart w:id="152" w:name="_Toc24378"/>
      <w:bookmarkStart w:id="153" w:name="_Toc3569"/>
      <w:bookmarkStart w:id="154" w:name="_Toc24445"/>
      <w:bookmarkStart w:id="155" w:name="_Toc238185767"/>
      <w:r>
        <w:rPr>
          <w:rFonts w:hint="eastAsia" w:ascii="宋体" w:hAnsi="宋体" w:cs="宋体"/>
          <w:b/>
          <w:color w:val="auto"/>
          <w:sz w:val="24"/>
          <w:lang w:val="zh-CN"/>
        </w:rPr>
        <w:t>格式七</w:t>
      </w:r>
      <w:r>
        <w:rPr>
          <w:rFonts w:hint="eastAsia" w:ascii="宋体" w:hAnsi="宋体" w:cs="宋体"/>
          <w:b/>
          <w:color w:val="auto"/>
          <w:sz w:val="24"/>
          <w:lang w:val="en-US" w:eastAsia="zh-CN"/>
        </w:rPr>
        <w:t xml:space="preserve"> 投</w:t>
      </w:r>
      <w:r>
        <w:rPr>
          <w:rFonts w:hint="eastAsia" w:ascii="宋体" w:hAnsi="宋体" w:cs="宋体"/>
          <w:b/>
          <w:color w:val="auto"/>
          <w:sz w:val="24"/>
          <w:szCs w:val="28"/>
          <w:lang w:val="en-US" w:eastAsia="zh-CN"/>
        </w:rPr>
        <w:t>标</w:t>
      </w:r>
      <w:r>
        <w:rPr>
          <w:rFonts w:hint="eastAsia" w:ascii="宋体" w:hAnsi="宋体" w:cs="宋体"/>
          <w:b/>
          <w:color w:val="auto"/>
          <w:sz w:val="24"/>
          <w:szCs w:val="28"/>
          <w:lang w:val="zh-CN"/>
        </w:rPr>
        <w:t>保证金</w:t>
      </w:r>
    </w:p>
    <w:p>
      <w:pPr>
        <w:pStyle w:val="3"/>
        <w:rPr>
          <w:rFonts w:hint="eastAsia" w:ascii="宋体" w:hAnsi="宋体" w:cs="宋体"/>
          <w:b/>
          <w:color w:val="auto"/>
          <w:sz w:val="24"/>
          <w:szCs w:val="28"/>
          <w:lang w:val="zh-CN"/>
        </w:rPr>
      </w:pPr>
    </w:p>
    <w:p>
      <w:pPr>
        <w:spacing w:line="440" w:lineRule="exact"/>
        <w:outlineLvl w:val="9"/>
        <w:rPr>
          <w:color w:val="auto"/>
          <w:sz w:val="24"/>
          <w:highlight w:val="none"/>
          <w:lang w:val="zh-CN"/>
        </w:rPr>
      </w:pPr>
      <w:r>
        <w:rPr>
          <w:rFonts w:hint="eastAsia"/>
          <w:color w:val="auto"/>
          <w:sz w:val="24"/>
          <w:highlight w:val="none"/>
          <w:u w:val="single"/>
          <w:lang w:val="zh-CN"/>
        </w:rPr>
        <w:t>致</w:t>
      </w:r>
      <w:r>
        <w:rPr>
          <w:color w:val="auto"/>
          <w:sz w:val="24"/>
          <w:highlight w:val="none"/>
          <w:u w:val="single"/>
          <w:lang w:val="zh-CN"/>
        </w:rPr>
        <w:t xml:space="preserve">                </w:t>
      </w:r>
      <w:r>
        <w:rPr>
          <w:rFonts w:hint="eastAsia"/>
          <w:color w:val="auto"/>
          <w:sz w:val="24"/>
          <w:highlight w:val="none"/>
          <w:lang w:val="zh-CN"/>
        </w:rPr>
        <w:t>（采购代理机构名称）：</w:t>
      </w:r>
    </w:p>
    <w:p>
      <w:pPr>
        <w:spacing w:line="440" w:lineRule="exact"/>
        <w:outlineLvl w:val="9"/>
        <w:rPr>
          <w:color w:val="auto"/>
          <w:sz w:val="24"/>
          <w:highlight w:val="none"/>
          <w:u w:val="single"/>
          <w:lang w:val="zh-CN"/>
        </w:rPr>
      </w:pPr>
    </w:p>
    <w:p>
      <w:pPr>
        <w:spacing w:line="440" w:lineRule="exact"/>
        <w:outlineLvl w:val="9"/>
        <w:rPr>
          <w:color w:val="auto"/>
          <w:sz w:val="24"/>
          <w:highlight w:val="none"/>
          <w:u w:val="single"/>
          <w:lang w:val="zh-CN"/>
        </w:rPr>
      </w:pP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en-US" w:eastAsia="zh-CN"/>
        </w:rPr>
        <w:t>投标</w:t>
      </w:r>
      <w:r>
        <w:rPr>
          <w:rFonts w:hint="eastAsia"/>
          <w:color w:val="auto"/>
          <w:sz w:val="24"/>
          <w:highlight w:val="none"/>
          <w:lang w:val="zh-CN"/>
        </w:rPr>
        <w:t>人名称</w:t>
      </w:r>
      <w:r>
        <w:rPr>
          <w:color w:val="auto"/>
          <w:sz w:val="24"/>
          <w:highlight w:val="none"/>
          <w:lang w:val="zh-CN"/>
        </w:rPr>
        <w:t>]</w:t>
      </w:r>
      <w:r>
        <w:rPr>
          <w:rFonts w:hint="eastAsia"/>
          <w:color w:val="auto"/>
          <w:sz w:val="24"/>
          <w:highlight w:val="none"/>
          <w:lang w:val="zh-CN"/>
        </w:rPr>
        <w:t>（以下称</w:t>
      </w:r>
      <w:r>
        <w:rPr>
          <w:color w:val="auto"/>
          <w:sz w:val="24"/>
          <w:highlight w:val="none"/>
          <w:lang w:val="zh-CN"/>
        </w:rPr>
        <w:t>“</w:t>
      </w:r>
      <w:r>
        <w:rPr>
          <w:rFonts w:hint="eastAsia"/>
          <w:color w:val="auto"/>
          <w:sz w:val="24"/>
          <w:highlight w:val="none"/>
          <w:lang w:val="zh-CN"/>
        </w:rPr>
        <w:t>[投标人</w:t>
      </w:r>
      <w:r>
        <w:rPr>
          <w:color w:val="auto"/>
          <w:sz w:val="24"/>
          <w:highlight w:val="none"/>
          <w:lang w:val="zh-CN"/>
        </w:rPr>
        <w:t>”</w:t>
      </w:r>
      <w:r>
        <w:rPr>
          <w:rFonts w:hint="eastAsia"/>
          <w:color w:val="auto"/>
          <w:sz w:val="24"/>
          <w:highlight w:val="none"/>
          <w:lang w:val="zh-CN"/>
        </w:rPr>
        <w:t>）于</w:t>
      </w:r>
      <w:r>
        <w:rPr>
          <w:color w:val="auto"/>
          <w:sz w:val="24"/>
          <w:highlight w:val="none"/>
          <w:u w:val="single"/>
          <w:lang w:val="zh-CN"/>
        </w:rPr>
        <w:t xml:space="preserve">  </w:t>
      </w:r>
      <w:r>
        <w:rPr>
          <w:rFonts w:hint="eastAsia"/>
          <w:color w:val="auto"/>
          <w:sz w:val="24"/>
          <w:highlight w:val="none"/>
          <w:lang w:val="zh-CN"/>
        </w:rPr>
        <w:t>年</w:t>
      </w:r>
      <w:r>
        <w:rPr>
          <w:color w:val="auto"/>
          <w:sz w:val="24"/>
          <w:highlight w:val="none"/>
          <w:u w:val="single"/>
          <w:lang w:val="zh-CN"/>
        </w:rPr>
        <w:t xml:space="preserve">  </w:t>
      </w:r>
      <w:r>
        <w:rPr>
          <w:rFonts w:hint="eastAsia"/>
          <w:color w:val="auto"/>
          <w:sz w:val="24"/>
          <w:highlight w:val="none"/>
          <w:lang w:val="zh-CN"/>
        </w:rPr>
        <w:t>月</w:t>
      </w:r>
      <w:r>
        <w:rPr>
          <w:color w:val="auto"/>
          <w:sz w:val="24"/>
          <w:highlight w:val="none"/>
          <w:u w:val="single"/>
          <w:lang w:val="zh-CN"/>
        </w:rPr>
        <w:t xml:space="preserve">  </w:t>
      </w:r>
      <w:r>
        <w:rPr>
          <w:rFonts w:hint="eastAsia"/>
          <w:color w:val="auto"/>
          <w:sz w:val="24"/>
          <w:highlight w:val="none"/>
          <w:lang w:val="zh-CN"/>
        </w:rPr>
        <w:t>日递交了</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zh-CN"/>
        </w:rPr>
        <w:t>项目名称</w:t>
      </w:r>
      <w:r>
        <w:rPr>
          <w:color w:val="auto"/>
          <w:sz w:val="24"/>
          <w:highlight w:val="none"/>
          <w:lang w:val="zh-CN"/>
        </w:rPr>
        <w:t>]</w:t>
      </w:r>
      <w:r>
        <w:rPr>
          <w:rFonts w:hint="eastAsia"/>
          <w:color w:val="auto"/>
          <w:sz w:val="24"/>
          <w:highlight w:val="none"/>
          <w:lang w:val="zh-CN"/>
        </w:rPr>
        <w:t>的</w:t>
      </w:r>
      <w:r>
        <w:rPr>
          <w:rFonts w:hint="eastAsia"/>
          <w:color w:val="auto"/>
          <w:sz w:val="24"/>
          <w:highlight w:val="none"/>
          <w:lang w:val="en-US" w:eastAsia="zh-CN"/>
        </w:rPr>
        <w:t>投标</w:t>
      </w:r>
      <w:r>
        <w:rPr>
          <w:rFonts w:hint="eastAsia"/>
          <w:color w:val="auto"/>
          <w:sz w:val="24"/>
          <w:highlight w:val="none"/>
          <w:lang w:val="zh-CN"/>
        </w:rPr>
        <w:t>文件。并附有人民币</w:t>
      </w: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rFonts w:hint="eastAsia"/>
          <w:color w:val="auto"/>
          <w:sz w:val="24"/>
          <w:highlight w:val="none"/>
          <w:lang w:val="zh-CN"/>
        </w:rPr>
        <w:t>万元做为</w:t>
      </w:r>
      <w:r>
        <w:rPr>
          <w:rFonts w:hint="eastAsia"/>
          <w:color w:val="auto"/>
          <w:sz w:val="24"/>
          <w:highlight w:val="none"/>
          <w:lang w:val="en-US" w:eastAsia="zh-CN"/>
        </w:rPr>
        <w:t>投标</w:t>
      </w:r>
      <w:r>
        <w:rPr>
          <w:rFonts w:hint="eastAsia"/>
          <w:color w:val="auto"/>
          <w:sz w:val="24"/>
          <w:highlight w:val="none"/>
          <w:lang w:val="zh-CN"/>
        </w:rPr>
        <w:t>保证金。</w:t>
      </w:r>
    </w:p>
    <w:p>
      <w:pPr>
        <w:spacing w:line="440" w:lineRule="exact"/>
        <w:outlineLvl w:val="9"/>
        <w:rPr>
          <w:rFonts w:hint="eastAsia"/>
          <w:color w:val="auto"/>
          <w:sz w:val="24"/>
          <w:highlight w:val="none"/>
          <w:lang w:val="zh-CN"/>
        </w:rPr>
      </w:pPr>
      <w:r>
        <w:rPr>
          <w:rFonts w:hint="eastAsia"/>
          <w:color w:val="auto"/>
          <w:sz w:val="24"/>
          <w:highlight w:val="none"/>
          <w:lang w:val="zh-CN"/>
        </w:rPr>
        <w:t>我方同意</w:t>
      </w:r>
      <w:r>
        <w:rPr>
          <w:rFonts w:hint="eastAsia"/>
          <w:color w:val="auto"/>
          <w:sz w:val="24"/>
          <w:highlight w:val="none"/>
          <w:lang w:val="en-US" w:eastAsia="zh-CN"/>
        </w:rPr>
        <w:t>招标</w:t>
      </w:r>
      <w:r>
        <w:rPr>
          <w:rFonts w:hint="eastAsia"/>
          <w:color w:val="auto"/>
          <w:sz w:val="24"/>
          <w:highlight w:val="none"/>
          <w:lang w:val="zh-CN"/>
        </w:rPr>
        <w:t>文件中有关</w:t>
      </w:r>
      <w:r>
        <w:rPr>
          <w:rFonts w:hint="eastAsia"/>
          <w:color w:val="auto"/>
          <w:sz w:val="24"/>
          <w:highlight w:val="none"/>
          <w:lang w:val="en-US" w:eastAsia="zh-CN"/>
        </w:rPr>
        <w:t>投标</w:t>
      </w:r>
      <w:r>
        <w:rPr>
          <w:rFonts w:hint="eastAsia"/>
          <w:color w:val="auto"/>
          <w:sz w:val="24"/>
          <w:highlight w:val="none"/>
          <w:lang w:val="zh-CN"/>
        </w:rPr>
        <w:t>保证金的规定，并对我方有约束力。</w:t>
      </w:r>
    </w:p>
    <w:p>
      <w:pPr>
        <w:spacing w:line="440" w:lineRule="exact"/>
        <w:outlineLvl w:val="9"/>
        <w:rPr>
          <w:color w:val="auto"/>
          <w:sz w:val="24"/>
          <w:highlight w:val="none"/>
        </w:rPr>
      </w:pPr>
      <w:r>
        <w:rPr>
          <w:color w:val="auto"/>
          <w:sz w:val="24"/>
          <w:highlight w:val="none"/>
        </w:rPr>
        <w:t xml:space="preserve"> </w:t>
      </w:r>
    </w:p>
    <w:tbl>
      <w:tblPr>
        <w:tblStyle w:val="23"/>
        <w:tblW w:w="9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6" w:hRule="atLeast"/>
        </w:trPr>
        <w:tc>
          <w:tcPr>
            <w:tcW w:w="9548" w:type="dxa"/>
            <w:noWrap w:val="0"/>
            <w:vAlign w:val="top"/>
          </w:tcPr>
          <w:p>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r>
              <w:rPr>
                <w:rFonts w:hint="eastAsia"/>
                <w:color w:val="auto"/>
                <w:sz w:val="24"/>
                <w:highlight w:val="none"/>
                <w:lang w:val="zh-CN"/>
              </w:rPr>
              <w:t>附：</w:t>
            </w:r>
            <w:r>
              <w:rPr>
                <w:rFonts w:hint="eastAsia"/>
                <w:color w:val="auto"/>
                <w:sz w:val="24"/>
                <w:highlight w:val="none"/>
              </w:rPr>
              <w:t>1、</w:t>
            </w:r>
            <w:r>
              <w:rPr>
                <w:rFonts w:hint="eastAsia"/>
                <w:color w:val="auto"/>
                <w:sz w:val="24"/>
                <w:highlight w:val="none"/>
                <w:lang w:val="zh-CN"/>
              </w:rPr>
              <w:t>转帐凭证及基本账户开户许可证（或按照《关于取消企业银行账户许可的通知》（银发</w:t>
            </w:r>
            <w:r>
              <w:rPr>
                <w:rFonts w:hint="eastAsia"/>
                <w:color w:val="auto"/>
                <w:sz w:val="24"/>
                <w:highlight w:val="none"/>
                <w:lang w:val="zh-CN" w:eastAsia="zh-CN"/>
              </w:rPr>
              <w:t>〔2019〕41号</w:t>
            </w:r>
            <w:r>
              <w:rPr>
                <w:rFonts w:hint="eastAsia"/>
                <w:color w:val="auto"/>
                <w:sz w:val="24"/>
                <w:highlight w:val="none"/>
                <w:lang w:val="zh-CN"/>
              </w:rPr>
              <w:t>）的规定，提供其他开户证明材料）复印件加盖单位公章</w:t>
            </w:r>
          </w:p>
          <w:p>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p>
          <w:p>
            <w:pPr>
              <w:keepNext w:val="0"/>
              <w:keepLines w:val="0"/>
              <w:suppressLineNumbers w:val="0"/>
              <w:spacing w:before="0" w:beforeAutospacing="0" w:after="0" w:afterAutospacing="0" w:line="440" w:lineRule="exact"/>
              <w:ind w:left="0" w:right="0"/>
              <w:outlineLvl w:val="9"/>
              <w:rPr>
                <w:rFonts w:hint="eastAsia"/>
                <w:color w:val="auto"/>
                <w:sz w:val="24"/>
                <w:highlight w:val="none"/>
              </w:rPr>
            </w:pPr>
            <w:r>
              <w:rPr>
                <w:rFonts w:hint="eastAsia"/>
                <w:color w:val="auto"/>
                <w:sz w:val="24"/>
                <w:highlight w:val="none"/>
              </w:rPr>
              <w:t xml:space="preserve">    </w:t>
            </w:r>
          </w:p>
          <w:p>
            <w:pPr>
              <w:keepNext w:val="0"/>
              <w:keepLines w:val="0"/>
              <w:suppressLineNumbers w:val="0"/>
              <w:spacing w:before="0" w:beforeAutospacing="0" w:after="0" w:afterAutospacing="0" w:line="440" w:lineRule="exact"/>
              <w:ind w:left="0" w:right="0"/>
              <w:outlineLvl w:val="9"/>
              <w:rPr>
                <w:color w:val="auto"/>
                <w:sz w:val="24"/>
                <w:highlight w:val="none"/>
                <w:u w:val="single"/>
              </w:rPr>
            </w:pPr>
          </w:p>
        </w:tc>
      </w:tr>
    </w:tbl>
    <w:p>
      <w:pPr>
        <w:spacing w:line="440" w:lineRule="exact"/>
        <w:outlineLvl w:val="9"/>
        <w:rPr>
          <w:color w:val="auto"/>
          <w:szCs w:val="21"/>
          <w:highlight w:val="none"/>
          <w:u w:val="single"/>
        </w:rPr>
      </w:pPr>
    </w:p>
    <w:p>
      <w:pPr>
        <w:spacing w:line="440" w:lineRule="exact"/>
        <w:outlineLvl w:val="9"/>
        <w:rPr>
          <w:color w:val="auto"/>
          <w:szCs w:val="21"/>
          <w:highlight w:val="none"/>
          <w:u w:val="single"/>
        </w:rPr>
      </w:pPr>
    </w:p>
    <w:p>
      <w:pPr>
        <w:spacing w:line="440" w:lineRule="exact"/>
        <w:outlineLvl w:val="9"/>
        <w:rPr>
          <w:rFonts w:hint="eastAsia"/>
          <w:color w:val="auto"/>
          <w:szCs w:val="21"/>
          <w:highlight w:val="none"/>
          <w:u w:val="single"/>
        </w:rPr>
      </w:pPr>
    </w:p>
    <w:p>
      <w:pPr>
        <w:spacing w:line="440" w:lineRule="exact"/>
        <w:jc w:val="left"/>
        <w:outlineLvl w:val="9"/>
        <w:rPr>
          <w:color w:val="auto"/>
          <w:szCs w:val="21"/>
          <w:highlight w:val="none"/>
          <w:u w:val="single"/>
        </w:rPr>
      </w:pPr>
    </w:p>
    <w:p>
      <w:pPr>
        <w:spacing w:line="440" w:lineRule="exact"/>
        <w:ind w:right="420"/>
        <w:jc w:val="left"/>
        <w:outlineLvl w:val="9"/>
        <w:rPr>
          <w:rFonts w:hint="eastAsia"/>
          <w:color w:val="auto"/>
          <w:sz w:val="24"/>
          <w:highlight w:val="none"/>
        </w:rPr>
      </w:pPr>
      <w:r>
        <w:rPr>
          <w:rFonts w:hint="eastAsia"/>
          <w:color w:val="auto"/>
          <w:sz w:val="24"/>
          <w:highlight w:val="none"/>
          <w:lang w:eastAsia="zh-CN"/>
        </w:rPr>
        <w:t>[投标人</w:t>
      </w:r>
      <w:r>
        <w:rPr>
          <w:color w:val="auto"/>
          <w:sz w:val="24"/>
          <w:highlight w:val="none"/>
        </w:rPr>
        <w:t>名称：</w:t>
      </w:r>
      <w:r>
        <w:rPr>
          <w:color w:val="auto"/>
          <w:sz w:val="24"/>
          <w:highlight w:val="none"/>
          <w:u w:val="single"/>
        </w:rPr>
        <w:t xml:space="preserve">                              </w:t>
      </w:r>
      <w:r>
        <w:rPr>
          <w:color w:val="auto"/>
          <w:sz w:val="24"/>
          <w:highlight w:val="none"/>
        </w:rPr>
        <w:t>（</w:t>
      </w:r>
      <w:r>
        <w:rPr>
          <w:rFonts w:hint="eastAsia"/>
          <w:color w:val="auto"/>
          <w:sz w:val="24"/>
          <w:highlight w:val="none"/>
        </w:rPr>
        <w:t>公章</w:t>
      </w:r>
      <w:r>
        <w:rPr>
          <w:color w:val="auto"/>
          <w:sz w:val="24"/>
          <w:highlight w:val="none"/>
        </w:rPr>
        <w:t>）</w:t>
      </w:r>
    </w:p>
    <w:p>
      <w:pPr>
        <w:spacing w:line="440" w:lineRule="exact"/>
        <w:ind w:right="420"/>
        <w:jc w:val="left"/>
        <w:outlineLvl w:val="9"/>
        <w:rPr>
          <w:rFonts w:hint="eastAsia"/>
          <w:color w:val="auto"/>
          <w:sz w:val="24"/>
          <w:highlight w:val="none"/>
        </w:rPr>
      </w:pPr>
    </w:p>
    <w:p>
      <w:pPr>
        <w:spacing w:line="440" w:lineRule="exact"/>
        <w:ind w:right="420"/>
        <w:jc w:val="left"/>
        <w:outlineLvl w:val="9"/>
        <w:rPr>
          <w:rFonts w:hint="eastAsia"/>
          <w:color w:val="auto"/>
          <w:sz w:val="24"/>
          <w:highlight w:val="none"/>
        </w:rPr>
      </w:pPr>
      <w:r>
        <w:rPr>
          <w:color w:val="auto"/>
          <w:sz w:val="24"/>
          <w:highlight w:val="none"/>
        </w:rPr>
        <w:t>法定代表人或</w:t>
      </w:r>
      <w:r>
        <w:rPr>
          <w:rFonts w:hint="eastAsia"/>
          <w:color w:val="auto"/>
          <w:sz w:val="24"/>
          <w:highlight w:val="none"/>
        </w:rPr>
        <w:t>其委托代理</w:t>
      </w:r>
      <w:r>
        <w:rPr>
          <w:color w:val="auto"/>
          <w:sz w:val="24"/>
          <w:highlight w:val="none"/>
        </w:rPr>
        <w:t>人：</w:t>
      </w:r>
      <w:r>
        <w:rPr>
          <w:color w:val="auto"/>
          <w:sz w:val="24"/>
          <w:highlight w:val="none"/>
          <w:u w:val="single"/>
        </w:rPr>
        <w:t xml:space="preserve">               </w:t>
      </w:r>
      <w:r>
        <w:rPr>
          <w:color w:val="auto"/>
          <w:sz w:val="24"/>
          <w:highlight w:val="none"/>
        </w:rPr>
        <w:t>（签字</w:t>
      </w:r>
      <w:r>
        <w:rPr>
          <w:rFonts w:hint="eastAsia"/>
          <w:color w:val="auto"/>
          <w:sz w:val="24"/>
          <w:highlight w:val="none"/>
        </w:rPr>
        <w:t>或盖章</w:t>
      </w:r>
      <w:r>
        <w:rPr>
          <w:color w:val="auto"/>
          <w:sz w:val="24"/>
          <w:highlight w:val="none"/>
        </w:rPr>
        <w:t>）</w:t>
      </w:r>
    </w:p>
    <w:p>
      <w:pPr>
        <w:spacing w:line="440" w:lineRule="exact"/>
        <w:ind w:right="420"/>
        <w:jc w:val="left"/>
        <w:outlineLvl w:val="9"/>
        <w:rPr>
          <w:rFonts w:hint="eastAsia"/>
          <w:color w:val="auto"/>
          <w:sz w:val="24"/>
          <w:highlight w:val="none"/>
        </w:rPr>
      </w:pPr>
    </w:p>
    <w:p>
      <w:pPr>
        <w:autoSpaceDE w:val="0"/>
        <w:autoSpaceDN w:val="0"/>
        <w:adjustRightInd w:val="0"/>
        <w:jc w:val="left"/>
        <w:outlineLvl w:val="1"/>
        <w:rPr>
          <w:rFonts w:hint="eastAsia" w:ascii="宋体" w:hAnsi="宋体" w:cs="宋体"/>
          <w:b/>
          <w:color w:val="auto"/>
          <w:sz w:val="24"/>
          <w:highlight w:val="none"/>
          <w:lang w:val="zh-CN"/>
        </w:rPr>
        <w:sectPr>
          <w:pgSz w:w="11906" w:h="16838"/>
          <w:pgMar w:top="1440" w:right="1417" w:bottom="1440" w:left="1531" w:header="851" w:footer="1077" w:gutter="0"/>
          <w:pgBorders>
            <w:top w:val="none" w:sz="0" w:space="0"/>
            <w:left w:val="none" w:sz="0" w:space="0"/>
            <w:bottom w:val="none" w:sz="0" w:space="0"/>
            <w:right w:val="none" w:sz="0" w:space="0"/>
          </w:pgBorders>
          <w:pgNumType w:fmt="decimal"/>
          <w:cols w:space="720" w:num="1"/>
          <w:titlePg/>
          <w:docGrid w:linePitch="490" w:charSpace="0"/>
        </w:sect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autoSpaceDE w:val="0"/>
        <w:autoSpaceDN w:val="0"/>
        <w:adjustRightInd w:val="0"/>
        <w:jc w:val="left"/>
        <w:outlineLvl w:val="1"/>
        <w:rPr>
          <w:rFonts w:hint="eastAsia" w:ascii="宋体" w:hAnsi="宋体" w:cs="宋体"/>
          <w:b/>
          <w:color w:val="auto"/>
          <w:sz w:val="24"/>
          <w:highlight w:val="none"/>
          <w:lang w:val="zh-CN"/>
        </w:rPr>
      </w:pPr>
      <w:r>
        <w:rPr>
          <w:rFonts w:hint="eastAsia" w:ascii="宋体" w:hAnsi="宋体" w:cs="宋体"/>
          <w:b/>
          <w:color w:val="auto"/>
          <w:sz w:val="24"/>
          <w:highlight w:val="none"/>
          <w:lang w:val="zh-CN"/>
        </w:rPr>
        <w:t>格式</w:t>
      </w:r>
      <w:r>
        <w:rPr>
          <w:rFonts w:hint="eastAsia" w:ascii="宋体" w:hAnsi="宋体" w:cs="宋体"/>
          <w:b/>
          <w:color w:val="auto"/>
          <w:sz w:val="24"/>
          <w:highlight w:val="none"/>
          <w:lang w:val="en-US" w:eastAsia="zh-CN"/>
        </w:rPr>
        <w:t xml:space="preserve">八  </w:t>
      </w:r>
      <w:r>
        <w:rPr>
          <w:rFonts w:hint="eastAsia" w:ascii="宋体" w:hAnsi="宋体" w:cs="宋体"/>
          <w:b/>
          <w:color w:val="auto"/>
          <w:sz w:val="24"/>
          <w:highlight w:val="none"/>
          <w:lang w:val="zh-CN"/>
        </w:rPr>
        <w:t>售后服务承诺书</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autoSpaceDE w:val="0"/>
        <w:autoSpaceDN w:val="0"/>
        <w:adjustRightInd w:val="0"/>
        <w:outlineLvl w:val="9"/>
        <w:rPr>
          <w:rFonts w:hint="eastAsia" w:ascii="宋体" w:hAnsi="宋体" w:cs="宋体"/>
          <w:color w:val="auto"/>
          <w:sz w:val="24"/>
          <w:highlight w:val="none"/>
          <w:lang w:val="zh-CN"/>
        </w:rPr>
      </w:pPr>
    </w:p>
    <w:p>
      <w:pPr>
        <w:autoSpaceDE w:val="0"/>
        <w:autoSpaceDN w:val="0"/>
        <w:adjustRightInd w:val="0"/>
        <w:outlineLvl w:val="9"/>
        <w:rPr>
          <w:rFonts w:hint="eastAsia" w:ascii="宋体" w:hAnsi="宋体" w:cs="宋体"/>
          <w:color w:val="auto"/>
          <w:sz w:val="24"/>
          <w:highlight w:val="none"/>
          <w:lang w:val="zh-CN"/>
        </w:rPr>
      </w:pPr>
    </w:p>
    <w:p>
      <w:pPr>
        <w:autoSpaceDE w:val="0"/>
        <w:autoSpaceDN w:val="0"/>
        <w:adjustRightInd w:val="0"/>
        <w:spacing w:line="360" w:lineRule="auto"/>
        <w:outlineLvl w:val="9"/>
        <w:rPr>
          <w:rFonts w:hint="eastAsia" w:ascii="宋体" w:hAnsi="宋体" w:cs="宋体"/>
          <w:color w:val="auto"/>
          <w:szCs w:val="21"/>
          <w:highlight w:val="none"/>
          <w:lang w:val="zh-CN"/>
        </w:rPr>
      </w:pPr>
      <w:r>
        <w:rPr>
          <w:rFonts w:hint="eastAsia" w:ascii="宋体" w:hAnsi="宋体" w:cs="宋体"/>
          <w:color w:val="auto"/>
          <w:szCs w:val="21"/>
          <w:highlight w:val="none"/>
          <w:u w:val="single"/>
          <w:lang w:val="zh-CN"/>
        </w:rPr>
        <w:t xml:space="preserve">采购人名称 </w:t>
      </w:r>
      <w:r>
        <w:rPr>
          <w:rFonts w:hint="eastAsia" w:ascii="宋体" w:hAnsi="宋体" w:cs="宋体"/>
          <w:color w:val="auto"/>
          <w:szCs w:val="21"/>
          <w:highlight w:val="none"/>
          <w:lang w:val="zh-CN"/>
        </w:rPr>
        <w:t>：</w:t>
      </w:r>
    </w:p>
    <w:p>
      <w:pPr>
        <w:autoSpaceDE w:val="0"/>
        <w:autoSpaceDN w:val="0"/>
        <w:adjustRightInd w:val="0"/>
        <w:spacing w:line="360" w:lineRule="auto"/>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我公司自愿参加</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项目（招标编号</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pPr>
        <w:autoSpaceDE w:val="0"/>
        <w:autoSpaceDN w:val="0"/>
        <w:adjustRightInd w:val="0"/>
        <w:spacing w:line="360" w:lineRule="auto"/>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1、我公司中标后将为招标人提供下列售后服务项目：</w:t>
      </w:r>
    </w:p>
    <w:p>
      <w:pPr>
        <w:autoSpaceDE w:val="0"/>
        <w:autoSpaceDN w:val="0"/>
        <w:adjustRightInd w:val="0"/>
        <w:spacing w:line="360" w:lineRule="auto"/>
        <w:ind w:firstLine="48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2、我公司的售后服务响应及到达现场的时间：</w:t>
      </w:r>
    </w:p>
    <w:p>
      <w:pPr>
        <w:autoSpaceDE w:val="0"/>
        <w:autoSpaceDN w:val="0"/>
        <w:adjustRightInd w:val="0"/>
        <w:spacing w:line="360" w:lineRule="auto"/>
        <w:ind w:firstLine="482"/>
        <w:outlineLvl w:val="9"/>
        <w:rPr>
          <w:rFonts w:hint="eastAsia" w:ascii="宋体" w:hAnsi="宋体" w:cs="宋体"/>
          <w:b/>
          <w:color w:val="auto"/>
          <w:szCs w:val="21"/>
          <w:highlight w:val="none"/>
          <w:lang w:val="zh-CN"/>
        </w:rPr>
      </w:pPr>
    </w:p>
    <w:p>
      <w:pPr>
        <w:autoSpaceDE w:val="0"/>
        <w:autoSpaceDN w:val="0"/>
        <w:adjustRightInd w:val="0"/>
        <w:spacing w:line="360" w:lineRule="auto"/>
        <w:jc w:val="center"/>
        <w:outlineLvl w:val="9"/>
        <w:rPr>
          <w:rFonts w:hint="eastAsia" w:ascii="宋体" w:hAnsi="宋体" w:cs="宋体"/>
          <w:b/>
          <w:color w:val="auto"/>
          <w:szCs w:val="21"/>
          <w:highlight w:val="none"/>
          <w:lang w:val="zh-CN"/>
        </w:rPr>
      </w:pPr>
      <w:bookmarkStart w:id="156" w:name="_Toc237329053"/>
      <w:bookmarkStart w:id="157" w:name="_Toc238185768"/>
      <w:bookmarkStart w:id="158" w:name="_Toc237199967"/>
      <w:bookmarkStart w:id="159" w:name="_Toc17078"/>
      <w:bookmarkStart w:id="160" w:name="_Toc25373"/>
      <w:bookmarkStart w:id="161" w:name="_Toc237200086"/>
      <w:bookmarkStart w:id="162" w:name="_Toc237328731"/>
      <w:bookmarkStart w:id="163" w:name="_Toc22283"/>
      <w:bookmarkStart w:id="164" w:name="_Toc423024746"/>
      <w:bookmarkStart w:id="165" w:name="_Toc237236998"/>
      <w:bookmarkStart w:id="166" w:name="_Toc357609773"/>
      <w:bookmarkStart w:id="167" w:name="_Toc237200210"/>
      <w:r>
        <w:rPr>
          <w:rFonts w:hint="eastAsia" w:ascii="宋体" w:hAnsi="宋体" w:cs="宋体"/>
          <w:b/>
          <w:color w:val="auto"/>
          <w:szCs w:val="21"/>
          <w:highlight w:val="none"/>
          <w:lang w:val="zh-CN"/>
        </w:rPr>
        <w:t>制造厂商和我公司在本项目所在地（实施地）设立的售后服务机构一览表</w:t>
      </w:r>
      <w:bookmarkEnd w:id="156"/>
      <w:bookmarkEnd w:id="157"/>
      <w:bookmarkEnd w:id="158"/>
      <w:bookmarkEnd w:id="159"/>
      <w:bookmarkEnd w:id="160"/>
      <w:bookmarkEnd w:id="161"/>
      <w:bookmarkEnd w:id="162"/>
      <w:bookmarkEnd w:id="163"/>
      <w:bookmarkEnd w:id="164"/>
      <w:bookmarkEnd w:id="165"/>
      <w:bookmarkEnd w:id="166"/>
      <w:bookmarkEnd w:id="167"/>
    </w:p>
    <w:tbl>
      <w:tblPr>
        <w:tblStyle w:val="23"/>
        <w:tblW w:w="9588" w:type="dxa"/>
        <w:jc w:val="center"/>
        <w:tblInd w:w="0" w:type="dxa"/>
        <w:tblLayout w:type="fixed"/>
        <w:tblCellMar>
          <w:top w:w="0" w:type="dxa"/>
          <w:left w:w="108" w:type="dxa"/>
          <w:bottom w:w="0" w:type="dxa"/>
          <w:right w:w="108" w:type="dxa"/>
        </w:tblCellMar>
      </w:tblPr>
      <w:tblGrid>
        <w:gridCol w:w="734"/>
        <w:gridCol w:w="1918"/>
        <w:gridCol w:w="2450"/>
        <w:gridCol w:w="1228"/>
        <w:gridCol w:w="1626"/>
        <w:gridCol w:w="1632"/>
      </w:tblGrid>
      <w:tr>
        <w:tblPrEx>
          <w:tblLayout w:type="fixed"/>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r>
              <w:rPr>
                <w:rFonts w:hint="eastAsia" w:ascii="宋体" w:hAnsi="宋体" w:cs="宋体"/>
                <w:color w:val="auto"/>
                <w:szCs w:val="21"/>
                <w:highlight w:val="none"/>
                <w:lang w:val="zh-CN"/>
              </w:rPr>
              <w:t>售后服务机构名称</w:t>
            </w:r>
          </w:p>
        </w:tc>
        <w:tc>
          <w:tcPr>
            <w:tcW w:w="2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r>
              <w:rPr>
                <w:rFonts w:hint="eastAsia" w:ascii="宋体" w:hAnsi="宋体" w:cs="宋体"/>
                <w:color w:val="auto"/>
                <w:szCs w:val="21"/>
                <w:highlight w:val="none"/>
                <w:lang w:val="zh-CN"/>
              </w:rPr>
              <w:t>所在市县及街区门牌号</w:t>
            </w:r>
          </w:p>
        </w:tc>
        <w:tc>
          <w:tcPr>
            <w:tcW w:w="12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r>
              <w:rPr>
                <w:rFonts w:hint="eastAsia" w:ascii="宋体" w:hAnsi="宋体" w:cs="宋体"/>
                <w:color w:val="auto"/>
                <w:szCs w:val="21"/>
                <w:highlight w:val="none"/>
                <w:lang w:val="zh-CN"/>
              </w:rPr>
              <w:t>联系人</w:t>
            </w:r>
          </w:p>
        </w:tc>
        <w:tc>
          <w:tcPr>
            <w:tcW w:w="16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r>
              <w:rPr>
                <w:rFonts w:hint="eastAsia" w:ascii="宋体" w:hAnsi="宋体" w:cs="宋体"/>
                <w:color w:val="auto"/>
                <w:szCs w:val="21"/>
                <w:highlight w:val="none"/>
                <w:lang w:val="zh-CN"/>
              </w:rPr>
              <w:t>移动电话</w:t>
            </w:r>
          </w:p>
        </w:tc>
        <w:tc>
          <w:tcPr>
            <w:tcW w:w="16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r>
              <w:rPr>
                <w:rFonts w:hint="eastAsia" w:ascii="宋体" w:hAnsi="宋体" w:cs="宋体"/>
                <w:color w:val="auto"/>
                <w:szCs w:val="21"/>
                <w:highlight w:val="none"/>
                <w:lang w:val="zh-CN"/>
              </w:rPr>
              <w:t>固定电话</w:t>
            </w:r>
          </w:p>
        </w:tc>
      </w:tr>
      <w:tr>
        <w:tblPrEx>
          <w:tblLayout w:type="fixed"/>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19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2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16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r>
      <w:tr>
        <w:tblPrEx>
          <w:tblLayout w:type="fixed"/>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19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2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16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c>
          <w:tcPr>
            <w:tcW w:w="16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outlineLvl w:val="9"/>
              <w:rPr>
                <w:rFonts w:hint="eastAsia" w:ascii="宋体" w:hAnsi="宋体" w:cs="宋体"/>
                <w:color w:val="auto"/>
                <w:szCs w:val="21"/>
                <w:highlight w:val="none"/>
              </w:rPr>
            </w:pPr>
          </w:p>
        </w:tc>
      </w:tr>
    </w:tbl>
    <w:p>
      <w:pPr>
        <w:autoSpaceDE w:val="0"/>
        <w:autoSpaceDN w:val="0"/>
        <w:adjustRightInd w:val="0"/>
        <w:spacing w:line="360" w:lineRule="auto"/>
        <w:ind w:firstLine="482"/>
        <w:outlineLvl w:val="9"/>
        <w:rPr>
          <w:rFonts w:ascii="宋体" w:hAnsi="宋体" w:cs="宋体"/>
          <w:color w:val="auto"/>
          <w:szCs w:val="21"/>
          <w:highlight w:val="none"/>
          <w:lang w:val="zh-CN"/>
        </w:rPr>
      </w:pPr>
    </w:p>
    <w:p>
      <w:pPr>
        <w:autoSpaceDE w:val="0"/>
        <w:autoSpaceDN w:val="0"/>
        <w:adjustRightInd w:val="0"/>
        <w:spacing w:line="360" w:lineRule="auto"/>
        <w:ind w:firstLine="480"/>
        <w:outlineLvl w:val="9"/>
        <w:rPr>
          <w:rFonts w:hint="eastAsia" w:ascii="宋体" w:hAnsi="宋体" w:cs="宋体"/>
          <w:color w:val="auto"/>
          <w:szCs w:val="21"/>
          <w:highlight w:val="none"/>
          <w:lang w:val="zh-CN"/>
        </w:rPr>
      </w:pPr>
    </w:p>
    <w:p>
      <w:pPr>
        <w:autoSpaceDE w:val="0"/>
        <w:autoSpaceDN w:val="0"/>
        <w:adjustRightInd w:val="0"/>
        <w:spacing w:line="360" w:lineRule="auto"/>
        <w:ind w:firstLine="482"/>
        <w:outlineLvl w:val="9"/>
        <w:rPr>
          <w:rFonts w:hint="eastAsia" w:ascii="宋体" w:hAnsi="宋体" w:cs="宋体"/>
          <w:color w:val="auto"/>
          <w:szCs w:val="21"/>
          <w:highlight w:val="none"/>
          <w:lang w:val="zh-CN"/>
        </w:rPr>
      </w:pPr>
      <w:bookmarkStart w:id="168" w:name="_Toc423024747"/>
      <w:bookmarkStart w:id="169" w:name="_Toc237199968"/>
      <w:bookmarkStart w:id="170" w:name="_Toc26564"/>
      <w:bookmarkStart w:id="171" w:name="_Toc237328732"/>
      <w:bookmarkStart w:id="172" w:name="_Toc237329054"/>
      <w:bookmarkStart w:id="173" w:name="_Toc237200211"/>
      <w:bookmarkStart w:id="174" w:name="_Toc357609774"/>
      <w:bookmarkStart w:id="175" w:name="_Toc238185769"/>
      <w:bookmarkStart w:id="176" w:name="_Toc237236999"/>
      <w:bookmarkStart w:id="177" w:name="_Toc237200087"/>
      <w:bookmarkStart w:id="178" w:name="_Toc28846"/>
      <w:bookmarkStart w:id="179" w:name="_Toc7868"/>
      <w:r>
        <w:rPr>
          <w:rFonts w:hint="eastAsia" w:ascii="宋体" w:hAnsi="宋体" w:cs="宋体"/>
          <w:color w:val="auto"/>
          <w:szCs w:val="21"/>
          <w:highlight w:val="none"/>
          <w:lang w:val="zh-CN"/>
        </w:rPr>
        <w:t>投标人全称（加盖投标人公章和/或有效签署）：</w:t>
      </w:r>
      <w:bookmarkEnd w:id="168"/>
      <w:bookmarkEnd w:id="169"/>
      <w:bookmarkEnd w:id="170"/>
      <w:bookmarkEnd w:id="171"/>
      <w:bookmarkEnd w:id="172"/>
      <w:bookmarkEnd w:id="173"/>
      <w:bookmarkEnd w:id="174"/>
      <w:bookmarkEnd w:id="175"/>
      <w:bookmarkEnd w:id="176"/>
      <w:bookmarkEnd w:id="177"/>
      <w:bookmarkEnd w:id="178"/>
      <w:bookmarkEnd w:id="179"/>
    </w:p>
    <w:p>
      <w:pPr>
        <w:autoSpaceDE w:val="0"/>
        <w:autoSpaceDN w:val="0"/>
        <w:adjustRightInd w:val="0"/>
        <w:spacing w:line="360" w:lineRule="auto"/>
        <w:ind w:firstLine="482"/>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20</w:t>
      </w:r>
      <w:r>
        <w:rPr>
          <w:rFonts w:hint="eastAsia" w:ascii="宋体" w:hAnsi="宋体" w:cs="宋体"/>
          <w:color w:val="auto"/>
          <w:szCs w:val="21"/>
          <w:highlight w:val="none"/>
        </w:rPr>
        <w:t>2</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pStyle w:val="13"/>
        <w:tabs>
          <w:tab w:val="left" w:pos="200"/>
        </w:tabs>
        <w:jc w:val="left"/>
        <w:outlineLvl w:val="1"/>
        <w:rPr>
          <w:rFonts w:hint="eastAsia" w:hAnsi="宋体" w:cs="宋体"/>
          <w:b/>
          <w:color w:val="auto"/>
          <w:sz w:val="24"/>
          <w:highlight w:val="none"/>
          <w:lang w:val="zh-CN"/>
        </w:rPr>
        <w:sectPr>
          <w:pgSz w:w="11906" w:h="16838"/>
          <w:pgMar w:top="1440" w:right="1417" w:bottom="1440" w:left="1531" w:header="851" w:footer="1077" w:gutter="0"/>
          <w:pgBorders>
            <w:top w:val="none" w:sz="0" w:space="0"/>
            <w:left w:val="none" w:sz="0" w:space="0"/>
            <w:bottom w:val="none" w:sz="0" w:space="0"/>
            <w:right w:val="none" w:sz="0" w:space="0"/>
          </w:pgBorders>
          <w:pgNumType w:fmt="decimal"/>
          <w:cols w:space="720" w:num="1"/>
          <w:titlePg/>
          <w:docGrid w:linePitch="490" w:charSpace="0"/>
        </w:sectPr>
      </w:pPr>
      <w:bookmarkStart w:id="180" w:name="_Toc2702"/>
      <w:bookmarkStart w:id="181" w:name="_Toc29332"/>
    </w:p>
    <w:p>
      <w:pPr>
        <w:pStyle w:val="13"/>
        <w:tabs>
          <w:tab w:val="left" w:pos="200"/>
        </w:tabs>
        <w:jc w:val="left"/>
        <w:outlineLvl w:val="1"/>
        <w:rPr>
          <w:rFonts w:hint="eastAsia" w:hAnsi="宋体" w:cs="宋体"/>
          <w:b/>
          <w:color w:val="auto"/>
          <w:sz w:val="24"/>
          <w:highlight w:val="none"/>
          <w:lang w:val="zh-CN"/>
        </w:rPr>
      </w:pPr>
      <w:r>
        <w:rPr>
          <w:rFonts w:hint="eastAsia" w:hAnsi="宋体" w:cs="宋体"/>
          <w:b/>
          <w:color w:val="auto"/>
          <w:sz w:val="24"/>
          <w:highlight w:val="none"/>
          <w:lang w:val="zh-CN"/>
        </w:rPr>
        <w:t>格式九</w:t>
      </w:r>
      <w:r>
        <w:rPr>
          <w:rFonts w:hint="eastAsia" w:hAnsi="宋体" w:cs="宋体"/>
          <w:b/>
          <w:color w:val="auto"/>
          <w:sz w:val="24"/>
          <w:highlight w:val="none"/>
          <w:lang w:val="en-US" w:eastAsia="zh-CN"/>
        </w:rPr>
        <w:t xml:space="preserve"> </w:t>
      </w:r>
      <w:r>
        <w:rPr>
          <w:rFonts w:hint="eastAsia" w:hAnsi="宋体" w:cs="宋体"/>
          <w:b/>
          <w:color w:val="auto"/>
          <w:sz w:val="24"/>
          <w:highlight w:val="none"/>
          <w:lang w:val="zh-CN"/>
        </w:rPr>
        <w:t>（生产经营状态、履约历史、法律法规禁止投标）承诺书</w:t>
      </w:r>
      <w:bookmarkEnd w:id="180"/>
      <w:bookmarkEnd w:id="181"/>
    </w:p>
    <w:p>
      <w:pPr>
        <w:autoSpaceDE w:val="0"/>
        <w:autoSpaceDN w:val="0"/>
        <w:adjustRightInd w:val="0"/>
        <w:jc w:val="center"/>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pStyle w:val="68"/>
        <w:outlineLvl w:val="9"/>
        <w:rPr>
          <w:rFonts w:hint="eastAsia"/>
          <w:color w:val="auto"/>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autoSpaceDE w:val="0"/>
        <w:autoSpaceDN w:val="0"/>
        <w:adjustRightInd w:val="0"/>
        <w:outlineLvl w:val="9"/>
        <w:rPr>
          <w:rFonts w:hint="eastAsia" w:ascii="宋体" w:hAnsi="宋体" w:cs="宋体"/>
          <w:b/>
          <w:color w:val="auto"/>
          <w:sz w:val="24"/>
          <w:highlight w:val="none"/>
          <w:lang w:val="zh-CN"/>
        </w:rPr>
      </w:pPr>
    </w:p>
    <w:p>
      <w:pPr>
        <w:widowControl/>
        <w:adjustRightInd w:val="0"/>
        <w:snapToGrid w:val="0"/>
        <w:spacing w:before="36" w:beforeLines="15" w:line="360" w:lineRule="auto"/>
        <w:jc w:val="left"/>
        <w:outlineLvl w:val="1"/>
        <w:rPr>
          <w:rFonts w:ascii="宋体" w:hAnsi="宋体" w:cs="宋体"/>
          <w:color w:val="auto"/>
          <w:sz w:val="28"/>
          <w:szCs w:val="28"/>
          <w:highlight w:val="none"/>
        </w:rPr>
      </w:pPr>
      <w:bookmarkStart w:id="182" w:name="_Toc17092"/>
      <w:bookmarkStart w:id="183" w:name="_Toc16378"/>
      <w:r>
        <w:rPr>
          <w:rFonts w:hint="eastAsia" w:hAnsi="宋体" w:cs="宋体"/>
          <w:b/>
          <w:color w:val="auto"/>
          <w:sz w:val="24"/>
          <w:highlight w:val="none"/>
          <w:lang w:val="zh-CN"/>
        </w:rPr>
        <w:t>格式</w:t>
      </w:r>
      <w:r>
        <w:rPr>
          <w:rFonts w:hint="eastAsia" w:ascii="宋体" w:hAnsi="宋体" w:cs="宋体"/>
          <w:b/>
          <w:color w:val="auto"/>
          <w:sz w:val="24"/>
          <w:szCs w:val="24"/>
          <w:highlight w:val="none"/>
          <w:lang w:val="zh-CN"/>
        </w:rPr>
        <w:t>十</w:t>
      </w:r>
      <w:r>
        <w:rPr>
          <w:rFonts w:hint="eastAsia" w:hAnsi="宋体" w:cs="宋体"/>
          <w:b/>
          <w:color w:val="auto"/>
          <w:sz w:val="24"/>
          <w:highlight w:val="none"/>
        </w:rPr>
        <w:t xml:space="preserve"> </w:t>
      </w:r>
      <w:r>
        <w:rPr>
          <w:rFonts w:hint="eastAsia" w:hAnsi="宋体" w:cs="宋体"/>
          <w:b/>
          <w:color w:val="auto"/>
          <w:sz w:val="24"/>
          <w:szCs w:val="24"/>
          <w:highlight w:val="none"/>
        </w:rPr>
        <w:t xml:space="preserve"> </w:t>
      </w:r>
      <w:r>
        <w:rPr>
          <w:rFonts w:hint="eastAsia" w:hAnsi="宋体" w:cs="宋体"/>
          <w:b/>
          <w:color w:val="auto"/>
          <w:sz w:val="24"/>
          <w:szCs w:val="22"/>
          <w:highlight w:val="none"/>
          <w:lang w:val="zh-CN"/>
        </w:rPr>
        <w:t>承诺书</w:t>
      </w:r>
      <w:bookmarkEnd w:id="182"/>
      <w:bookmarkEnd w:id="183"/>
    </w:p>
    <w:p>
      <w:pPr>
        <w:widowControl/>
        <w:adjustRightInd w:val="0"/>
        <w:snapToGrid w:val="0"/>
        <w:spacing w:before="36" w:beforeLines="15" w:line="360" w:lineRule="auto"/>
        <w:jc w:val="center"/>
        <w:outlineLvl w:val="9"/>
        <w:rPr>
          <w:rFonts w:hint="eastAsia" w:ascii="宋体" w:hAnsi="宋体" w:cs="宋体"/>
          <w:color w:val="auto"/>
          <w:sz w:val="28"/>
          <w:szCs w:val="28"/>
          <w:highlight w:val="none"/>
        </w:rPr>
      </w:pPr>
      <w:r>
        <w:rPr>
          <w:rFonts w:hint="eastAsia" w:ascii="宋体" w:hAnsi="宋体" w:cs="宋体"/>
          <w:color w:val="auto"/>
          <w:sz w:val="28"/>
          <w:szCs w:val="28"/>
          <w:highlight w:val="none"/>
          <w:lang w:val="zh-CN"/>
        </w:rPr>
        <w:t>承诺书1</w:t>
      </w:r>
    </w:p>
    <w:p>
      <w:pPr>
        <w:adjustRightInd w:val="0"/>
        <w:snapToGrid w:val="0"/>
        <w:spacing w:line="360" w:lineRule="auto"/>
        <w:outlineLvl w:val="9"/>
        <w:rPr>
          <w:rFonts w:ascii="宋体" w:hAnsi="宋体" w:cs="宋体"/>
          <w:color w:val="auto"/>
          <w:w w:val="99"/>
          <w:sz w:val="24"/>
          <w:highlight w:val="none"/>
        </w:rPr>
      </w:pPr>
      <w:r>
        <w:rPr>
          <w:rFonts w:hint="eastAsia" w:ascii="宋体" w:hAnsi="宋体" w:cs="宋体"/>
          <w:color w:val="auto"/>
          <w:w w:val="99"/>
          <w:sz w:val="24"/>
          <w:highlight w:val="none"/>
        </w:rPr>
        <w:t>（</w:t>
      </w:r>
      <w:r>
        <w:rPr>
          <w:rFonts w:hint="eastAsia" w:ascii="宋体" w:hAnsi="宋体" w:cs="宋体"/>
          <w:color w:val="auto"/>
          <w:sz w:val="24"/>
          <w:highlight w:val="none"/>
        </w:rPr>
        <w:t>采购人</w:t>
      </w:r>
      <w:r>
        <w:rPr>
          <w:rFonts w:hint="eastAsia" w:ascii="宋体" w:hAnsi="宋体" w:cs="宋体"/>
          <w:color w:val="auto"/>
          <w:w w:val="99"/>
          <w:sz w:val="24"/>
          <w:highlight w:val="none"/>
        </w:rPr>
        <w:t>）：</w:t>
      </w:r>
    </w:p>
    <w:p>
      <w:pPr>
        <w:adjustRightInd w:val="0"/>
        <w:snapToGrid w:val="0"/>
        <w:spacing w:before="36" w:beforeLines="15"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我方郑重承诺：</w:t>
      </w:r>
    </w:p>
    <w:p>
      <w:pPr>
        <w:widowControl/>
        <w:adjustRightInd w:val="0"/>
        <w:snapToGrid w:val="0"/>
        <w:spacing w:before="36" w:beforeLines="15"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不存在被政府列入取消投标资格期限内的企业或个人参加本项目的情况；参加政府采购活动前3年内在经营活动中没有重大违法记录。不存在被列入失信被执行人、重大税收违法案件当事人名单、政府采购严重违法失信行为记录名单的情况。</w:t>
      </w:r>
    </w:p>
    <w:p>
      <w:pPr>
        <w:widowControl/>
        <w:adjustRightInd w:val="0"/>
        <w:snapToGrid w:val="0"/>
        <w:spacing w:before="36" w:beforeLines="15" w:line="360" w:lineRule="auto"/>
        <w:outlineLvl w:val="9"/>
        <w:rPr>
          <w:rFonts w:ascii="宋体" w:hAnsi="宋体" w:cs="宋体"/>
          <w:color w:val="auto"/>
          <w:sz w:val="24"/>
          <w:highlight w:val="none"/>
        </w:rPr>
      </w:pPr>
    </w:p>
    <w:p>
      <w:pPr>
        <w:adjustRightInd w:val="0"/>
        <w:snapToGrid w:val="0"/>
        <w:spacing w:before="36" w:beforeLines="15" w:line="360" w:lineRule="auto"/>
        <w:outlineLvl w:val="9"/>
        <w:rPr>
          <w:rFonts w:ascii="宋体" w:hAnsi="宋体" w:cs="宋体"/>
          <w:color w:val="auto"/>
          <w:sz w:val="24"/>
          <w:highlight w:val="none"/>
        </w:rPr>
      </w:pPr>
      <w:r>
        <w:rPr>
          <w:rFonts w:hint="eastAsia" w:ascii="宋体" w:hAnsi="宋体" w:cs="宋体"/>
          <w:color w:val="auto"/>
          <w:sz w:val="24"/>
          <w:highlight w:val="none"/>
        </w:rPr>
        <w:t>特此承诺！</w:t>
      </w:r>
    </w:p>
    <w:p>
      <w:pPr>
        <w:adjustRightInd w:val="0"/>
        <w:snapToGrid w:val="0"/>
        <w:spacing w:before="36" w:beforeLines="15" w:line="360" w:lineRule="auto"/>
        <w:outlineLvl w:val="9"/>
        <w:rPr>
          <w:rFonts w:ascii="宋体" w:hAnsi="宋体" w:cs="宋体"/>
          <w:color w:val="auto"/>
          <w:sz w:val="24"/>
          <w:highlight w:val="none"/>
        </w:rPr>
      </w:pPr>
    </w:p>
    <w:p>
      <w:pPr>
        <w:adjustRightInd w:val="0"/>
        <w:snapToGrid w:val="0"/>
        <w:spacing w:before="36" w:beforeLines="15" w:line="360" w:lineRule="auto"/>
        <w:outlineLvl w:val="9"/>
        <w:rPr>
          <w:rFonts w:ascii="宋体" w:hAnsi="宋体" w:cs="宋体"/>
          <w:color w:val="auto"/>
          <w:sz w:val="24"/>
          <w:highlight w:val="none"/>
        </w:rPr>
      </w:pPr>
    </w:p>
    <w:p>
      <w:pPr>
        <w:adjustRightInd w:val="0"/>
        <w:snapToGrid w:val="0"/>
        <w:spacing w:before="36" w:beforeLines="15" w:line="360" w:lineRule="auto"/>
        <w:outlineLvl w:val="9"/>
        <w:rPr>
          <w:rFonts w:ascii="宋体" w:hAnsi="宋体" w:cs="宋体"/>
          <w:color w:val="auto"/>
          <w:sz w:val="24"/>
          <w:highlight w:val="none"/>
        </w:rPr>
      </w:pPr>
    </w:p>
    <w:p>
      <w:pPr>
        <w:adjustRightInd w:val="0"/>
        <w:snapToGrid w:val="0"/>
        <w:spacing w:before="36" w:beforeLines="15" w:line="360" w:lineRule="auto"/>
        <w:ind w:left="3578" w:leftChars="1704"/>
        <w:outlineLvl w:val="9"/>
        <w:rPr>
          <w:rFonts w:ascii="宋体" w:hAnsi="宋体" w:cs="宋体"/>
          <w:color w:val="auto"/>
          <w:sz w:val="24"/>
          <w:highlight w:val="none"/>
        </w:rPr>
      </w:pPr>
      <w:r>
        <w:rPr>
          <w:rFonts w:hint="eastAsia" w:ascii="宋体" w:hAnsi="宋体" w:cs="宋体"/>
          <w:color w:val="auto"/>
          <w:sz w:val="24"/>
          <w:highlight w:val="none"/>
        </w:rPr>
        <w:t>投标人名称（盖章）：</w:t>
      </w:r>
    </w:p>
    <w:p>
      <w:pPr>
        <w:adjustRightInd w:val="0"/>
        <w:snapToGrid w:val="0"/>
        <w:spacing w:before="36" w:beforeLines="15" w:line="360" w:lineRule="auto"/>
        <w:ind w:left="3578" w:leftChars="1704"/>
        <w:outlineLvl w:val="9"/>
        <w:rPr>
          <w:rFonts w:ascii="宋体" w:hAnsi="宋体" w:cs="宋体"/>
          <w:color w:val="auto"/>
          <w:sz w:val="24"/>
          <w:highlight w:val="none"/>
        </w:rPr>
      </w:pPr>
    </w:p>
    <w:p>
      <w:pPr>
        <w:adjustRightInd w:val="0"/>
        <w:snapToGrid w:val="0"/>
        <w:spacing w:before="36" w:beforeLines="15" w:line="360" w:lineRule="auto"/>
        <w:ind w:left="3578" w:leftChars="1704"/>
        <w:outlineLvl w:val="9"/>
        <w:rPr>
          <w:rFonts w:ascii="宋体" w:hAnsi="宋体" w:cs="宋体"/>
          <w:color w:val="auto"/>
          <w:sz w:val="24"/>
          <w:highlight w:val="none"/>
        </w:rPr>
      </w:pPr>
      <w:r>
        <w:rPr>
          <w:rFonts w:hint="eastAsia" w:ascii="宋体" w:hAnsi="宋体" w:cs="宋体"/>
          <w:bCs/>
          <w:color w:val="auto"/>
          <w:sz w:val="24"/>
          <w:szCs w:val="24"/>
          <w:highlight w:val="none"/>
        </w:rPr>
        <w:t>单位负责人或授权代理人</w:t>
      </w:r>
      <w:r>
        <w:rPr>
          <w:rFonts w:hint="eastAsia" w:ascii="宋体" w:hAnsi="宋体" w:cs="宋体"/>
          <w:color w:val="auto"/>
          <w:sz w:val="24"/>
          <w:highlight w:val="none"/>
        </w:rPr>
        <w:t>（签字或盖章）：</w:t>
      </w:r>
    </w:p>
    <w:p>
      <w:pPr>
        <w:spacing w:before="120" w:beforeLines="50" w:after="120" w:afterLines="50" w:line="288" w:lineRule="auto"/>
        <w:jc w:val="center"/>
        <w:outlineLvl w:val="9"/>
        <w:rPr>
          <w:rFonts w:ascii="宋体" w:hAnsi="宋体" w:cs="宋体"/>
          <w:color w:val="auto"/>
          <w:sz w:val="24"/>
          <w:highlight w:val="none"/>
        </w:rPr>
      </w:pPr>
      <w:r>
        <w:rPr>
          <w:rFonts w:hint="eastAsia" w:ascii="宋体" w:hAnsi="宋体" w:cs="宋体"/>
          <w:color w:val="auto"/>
          <w:sz w:val="24"/>
          <w:highlight w:val="none"/>
        </w:rPr>
        <w:t xml:space="preserve">                年   月   日</w:t>
      </w:r>
    </w:p>
    <w:p>
      <w:pPr>
        <w:widowControl/>
        <w:adjustRightInd w:val="0"/>
        <w:snapToGrid w:val="0"/>
        <w:spacing w:before="36" w:beforeLines="15" w:line="360" w:lineRule="auto"/>
        <w:jc w:val="center"/>
        <w:outlineLvl w:val="9"/>
        <w:rPr>
          <w:rFonts w:ascii="宋体" w:hAnsi="宋体" w:cs="宋体"/>
          <w:color w:val="auto"/>
          <w:w w:val="99"/>
          <w:sz w:val="24"/>
          <w:highlight w:val="none"/>
        </w:rPr>
      </w:pPr>
      <w:r>
        <w:rPr>
          <w:rFonts w:ascii="宋体" w:hAnsi="宋体" w:cs="宋体"/>
          <w:color w:val="auto"/>
          <w:sz w:val="24"/>
          <w:highlight w:val="none"/>
        </w:rPr>
        <w:br w:type="page"/>
      </w:r>
      <w:r>
        <w:rPr>
          <w:rFonts w:hint="eastAsia" w:ascii="宋体" w:hAnsi="宋体" w:cs="宋体"/>
          <w:color w:val="auto"/>
          <w:sz w:val="28"/>
          <w:szCs w:val="28"/>
          <w:highlight w:val="none"/>
        </w:rPr>
        <w:t>承诺书2</w:t>
      </w:r>
    </w:p>
    <w:p>
      <w:pPr>
        <w:adjustRightInd w:val="0"/>
        <w:snapToGrid w:val="0"/>
        <w:spacing w:line="360" w:lineRule="auto"/>
        <w:outlineLvl w:val="9"/>
        <w:rPr>
          <w:rFonts w:ascii="宋体" w:hAnsi="宋体" w:cs="宋体"/>
          <w:color w:val="auto"/>
          <w:w w:val="99"/>
          <w:sz w:val="24"/>
          <w:highlight w:val="none"/>
        </w:rPr>
      </w:pPr>
    </w:p>
    <w:p>
      <w:pPr>
        <w:adjustRightInd w:val="0"/>
        <w:snapToGrid w:val="0"/>
        <w:spacing w:line="360" w:lineRule="auto"/>
        <w:outlineLvl w:val="9"/>
        <w:rPr>
          <w:rFonts w:ascii="宋体" w:hAnsi="宋体" w:cs="宋体"/>
          <w:color w:val="auto"/>
          <w:w w:val="99"/>
          <w:sz w:val="24"/>
          <w:highlight w:val="none"/>
        </w:rPr>
      </w:pPr>
      <w:r>
        <w:rPr>
          <w:rFonts w:hint="eastAsia" w:ascii="宋体" w:hAnsi="宋体" w:cs="宋体"/>
          <w:color w:val="auto"/>
          <w:w w:val="99"/>
          <w:sz w:val="24"/>
          <w:highlight w:val="none"/>
        </w:rPr>
        <w:t>（</w:t>
      </w:r>
      <w:r>
        <w:rPr>
          <w:rFonts w:hint="eastAsia" w:ascii="宋体" w:hAnsi="宋体" w:cs="宋体"/>
          <w:color w:val="auto"/>
          <w:sz w:val="24"/>
          <w:highlight w:val="none"/>
        </w:rPr>
        <w:t>采购人</w:t>
      </w:r>
      <w:r>
        <w:rPr>
          <w:rFonts w:hint="eastAsia" w:ascii="宋体" w:hAnsi="宋体" w:cs="宋体"/>
          <w:color w:val="auto"/>
          <w:w w:val="99"/>
          <w:sz w:val="24"/>
          <w:highlight w:val="none"/>
        </w:rPr>
        <w:t>）：</w:t>
      </w:r>
    </w:p>
    <w:p>
      <w:pPr>
        <w:adjustRightInd w:val="0"/>
        <w:snapToGrid w:val="0"/>
        <w:spacing w:before="36" w:beforeLines="15"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我方郑重承诺：</w:t>
      </w:r>
    </w:p>
    <w:p>
      <w:pPr>
        <w:widowControl/>
        <w:adjustRightInd w:val="0"/>
        <w:snapToGrid w:val="0"/>
        <w:spacing w:before="36" w:beforeLines="15"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不存在与采购人存在利害关系可能影响采购公正性的法人、其它组织或者个人，参加本项目的情况；不存在单位负责人为同一人或者存在直接控股、管理关系的不同投标人，参加同一合同项下的政府采购活动的情况。</w:t>
      </w:r>
    </w:p>
    <w:p>
      <w:pPr>
        <w:adjustRightInd w:val="0"/>
        <w:snapToGrid w:val="0"/>
        <w:spacing w:before="36" w:beforeLines="15" w:line="360" w:lineRule="auto"/>
        <w:outlineLvl w:val="9"/>
        <w:rPr>
          <w:rFonts w:ascii="宋体" w:hAnsi="宋体" w:cs="宋体"/>
          <w:color w:val="auto"/>
          <w:sz w:val="24"/>
          <w:highlight w:val="none"/>
        </w:rPr>
      </w:pPr>
    </w:p>
    <w:p>
      <w:pPr>
        <w:adjustRightInd w:val="0"/>
        <w:snapToGrid w:val="0"/>
        <w:spacing w:before="36" w:beforeLines="15" w:line="360" w:lineRule="auto"/>
        <w:outlineLvl w:val="9"/>
        <w:rPr>
          <w:rFonts w:ascii="宋体" w:hAnsi="宋体" w:cs="宋体"/>
          <w:color w:val="auto"/>
          <w:sz w:val="24"/>
          <w:highlight w:val="none"/>
        </w:rPr>
      </w:pPr>
      <w:r>
        <w:rPr>
          <w:rFonts w:hint="eastAsia" w:ascii="宋体" w:hAnsi="宋体" w:cs="宋体"/>
          <w:color w:val="auto"/>
          <w:sz w:val="24"/>
          <w:highlight w:val="none"/>
        </w:rPr>
        <w:t>特此承诺！</w:t>
      </w:r>
    </w:p>
    <w:p>
      <w:pPr>
        <w:adjustRightInd w:val="0"/>
        <w:snapToGrid w:val="0"/>
        <w:spacing w:before="36" w:beforeLines="15" w:line="360" w:lineRule="auto"/>
        <w:outlineLvl w:val="9"/>
        <w:rPr>
          <w:rFonts w:ascii="宋体" w:hAnsi="宋体" w:cs="宋体"/>
          <w:color w:val="auto"/>
          <w:sz w:val="24"/>
          <w:highlight w:val="none"/>
        </w:rPr>
      </w:pPr>
    </w:p>
    <w:p>
      <w:pPr>
        <w:adjustRightInd w:val="0"/>
        <w:snapToGrid w:val="0"/>
        <w:spacing w:before="36" w:beforeLines="15" w:line="360" w:lineRule="auto"/>
        <w:outlineLvl w:val="9"/>
        <w:rPr>
          <w:rFonts w:ascii="宋体" w:hAnsi="宋体" w:cs="宋体"/>
          <w:color w:val="auto"/>
          <w:sz w:val="24"/>
          <w:highlight w:val="none"/>
        </w:rPr>
      </w:pPr>
    </w:p>
    <w:p>
      <w:pPr>
        <w:adjustRightInd w:val="0"/>
        <w:snapToGrid w:val="0"/>
        <w:spacing w:before="36" w:beforeLines="15" w:line="360" w:lineRule="auto"/>
        <w:outlineLvl w:val="9"/>
        <w:rPr>
          <w:rFonts w:ascii="宋体" w:hAnsi="宋体" w:cs="宋体"/>
          <w:color w:val="auto"/>
          <w:sz w:val="24"/>
          <w:highlight w:val="none"/>
        </w:rPr>
      </w:pPr>
    </w:p>
    <w:p>
      <w:pPr>
        <w:adjustRightInd w:val="0"/>
        <w:snapToGrid w:val="0"/>
        <w:spacing w:before="36" w:beforeLines="15" w:line="360" w:lineRule="auto"/>
        <w:ind w:left="3578" w:leftChars="1704"/>
        <w:outlineLvl w:val="9"/>
        <w:rPr>
          <w:rFonts w:ascii="宋体" w:hAnsi="宋体" w:cs="宋体"/>
          <w:color w:val="auto"/>
          <w:sz w:val="24"/>
          <w:highlight w:val="none"/>
        </w:rPr>
      </w:pPr>
      <w:r>
        <w:rPr>
          <w:rFonts w:hint="eastAsia" w:ascii="宋体" w:hAnsi="宋体" w:cs="宋体"/>
          <w:color w:val="auto"/>
          <w:sz w:val="24"/>
          <w:highlight w:val="none"/>
        </w:rPr>
        <w:t>投标人名称（盖章）：</w:t>
      </w:r>
    </w:p>
    <w:p>
      <w:pPr>
        <w:adjustRightInd w:val="0"/>
        <w:snapToGrid w:val="0"/>
        <w:spacing w:before="36" w:beforeLines="15" w:line="360" w:lineRule="auto"/>
        <w:ind w:left="3578" w:leftChars="1704"/>
        <w:outlineLvl w:val="9"/>
        <w:rPr>
          <w:rFonts w:ascii="宋体" w:hAnsi="宋体" w:cs="宋体"/>
          <w:color w:val="auto"/>
          <w:sz w:val="24"/>
          <w:highlight w:val="none"/>
        </w:rPr>
      </w:pPr>
    </w:p>
    <w:p>
      <w:pPr>
        <w:adjustRightInd w:val="0"/>
        <w:snapToGrid w:val="0"/>
        <w:spacing w:before="36" w:beforeLines="15" w:line="360" w:lineRule="auto"/>
        <w:ind w:left="3578" w:leftChars="1704"/>
        <w:outlineLvl w:val="9"/>
        <w:rPr>
          <w:rFonts w:ascii="宋体" w:hAnsi="宋体" w:cs="宋体"/>
          <w:color w:val="auto"/>
          <w:sz w:val="24"/>
          <w:highlight w:val="none"/>
        </w:rPr>
      </w:pPr>
      <w:r>
        <w:rPr>
          <w:rFonts w:hint="eastAsia" w:ascii="宋体" w:hAnsi="宋体" w:cs="宋体"/>
          <w:bCs/>
          <w:color w:val="auto"/>
          <w:sz w:val="24"/>
          <w:szCs w:val="24"/>
          <w:highlight w:val="none"/>
        </w:rPr>
        <w:t>单位负责人或授权代理人</w:t>
      </w:r>
      <w:r>
        <w:rPr>
          <w:rFonts w:hint="eastAsia" w:ascii="宋体" w:hAnsi="宋体" w:cs="宋体"/>
          <w:color w:val="auto"/>
          <w:sz w:val="24"/>
          <w:highlight w:val="none"/>
        </w:rPr>
        <w:t>（签字或盖章）：</w:t>
      </w:r>
    </w:p>
    <w:p>
      <w:pPr>
        <w:spacing w:before="120" w:beforeLines="50" w:after="120" w:afterLines="50" w:line="288" w:lineRule="auto"/>
        <w:jc w:val="center"/>
        <w:outlineLvl w:val="9"/>
        <w:rPr>
          <w:rFonts w:ascii="宋体" w:hAnsi="宋体" w:cs="宋体"/>
          <w:color w:val="auto"/>
          <w:sz w:val="24"/>
          <w:highlight w:val="none"/>
        </w:rPr>
      </w:pPr>
      <w:r>
        <w:rPr>
          <w:rFonts w:hint="eastAsia" w:ascii="宋体" w:hAnsi="宋体" w:cs="宋体"/>
          <w:color w:val="auto"/>
          <w:sz w:val="24"/>
          <w:highlight w:val="none"/>
        </w:rPr>
        <w:t xml:space="preserve">                年   月   日</w:t>
      </w: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4"/>
          <w:highlight w:val="none"/>
        </w:rPr>
      </w:pPr>
    </w:p>
    <w:p>
      <w:pPr>
        <w:widowControl/>
        <w:adjustRightInd w:val="0"/>
        <w:snapToGrid w:val="0"/>
        <w:spacing w:before="36" w:beforeLines="15" w:line="360" w:lineRule="auto"/>
        <w:jc w:val="center"/>
        <w:outlineLvl w:val="9"/>
        <w:rPr>
          <w:rFonts w:ascii="宋体" w:hAnsi="宋体" w:cs="宋体"/>
          <w:color w:val="auto"/>
          <w:sz w:val="28"/>
          <w:szCs w:val="28"/>
          <w:highlight w:val="none"/>
        </w:rPr>
      </w:pPr>
      <w:r>
        <w:rPr>
          <w:rFonts w:hint="eastAsia" w:ascii="宋体" w:hAnsi="宋体" w:cs="宋体"/>
          <w:color w:val="auto"/>
          <w:sz w:val="28"/>
          <w:szCs w:val="28"/>
          <w:highlight w:val="none"/>
        </w:rPr>
        <w:t>承诺书3</w:t>
      </w:r>
    </w:p>
    <w:p>
      <w:pPr>
        <w:adjustRightInd w:val="0"/>
        <w:snapToGrid w:val="0"/>
        <w:spacing w:line="360" w:lineRule="auto"/>
        <w:outlineLvl w:val="9"/>
        <w:rPr>
          <w:rFonts w:ascii="宋体" w:hAnsi="宋体" w:cs="宋体"/>
          <w:color w:val="auto"/>
          <w:w w:val="99"/>
          <w:sz w:val="24"/>
          <w:highlight w:val="none"/>
        </w:rPr>
      </w:pPr>
    </w:p>
    <w:p>
      <w:pPr>
        <w:adjustRightInd w:val="0"/>
        <w:snapToGrid w:val="0"/>
        <w:spacing w:line="360" w:lineRule="auto"/>
        <w:ind w:left="0" w:leftChars="0" w:firstLine="419" w:firstLineChars="177"/>
        <w:outlineLvl w:val="9"/>
        <w:rPr>
          <w:rFonts w:ascii="宋体" w:hAnsi="宋体" w:cs="宋体"/>
          <w:color w:val="auto"/>
          <w:w w:val="99"/>
          <w:sz w:val="24"/>
          <w:highlight w:val="none"/>
        </w:rPr>
      </w:pPr>
      <w:r>
        <w:rPr>
          <w:rFonts w:hint="eastAsia" w:ascii="宋体" w:hAnsi="宋体" w:cs="宋体"/>
          <w:color w:val="auto"/>
          <w:w w:val="99"/>
          <w:sz w:val="24"/>
          <w:highlight w:val="none"/>
        </w:rPr>
        <w:t>（</w:t>
      </w:r>
      <w:r>
        <w:rPr>
          <w:rFonts w:hint="eastAsia" w:ascii="宋体" w:hAnsi="宋体" w:cs="宋体"/>
          <w:color w:val="auto"/>
          <w:sz w:val="24"/>
          <w:highlight w:val="none"/>
        </w:rPr>
        <w:t>采购人</w:t>
      </w:r>
      <w:r>
        <w:rPr>
          <w:rFonts w:hint="eastAsia" w:ascii="宋体" w:hAnsi="宋体" w:cs="宋体"/>
          <w:color w:val="auto"/>
          <w:w w:val="99"/>
          <w:sz w:val="24"/>
          <w:highlight w:val="none"/>
        </w:rPr>
        <w:t>）：</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我方郑重承诺：</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(一)具有独立承担民事责任的能力;</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(二)具有良好的商业信誉和健全的财务会计制度;</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(三)具有履行合同所必需的设备和专业技术能力;</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(四)有依法缴纳税收和社会保障资金的良好记录;</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(五)参加政府采购活动前三年内，在经营活动中没有重大违法记录;</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(六)未被列入政府取消投标资格记录期间的企业或个人投标</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(七)法律、行政法规规定的其他条件。</w:t>
      </w: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p>
    <w:p>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highlight w:val="none"/>
        </w:rPr>
      </w:pPr>
      <w:r>
        <w:rPr>
          <w:rFonts w:hint="eastAsia" w:ascii="宋体" w:hAnsi="宋体" w:cs="宋体"/>
          <w:color w:val="auto"/>
          <w:sz w:val="24"/>
          <w:szCs w:val="22"/>
          <w:highlight w:val="none"/>
        </w:rPr>
        <w:t>特此承诺！</w:t>
      </w:r>
    </w:p>
    <w:p>
      <w:pPr>
        <w:adjustRightInd w:val="0"/>
        <w:snapToGrid w:val="0"/>
        <w:spacing w:before="36" w:beforeLines="15" w:line="360" w:lineRule="auto"/>
        <w:ind w:left="3578" w:leftChars="1704"/>
        <w:outlineLvl w:val="9"/>
        <w:rPr>
          <w:rFonts w:ascii="宋体" w:hAnsi="宋体" w:cs="宋体"/>
          <w:color w:val="auto"/>
          <w:sz w:val="24"/>
          <w:highlight w:val="none"/>
        </w:rPr>
      </w:pPr>
    </w:p>
    <w:p>
      <w:pPr>
        <w:adjustRightInd w:val="0"/>
        <w:snapToGrid w:val="0"/>
        <w:spacing w:before="36" w:beforeLines="15" w:line="360" w:lineRule="auto"/>
        <w:ind w:left="3578" w:leftChars="1704"/>
        <w:outlineLvl w:val="9"/>
        <w:rPr>
          <w:rFonts w:ascii="宋体" w:hAnsi="宋体" w:cs="宋体"/>
          <w:color w:val="auto"/>
          <w:sz w:val="24"/>
          <w:highlight w:val="none"/>
        </w:rPr>
      </w:pPr>
    </w:p>
    <w:p>
      <w:pPr>
        <w:adjustRightInd w:val="0"/>
        <w:snapToGrid w:val="0"/>
        <w:spacing w:before="36" w:beforeLines="15" w:line="360" w:lineRule="auto"/>
        <w:ind w:left="3578" w:leftChars="1704"/>
        <w:outlineLvl w:val="9"/>
        <w:rPr>
          <w:rFonts w:ascii="宋体" w:hAnsi="宋体" w:cs="宋体"/>
          <w:color w:val="auto"/>
          <w:sz w:val="24"/>
          <w:highlight w:val="none"/>
        </w:rPr>
      </w:pPr>
      <w:r>
        <w:rPr>
          <w:rFonts w:hint="eastAsia" w:ascii="宋体" w:hAnsi="宋体" w:cs="宋体"/>
          <w:color w:val="auto"/>
          <w:sz w:val="24"/>
          <w:highlight w:val="none"/>
        </w:rPr>
        <w:t>投标人名称（盖章）：</w:t>
      </w:r>
    </w:p>
    <w:p>
      <w:pPr>
        <w:adjustRightInd w:val="0"/>
        <w:snapToGrid w:val="0"/>
        <w:spacing w:before="36" w:beforeLines="15" w:line="360" w:lineRule="auto"/>
        <w:ind w:left="3578" w:leftChars="1704"/>
        <w:outlineLvl w:val="9"/>
        <w:rPr>
          <w:rFonts w:ascii="宋体" w:hAnsi="宋体" w:cs="宋体"/>
          <w:color w:val="auto"/>
          <w:sz w:val="24"/>
          <w:highlight w:val="none"/>
        </w:rPr>
      </w:pPr>
    </w:p>
    <w:p>
      <w:pPr>
        <w:adjustRightInd w:val="0"/>
        <w:snapToGrid w:val="0"/>
        <w:spacing w:before="36" w:beforeLines="15" w:line="360" w:lineRule="auto"/>
        <w:ind w:left="3578" w:leftChars="1704"/>
        <w:outlineLvl w:val="9"/>
        <w:rPr>
          <w:rFonts w:ascii="宋体" w:hAnsi="宋体" w:cs="宋体"/>
          <w:color w:val="auto"/>
          <w:sz w:val="24"/>
          <w:highlight w:val="none"/>
        </w:rPr>
      </w:pPr>
      <w:r>
        <w:rPr>
          <w:rFonts w:hint="eastAsia" w:ascii="宋体" w:hAnsi="宋体" w:cs="宋体"/>
          <w:bCs/>
          <w:color w:val="auto"/>
          <w:sz w:val="24"/>
          <w:szCs w:val="24"/>
          <w:highlight w:val="none"/>
        </w:rPr>
        <w:t>单位负责人或授权代理人</w:t>
      </w:r>
      <w:r>
        <w:rPr>
          <w:rFonts w:hint="eastAsia" w:ascii="宋体" w:hAnsi="宋体" w:cs="宋体"/>
          <w:color w:val="auto"/>
          <w:sz w:val="24"/>
          <w:highlight w:val="none"/>
        </w:rPr>
        <w:t>（签字或盖章）：</w:t>
      </w:r>
    </w:p>
    <w:p>
      <w:pPr>
        <w:pStyle w:val="13"/>
        <w:tabs>
          <w:tab w:val="left" w:pos="200"/>
        </w:tabs>
        <w:spacing w:line="360" w:lineRule="auto"/>
        <w:jc w:val="right"/>
        <w:outlineLvl w:val="9"/>
        <w:rPr>
          <w:rFonts w:hAnsi="宋体" w:cs="宋体"/>
          <w:color w:val="auto"/>
          <w:sz w:val="24"/>
          <w:highlight w:val="none"/>
        </w:rPr>
      </w:pPr>
      <w:r>
        <w:rPr>
          <w:rFonts w:hint="eastAsia" w:hAnsi="宋体" w:cs="宋体"/>
          <w:color w:val="auto"/>
          <w:sz w:val="24"/>
          <w:highlight w:val="none"/>
        </w:rPr>
        <w:t xml:space="preserve">            年   月   日</w:t>
      </w:r>
    </w:p>
    <w:p>
      <w:pPr>
        <w:adjustRightInd w:val="0"/>
        <w:snapToGrid w:val="0"/>
        <w:spacing w:before="36" w:beforeLines="15" w:line="360" w:lineRule="auto"/>
        <w:outlineLvl w:val="1"/>
        <w:rPr>
          <w:rFonts w:hint="eastAsia" w:ascii="宋体" w:hAnsi="宋体" w:cs="宋体"/>
          <w:b/>
          <w:color w:val="auto"/>
          <w:sz w:val="24"/>
          <w:szCs w:val="24"/>
          <w:highlight w:val="none"/>
          <w:lang w:val="zh-CN"/>
        </w:rPr>
      </w:pPr>
      <w:r>
        <w:rPr>
          <w:color w:val="auto"/>
          <w:highlight w:val="none"/>
        </w:rPr>
        <w:br w:type="page"/>
      </w:r>
      <w:bookmarkStart w:id="184" w:name="_Toc4381"/>
      <w:bookmarkStart w:id="185" w:name="_Toc27822"/>
      <w:r>
        <w:rPr>
          <w:rFonts w:hint="eastAsia" w:ascii="宋体" w:hAnsi="宋体" w:cs="宋体"/>
          <w:b/>
          <w:color w:val="auto"/>
          <w:sz w:val="24"/>
          <w:szCs w:val="24"/>
          <w:highlight w:val="none"/>
          <w:lang w:val="zh-CN"/>
        </w:rPr>
        <w:t>格式</w:t>
      </w:r>
      <w:r>
        <w:rPr>
          <w:rFonts w:ascii="宋体" w:hAnsi="宋体" w:cs="宋体"/>
          <w:b/>
          <w:color w:val="auto"/>
          <w:sz w:val="24"/>
          <w:szCs w:val="24"/>
          <w:highlight w:val="none"/>
          <w:lang w:val="zh-CN"/>
        </w:rPr>
        <w:t>十</w:t>
      </w:r>
      <w:r>
        <w:rPr>
          <w:rFonts w:hint="eastAsia" w:ascii="宋体" w:hAnsi="宋体" w:cs="宋体"/>
          <w:b/>
          <w:color w:val="auto"/>
          <w:sz w:val="24"/>
          <w:szCs w:val="24"/>
          <w:highlight w:val="none"/>
          <w:lang w:val="zh-CN"/>
        </w:rPr>
        <w:t>一</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lang w:val="zh-CN"/>
        </w:rPr>
        <w:t>“节能产品”、“环境标志产品”等证明材料</w:t>
      </w:r>
      <w:bookmarkEnd w:id="184"/>
      <w:bookmarkEnd w:id="185"/>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snapToGrid w:val="0"/>
        <w:spacing w:line="360" w:lineRule="auto"/>
        <w:jc w:val="center"/>
        <w:outlineLvl w:val="9"/>
        <w:rPr>
          <w:rFonts w:hint="eastAsia" w:ascii="宋体" w:hAnsi="宋体"/>
          <w:color w:val="auto"/>
          <w:sz w:val="24"/>
          <w:szCs w:val="24"/>
          <w:highlight w:val="none"/>
        </w:rPr>
      </w:pPr>
    </w:p>
    <w:p>
      <w:pPr>
        <w:pStyle w:val="19"/>
        <w:spacing w:line="432" w:lineRule="auto"/>
        <w:outlineLvl w:val="9"/>
        <w:rPr>
          <w:color w:val="auto"/>
          <w:kern w:val="2"/>
          <w:szCs w:val="24"/>
          <w:highlight w:val="none"/>
        </w:rPr>
        <w:sectPr>
          <w:pgSz w:w="11906" w:h="16838"/>
          <w:pgMar w:top="1440" w:right="1417" w:bottom="1440" w:left="1531" w:header="851" w:footer="1077" w:gutter="0"/>
          <w:pgBorders>
            <w:top w:val="none" w:sz="0" w:space="0"/>
            <w:left w:val="none" w:sz="0" w:space="0"/>
            <w:bottom w:val="none" w:sz="0" w:space="0"/>
            <w:right w:val="none" w:sz="0" w:space="0"/>
          </w:pgBorders>
          <w:pgNumType w:fmt="decimal"/>
          <w:cols w:space="720" w:num="1"/>
          <w:titlePg/>
          <w:docGrid w:linePitch="490" w:charSpace="0"/>
        </w:sectPr>
      </w:pPr>
    </w:p>
    <w:p>
      <w:pPr>
        <w:adjustRightInd w:val="0"/>
        <w:snapToGrid w:val="0"/>
        <w:spacing w:before="50" w:line="360" w:lineRule="auto"/>
        <w:jc w:val="left"/>
        <w:outlineLvl w:val="1"/>
        <w:rPr>
          <w:rFonts w:ascii="宋体" w:hAnsi="宋体" w:cs="宋体"/>
          <w:b/>
          <w:color w:val="auto"/>
          <w:sz w:val="24"/>
          <w:szCs w:val="24"/>
          <w:highlight w:val="none"/>
          <w:lang w:val="zh-CN"/>
        </w:rPr>
      </w:pPr>
      <w:r>
        <w:rPr>
          <w:rFonts w:ascii="宋体" w:hAnsi="宋体" w:cs="宋体"/>
          <w:b/>
          <w:color w:val="auto"/>
          <w:sz w:val="24"/>
          <w:szCs w:val="24"/>
          <w:highlight w:val="none"/>
          <w:lang w:val="zh-CN"/>
        </w:rPr>
        <w:br w:type="page"/>
      </w:r>
      <w:bookmarkStart w:id="186" w:name="_Toc13298"/>
      <w:bookmarkStart w:id="187" w:name="_Toc12272"/>
      <w:r>
        <w:rPr>
          <w:rFonts w:ascii="宋体" w:hAnsi="宋体" w:cs="宋体"/>
          <w:b/>
          <w:color w:val="auto"/>
          <w:sz w:val="24"/>
          <w:szCs w:val="24"/>
          <w:highlight w:val="none"/>
          <w:lang w:val="zh-CN"/>
        </w:rPr>
        <w:t>格式十</w:t>
      </w:r>
      <w:r>
        <w:rPr>
          <w:rFonts w:hint="eastAsia" w:ascii="宋体" w:hAnsi="宋体" w:cs="宋体"/>
          <w:b/>
          <w:color w:val="auto"/>
          <w:sz w:val="24"/>
          <w:szCs w:val="24"/>
          <w:highlight w:val="none"/>
          <w:lang w:val="en-US" w:eastAsia="zh-CN"/>
        </w:rPr>
        <w:t>二</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en-US" w:eastAsia="zh-CN"/>
        </w:rPr>
        <w:t xml:space="preserve"> </w:t>
      </w:r>
      <w:r>
        <w:rPr>
          <w:rFonts w:ascii="宋体" w:hAnsi="宋体" w:cs="宋体"/>
          <w:b/>
          <w:color w:val="auto"/>
          <w:sz w:val="24"/>
          <w:szCs w:val="24"/>
          <w:highlight w:val="none"/>
          <w:lang w:val="zh-CN"/>
        </w:rPr>
        <w:t>中小企业声明函</w:t>
      </w:r>
      <w:bookmarkEnd w:id="186"/>
      <w:bookmarkEnd w:id="187"/>
    </w:p>
    <w:p>
      <w:pPr>
        <w:autoSpaceDE w:val="0"/>
        <w:autoSpaceDN w:val="0"/>
        <w:adjustRightInd w:val="0"/>
        <w:spacing w:before="120" w:beforeLines="50" w:after="120" w:afterLines="50"/>
        <w:jc w:val="center"/>
        <w:rPr>
          <w:rFonts w:ascii="宋体" w:hAnsi="宋体"/>
          <w:snapToGrid w:val="0"/>
          <w:color w:val="auto"/>
          <w:kern w:val="0"/>
          <w:sz w:val="24"/>
          <w:highlight w:val="none"/>
        </w:rPr>
      </w:pPr>
      <w:bookmarkStart w:id="188" w:name="_Toc10611"/>
      <w:bookmarkStart w:id="189" w:name="_Toc4562"/>
      <w:r>
        <w:rPr>
          <w:rFonts w:hint="eastAsia" w:ascii="宋体" w:hAnsi="宋体" w:cs="宋体"/>
          <w:b/>
          <w:color w:val="auto"/>
          <w:sz w:val="28"/>
          <w:szCs w:val="28"/>
          <w:highlight w:val="none"/>
        </w:rPr>
        <w:t>中小企业声明函（货物）</w:t>
      </w:r>
    </w:p>
    <w:p>
      <w:pPr>
        <w:pStyle w:val="76"/>
        <w:keepNext w:val="0"/>
        <w:keepLines w:val="0"/>
        <w:pageBreakBefore w:val="0"/>
        <w:kinsoku/>
        <w:wordWrap/>
        <w:overflowPunct/>
        <w:topLinePunct w:val="0"/>
        <w:bidi w:val="0"/>
        <w:snapToGrid/>
        <w:spacing w:beforeLines="0" w:afterLines="0" w:line="360" w:lineRule="auto"/>
        <w:ind w:right="15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 ﹝2020﹞46号）的规定，本公司（联合体）参加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position w:val="16"/>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pStyle w:val="77"/>
        <w:keepNext w:val="0"/>
        <w:keepLines w:val="0"/>
        <w:pageBreakBefore w:val="0"/>
        <w:kinsoku/>
        <w:wordWrap/>
        <w:overflowPunct/>
        <w:topLinePunct w:val="0"/>
        <w:bidi w:val="0"/>
        <w:snapToGrid/>
        <w:spacing w:beforeLines="0" w:afterLines="0" w:line="360" w:lineRule="auto"/>
        <w:ind w:left="6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76"/>
        <w:keepNext w:val="0"/>
        <w:keepLines w:val="0"/>
        <w:pageBreakBefore w:val="0"/>
        <w:kinsoku/>
        <w:wordWrap/>
        <w:overflowPunct/>
        <w:topLinePunct w:val="0"/>
        <w:bidi w:val="0"/>
        <w:snapToGrid/>
        <w:spacing w:beforeLines="0" w:afterLines="0" w:line="360" w:lineRule="auto"/>
        <w:ind w:right="157" w:firstLine="6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77"/>
        <w:keepNext w:val="0"/>
        <w:keepLines w:val="0"/>
        <w:pageBreakBefore w:val="0"/>
        <w:kinsoku/>
        <w:wordWrap/>
        <w:overflowPunct/>
        <w:topLinePunct w:val="0"/>
        <w:bidi w:val="0"/>
        <w:snapToGrid/>
        <w:spacing w:beforeLines="0" w:afterLines="0" w:line="360" w:lineRule="auto"/>
        <w:ind w:left="64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78"/>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left="4415" w:leftChars="2074" w:hanging="60" w:hangingChars="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adjustRightInd w:val="0"/>
        <w:snapToGrid w:val="0"/>
        <w:spacing w:line="520" w:lineRule="atLeast"/>
        <w:ind w:firstLine="4320" w:firstLineChars="1800"/>
        <w:rPr>
          <w:rFonts w:ascii="宋体" w:hAnsi="宋体" w:cs="宋体"/>
          <w:color w:val="auto"/>
          <w:sz w:val="24"/>
          <w:szCs w:val="24"/>
          <w:highlight w:val="none"/>
        </w:rPr>
      </w:pPr>
      <w:r>
        <w:rPr>
          <w:rFonts w:hint="eastAsia" w:ascii="宋体" w:hAnsi="宋体" w:eastAsia="宋体" w:cs="宋体"/>
          <w:color w:val="auto"/>
          <w:sz w:val="24"/>
          <w:szCs w:val="24"/>
          <w:highlight w:val="none"/>
        </w:rPr>
        <w:t>日期：</w:t>
      </w:r>
      <w:r>
        <w:rPr>
          <w:rFonts w:ascii="宋体" w:hAnsi="宋体" w:cs="宋体"/>
          <w:color w:val="auto"/>
          <w:sz w:val="24"/>
          <w:szCs w:val="24"/>
          <w:highlight w:val="none"/>
        </w:rPr>
        <w:t xml:space="preserve"> </w:t>
      </w:r>
    </w:p>
    <w:p>
      <w:pPr>
        <w:adjustRightInd w:val="0"/>
        <w:snapToGrid w:val="0"/>
        <w:spacing w:line="520" w:lineRule="atLeast"/>
        <w:rPr>
          <w:rFonts w:hint="eastAsia" w:ascii="宋体" w:hAnsi="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6"/>
        <w:keepNext w:val="0"/>
        <w:keepLines w:val="0"/>
        <w:pageBreakBefore w:val="0"/>
        <w:kinsoku/>
        <w:wordWrap/>
        <w:overflowPunct/>
        <w:topLinePunct w:val="0"/>
        <w:bidi w:val="0"/>
        <w:snapToGrid/>
        <w:spacing w:beforeLines="0" w:afterLines="0" w:line="360" w:lineRule="auto"/>
        <w:ind w:right="15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从业人员、营业收入、资产总额填报上一年度数据，无上一年度数据的新成立企业可不填报。供应商应根据《政府采购促进中小企业发展管理办法》（财库﹝2020﹞46号）和《关于印发中小企业划型标准规定的通知》(工信部联企业〔2011〕300号)相关规定，如实填写中小企业声明函。如有虚假，将依法承担相应责任。供应商自行登录工业和信息化部官网进行中小企业规模类型自测（查询网址 https://www.miit.gov.cn/）。 </w:t>
      </w:r>
    </w:p>
    <w:p>
      <w:pPr>
        <w:pStyle w:val="76"/>
        <w:keepNext w:val="0"/>
        <w:keepLines w:val="0"/>
        <w:pageBreakBefore w:val="0"/>
        <w:kinsoku/>
        <w:wordWrap/>
        <w:overflowPunct/>
        <w:topLinePunct w:val="0"/>
        <w:bidi w:val="0"/>
        <w:snapToGrid/>
        <w:spacing w:beforeLines="0" w:afterLines="0" w:line="360" w:lineRule="auto"/>
        <w:ind w:right="157"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上述“标的名称”，详见第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技术标准和要求</w:t>
      </w:r>
      <w:r>
        <w:rPr>
          <w:rFonts w:hint="eastAsia" w:ascii="宋体" w:hAnsi="宋体" w:eastAsia="宋体" w:cs="宋体"/>
          <w:color w:val="auto"/>
          <w:sz w:val="24"/>
          <w:szCs w:val="24"/>
          <w:highlight w:val="none"/>
        </w:rPr>
        <w:t>中明确的“标的名称”。</w:t>
      </w:r>
    </w:p>
    <w:p>
      <w:pPr>
        <w:pStyle w:val="76"/>
        <w:keepNext w:val="0"/>
        <w:keepLines w:val="0"/>
        <w:pageBreakBefore w:val="0"/>
        <w:kinsoku/>
        <w:wordWrap/>
        <w:overflowPunct/>
        <w:topLinePunct w:val="0"/>
        <w:bidi w:val="0"/>
        <w:snapToGrid/>
        <w:spacing w:beforeLines="0" w:afterLines="0" w:line="360" w:lineRule="auto"/>
        <w:ind w:right="157"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4.上述“采购文件中明确的所属行业”，详见投标须知前附表中明确的“所属行业”。</w:t>
      </w:r>
    </w:p>
    <w:p>
      <w:pPr>
        <w:pStyle w:val="76"/>
        <w:keepNext w:val="0"/>
        <w:keepLines w:val="0"/>
        <w:pageBreakBefore w:val="0"/>
        <w:kinsoku/>
        <w:wordWrap/>
        <w:overflowPunct/>
        <w:topLinePunct w:val="0"/>
        <w:bidi w:val="0"/>
        <w:snapToGrid/>
        <w:spacing w:beforeLines="0" w:afterLines="0" w:line="360" w:lineRule="auto"/>
        <w:ind w:right="157"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5．填写示例：某设备，属于（填写投标须知前附表中明确的对应货物的“所属行业”，如工业）行业；制造商为某企业，从业人员 100 人，营业收入为 10000万元，资产总额为5000万元，属于小型企业 [供应商自行登录工业和信息化部官网进行中小企业规模类型自测（查询网址https://www.miit.gov.cn/）]。</w:t>
      </w:r>
    </w:p>
    <w:p>
      <w:pPr>
        <w:pStyle w:val="22"/>
        <w:ind w:firstLine="0" w:firstLineChars="0"/>
        <w:rPr>
          <w:rFonts w:ascii="宋体" w:hAnsi="宋体" w:eastAsia="宋体" w:cs="宋体"/>
          <w:b/>
          <w:bCs/>
          <w:color w:val="auto"/>
          <w:kern w:val="0"/>
          <w:sz w:val="24"/>
          <w:szCs w:val="24"/>
          <w:highlight w:val="none"/>
        </w:rPr>
      </w:pPr>
    </w:p>
    <w:p>
      <w:pPr>
        <w:bidi w:val="0"/>
        <w:rPr>
          <w:rFonts w:hint="eastAsia"/>
          <w:color w:val="auto"/>
          <w:highlight w:val="none"/>
        </w:rPr>
      </w:pPr>
    </w:p>
    <w:p>
      <w:pPr>
        <w:autoSpaceDE w:val="0"/>
        <w:autoSpaceDN w:val="0"/>
        <w:adjustRightInd w:val="0"/>
        <w:jc w:val="left"/>
        <w:outlineLvl w:val="1"/>
        <w:rPr>
          <w:rFonts w:hint="eastAsia" w:ascii="宋体" w:hAnsi="宋体"/>
          <w:b/>
          <w:color w:val="auto"/>
          <w:sz w:val="24"/>
          <w:szCs w:val="24"/>
          <w:highlight w:val="none"/>
        </w:rPr>
        <w:sectPr>
          <w:type w:val="continuous"/>
          <w:pgSz w:w="11906" w:h="16838"/>
          <w:pgMar w:top="1440" w:right="1080" w:bottom="1440" w:left="1080" w:header="851" w:footer="1077" w:gutter="0"/>
          <w:pgBorders>
            <w:top w:val="none" w:sz="0" w:space="0"/>
            <w:left w:val="none" w:sz="0" w:space="0"/>
            <w:bottom w:val="none" w:sz="0" w:space="0"/>
            <w:right w:val="none" w:sz="0" w:space="0"/>
          </w:pgBorders>
          <w:pgNumType w:fmt="decimal"/>
          <w:cols w:space="720" w:num="1"/>
          <w:titlePg/>
          <w:docGrid w:linePitch="490" w:charSpace="0"/>
        </w:sectPr>
      </w:pPr>
    </w:p>
    <w:p>
      <w:pPr>
        <w:autoSpaceDE w:val="0"/>
        <w:autoSpaceDN w:val="0"/>
        <w:adjustRightInd w:val="0"/>
        <w:jc w:val="left"/>
        <w:outlineLvl w:val="1"/>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格式十</w:t>
      </w:r>
      <w:r>
        <w:rPr>
          <w:rFonts w:hint="eastAsia" w:ascii="宋体" w:hAnsi="宋体"/>
          <w:b/>
          <w:color w:val="auto"/>
          <w:sz w:val="24"/>
          <w:szCs w:val="24"/>
          <w:highlight w:val="none"/>
          <w:lang w:val="en-US" w:eastAsia="zh-CN"/>
        </w:rPr>
        <w:t>三</w:t>
      </w:r>
      <w:r>
        <w:rPr>
          <w:rFonts w:hint="eastAsia" w:ascii="宋体" w:hAnsi="宋体"/>
          <w:b/>
          <w:color w:val="auto"/>
          <w:sz w:val="24"/>
          <w:szCs w:val="24"/>
          <w:highlight w:val="none"/>
        </w:rPr>
        <w:t xml:space="preserve"> </w:t>
      </w:r>
      <w:bookmarkEnd w:id="188"/>
      <w:bookmarkEnd w:id="189"/>
      <w:r>
        <w:rPr>
          <w:rFonts w:hint="eastAsia" w:ascii="宋体" w:hAnsi="宋体"/>
          <w:b/>
          <w:color w:val="auto"/>
          <w:sz w:val="24"/>
          <w:szCs w:val="24"/>
          <w:highlight w:val="none"/>
        </w:rPr>
        <w:t>监狱企业</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残疾人福利性单位</w:t>
      </w:r>
    </w:p>
    <w:p>
      <w:pPr>
        <w:autoSpaceDE w:val="0"/>
        <w:autoSpaceDN w:val="0"/>
        <w:adjustRightInd w:val="0"/>
        <w:jc w:val="left"/>
        <w:outlineLvl w:val="9"/>
        <w:rPr>
          <w:rFonts w:hint="eastAsia" w:ascii="宋体" w:hAnsi="宋体"/>
          <w:b/>
          <w:color w:val="auto"/>
          <w:sz w:val="24"/>
          <w:szCs w:val="24"/>
          <w:highlight w:val="none"/>
        </w:rPr>
      </w:pPr>
    </w:p>
    <w:p>
      <w:pPr>
        <w:numPr>
          <w:ilvl w:val="0"/>
          <w:numId w:val="9"/>
        </w:numPr>
        <w:autoSpaceDE w:val="0"/>
        <w:autoSpaceDN w:val="0"/>
        <w:adjustRightInd w:val="0"/>
        <w:spacing w:line="360" w:lineRule="auto"/>
        <w:jc w:val="left"/>
        <w:outlineLvl w:val="9"/>
        <w:rPr>
          <w:rFonts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监狱企业参加政府采购活动时，应当提供由省级以上监狱管理局、戒毒管理局（含新疆生产建设兵团）出具的属于监狱企业的证明文件。（如有）</w:t>
      </w:r>
    </w:p>
    <w:p>
      <w:pPr>
        <w:autoSpaceDE w:val="0"/>
        <w:autoSpaceDN w:val="0"/>
        <w:adjustRightInd w:val="0"/>
        <w:spacing w:line="360" w:lineRule="auto"/>
        <w:jc w:val="left"/>
        <w:outlineLvl w:val="9"/>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2</w:t>
      </w:r>
      <w:r>
        <w:rPr>
          <w:rFonts w:ascii="宋体" w:hAnsi="宋体" w:cs="宋体"/>
          <w:color w:val="auto"/>
          <w:spacing w:val="6"/>
          <w:kern w:val="0"/>
          <w:sz w:val="24"/>
          <w:szCs w:val="24"/>
          <w:highlight w:val="none"/>
        </w:rPr>
        <w:t>.</w:t>
      </w:r>
      <w:r>
        <w:rPr>
          <w:rFonts w:hint="eastAsia" w:ascii="宋体" w:hAnsi="宋体" w:cs="宋体"/>
          <w:color w:val="auto"/>
          <w:spacing w:val="6"/>
          <w:kern w:val="0"/>
          <w:sz w:val="24"/>
          <w:szCs w:val="24"/>
          <w:highlight w:val="none"/>
        </w:rPr>
        <w:t xml:space="preserve"> 符合条件的残疾人福利性单位在参加政府采购活动时，应当提供本通知规定的《残疾人福利性单位声明函》（如有）</w:t>
      </w:r>
    </w:p>
    <w:p>
      <w:pPr>
        <w:autoSpaceDE w:val="0"/>
        <w:autoSpaceDN w:val="0"/>
        <w:adjustRightInd w:val="0"/>
        <w:outlineLvl w:val="9"/>
        <w:rPr>
          <w:rFonts w:hint="eastAsia" w:ascii="宋体" w:hAnsi="宋体"/>
          <w:b/>
          <w:color w:val="auto"/>
          <w:sz w:val="24"/>
          <w:szCs w:val="24"/>
          <w:highlight w:val="none"/>
        </w:rPr>
      </w:pPr>
    </w:p>
    <w:p>
      <w:pPr>
        <w:ind w:right="-12"/>
        <w:jc w:val="center"/>
        <w:rPr>
          <w:rFonts w:ascii="宋体" w:hAnsi="宋体" w:cs="宋体"/>
          <w:b/>
          <w:color w:val="auto"/>
          <w:sz w:val="28"/>
          <w:szCs w:val="28"/>
          <w:highlight w:val="none"/>
        </w:rPr>
      </w:pPr>
      <w:r>
        <w:rPr>
          <w:rFonts w:hint="eastAsia" w:ascii="宋体" w:hAnsi="宋体" w:cs="宋体"/>
          <w:b/>
          <w:color w:val="auto"/>
          <w:sz w:val="28"/>
          <w:szCs w:val="28"/>
          <w:highlight w:val="none"/>
        </w:rPr>
        <w:t>残疾人福利性单位声明函</w:t>
      </w:r>
    </w:p>
    <w:p>
      <w:pPr>
        <w:autoSpaceDE w:val="0"/>
        <w:autoSpaceDN w:val="0"/>
        <w:adjustRightInd w:val="0"/>
        <w:spacing w:before="120" w:beforeLines="50" w:after="120" w:afterLines="50"/>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（如有）</w:t>
      </w:r>
    </w:p>
    <w:p>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本单位对上述声明的真实性负责。如有虚假，将依法承担相应责任。</w:t>
      </w:r>
    </w:p>
    <w:p>
      <w:pPr>
        <w:adjustRightInd w:val="0"/>
        <w:snapToGrid w:val="0"/>
        <w:spacing w:line="360" w:lineRule="auto"/>
        <w:ind w:firstLine="480" w:firstLineChars="200"/>
        <w:rPr>
          <w:rFonts w:ascii="宋体" w:hAnsi="宋体"/>
          <w:snapToGrid w:val="0"/>
          <w:color w:val="auto"/>
          <w:kern w:val="0"/>
          <w:sz w:val="24"/>
          <w:highlight w:val="none"/>
        </w:rPr>
      </w:pPr>
    </w:p>
    <w:p>
      <w:pPr>
        <w:adjustRightInd w:val="0"/>
        <w:snapToGrid w:val="0"/>
        <w:ind w:firstLine="480" w:firstLineChars="200"/>
        <w:rPr>
          <w:rFonts w:ascii="宋体" w:hAnsi="宋体"/>
          <w:snapToGrid w:val="0"/>
          <w:color w:val="auto"/>
          <w:kern w:val="0"/>
          <w:sz w:val="24"/>
          <w:highlight w:val="none"/>
        </w:rPr>
      </w:pPr>
    </w:p>
    <w:p>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p>
    <w:p>
      <w:pPr>
        <w:adjustRightInd w:val="0"/>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adjustRightInd w:val="0"/>
        <w:snapToGrid w:val="0"/>
        <w:spacing w:line="360" w:lineRule="auto"/>
        <w:ind w:firstLine="480" w:firstLineChars="200"/>
        <w:rPr>
          <w:rFonts w:ascii="宋体"/>
          <w:color w:val="auto"/>
          <w:sz w:val="24"/>
          <w:highlight w:val="none"/>
          <w:u w:val="single"/>
        </w:rPr>
      </w:pPr>
      <w:r>
        <w:rPr>
          <w:rFonts w:hint="eastAsia" w:ascii="宋体"/>
          <w:color w:val="auto"/>
          <w:sz w:val="24"/>
          <w:highlight w:val="none"/>
          <w:lang w:eastAsia="zh-CN"/>
        </w:rPr>
        <w:t>投标人</w:t>
      </w:r>
      <w:r>
        <w:rPr>
          <w:rFonts w:hint="eastAsia" w:ascii="宋体"/>
          <w:color w:val="auto"/>
          <w:sz w:val="24"/>
          <w:highlight w:val="none"/>
        </w:rPr>
        <w:t>名称（盖章）：</w:t>
      </w:r>
      <w:r>
        <w:rPr>
          <w:rFonts w:hint="eastAsia" w:ascii="宋体"/>
          <w:color w:val="auto"/>
          <w:sz w:val="24"/>
          <w:highlight w:val="none"/>
          <w:u w:val="single"/>
        </w:rPr>
        <w:t xml:space="preserve">                                    </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或授权代表（签字）</w:t>
      </w:r>
      <w:r>
        <w:rPr>
          <w:rFonts w:hint="eastAsia" w:ascii="宋体"/>
          <w:color w:val="auto"/>
          <w:sz w:val="24"/>
          <w:highlight w:val="none"/>
        </w:rPr>
        <w:t>：</w:t>
      </w:r>
      <w:r>
        <w:rPr>
          <w:rFonts w:hint="eastAsia" w:ascii="宋体"/>
          <w:color w:val="auto"/>
          <w:sz w:val="24"/>
          <w:highlight w:val="none"/>
          <w:u w:val="single"/>
        </w:rPr>
        <w:t xml:space="preserve">                                </w:t>
      </w:r>
    </w:p>
    <w:p>
      <w:pPr>
        <w:tabs>
          <w:tab w:val="left" w:pos="1573"/>
        </w:tabs>
        <w:rPr>
          <w:rFonts w:ascii="宋体" w:hAnsi="宋体"/>
          <w:color w:val="auto"/>
          <w:sz w:val="24"/>
          <w:highlight w:val="none"/>
        </w:rPr>
      </w:pPr>
    </w:p>
    <w:p>
      <w:pPr>
        <w:pStyle w:val="11"/>
        <w:adjustRightInd w:val="0"/>
        <w:snapToGrid w:val="0"/>
        <w:ind w:firstLine="0"/>
        <w:rPr>
          <w:rFonts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 xml:space="preserve">                    </w:t>
      </w:r>
    </w:p>
    <w:p>
      <w:pPr>
        <w:pStyle w:val="11"/>
        <w:adjustRightInd w:val="0"/>
        <w:snapToGrid w:val="0"/>
        <w:ind w:firstLine="480" w:firstLineChars="200"/>
        <w:rPr>
          <w:rFonts w:ascii="宋体" w:hAnsi="宋体" w:eastAsia="宋体"/>
          <w:snapToGrid w:val="0"/>
          <w:color w:val="auto"/>
          <w:kern w:val="0"/>
          <w:sz w:val="24"/>
          <w:szCs w:val="24"/>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pPr>
        <w:autoSpaceDE w:val="0"/>
        <w:autoSpaceDN w:val="0"/>
        <w:adjustRightInd w:val="0"/>
        <w:outlineLvl w:val="9"/>
        <w:rPr>
          <w:rFonts w:hint="eastAsia" w:ascii="宋体" w:hAnsi="宋体"/>
          <w:b/>
          <w:color w:val="auto"/>
          <w:sz w:val="24"/>
          <w:szCs w:val="24"/>
          <w:highlight w:val="none"/>
          <w:lang w:val="zh-CN"/>
        </w:rPr>
      </w:pPr>
    </w:p>
    <w:p>
      <w:pPr>
        <w:autoSpaceDE w:val="0"/>
        <w:autoSpaceDN w:val="0"/>
        <w:adjustRightInd w:val="0"/>
        <w:outlineLvl w:val="9"/>
        <w:rPr>
          <w:rFonts w:hint="eastAsia" w:ascii="宋体" w:hAnsi="宋体"/>
          <w:b/>
          <w:color w:val="auto"/>
          <w:sz w:val="24"/>
          <w:szCs w:val="24"/>
          <w:highlight w:val="none"/>
          <w:lang w:val="zh-CN"/>
        </w:rPr>
      </w:pPr>
    </w:p>
    <w:p>
      <w:pPr>
        <w:autoSpaceDE w:val="0"/>
        <w:autoSpaceDN w:val="0"/>
        <w:adjustRightInd w:val="0"/>
        <w:outlineLvl w:val="9"/>
        <w:rPr>
          <w:rFonts w:hint="eastAsia" w:ascii="宋体" w:hAnsi="宋体"/>
          <w:b/>
          <w:color w:val="auto"/>
          <w:sz w:val="24"/>
          <w:szCs w:val="24"/>
          <w:highlight w:val="none"/>
          <w:lang w:val="zh-CN"/>
        </w:rPr>
      </w:pPr>
    </w:p>
    <w:p>
      <w:pPr>
        <w:autoSpaceDE w:val="0"/>
        <w:autoSpaceDN w:val="0"/>
        <w:adjustRightInd w:val="0"/>
        <w:jc w:val="center"/>
        <w:outlineLvl w:val="9"/>
        <w:rPr>
          <w:rFonts w:hint="eastAsia" w:ascii="宋体" w:hAnsi="宋体" w:cs="宋体"/>
          <w:b/>
          <w:color w:val="auto"/>
          <w:sz w:val="32"/>
          <w:highlight w:val="none"/>
        </w:rPr>
      </w:pPr>
    </w:p>
    <w:p>
      <w:pPr>
        <w:autoSpaceDE w:val="0"/>
        <w:autoSpaceDN w:val="0"/>
        <w:adjustRightInd w:val="0"/>
        <w:jc w:val="center"/>
        <w:outlineLvl w:val="9"/>
        <w:rPr>
          <w:rFonts w:hint="eastAsia" w:ascii="宋体" w:hAnsi="宋体" w:cs="宋体"/>
          <w:b/>
          <w:color w:val="auto"/>
          <w:sz w:val="32"/>
          <w:highlight w:val="none"/>
        </w:rPr>
      </w:pPr>
    </w:p>
    <w:p>
      <w:pPr>
        <w:autoSpaceDE w:val="0"/>
        <w:autoSpaceDN w:val="0"/>
        <w:adjustRightInd w:val="0"/>
        <w:jc w:val="center"/>
        <w:outlineLvl w:val="9"/>
        <w:rPr>
          <w:rFonts w:hint="eastAsia" w:ascii="宋体" w:hAnsi="宋体" w:cs="宋体"/>
          <w:b/>
          <w:color w:val="auto"/>
          <w:sz w:val="32"/>
          <w:highlight w:val="none"/>
          <w:lang w:val="zh-CN"/>
        </w:rPr>
      </w:pPr>
    </w:p>
    <w:p>
      <w:pPr>
        <w:autoSpaceDE w:val="0"/>
        <w:autoSpaceDN w:val="0"/>
        <w:adjustRightInd w:val="0"/>
        <w:jc w:val="center"/>
        <w:outlineLvl w:val="9"/>
        <w:rPr>
          <w:rFonts w:hint="eastAsia" w:ascii="宋体" w:hAnsi="宋体" w:cs="宋体"/>
          <w:b/>
          <w:color w:val="auto"/>
          <w:sz w:val="32"/>
          <w:highlight w:val="none"/>
          <w:lang w:val="zh-CN"/>
        </w:rPr>
      </w:pPr>
    </w:p>
    <w:p>
      <w:pPr>
        <w:autoSpaceDE w:val="0"/>
        <w:autoSpaceDN w:val="0"/>
        <w:adjustRightInd w:val="0"/>
        <w:jc w:val="center"/>
        <w:outlineLvl w:val="9"/>
        <w:rPr>
          <w:rFonts w:hint="eastAsia" w:ascii="宋体" w:hAnsi="宋体" w:cs="宋体"/>
          <w:b/>
          <w:color w:val="auto"/>
          <w:sz w:val="32"/>
          <w:highlight w:val="none"/>
          <w:lang w:val="zh-CN"/>
        </w:rPr>
      </w:pPr>
    </w:p>
    <w:p>
      <w:pPr>
        <w:autoSpaceDE w:val="0"/>
        <w:autoSpaceDN w:val="0"/>
        <w:adjustRightInd w:val="0"/>
        <w:jc w:val="left"/>
        <w:outlineLvl w:val="1"/>
        <w:rPr>
          <w:rFonts w:hint="eastAsia" w:ascii="宋体" w:hAnsi="宋体"/>
          <w:b/>
          <w:color w:val="auto"/>
          <w:sz w:val="24"/>
          <w:szCs w:val="24"/>
          <w:highlight w:val="none"/>
        </w:rPr>
        <w:sectPr>
          <w:pgSz w:w="11906" w:h="16838"/>
          <w:pgMar w:top="1440" w:right="1080" w:bottom="1440" w:left="1080" w:header="851" w:footer="1077" w:gutter="0"/>
          <w:pgBorders>
            <w:top w:val="none" w:sz="0" w:space="0"/>
            <w:left w:val="none" w:sz="0" w:space="0"/>
            <w:bottom w:val="none" w:sz="0" w:space="0"/>
            <w:right w:val="none" w:sz="0" w:space="0"/>
          </w:pgBorders>
          <w:pgNumType w:fmt="decimal"/>
          <w:cols w:space="720" w:num="1"/>
          <w:titlePg/>
          <w:docGrid w:linePitch="490" w:charSpace="0"/>
        </w:sectPr>
      </w:pPr>
      <w:bookmarkStart w:id="190" w:name="_Toc21729"/>
      <w:bookmarkStart w:id="191" w:name="_Toc5401"/>
    </w:p>
    <w:p>
      <w:pPr>
        <w:autoSpaceDE w:val="0"/>
        <w:autoSpaceDN w:val="0"/>
        <w:adjustRightInd w:val="0"/>
        <w:jc w:val="left"/>
        <w:outlineLvl w:val="1"/>
        <w:rPr>
          <w:rFonts w:hint="eastAsia" w:ascii="宋体" w:hAnsi="宋体" w:cs="宋体"/>
          <w:b/>
          <w:color w:val="auto"/>
          <w:sz w:val="24"/>
          <w:highlight w:val="none"/>
          <w:lang w:val="zh-CN"/>
        </w:rPr>
      </w:pPr>
      <w:r>
        <w:rPr>
          <w:rFonts w:hint="eastAsia" w:ascii="宋体" w:hAnsi="宋体"/>
          <w:b/>
          <w:color w:val="auto"/>
          <w:sz w:val="24"/>
          <w:szCs w:val="24"/>
          <w:highlight w:val="none"/>
        </w:rPr>
        <w:t>格式十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 xml:space="preserve"> 报价明细表</w:t>
      </w:r>
      <w:bookmarkEnd w:id="190"/>
      <w:bookmarkEnd w:id="191"/>
    </w:p>
    <w:p>
      <w:pPr>
        <w:jc w:val="center"/>
        <w:outlineLvl w:val="9"/>
        <w:rPr>
          <w:rFonts w:ascii="宋体" w:hAnsi="宋体" w:cs="宋体"/>
          <w:b/>
          <w:color w:val="auto"/>
          <w:sz w:val="36"/>
          <w:highlight w:val="none"/>
        </w:rPr>
      </w:pPr>
    </w:p>
    <w:p>
      <w:pPr>
        <w:jc w:val="center"/>
        <w:outlineLvl w:val="9"/>
        <w:rPr>
          <w:rFonts w:hint="eastAsia" w:ascii="宋体" w:hAnsi="宋体" w:cs="宋体" w:eastAsiaTheme="minorEastAsia"/>
          <w:b/>
          <w:color w:val="auto"/>
          <w:sz w:val="36"/>
          <w:lang w:eastAsia="zh-CN"/>
        </w:rPr>
      </w:pPr>
      <w:r>
        <w:rPr>
          <w:rFonts w:hint="eastAsia" w:ascii="宋体" w:hAnsi="宋体" w:cs="宋体"/>
          <w:b w:val="0"/>
          <w:bCs/>
          <w:color w:val="auto"/>
          <w:szCs w:val="21"/>
          <w:highlight w:val="none"/>
        </w:rPr>
        <w:t xml:space="preserve">                    </w:t>
      </w:r>
      <w:r>
        <w:rPr>
          <w:rFonts w:hint="eastAsia" w:ascii="宋体" w:hAnsi="宋体" w:cs="宋体"/>
          <w:b/>
          <w:color w:val="auto"/>
          <w:sz w:val="36"/>
        </w:rPr>
        <w:t>报价明细表</w:t>
      </w:r>
      <w:r>
        <w:rPr>
          <w:rFonts w:hint="eastAsia" w:ascii="宋体" w:hAnsi="宋体" w:cs="宋体"/>
          <w:b/>
          <w:color w:val="auto"/>
          <w:sz w:val="36"/>
          <w:lang w:eastAsia="zh-CN"/>
        </w:rPr>
        <w:t>（</w:t>
      </w:r>
      <w:r>
        <w:rPr>
          <w:rFonts w:hint="eastAsia" w:ascii="宋体" w:hAnsi="宋体" w:cs="宋体"/>
          <w:b/>
          <w:color w:val="auto"/>
          <w:sz w:val="36"/>
          <w:lang w:val="en-US" w:eastAsia="zh-CN"/>
        </w:rPr>
        <w:t>一</w:t>
      </w:r>
      <w:r>
        <w:rPr>
          <w:rFonts w:hint="eastAsia" w:ascii="宋体" w:hAnsi="宋体" w:cs="宋体"/>
          <w:b/>
          <w:color w:val="auto"/>
          <w:sz w:val="36"/>
          <w:lang w:eastAsia="zh-CN"/>
        </w:rPr>
        <w:t>）</w:t>
      </w:r>
    </w:p>
    <w:p>
      <w:pPr>
        <w:pStyle w:val="13"/>
        <w:ind w:firstLine="420" w:firstLineChars="200"/>
        <w:outlineLvl w:val="9"/>
        <w:rPr>
          <w:rFonts w:hint="eastAsia" w:hAnsi="宋体" w:cs="宋体"/>
          <w:b w:val="0"/>
          <w:bCs/>
          <w:color w:val="auto"/>
          <w:szCs w:val="21"/>
        </w:rPr>
      </w:pPr>
      <w:r>
        <w:rPr>
          <w:rFonts w:hint="eastAsia" w:hAnsi="宋体" w:cs="宋体"/>
          <w:b w:val="0"/>
          <w:bCs/>
          <w:color w:val="auto"/>
          <w:szCs w:val="21"/>
        </w:rPr>
        <w:t>项目名称：</w:t>
      </w:r>
    </w:p>
    <w:p>
      <w:pPr>
        <w:pStyle w:val="13"/>
        <w:ind w:firstLine="420" w:firstLineChars="200"/>
        <w:outlineLvl w:val="9"/>
        <w:rPr>
          <w:rFonts w:hint="eastAsia" w:hAnsi="宋体" w:cs="宋体"/>
          <w:b w:val="0"/>
          <w:bCs/>
          <w:color w:val="auto"/>
          <w:szCs w:val="21"/>
        </w:rPr>
      </w:pPr>
    </w:p>
    <w:p>
      <w:pPr>
        <w:pStyle w:val="13"/>
        <w:ind w:firstLine="420" w:firstLineChars="200"/>
        <w:outlineLvl w:val="9"/>
        <w:rPr>
          <w:rFonts w:hint="eastAsia" w:hAnsi="宋体" w:cs="宋体"/>
          <w:b w:val="0"/>
          <w:bCs/>
          <w:color w:val="auto"/>
          <w:szCs w:val="21"/>
        </w:rPr>
      </w:pPr>
      <w:r>
        <w:rPr>
          <w:rFonts w:hint="eastAsia" w:hAnsi="宋体" w:cs="宋体"/>
          <w:b w:val="0"/>
          <w:bCs/>
          <w:color w:val="auto"/>
          <w:szCs w:val="21"/>
        </w:rPr>
        <w:t>项目编号：</w:t>
      </w:r>
    </w:p>
    <w:p>
      <w:pPr>
        <w:jc w:val="center"/>
        <w:outlineLvl w:val="9"/>
        <w:rPr>
          <w:rFonts w:hint="eastAsia" w:ascii="宋体" w:hAnsi="宋体" w:cs="宋体"/>
          <w:b w:val="0"/>
          <w:bCs/>
          <w:color w:val="auto"/>
          <w:szCs w:val="21"/>
          <w:vertAlign w:val="baseline"/>
        </w:rPr>
      </w:pPr>
      <w:r>
        <w:rPr>
          <w:rFonts w:hint="eastAsia" w:ascii="宋体" w:hAnsi="宋体" w:cs="宋体"/>
          <w:b w:val="0"/>
          <w:bCs/>
          <w:color w:val="auto"/>
          <w:szCs w:val="21"/>
        </w:rPr>
        <w:t xml:space="preserve">                                                            单位：元人民币</w:t>
      </w:r>
    </w:p>
    <w:tbl>
      <w:tblPr>
        <w:tblStyle w:val="24"/>
        <w:tblW w:w="14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00"/>
        <w:gridCol w:w="4062"/>
        <w:gridCol w:w="873"/>
        <w:gridCol w:w="1167"/>
        <w:gridCol w:w="1154"/>
        <w:gridCol w:w="1245"/>
        <w:gridCol w:w="901"/>
        <w:gridCol w:w="962"/>
        <w:gridCol w:w="98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blHeader/>
          <w:jc w:val="center"/>
        </w:trPr>
        <w:tc>
          <w:tcPr>
            <w:tcW w:w="700"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rPr>
              <w:t>序号</w:t>
            </w:r>
          </w:p>
        </w:tc>
        <w:tc>
          <w:tcPr>
            <w:tcW w:w="1400"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rPr>
              <w:t>货物名称</w:t>
            </w:r>
          </w:p>
        </w:tc>
        <w:tc>
          <w:tcPr>
            <w:tcW w:w="4062"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rPr>
              <w:t>主要功能配置和技术参数</w:t>
            </w:r>
          </w:p>
        </w:tc>
        <w:tc>
          <w:tcPr>
            <w:tcW w:w="873"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rPr>
              <w:t>品牌型号</w:t>
            </w:r>
          </w:p>
        </w:tc>
        <w:tc>
          <w:tcPr>
            <w:tcW w:w="1167"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color w:val="auto"/>
                <w:sz w:val="21"/>
                <w:szCs w:val="21"/>
                <w:highlight w:val="none"/>
              </w:rPr>
              <w:t>产地和制造商名称</w:t>
            </w:r>
          </w:p>
        </w:tc>
        <w:tc>
          <w:tcPr>
            <w:tcW w:w="1154"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rPr>
              <w:t>数量</w:t>
            </w:r>
          </w:p>
        </w:tc>
        <w:tc>
          <w:tcPr>
            <w:tcW w:w="1245"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rPr>
              <w:t>单位</w:t>
            </w:r>
          </w:p>
        </w:tc>
        <w:tc>
          <w:tcPr>
            <w:tcW w:w="901"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zh-CN"/>
              </w:rPr>
              <w:t>单价（元）</w:t>
            </w:r>
          </w:p>
        </w:tc>
        <w:tc>
          <w:tcPr>
            <w:tcW w:w="962"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zh-CN"/>
              </w:rPr>
              <w:t>合计（元）</w:t>
            </w:r>
          </w:p>
        </w:tc>
        <w:tc>
          <w:tcPr>
            <w:tcW w:w="985" w:type="dxa"/>
            <w:vAlign w:val="center"/>
          </w:tcPr>
          <w:p>
            <w:pPr>
              <w:jc w:val="center"/>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zh-CN"/>
              </w:rPr>
              <w:t>质保期</w:t>
            </w:r>
          </w:p>
        </w:tc>
        <w:tc>
          <w:tcPr>
            <w:tcW w:w="150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blHeader/>
          <w:jc w:val="center"/>
        </w:trPr>
        <w:tc>
          <w:tcPr>
            <w:tcW w:w="700" w:type="dxa"/>
            <w:vAlign w:val="center"/>
          </w:tcPr>
          <w:p>
            <w:pPr>
              <w:jc w:val="center"/>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w:t>
            </w:r>
          </w:p>
        </w:tc>
        <w:tc>
          <w:tcPr>
            <w:tcW w:w="1400" w:type="dxa"/>
            <w:vAlign w:val="center"/>
          </w:tcPr>
          <w:p>
            <w:pPr>
              <w:jc w:val="center"/>
              <w:outlineLvl w:val="9"/>
              <w:rPr>
                <w:rFonts w:hint="eastAsia" w:ascii="宋体" w:hAnsi="宋体" w:eastAsia="宋体" w:cs="宋体"/>
                <w:b w:val="0"/>
                <w:bCs/>
                <w:color w:val="auto"/>
                <w:sz w:val="21"/>
                <w:szCs w:val="21"/>
                <w:vertAlign w:val="baseline"/>
              </w:rPr>
            </w:pPr>
          </w:p>
        </w:tc>
        <w:tc>
          <w:tcPr>
            <w:tcW w:w="4062" w:type="dxa"/>
            <w:vAlign w:val="center"/>
          </w:tcPr>
          <w:p>
            <w:pPr>
              <w:jc w:val="center"/>
              <w:outlineLvl w:val="9"/>
              <w:rPr>
                <w:rFonts w:hint="eastAsia" w:ascii="宋体" w:hAnsi="宋体" w:eastAsia="宋体" w:cs="宋体"/>
                <w:b w:val="0"/>
                <w:bCs/>
                <w:color w:val="auto"/>
                <w:sz w:val="21"/>
                <w:szCs w:val="21"/>
                <w:vertAlign w:val="baseline"/>
                <w:lang w:val="en-US" w:eastAsia="zh-CN"/>
              </w:rPr>
            </w:pPr>
          </w:p>
        </w:tc>
        <w:tc>
          <w:tcPr>
            <w:tcW w:w="873" w:type="dxa"/>
          </w:tcPr>
          <w:p>
            <w:pPr>
              <w:jc w:val="center"/>
              <w:outlineLvl w:val="9"/>
              <w:rPr>
                <w:rFonts w:hint="eastAsia" w:ascii="宋体" w:hAnsi="宋体" w:eastAsia="宋体" w:cs="宋体"/>
                <w:b w:val="0"/>
                <w:bCs/>
                <w:color w:val="auto"/>
                <w:sz w:val="21"/>
                <w:szCs w:val="21"/>
                <w:vertAlign w:val="baseline"/>
              </w:rPr>
            </w:pPr>
          </w:p>
        </w:tc>
        <w:tc>
          <w:tcPr>
            <w:tcW w:w="1167" w:type="dxa"/>
          </w:tcPr>
          <w:p>
            <w:pPr>
              <w:jc w:val="center"/>
              <w:outlineLvl w:val="9"/>
              <w:rPr>
                <w:rFonts w:hint="eastAsia" w:ascii="宋体" w:hAnsi="宋体" w:eastAsia="宋体" w:cs="宋体"/>
                <w:b w:val="0"/>
                <w:bCs/>
                <w:color w:val="auto"/>
                <w:sz w:val="21"/>
                <w:szCs w:val="21"/>
                <w:vertAlign w:val="baseline"/>
              </w:rPr>
            </w:pPr>
          </w:p>
        </w:tc>
        <w:tc>
          <w:tcPr>
            <w:tcW w:w="1154" w:type="dxa"/>
          </w:tcPr>
          <w:p>
            <w:pPr>
              <w:jc w:val="center"/>
              <w:outlineLvl w:val="9"/>
              <w:rPr>
                <w:rFonts w:hint="eastAsia" w:ascii="宋体" w:hAnsi="宋体" w:eastAsia="宋体" w:cs="宋体"/>
                <w:b w:val="0"/>
                <w:bCs/>
                <w:color w:val="auto"/>
                <w:sz w:val="21"/>
                <w:szCs w:val="21"/>
                <w:vertAlign w:val="baseline"/>
              </w:rPr>
            </w:pPr>
          </w:p>
        </w:tc>
        <w:tc>
          <w:tcPr>
            <w:tcW w:w="1245" w:type="dxa"/>
          </w:tcPr>
          <w:p>
            <w:pPr>
              <w:jc w:val="center"/>
              <w:outlineLvl w:val="9"/>
              <w:rPr>
                <w:rFonts w:hint="eastAsia" w:ascii="宋体" w:hAnsi="宋体" w:eastAsia="宋体" w:cs="宋体"/>
                <w:b w:val="0"/>
                <w:bCs/>
                <w:color w:val="auto"/>
                <w:sz w:val="21"/>
                <w:szCs w:val="21"/>
                <w:vertAlign w:val="baseline"/>
              </w:rPr>
            </w:pPr>
          </w:p>
        </w:tc>
        <w:tc>
          <w:tcPr>
            <w:tcW w:w="901" w:type="dxa"/>
          </w:tcPr>
          <w:p>
            <w:pPr>
              <w:jc w:val="center"/>
              <w:outlineLvl w:val="9"/>
              <w:rPr>
                <w:rFonts w:hint="eastAsia" w:ascii="宋体" w:hAnsi="宋体" w:eastAsia="宋体" w:cs="宋体"/>
                <w:b w:val="0"/>
                <w:bCs/>
                <w:color w:val="auto"/>
                <w:sz w:val="21"/>
                <w:szCs w:val="21"/>
                <w:vertAlign w:val="baseline"/>
              </w:rPr>
            </w:pPr>
          </w:p>
        </w:tc>
        <w:tc>
          <w:tcPr>
            <w:tcW w:w="962" w:type="dxa"/>
          </w:tcPr>
          <w:p>
            <w:pPr>
              <w:jc w:val="center"/>
              <w:outlineLvl w:val="9"/>
              <w:rPr>
                <w:rFonts w:hint="eastAsia" w:ascii="宋体" w:hAnsi="宋体" w:eastAsia="宋体" w:cs="宋体"/>
                <w:b w:val="0"/>
                <w:bCs/>
                <w:color w:val="auto"/>
                <w:sz w:val="21"/>
                <w:szCs w:val="21"/>
                <w:vertAlign w:val="baseline"/>
              </w:rPr>
            </w:pPr>
          </w:p>
        </w:tc>
        <w:tc>
          <w:tcPr>
            <w:tcW w:w="985" w:type="dxa"/>
          </w:tcPr>
          <w:p>
            <w:pPr>
              <w:jc w:val="center"/>
              <w:outlineLvl w:val="9"/>
              <w:rPr>
                <w:rFonts w:hint="eastAsia" w:ascii="宋体" w:hAnsi="宋体" w:eastAsia="宋体" w:cs="宋体"/>
                <w:b w:val="0"/>
                <w:bCs/>
                <w:color w:val="auto"/>
                <w:sz w:val="21"/>
                <w:szCs w:val="21"/>
                <w:vertAlign w:val="baseline"/>
              </w:rPr>
            </w:pPr>
          </w:p>
        </w:tc>
        <w:tc>
          <w:tcPr>
            <w:tcW w:w="1507" w:type="dxa"/>
          </w:tcPr>
          <w:p>
            <w:pPr>
              <w:jc w:val="center"/>
              <w:outlineLvl w:val="9"/>
              <w:rPr>
                <w:rFonts w:hint="eastAsia" w:ascii="宋体" w:hAnsi="宋体" w:eastAsia="宋体" w:cs="宋体"/>
                <w:b w:val="0"/>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blHeader/>
          <w:jc w:val="center"/>
        </w:trPr>
        <w:tc>
          <w:tcPr>
            <w:tcW w:w="700" w:type="dxa"/>
            <w:vAlign w:val="center"/>
          </w:tcPr>
          <w:p>
            <w:pPr>
              <w:jc w:val="center"/>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w:t>
            </w:r>
          </w:p>
        </w:tc>
        <w:tc>
          <w:tcPr>
            <w:tcW w:w="1400" w:type="dxa"/>
            <w:vAlign w:val="center"/>
          </w:tcPr>
          <w:p>
            <w:pPr>
              <w:jc w:val="center"/>
              <w:outlineLvl w:val="9"/>
              <w:rPr>
                <w:rFonts w:hint="eastAsia" w:ascii="宋体" w:hAnsi="宋体" w:eastAsia="宋体" w:cs="宋体"/>
                <w:b w:val="0"/>
                <w:bCs/>
                <w:color w:val="auto"/>
                <w:sz w:val="21"/>
                <w:szCs w:val="21"/>
                <w:vertAlign w:val="baseline"/>
              </w:rPr>
            </w:pPr>
          </w:p>
        </w:tc>
        <w:tc>
          <w:tcPr>
            <w:tcW w:w="4062" w:type="dxa"/>
            <w:vAlign w:val="center"/>
          </w:tcPr>
          <w:p>
            <w:pPr>
              <w:jc w:val="center"/>
              <w:outlineLvl w:val="9"/>
              <w:rPr>
                <w:rFonts w:hint="eastAsia" w:ascii="宋体" w:hAnsi="宋体" w:eastAsia="宋体" w:cs="宋体"/>
                <w:b w:val="0"/>
                <w:bCs/>
                <w:color w:val="auto"/>
                <w:sz w:val="21"/>
                <w:szCs w:val="21"/>
                <w:vertAlign w:val="baseline"/>
              </w:rPr>
            </w:pPr>
          </w:p>
        </w:tc>
        <w:tc>
          <w:tcPr>
            <w:tcW w:w="873" w:type="dxa"/>
            <w:vAlign w:val="center"/>
          </w:tcPr>
          <w:p>
            <w:pPr>
              <w:jc w:val="center"/>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w:t>
            </w:r>
          </w:p>
        </w:tc>
        <w:tc>
          <w:tcPr>
            <w:tcW w:w="1167" w:type="dxa"/>
            <w:vAlign w:val="center"/>
          </w:tcPr>
          <w:p>
            <w:pPr>
              <w:jc w:val="center"/>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w:t>
            </w:r>
          </w:p>
        </w:tc>
        <w:tc>
          <w:tcPr>
            <w:tcW w:w="1154" w:type="dxa"/>
            <w:vAlign w:val="center"/>
          </w:tcPr>
          <w:p>
            <w:pPr>
              <w:jc w:val="center"/>
              <w:outlineLvl w:val="9"/>
              <w:rPr>
                <w:rFonts w:hint="eastAsia" w:ascii="宋体" w:hAnsi="宋体" w:eastAsia="宋体" w:cs="宋体"/>
                <w:b w:val="0"/>
                <w:bCs/>
                <w:color w:val="auto"/>
                <w:sz w:val="21"/>
                <w:szCs w:val="21"/>
                <w:vertAlign w:val="baseline"/>
              </w:rPr>
            </w:pPr>
          </w:p>
        </w:tc>
        <w:tc>
          <w:tcPr>
            <w:tcW w:w="1245" w:type="dxa"/>
            <w:vAlign w:val="center"/>
          </w:tcPr>
          <w:p>
            <w:pPr>
              <w:jc w:val="center"/>
              <w:outlineLvl w:val="9"/>
              <w:rPr>
                <w:rFonts w:hint="eastAsia" w:ascii="宋体" w:hAnsi="宋体" w:eastAsia="宋体" w:cs="宋体"/>
                <w:b w:val="0"/>
                <w:bCs/>
                <w:color w:val="auto"/>
                <w:sz w:val="21"/>
                <w:szCs w:val="21"/>
                <w:vertAlign w:val="baseline"/>
                <w:lang w:val="en-US" w:eastAsia="zh-CN"/>
              </w:rPr>
            </w:pPr>
          </w:p>
        </w:tc>
        <w:tc>
          <w:tcPr>
            <w:tcW w:w="901" w:type="dxa"/>
            <w:vAlign w:val="center"/>
          </w:tcPr>
          <w:p>
            <w:pPr>
              <w:jc w:val="center"/>
              <w:outlineLvl w:val="9"/>
              <w:rPr>
                <w:rFonts w:hint="eastAsia" w:ascii="宋体" w:hAnsi="宋体" w:eastAsia="宋体" w:cs="宋体"/>
                <w:b w:val="0"/>
                <w:bCs/>
                <w:color w:val="auto"/>
                <w:sz w:val="21"/>
                <w:szCs w:val="21"/>
                <w:vertAlign w:val="baseline"/>
                <w:lang w:val="en-US" w:eastAsia="zh-CN"/>
              </w:rPr>
            </w:pPr>
          </w:p>
        </w:tc>
        <w:tc>
          <w:tcPr>
            <w:tcW w:w="962" w:type="dxa"/>
            <w:vAlign w:val="center"/>
          </w:tcPr>
          <w:p>
            <w:pPr>
              <w:jc w:val="center"/>
              <w:outlineLvl w:val="9"/>
              <w:rPr>
                <w:rFonts w:hint="eastAsia" w:ascii="宋体" w:hAnsi="宋体" w:eastAsia="宋体" w:cs="宋体"/>
                <w:b w:val="0"/>
                <w:bCs/>
                <w:color w:val="auto"/>
                <w:sz w:val="21"/>
                <w:szCs w:val="21"/>
                <w:vertAlign w:val="baseline"/>
              </w:rPr>
            </w:pPr>
          </w:p>
        </w:tc>
        <w:tc>
          <w:tcPr>
            <w:tcW w:w="985" w:type="dxa"/>
          </w:tcPr>
          <w:p>
            <w:pPr>
              <w:jc w:val="center"/>
              <w:outlineLvl w:val="9"/>
              <w:rPr>
                <w:rFonts w:hint="eastAsia" w:ascii="宋体" w:hAnsi="宋体" w:eastAsia="宋体" w:cs="宋体"/>
                <w:b w:val="0"/>
                <w:bCs/>
                <w:color w:val="auto"/>
                <w:sz w:val="21"/>
                <w:szCs w:val="21"/>
                <w:vertAlign w:val="baseline"/>
              </w:rPr>
            </w:pPr>
          </w:p>
        </w:tc>
        <w:tc>
          <w:tcPr>
            <w:tcW w:w="1507" w:type="dxa"/>
          </w:tcPr>
          <w:p>
            <w:pPr>
              <w:jc w:val="center"/>
              <w:outlineLvl w:val="9"/>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blHeader/>
          <w:jc w:val="center"/>
        </w:trPr>
        <w:tc>
          <w:tcPr>
            <w:tcW w:w="2100" w:type="dxa"/>
            <w:gridSpan w:val="2"/>
            <w:vAlign w:val="center"/>
          </w:tcPr>
          <w:p>
            <w:pPr>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zh-CN"/>
              </w:rPr>
              <w:t>投标总价</w:t>
            </w:r>
          </w:p>
        </w:tc>
        <w:tc>
          <w:tcPr>
            <w:tcW w:w="11349" w:type="dxa"/>
            <w:gridSpan w:val="8"/>
            <w:vAlign w:val="center"/>
          </w:tcPr>
          <w:p>
            <w:pPr>
              <w:jc w:val="left"/>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zh-CN"/>
              </w:rPr>
              <w:t>人民币（大写）：                          小写：</w:t>
            </w:r>
          </w:p>
        </w:tc>
        <w:tc>
          <w:tcPr>
            <w:tcW w:w="1507" w:type="dxa"/>
            <w:vAlign w:val="center"/>
          </w:tcPr>
          <w:p>
            <w:pPr>
              <w:jc w:val="left"/>
              <w:rPr>
                <w:rFonts w:hint="eastAsia" w:ascii="宋体" w:hAnsi="宋体" w:eastAsia="宋体" w:cs="宋体"/>
                <w:b w:val="0"/>
                <w:bCs/>
                <w:color w:val="auto"/>
                <w:sz w:val="21"/>
                <w:szCs w:val="21"/>
                <w:lang w:val="zh-CN"/>
              </w:rPr>
            </w:pPr>
          </w:p>
        </w:tc>
      </w:tr>
    </w:tbl>
    <w:p>
      <w:pPr>
        <w:jc w:val="center"/>
        <w:outlineLvl w:val="9"/>
        <w:rPr>
          <w:rFonts w:hint="eastAsia" w:ascii="宋体" w:hAnsi="宋体" w:cs="宋体"/>
          <w:b w:val="0"/>
          <w:bCs/>
          <w:color w:val="auto"/>
          <w:szCs w:val="21"/>
        </w:rPr>
      </w:pPr>
    </w:p>
    <w:p>
      <w:pPr>
        <w:pStyle w:val="13"/>
        <w:spacing w:line="360" w:lineRule="auto"/>
        <w:ind w:firstLine="420" w:firstLineChars="200"/>
        <w:outlineLvl w:val="9"/>
        <w:rPr>
          <w:rFonts w:hint="eastAsia" w:hAnsi="宋体" w:cs="宋体"/>
          <w:b w:val="0"/>
          <w:bCs/>
          <w:color w:val="auto"/>
          <w:szCs w:val="21"/>
        </w:rPr>
      </w:pPr>
      <w:r>
        <w:rPr>
          <w:rFonts w:hint="eastAsia" w:hAnsi="宋体" w:cs="宋体"/>
          <w:b w:val="0"/>
          <w:bCs/>
          <w:color w:val="auto"/>
          <w:szCs w:val="21"/>
        </w:rPr>
        <w:t>说明：</w:t>
      </w:r>
    </w:p>
    <w:p>
      <w:pPr>
        <w:pStyle w:val="13"/>
        <w:spacing w:line="360" w:lineRule="auto"/>
        <w:ind w:firstLine="1050" w:firstLineChars="500"/>
        <w:outlineLvl w:val="9"/>
        <w:rPr>
          <w:rFonts w:hint="eastAsia" w:hAnsi="宋体" w:cs="宋体"/>
          <w:b w:val="0"/>
          <w:bCs/>
          <w:color w:val="auto"/>
          <w:szCs w:val="21"/>
        </w:rPr>
      </w:pPr>
      <w:r>
        <w:rPr>
          <w:rFonts w:hint="eastAsia" w:hAnsi="宋体" w:cs="宋体"/>
          <w:b w:val="0"/>
          <w:bCs/>
          <w:color w:val="auto"/>
          <w:szCs w:val="21"/>
          <w:lang w:val="en-US" w:eastAsia="zh-CN"/>
        </w:rPr>
        <w:t>1.</w:t>
      </w:r>
      <w:r>
        <w:rPr>
          <w:rFonts w:hint="eastAsia" w:hAnsi="宋体" w:cs="宋体"/>
          <w:b w:val="0"/>
          <w:bCs/>
          <w:color w:val="auto"/>
          <w:szCs w:val="21"/>
        </w:rPr>
        <w:t>与本项目有关的各种费用均应包含在总报价中。</w:t>
      </w:r>
    </w:p>
    <w:p>
      <w:pPr>
        <w:pStyle w:val="13"/>
        <w:spacing w:line="360" w:lineRule="auto"/>
        <w:ind w:firstLine="1050" w:firstLineChars="500"/>
        <w:outlineLvl w:val="9"/>
        <w:rPr>
          <w:rFonts w:hint="eastAsia" w:hAnsi="宋体" w:cs="宋体"/>
          <w:b w:val="0"/>
          <w:bCs/>
          <w:color w:val="auto"/>
          <w:szCs w:val="21"/>
        </w:rPr>
      </w:pPr>
      <w:r>
        <w:rPr>
          <w:rFonts w:hint="eastAsia" w:hAnsi="宋体" w:cs="宋体"/>
          <w:b w:val="0"/>
          <w:bCs/>
          <w:color w:val="auto"/>
          <w:szCs w:val="21"/>
        </w:rPr>
        <w:t>2.如果投标人提供价格折扣优惠，应在表中明确填列。</w:t>
      </w:r>
    </w:p>
    <w:p>
      <w:pPr>
        <w:pStyle w:val="13"/>
        <w:spacing w:line="360" w:lineRule="auto"/>
        <w:ind w:firstLine="1050" w:firstLineChars="500"/>
        <w:outlineLvl w:val="9"/>
        <w:rPr>
          <w:rFonts w:hint="eastAsia" w:hAnsi="宋体" w:cs="宋体"/>
          <w:b w:val="0"/>
          <w:bCs/>
          <w:color w:val="auto"/>
          <w:szCs w:val="21"/>
        </w:rPr>
      </w:pPr>
      <w:r>
        <w:rPr>
          <w:rFonts w:hint="eastAsia" w:hAnsi="宋体" w:cs="宋体"/>
          <w:b w:val="0"/>
          <w:bCs/>
          <w:color w:val="auto"/>
          <w:szCs w:val="21"/>
        </w:rPr>
        <w:t xml:space="preserve">3.要说明的问题可另附页说明并签字和加盖公章。                      </w:t>
      </w:r>
    </w:p>
    <w:p>
      <w:pPr>
        <w:pStyle w:val="13"/>
        <w:spacing w:line="360" w:lineRule="auto"/>
        <w:ind w:firstLine="1050" w:firstLineChars="500"/>
        <w:outlineLvl w:val="9"/>
        <w:rPr>
          <w:rFonts w:hint="eastAsia" w:hAnsi="宋体" w:cs="宋体"/>
          <w:b w:val="0"/>
          <w:bCs/>
          <w:color w:val="auto"/>
          <w:szCs w:val="21"/>
        </w:rPr>
      </w:pPr>
      <w:r>
        <w:rPr>
          <w:rFonts w:hint="eastAsia" w:hAnsi="宋体" w:cs="宋体"/>
          <w:b w:val="0"/>
          <w:bCs/>
          <w:color w:val="auto"/>
          <w:szCs w:val="21"/>
        </w:rPr>
        <w:t>4.此表可根据需要自行拉长加宽。</w:t>
      </w:r>
    </w:p>
    <w:p>
      <w:pPr>
        <w:pStyle w:val="13"/>
        <w:spacing w:line="360" w:lineRule="auto"/>
        <w:ind w:firstLine="420" w:firstLineChars="200"/>
        <w:outlineLvl w:val="9"/>
        <w:rPr>
          <w:rFonts w:hint="eastAsia" w:hAnsi="宋体" w:cs="宋体"/>
          <w:b w:val="0"/>
          <w:bCs/>
          <w:color w:val="auto"/>
          <w:szCs w:val="21"/>
          <w:lang w:val="en-US" w:eastAsia="zh-CN"/>
        </w:rPr>
      </w:pPr>
      <w:r>
        <w:rPr>
          <w:rFonts w:hint="eastAsia" w:hAnsi="宋体" w:cs="宋体"/>
          <w:b w:val="0"/>
          <w:bCs/>
          <w:color w:val="auto"/>
          <w:szCs w:val="21"/>
        </w:rPr>
        <w:t xml:space="preserve">投标人： （盖章）      </w:t>
      </w:r>
      <w:r>
        <w:rPr>
          <w:rFonts w:hint="eastAsia" w:hAnsi="宋体" w:cs="宋体"/>
          <w:b w:val="0"/>
          <w:bCs/>
          <w:color w:val="auto"/>
          <w:szCs w:val="21"/>
          <w:lang w:val="en-US" w:eastAsia="zh-CN"/>
        </w:rPr>
        <w:t xml:space="preserve">                </w:t>
      </w:r>
    </w:p>
    <w:p>
      <w:pPr>
        <w:pStyle w:val="13"/>
        <w:spacing w:line="360" w:lineRule="auto"/>
        <w:ind w:firstLine="420" w:firstLineChars="200"/>
        <w:outlineLvl w:val="9"/>
        <w:rPr>
          <w:rFonts w:hint="eastAsia" w:hAnsi="宋体" w:cs="宋体"/>
          <w:b w:val="0"/>
          <w:bCs/>
          <w:color w:val="auto"/>
          <w:szCs w:val="21"/>
        </w:rPr>
      </w:pPr>
      <w:r>
        <w:rPr>
          <w:rFonts w:hint="eastAsia" w:hAnsi="宋体" w:cs="宋体"/>
          <w:b w:val="0"/>
          <w:bCs/>
          <w:color w:val="auto"/>
          <w:szCs w:val="21"/>
        </w:rPr>
        <w:t xml:space="preserve">单位负责人或授权代理人：（盖章或签字）     </w:t>
      </w:r>
    </w:p>
    <w:p>
      <w:pPr>
        <w:pStyle w:val="13"/>
        <w:spacing w:line="360" w:lineRule="auto"/>
        <w:ind w:firstLine="420" w:firstLineChars="200"/>
        <w:outlineLvl w:val="9"/>
        <w:rPr>
          <w:rFonts w:hint="eastAsia" w:hAnsi="宋体" w:cs="宋体"/>
          <w:b w:val="0"/>
          <w:bCs/>
          <w:color w:val="auto"/>
          <w:szCs w:val="21"/>
          <w:u w:val="single"/>
        </w:rPr>
      </w:pPr>
      <w:r>
        <w:rPr>
          <w:rFonts w:hint="eastAsia" w:hAnsi="宋体" w:cs="宋体"/>
          <w:b w:val="0"/>
          <w:bCs/>
          <w:color w:val="auto"/>
          <w:szCs w:val="21"/>
        </w:rPr>
        <w:t>日 期：</w:t>
      </w:r>
    </w:p>
    <w:p>
      <w:pPr>
        <w:pStyle w:val="13"/>
        <w:spacing w:line="360" w:lineRule="auto"/>
        <w:ind w:left="0" w:leftChars="0" w:firstLine="0" w:firstLineChars="0"/>
        <w:outlineLvl w:val="9"/>
        <w:rPr>
          <w:rFonts w:hint="eastAsia" w:ascii="宋体" w:hAnsi="宋体" w:cs="宋体"/>
          <w:b w:val="0"/>
          <w:bCs/>
          <w:color w:val="auto"/>
          <w:szCs w:val="21"/>
          <w:highlight w:val="none"/>
        </w:rPr>
        <w:sectPr>
          <w:headerReference r:id="rId13" w:type="default"/>
          <w:pgSz w:w="16838" w:h="11906" w:orient="landscape"/>
          <w:pgMar w:top="1083" w:right="1440" w:bottom="1083" w:left="1440" w:header="851" w:footer="907" w:gutter="0"/>
          <w:pgBorders>
            <w:top w:val="none" w:sz="0" w:space="0"/>
            <w:left w:val="none" w:sz="0" w:space="0"/>
            <w:bottom w:val="none" w:sz="0" w:space="0"/>
            <w:right w:val="none" w:sz="0" w:space="0"/>
          </w:pgBorders>
          <w:pgNumType w:fmt="decimal"/>
          <w:cols w:space="0" w:num="1"/>
          <w:titlePg/>
          <w:rtlGutter w:val="0"/>
          <w:docGrid w:linePitch="490" w:charSpace="0"/>
        </w:sectPr>
      </w:pPr>
    </w:p>
    <w:p>
      <w:pPr>
        <w:autoSpaceDE w:val="0"/>
        <w:autoSpaceDN w:val="0"/>
        <w:adjustRightInd w:val="0"/>
        <w:jc w:val="left"/>
        <w:outlineLvl w:val="1"/>
        <w:rPr>
          <w:rFonts w:ascii="宋体" w:hAnsi="宋体" w:cs="宋体"/>
          <w:b/>
          <w:color w:val="auto"/>
          <w:sz w:val="36"/>
          <w:highlight w:val="none"/>
        </w:rPr>
      </w:pPr>
      <w:bookmarkStart w:id="192" w:name="_Toc31972"/>
      <w:bookmarkStart w:id="193" w:name="_Toc19645"/>
      <w:r>
        <w:rPr>
          <w:rFonts w:hint="eastAsia" w:ascii="宋体" w:hAnsi="宋体"/>
          <w:b/>
          <w:color w:val="auto"/>
          <w:sz w:val="24"/>
          <w:szCs w:val="24"/>
          <w:highlight w:val="none"/>
        </w:rPr>
        <w:t>格式十</w:t>
      </w: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 xml:space="preserve"> </w:t>
      </w:r>
      <w:r>
        <w:rPr>
          <w:rFonts w:hint="eastAsia" w:ascii="宋体" w:hAnsi="宋体" w:cs="宋体"/>
          <w:b/>
          <w:color w:val="auto"/>
          <w:sz w:val="24"/>
          <w:szCs w:val="28"/>
          <w:highlight w:val="none"/>
        </w:rPr>
        <w:t>商务条款偏离表</w:t>
      </w:r>
      <w:bookmarkEnd w:id="192"/>
      <w:bookmarkEnd w:id="193"/>
    </w:p>
    <w:p>
      <w:pPr>
        <w:spacing w:line="360" w:lineRule="auto"/>
        <w:jc w:val="center"/>
        <w:outlineLvl w:val="9"/>
        <w:rPr>
          <w:rFonts w:hint="eastAsia" w:ascii="宋体" w:hAnsi="宋体" w:cs="宋体"/>
          <w:b/>
          <w:color w:val="auto"/>
          <w:sz w:val="24"/>
          <w:szCs w:val="28"/>
          <w:highlight w:val="none"/>
        </w:rPr>
      </w:pPr>
      <w:r>
        <w:rPr>
          <w:rFonts w:hint="eastAsia" w:ascii="宋体" w:hAnsi="宋体" w:cs="宋体"/>
          <w:b/>
          <w:color w:val="auto"/>
          <w:sz w:val="24"/>
          <w:szCs w:val="28"/>
          <w:highlight w:val="none"/>
        </w:rPr>
        <w:t>商务条款偏离表（格式）</w:t>
      </w:r>
    </w:p>
    <w:p>
      <w:pPr>
        <w:pStyle w:val="13"/>
        <w:spacing w:line="360" w:lineRule="auto"/>
        <w:ind w:firstLine="422" w:firstLineChars="200"/>
        <w:outlineLvl w:val="9"/>
        <w:rPr>
          <w:rFonts w:hAnsi="宋体"/>
          <w:b/>
          <w:color w:val="auto"/>
          <w:szCs w:val="21"/>
          <w:highlight w:val="none"/>
        </w:rPr>
      </w:pPr>
      <w:r>
        <w:rPr>
          <w:rFonts w:hAnsi="宋体"/>
          <w:b/>
          <w:color w:val="auto"/>
          <w:szCs w:val="21"/>
          <w:highlight w:val="none"/>
        </w:rPr>
        <w:t>项目名称：</w:t>
      </w:r>
    </w:p>
    <w:p>
      <w:pPr>
        <w:pStyle w:val="13"/>
        <w:spacing w:line="360" w:lineRule="auto"/>
        <w:ind w:firstLine="422" w:firstLineChars="200"/>
        <w:outlineLvl w:val="9"/>
        <w:rPr>
          <w:rFonts w:hAnsi="宋体"/>
          <w:b/>
          <w:color w:val="auto"/>
          <w:szCs w:val="21"/>
          <w:highlight w:val="none"/>
        </w:rPr>
      </w:pPr>
      <w:r>
        <w:rPr>
          <w:rFonts w:hAnsi="宋体"/>
          <w:b/>
          <w:color w:val="auto"/>
          <w:szCs w:val="21"/>
          <w:highlight w:val="none"/>
        </w:rPr>
        <w:t>项目编号：</w:t>
      </w:r>
    </w:p>
    <w:p>
      <w:pPr>
        <w:pStyle w:val="68"/>
        <w:outlineLvl w:val="9"/>
        <w:rPr>
          <w:rFonts w:hint="eastAsia"/>
          <w:color w:val="auto"/>
          <w:highlight w:val="none"/>
        </w:rPr>
      </w:pPr>
    </w:p>
    <w:tbl>
      <w:tblPr>
        <w:tblStyle w:val="2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2998"/>
        <w:gridCol w:w="2912"/>
        <w:gridCol w:w="88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序号</w:t>
            </w:r>
          </w:p>
        </w:tc>
        <w:tc>
          <w:tcPr>
            <w:tcW w:w="1200"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货物名称</w:t>
            </w:r>
          </w:p>
        </w:tc>
        <w:tc>
          <w:tcPr>
            <w:tcW w:w="2998"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招标文件规定的商务条款</w:t>
            </w:r>
          </w:p>
        </w:tc>
        <w:tc>
          <w:tcPr>
            <w:tcW w:w="2912"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投标文件对应的商务条款</w:t>
            </w:r>
          </w:p>
        </w:tc>
        <w:tc>
          <w:tcPr>
            <w:tcW w:w="888"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是否偏离</w:t>
            </w:r>
          </w:p>
        </w:tc>
        <w:tc>
          <w:tcPr>
            <w:tcW w:w="748"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1</w:t>
            </w:r>
          </w:p>
        </w:tc>
        <w:tc>
          <w:tcPr>
            <w:tcW w:w="1200" w:type="dxa"/>
            <w:noWrap w:val="0"/>
            <w:vAlign w:val="top"/>
          </w:tcPr>
          <w:p>
            <w:pPr>
              <w:spacing w:line="360" w:lineRule="auto"/>
              <w:outlineLvl w:val="9"/>
              <w:rPr>
                <w:rFonts w:hint="eastAsia" w:ascii="宋体" w:hAnsi="宋体" w:cs="宋体"/>
                <w:color w:val="auto"/>
                <w:sz w:val="24"/>
                <w:highlight w:val="none"/>
              </w:rPr>
            </w:pPr>
          </w:p>
        </w:tc>
        <w:tc>
          <w:tcPr>
            <w:tcW w:w="2998" w:type="dxa"/>
            <w:noWrap w:val="0"/>
            <w:vAlign w:val="top"/>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2912" w:type="dxa"/>
            <w:noWrap w:val="0"/>
            <w:vAlign w:val="top"/>
          </w:tcPr>
          <w:p>
            <w:pPr>
              <w:spacing w:line="360" w:lineRule="auto"/>
              <w:outlineLvl w:val="9"/>
              <w:rPr>
                <w:rFonts w:hint="eastAsia" w:ascii="宋体" w:hAnsi="宋体" w:cs="宋体"/>
                <w:color w:val="auto"/>
                <w:sz w:val="24"/>
                <w:highlight w:val="none"/>
              </w:rPr>
            </w:pPr>
          </w:p>
        </w:tc>
        <w:tc>
          <w:tcPr>
            <w:tcW w:w="888" w:type="dxa"/>
            <w:noWrap w:val="0"/>
            <w:vAlign w:val="top"/>
          </w:tcPr>
          <w:p>
            <w:pPr>
              <w:spacing w:line="360" w:lineRule="auto"/>
              <w:outlineLvl w:val="9"/>
              <w:rPr>
                <w:rFonts w:hint="eastAsia" w:ascii="宋体" w:hAnsi="宋体" w:cs="宋体"/>
                <w:color w:val="auto"/>
                <w:sz w:val="24"/>
                <w:highlight w:val="none"/>
              </w:rPr>
            </w:pPr>
          </w:p>
        </w:tc>
        <w:tc>
          <w:tcPr>
            <w:tcW w:w="748" w:type="dxa"/>
            <w:noWrap w:val="0"/>
            <w:vAlign w:val="top"/>
          </w:tcPr>
          <w:p>
            <w:pPr>
              <w:spacing w:line="360" w:lineRule="auto"/>
              <w:outlineLvl w:val="9"/>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2</w:t>
            </w:r>
          </w:p>
        </w:tc>
        <w:tc>
          <w:tcPr>
            <w:tcW w:w="1200" w:type="dxa"/>
            <w:noWrap w:val="0"/>
            <w:vAlign w:val="top"/>
          </w:tcPr>
          <w:p>
            <w:pPr>
              <w:spacing w:line="360" w:lineRule="auto"/>
              <w:outlineLvl w:val="9"/>
              <w:rPr>
                <w:rFonts w:hint="eastAsia" w:ascii="宋体" w:hAnsi="宋体" w:cs="宋体"/>
                <w:color w:val="auto"/>
                <w:sz w:val="24"/>
                <w:highlight w:val="none"/>
              </w:rPr>
            </w:pPr>
          </w:p>
        </w:tc>
        <w:tc>
          <w:tcPr>
            <w:tcW w:w="2998" w:type="dxa"/>
            <w:noWrap w:val="0"/>
            <w:vAlign w:val="top"/>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2912" w:type="dxa"/>
            <w:noWrap w:val="0"/>
            <w:vAlign w:val="top"/>
          </w:tcPr>
          <w:p>
            <w:pPr>
              <w:spacing w:line="360" w:lineRule="auto"/>
              <w:outlineLvl w:val="9"/>
              <w:rPr>
                <w:rFonts w:hint="eastAsia" w:ascii="宋体" w:hAnsi="宋体" w:cs="宋体"/>
                <w:color w:val="auto"/>
                <w:sz w:val="24"/>
                <w:highlight w:val="none"/>
              </w:rPr>
            </w:pPr>
          </w:p>
        </w:tc>
        <w:tc>
          <w:tcPr>
            <w:tcW w:w="888" w:type="dxa"/>
            <w:noWrap w:val="0"/>
            <w:vAlign w:val="top"/>
          </w:tcPr>
          <w:p>
            <w:pPr>
              <w:spacing w:line="360" w:lineRule="auto"/>
              <w:outlineLvl w:val="9"/>
              <w:rPr>
                <w:rFonts w:hint="eastAsia" w:ascii="宋体" w:hAnsi="宋体" w:cs="宋体"/>
                <w:color w:val="auto"/>
                <w:sz w:val="24"/>
                <w:highlight w:val="none"/>
              </w:rPr>
            </w:pPr>
          </w:p>
        </w:tc>
        <w:tc>
          <w:tcPr>
            <w:tcW w:w="748" w:type="dxa"/>
            <w:noWrap w:val="0"/>
            <w:vAlign w:val="top"/>
          </w:tcPr>
          <w:p>
            <w:pPr>
              <w:spacing w:line="360" w:lineRule="auto"/>
              <w:outlineLvl w:val="9"/>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68" w:type="dxa"/>
            <w:noWrap w:val="0"/>
            <w:vAlign w:val="top"/>
          </w:tcPr>
          <w:p>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3</w:t>
            </w:r>
          </w:p>
        </w:tc>
        <w:tc>
          <w:tcPr>
            <w:tcW w:w="1200" w:type="dxa"/>
            <w:noWrap w:val="0"/>
            <w:vAlign w:val="top"/>
          </w:tcPr>
          <w:p>
            <w:pPr>
              <w:spacing w:line="360" w:lineRule="auto"/>
              <w:outlineLvl w:val="9"/>
              <w:rPr>
                <w:rFonts w:hint="eastAsia" w:ascii="宋体" w:hAnsi="宋体" w:cs="宋体"/>
                <w:color w:val="auto"/>
                <w:sz w:val="24"/>
                <w:highlight w:val="none"/>
              </w:rPr>
            </w:pPr>
          </w:p>
        </w:tc>
        <w:tc>
          <w:tcPr>
            <w:tcW w:w="2998" w:type="dxa"/>
            <w:noWrap w:val="0"/>
            <w:vAlign w:val="top"/>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招标文件的其他商务条款</w:t>
            </w:r>
          </w:p>
        </w:tc>
        <w:tc>
          <w:tcPr>
            <w:tcW w:w="2912" w:type="dxa"/>
            <w:noWrap w:val="0"/>
            <w:vAlign w:val="top"/>
          </w:tcPr>
          <w:p>
            <w:pPr>
              <w:spacing w:line="360" w:lineRule="auto"/>
              <w:outlineLvl w:val="9"/>
              <w:rPr>
                <w:rFonts w:hint="eastAsia" w:ascii="宋体" w:hAnsi="宋体" w:cs="宋体"/>
                <w:color w:val="auto"/>
                <w:sz w:val="24"/>
                <w:highlight w:val="none"/>
              </w:rPr>
            </w:pPr>
          </w:p>
        </w:tc>
        <w:tc>
          <w:tcPr>
            <w:tcW w:w="888" w:type="dxa"/>
            <w:noWrap w:val="0"/>
            <w:vAlign w:val="top"/>
          </w:tcPr>
          <w:p>
            <w:pPr>
              <w:spacing w:line="360" w:lineRule="auto"/>
              <w:outlineLvl w:val="9"/>
              <w:rPr>
                <w:rFonts w:hint="eastAsia" w:ascii="宋体" w:hAnsi="宋体" w:cs="宋体"/>
                <w:color w:val="auto"/>
                <w:sz w:val="24"/>
                <w:highlight w:val="none"/>
              </w:rPr>
            </w:pPr>
          </w:p>
        </w:tc>
        <w:tc>
          <w:tcPr>
            <w:tcW w:w="748" w:type="dxa"/>
            <w:noWrap w:val="0"/>
            <w:vAlign w:val="top"/>
          </w:tcPr>
          <w:p>
            <w:pPr>
              <w:spacing w:line="360" w:lineRule="auto"/>
              <w:outlineLvl w:val="9"/>
              <w:rPr>
                <w:rFonts w:hint="eastAsia" w:ascii="宋体" w:hAnsi="宋体" w:cs="宋体"/>
                <w:color w:val="auto"/>
                <w:sz w:val="24"/>
                <w:highlight w:val="none"/>
              </w:rPr>
            </w:pPr>
          </w:p>
        </w:tc>
      </w:tr>
    </w:tbl>
    <w:p>
      <w:pPr>
        <w:spacing w:line="360" w:lineRule="auto"/>
        <w:outlineLvl w:val="9"/>
        <w:rPr>
          <w:rFonts w:hint="eastAsia" w:ascii="宋体" w:hAnsi="宋体" w:cs="宋体"/>
          <w:color w:val="auto"/>
          <w:sz w:val="24"/>
          <w:highlight w:val="none"/>
        </w:rPr>
      </w:pPr>
      <w:r>
        <w:rPr>
          <w:rFonts w:hint="eastAsia" w:ascii="宋体" w:hAnsi="宋体" w:cs="宋体"/>
          <w:color w:val="auto"/>
          <w:sz w:val="24"/>
          <w:highlight w:val="none"/>
        </w:rPr>
        <w:t>说明：</w:t>
      </w:r>
    </w:p>
    <w:p>
      <w:pPr>
        <w:pStyle w:val="9"/>
        <w:spacing w:line="360" w:lineRule="auto"/>
        <w:ind w:firstLine="57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1.商务条款均应根据投标文件对招标文件的偏离情况相对应地填列。</w:t>
      </w:r>
    </w:p>
    <w:p>
      <w:pPr>
        <w:pStyle w:val="9"/>
        <w:spacing w:line="360" w:lineRule="auto"/>
        <w:ind w:firstLine="570"/>
        <w:outlineLvl w:val="9"/>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2.商务条款主要填列交货地点</w:t>
      </w:r>
      <w:r>
        <w:rPr>
          <w:rFonts w:hint="eastAsia"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合同履行期限等投标须知前附表加注*号的重要条款方面的偏离情况，但不限于以上条款。其他的商务条</w:t>
      </w:r>
      <w:r>
        <w:rPr>
          <w:rFonts w:hint="eastAsia" w:ascii="宋体" w:hAnsi="宋体" w:eastAsia="宋体" w:cs="宋体"/>
          <w:color w:val="auto"/>
          <w:sz w:val="24"/>
          <w:highlight w:val="none"/>
        </w:rPr>
        <w:t>款如未填列，视为投标人实质性响应招标文件条款。</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 xml:space="preserve"> 3.表内如果填列不全，可另外附页说明并按规定签字和加盖公章。             </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 xml:space="preserve"> 4.采购人要求投标人认真填写本表。</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 xml:space="preserve"> 5.此表可根据需要自行拉长加宽。</w:t>
      </w:r>
    </w:p>
    <w:p>
      <w:pPr>
        <w:spacing w:line="360" w:lineRule="auto"/>
        <w:ind w:firstLine="480" w:firstLineChars="200"/>
        <w:outlineLvl w:val="9"/>
        <w:rPr>
          <w:rFonts w:hint="eastAsia" w:ascii="宋体" w:hAnsi="宋体" w:cs="宋体"/>
          <w:color w:val="auto"/>
          <w:sz w:val="24"/>
          <w:highlight w:val="none"/>
        </w:rPr>
      </w:pP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投标单位全称（公章）：</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单位负责人或授权代理人（签字）：</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时间：     年  月  日</w:t>
      </w:r>
    </w:p>
    <w:p>
      <w:pPr>
        <w:pStyle w:val="14"/>
        <w:spacing w:line="360" w:lineRule="auto"/>
        <w:outlineLvl w:val="9"/>
        <w:rPr>
          <w:rFonts w:hint="eastAsia" w:ascii="宋体" w:hAnsi="宋体" w:cs="宋体"/>
          <w:color w:val="auto"/>
          <w:szCs w:val="24"/>
          <w:highlight w:val="none"/>
        </w:rPr>
        <w:sectPr>
          <w:pgSz w:w="11906" w:h="16838"/>
          <w:pgMar w:top="1361" w:right="1304" w:bottom="1247" w:left="1304" w:header="680" w:footer="1077"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spacing w:line="360" w:lineRule="auto"/>
        <w:jc w:val="center"/>
        <w:outlineLvl w:val="9"/>
        <w:rPr>
          <w:rFonts w:hint="eastAsia" w:ascii="宋体" w:hAnsi="宋体" w:cs="宋体"/>
          <w:b/>
          <w:color w:val="auto"/>
          <w:sz w:val="36"/>
          <w:highlight w:val="none"/>
        </w:rPr>
      </w:pPr>
    </w:p>
    <w:p>
      <w:pPr>
        <w:adjustRightInd w:val="0"/>
        <w:snapToGrid w:val="0"/>
        <w:outlineLvl w:val="9"/>
        <w:rPr>
          <w:rFonts w:hint="eastAsia" w:ascii="宋体" w:hAnsi="宋体" w:cs="宋体"/>
          <w:color w:val="auto"/>
          <w:highlight w:val="none"/>
        </w:rPr>
      </w:pPr>
    </w:p>
    <w:p>
      <w:pPr>
        <w:spacing w:line="360" w:lineRule="auto"/>
        <w:jc w:val="center"/>
        <w:outlineLvl w:val="9"/>
        <w:rPr>
          <w:rFonts w:hint="eastAsia" w:ascii="宋体" w:hAnsi="宋体" w:cs="宋体"/>
          <w:b/>
          <w:color w:val="auto"/>
          <w:sz w:val="24"/>
          <w:szCs w:val="28"/>
          <w:highlight w:val="none"/>
        </w:rPr>
        <w:sectPr>
          <w:type w:val="continuous"/>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left"/>
        <w:outlineLvl w:val="1"/>
        <w:rPr>
          <w:rFonts w:hint="eastAsia" w:ascii="宋体" w:hAnsi="宋体"/>
          <w:b/>
          <w:color w:val="auto"/>
          <w:sz w:val="24"/>
          <w:szCs w:val="24"/>
          <w:highlight w:val="none"/>
        </w:rPr>
        <w:sectPr>
          <w:headerReference r:id="rId15" w:type="first"/>
          <w:footerReference r:id="rId17" w:type="first"/>
          <w:headerReference r:id="rId14" w:type="default"/>
          <w:footerReference r:id="rId16" w:type="default"/>
          <w:type w:val="continuous"/>
          <w:pgSz w:w="11906" w:h="16838"/>
          <w:pgMar w:top="1440" w:right="1080" w:bottom="1440" w:left="1080" w:header="720" w:footer="720" w:gutter="0"/>
          <w:pgBorders>
            <w:top w:val="none" w:sz="0" w:space="0"/>
            <w:left w:val="none" w:sz="0" w:space="0"/>
            <w:bottom w:val="none" w:sz="0" w:space="0"/>
            <w:right w:val="none" w:sz="0" w:space="0"/>
          </w:pgBorders>
          <w:pgNumType w:fmt="decimal"/>
          <w:cols w:space="720" w:num="1"/>
          <w:titlePg/>
        </w:sectPr>
      </w:pPr>
      <w:bookmarkStart w:id="194" w:name="_Toc22747"/>
      <w:bookmarkStart w:id="195" w:name="_Toc28520"/>
    </w:p>
    <w:p>
      <w:pPr>
        <w:spacing w:line="360" w:lineRule="auto"/>
        <w:jc w:val="left"/>
        <w:outlineLvl w:val="1"/>
        <w:rPr>
          <w:rFonts w:hint="eastAsia" w:ascii="宋体" w:hAnsi="宋体"/>
          <w:b/>
          <w:color w:val="auto"/>
          <w:sz w:val="24"/>
          <w:szCs w:val="24"/>
          <w:highlight w:val="none"/>
        </w:rPr>
      </w:pPr>
      <w:r>
        <w:rPr>
          <w:rFonts w:hint="eastAsia" w:ascii="宋体" w:hAnsi="宋体"/>
          <w:b/>
          <w:color w:val="auto"/>
          <w:sz w:val="24"/>
          <w:szCs w:val="24"/>
          <w:highlight w:val="none"/>
        </w:rPr>
        <w:t>格式十</w:t>
      </w:r>
      <w:r>
        <w:rPr>
          <w:rFonts w:hint="eastAsia" w:ascii="宋体" w:hAnsi="宋体"/>
          <w:b/>
          <w:color w:val="auto"/>
          <w:sz w:val="24"/>
          <w:szCs w:val="24"/>
          <w:highlight w:val="none"/>
          <w:lang w:val="en-US" w:eastAsia="zh-CN"/>
        </w:rPr>
        <w:t xml:space="preserve">六 </w:t>
      </w:r>
      <w:bookmarkEnd w:id="194"/>
      <w:bookmarkEnd w:id="195"/>
      <w:r>
        <w:rPr>
          <w:rFonts w:hint="eastAsia" w:ascii="宋体" w:hAnsi="宋体"/>
          <w:b/>
          <w:color w:val="auto"/>
          <w:sz w:val="24"/>
          <w:szCs w:val="24"/>
          <w:highlight w:val="none"/>
        </w:rPr>
        <w:t>技术偏离表</w:t>
      </w:r>
    </w:p>
    <w:p>
      <w:pPr>
        <w:spacing w:line="360" w:lineRule="auto"/>
        <w:jc w:val="center"/>
        <w:outlineLvl w:val="9"/>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技术偏离表（格式）</w:t>
      </w:r>
    </w:p>
    <w:p>
      <w:pPr>
        <w:outlineLvl w:val="9"/>
        <w:rPr>
          <w:rFonts w:hint="eastAsia" w:ascii="宋体" w:hAnsi="宋体"/>
          <w:color w:val="auto"/>
          <w:highlight w:val="none"/>
        </w:rPr>
      </w:pPr>
    </w:p>
    <w:p>
      <w:pPr>
        <w:pStyle w:val="13"/>
        <w:spacing w:line="360" w:lineRule="auto"/>
        <w:ind w:firstLine="422" w:firstLineChars="200"/>
        <w:outlineLvl w:val="9"/>
        <w:rPr>
          <w:rFonts w:hAnsi="宋体"/>
          <w:b/>
          <w:color w:val="auto"/>
          <w:szCs w:val="21"/>
          <w:highlight w:val="none"/>
        </w:rPr>
      </w:pPr>
      <w:r>
        <w:rPr>
          <w:rFonts w:hAnsi="宋体"/>
          <w:b/>
          <w:color w:val="auto"/>
          <w:szCs w:val="21"/>
          <w:highlight w:val="none"/>
        </w:rPr>
        <w:t>项目名称：</w:t>
      </w:r>
    </w:p>
    <w:p>
      <w:pPr>
        <w:pStyle w:val="13"/>
        <w:spacing w:line="360" w:lineRule="auto"/>
        <w:ind w:firstLine="422" w:firstLineChars="200"/>
        <w:outlineLvl w:val="9"/>
        <w:rPr>
          <w:rFonts w:hAnsi="宋体"/>
          <w:b/>
          <w:color w:val="auto"/>
          <w:szCs w:val="21"/>
          <w:highlight w:val="none"/>
        </w:rPr>
      </w:pPr>
      <w:r>
        <w:rPr>
          <w:rFonts w:hAnsi="宋体"/>
          <w:b/>
          <w:color w:val="auto"/>
          <w:szCs w:val="21"/>
          <w:highlight w:val="none"/>
        </w:rPr>
        <w:t>项目编号：</w:t>
      </w:r>
    </w:p>
    <w:tbl>
      <w:tblPr>
        <w:tblStyle w:val="23"/>
        <w:tblW w:w="991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50"/>
        <w:gridCol w:w="2989"/>
        <w:gridCol w:w="2841"/>
        <w:gridCol w:w="88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序号</w:t>
            </w:r>
          </w:p>
        </w:tc>
        <w:tc>
          <w:tcPr>
            <w:tcW w:w="1450"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货物名称</w:t>
            </w:r>
          </w:p>
        </w:tc>
        <w:tc>
          <w:tcPr>
            <w:tcW w:w="2989"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招标文件规定的货物需求、技术规格</w:t>
            </w:r>
          </w:p>
        </w:tc>
        <w:tc>
          <w:tcPr>
            <w:tcW w:w="2841"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投标文件对应的货物情况、技术规格</w:t>
            </w:r>
          </w:p>
        </w:tc>
        <w:tc>
          <w:tcPr>
            <w:tcW w:w="888"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是否偏离</w:t>
            </w:r>
          </w:p>
        </w:tc>
        <w:tc>
          <w:tcPr>
            <w:tcW w:w="748" w:type="dxa"/>
            <w:noWrap w:val="0"/>
            <w:vAlign w:val="center"/>
          </w:tcPr>
          <w:p>
            <w:pPr>
              <w:spacing w:line="360" w:lineRule="auto"/>
              <w:jc w:val="center"/>
              <w:outlineLvl w:val="9"/>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highlight w:val="none"/>
              </w:rPr>
            </w:pPr>
          </w:p>
        </w:tc>
        <w:tc>
          <w:tcPr>
            <w:tcW w:w="1450" w:type="dxa"/>
            <w:noWrap w:val="0"/>
            <w:vAlign w:val="top"/>
          </w:tcPr>
          <w:p>
            <w:pPr>
              <w:spacing w:line="360" w:lineRule="auto"/>
              <w:outlineLvl w:val="9"/>
              <w:rPr>
                <w:rFonts w:hint="eastAsia" w:ascii="宋体" w:hAnsi="宋体" w:cs="宋体"/>
                <w:color w:val="auto"/>
                <w:sz w:val="24"/>
                <w:highlight w:val="none"/>
              </w:rPr>
            </w:pPr>
          </w:p>
        </w:tc>
        <w:tc>
          <w:tcPr>
            <w:tcW w:w="2989" w:type="dxa"/>
            <w:noWrap w:val="0"/>
            <w:vAlign w:val="top"/>
          </w:tcPr>
          <w:p>
            <w:pPr>
              <w:spacing w:line="360" w:lineRule="auto"/>
              <w:outlineLvl w:val="9"/>
              <w:rPr>
                <w:rFonts w:hint="eastAsia" w:ascii="宋体" w:hAnsi="宋体" w:cs="宋体"/>
                <w:color w:val="auto"/>
                <w:sz w:val="24"/>
                <w:highlight w:val="none"/>
              </w:rPr>
            </w:pPr>
          </w:p>
        </w:tc>
        <w:tc>
          <w:tcPr>
            <w:tcW w:w="2841" w:type="dxa"/>
            <w:noWrap w:val="0"/>
            <w:vAlign w:val="top"/>
          </w:tcPr>
          <w:p>
            <w:pPr>
              <w:spacing w:line="360" w:lineRule="auto"/>
              <w:outlineLvl w:val="9"/>
              <w:rPr>
                <w:rFonts w:hint="eastAsia" w:ascii="宋体" w:hAnsi="宋体" w:cs="宋体"/>
                <w:color w:val="auto"/>
                <w:sz w:val="24"/>
                <w:highlight w:val="none"/>
              </w:rPr>
            </w:pPr>
          </w:p>
        </w:tc>
        <w:tc>
          <w:tcPr>
            <w:tcW w:w="888" w:type="dxa"/>
            <w:noWrap w:val="0"/>
            <w:vAlign w:val="top"/>
          </w:tcPr>
          <w:p>
            <w:pPr>
              <w:spacing w:line="360" w:lineRule="auto"/>
              <w:outlineLvl w:val="9"/>
              <w:rPr>
                <w:rFonts w:hint="eastAsia" w:ascii="宋体" w:hAnsi="宋体" w:cs="宋体"/>
                <w:color w:val="auto"/>
                <w:sz w:val="24"/>
                <w:highlight w:val="none"/>
              </w:rPr>
            </w:pPr>
          </w:p>
        </w:tc>
        <w:tc>
          <w:tcPr>
            <w:tcW w:w="748" w:type="dxa"/>
            <w:noWrap w:val="0"/>
            <w:vAlign w:val="top"/>
          </w:tcPr>
          <w:p>
            <w:pPr>
              <w:spacing w:line="360" w:lineRule="auto"/>
              <w:outlineLvl w:val="9"/>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highlight w:val="none"/>
              </w:rPr>
            </w:pPr>
          </w:p>
        </w:tc>
        <w:tc>
          <w:tcPr>
            <w:tcW w:w="1450" w:type="dxa"/>
            <w:noWrap w:val="0"/>
            <w:vAlign w:val="top"/>
          </w:tcPr>
          <w:p>
            <w:pPr>
              <w:spacing w:line="360" w:lineRule="auto"/>
              <w:outlineLvl w:val="9"/>
              <w:rPr>
                <w:rFonts w:hint="eastAsia" w:ascii="宋体" w:hAnsi="宋体" w:cs="宋体"/>
                <w:color w:val="auto"/>
                <w:sz w:val="24"/>
                <w:highlight w:val="none"/>
              </w:rPr>
            </w:pPr>
          </w:p>
        </w:tc>
        <w:tc>
          <w:tcPr>
            <w:tcW w:w="2989" w:type="dxa"/>
            <w:noWrap w:val="0"/>
            <w:vAlign w:val="top"/>
          </w:tcPr>
          <w:p>
            <w:pPr>
              <w:spacing w:line="360" w:lineRule="auto"/>
              <w:outlineLvl w:val="9"/>
              <w:rPr>
                <w:rFonts w:hint="eastAsia" w:ascii="宋体" w:hAnsi="宋体" w:cs="宋体"/>
                <w:color w:val="auto"/>
                <w:sz w:val="24"/>
                <w:highlight w:val="none"/>
              </w:rPr>
            </w:pPr>
          </w:p>
        </w:tc>
        <w:tc>
          <w:tcPr>
            <w:tcW w:w="2841" w:type="dxa"/>
            <w:noWrap w:val="0"/>
            <w:vAlign w:val="top"/>
          </w:tcPr>
          <w:p>
            <w:pPr>
              <w:spacing w:line="360" w:lineRule="auto"/>
              <w:outlineLvl w:val="9"/>
              <w:rPr>
                <w:rFonts w:hint="eastAsia" w:ascii="宋体" w:hAnsi="宋体" w:cs="宋体"/>
                <w:color w:val="auto"/>
                <w:sz w:val="24"/>
                <w:highlight w:val="none"/>
              </w:rPr>
            </w:pPr>
          </w:p>
        </w:tc>
        <w:tc>
          <w:tcPr>
            <w:tcW w:w="888" w:type="dxa"/>
            <w:noWrap w:val="0"/>
            <w:vAlign w:val="top"/>
          </w:tcPr>
          <w:p>
            <w:pPr>
              <w:spacing w:line="360" w:lineRule="auto"/>
              <w:outlineLvl w:val="9"/>
              <w:rPr>
                <w:rFonts w:hint="eastAsia" w:ascii="宋体" w:hAnsi="宋体" w:cs="宋体"/>
                <w:color w:val="auto"/>
                <w:sz w:val="24"/>
                <w:highlight w:val="none"/>
              </w:rPr>
            </w:pPr>
          </w:p>
        </w:tc>
        <w:tc>
          <w:tcPr>
            <w:tcW w:w="748" w:type="dxa"/>
            <w:noWrap w:val="0"/>
            <w:vAlign w:val="top"/>
          </w:tcPr>
          <w:p>
            <w:pPr>
              <w:spacing w:line="360" w:lineRule="auto"/>
              <w:outlineLvl w:val="9"/>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996" w:type="dxa"/>
            <w:noWrap w:val="0"/>
            <w:vAlign w:val="top"/>
          </w:tcPr>
          <w:p>
            <w:pPr>
              <w:spacing w:line="360" w:lineRule="auto"/>
              <w:outlineLvl w:val="9"/>
              <w:rPr>
                <w:rFonts w:hint="eastAsia" w:ascii="宋体" w:hAnsi="宋体" w:cs="宋体"/>
                <w:color w:val="auto"/>
                <w:sz w:val="24"/>
                <w:highlight w:val="none"/>
              </w:rPr>
            </w:pPr>
          </w:p>
        </w:tc>
        <w:tc>
          <w:tcPr>
            <w:tcW w:w="1450" w:type="dxa"/>
            <w:noWrap w:val="0"/>
            <w:vAlign w:val="top"/>
          </w:tcPr>
          <w:p>
            <w:pPr>
              <w:spacing w:line="360" w:lineRule="auto"/>
              <w:outlineLvl w:val="9"/>
              <w:rPr>
                <w:rFonts w:hint="eastAsia" w:ascii="宋体" w:hAnsi="宋体" w:cs="宋体"/>
                <w:color w:val="auto"/>
                <w:sz w:val="24"/>
                <w:highlight w:val="none"/>
              </w:rPr>
            </w:pPr>
          </w:p>
        </w:tc>
        <w:tc>
          <w:tcPr>
            <w:tcW w:w="2989" w:type="dxa"/>
            <w:noWrap w:val="0"/>
            <w:vAlign w:val="top"/>
          </w:tcPr>
          <w:p>
            <w:pPr>
              <w:spacing w:line="360" w:lineRule="auto"/>
              <w:outlineLvl w:val="9"/>
              <w:rPr>
                <w:rFonts w:hint="eastAsia" w:ascii="宋体" w:hAnsi="宋体" w:cs="宋体"/>
                <w:color w:val="auto"/>
                <w:sz w:val="24"/>
                <w:highlight w:val="none"/>
              </w:rPr>
            </w:pPr>
          </w:p>
        </w:tc>
        <w:tc>
          <w:tcPr>
            <w:tcW w:w="2841" w:type="dxa"/>
            <w:noWrap w:val="0"/>
            <w:vAlign w:val="top"/>
          </w:tcPr>
          <w:p>
            <w:pPr>
              <w:spacing w:line="360" w:lineRule="auto"/>
              <w:outlineLvl w:val="9"/>
              <w:rPr>
                <w:rFonts w:hint="eastAsia" w:ascii="宋体" w:hAnsi="宋体" w:cs="宋体"/>
                <w:color w:val="auto"/>
                <w:sz w:val="24"/>
                <w:highlight w:val="none"/>
              </w:rPr>
            </w:pPr>
          </w:p>
        </w:tc>
        <w:tc>
          <w:tcPr>
            <w:tcW w:w="888" w:type="dxa"/>
            <w:noWrap w:val="0"/>
            <w:vAlign w:val="top"/>
          </w:tcPr>
          <w:p>
            <w:pPr>
              <w:spacing w:line="360" w:lineRule="auto"/>
              <w:outlineLvl w:val="9"/>
              <w:rPr>
                <w:rFonts w:hint="eastAsia" w:ascii="宋体" w:hAnsi="宋体" w:cs="宋体"/>
                <w:color w:val="auto"/>
                <w:sz w:val="24"/>
                <w:highlight w:val="none"/>
              </w:rPr>
            </w:pPr>
          </w:p>
        </w:tc>
        <w:tc>
          <w:tcPr>
            <w:tcW w:w="748" w:type="dxa"/>
            <w:noWrap w:val="0"/>
            <w:vAlign w:val="top"/>
          </w:tcPr>
          <w:p>
            <w:pPr>
              <w:spacing w:line="360" w:lineRule="auto"/>
              <w:outlineLvl w:val="9"/>
              <w:rPr>
                <w:rFonts w:hint="eastAsia" w:ascii="宋体" w:hAnsi="宋体" w:cs="宋体"/>
                <w:color w:val="auto"/>
                <w:sz w:val="24"/>
                <w:highlight w:val="none"/>
              </w:rPr>
            </w:pPr>
          </w:p>
        </w:tc>
      </w:tr>
    </w:tbl>
    <w:p>
      <w:pPr>
        <w:adjustRightInd w:val="0"/>
        <w:snapToGrid w:val="0"/>
        <w:outlineLvl w:val="9"/>
        <w:rPr>
          <w:rFonts w:hint="eastAsia" w:ascii="宋体" w:hAnsi="宋体" w:cs="宋体"/>
          <w:color w:val="auto"/>
          <w:highlight w:val="none"/>
        </w:rPr>
      </w:pPr>
    </w:p>
    <w:p>
      <w:pPr>
        <w:adjustRightInd w:val="0"/>
        <w:snapToGrid w:val="0"/>
        <w:outlineLvl w:val="9"/>
        <w:rPr>
          <w:rFonts w:hint="eastAsia" w:ascii="宋体" w:hAnsi="宋体" w:cs="宋体"/>
          <w:color w:val="auto"/>
          <w:highlight w:val="none"/>
        </w:rPr>
      </w:pPr>
    </w:p>
    <w:p>
      <w:pPr>
        <w:pStyle w:val="9"/>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1.技术条款均应根据投标文件对招标文件第</w:t>
      </w: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章技术标准和要求的偏离情况</w:t>
      </w:r>
      <w:r>
        <w:rPr>
          <w:rFonts w:hint="eastAsia" w:hAnsi="宋体" w:eastAsia="宋体" w:cs="宋体"/>
          <w:color w:val="auto"/>
          <w:sz w:val="24"/>
          <w:highlight w:val="none"/>
          <w:lang w:val="en-US" w:eastAsia="zh-CN"/>
        </w:rPr>
        <w:t>逐条</w:t>
      </w:r>
      <w:r>
        <w:rPr>
          <w:rFonts w:hint="eastAsia" w:ascii="宋体" w:hAnsi="宋体" w:eastAsia="宋体" w:cs="宋体"/>
          <w:color w:val="auto"/>
          <w:sz w:val="24"/>
          <w:highlight w:val="none"/>
        </w:rPr>
        <w:t>相对应地填列。</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 xml:space="preserve">2.表内如果填列不全，可另外附页说明并按规定签字和加盖公章。             </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3.采购人要求投标人认真填写本表。</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4.此表可根据需要自行拉长加宽。</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5.备注栏须填写正偏离或负偏离</w:t>
      </w:r>
      <w:r>
        <w:rPr>
          <w:rFonts w:hint="eastAsia" w:ascii="宋体" w:hAnsi="宋体" w:cs="宋体"/>
          <w:color w:val="auto"/>
          <w:sz w:val="24"/>
          <w:highlight w:val="none"/>
          <w:lang w:val="en-US" w:eastAsia="zh-CN"/>
        </w:rPr>
        <w:t>或无偏离</w:t>
      </w:r>
      <w:r>
        <w:rPr>
          <w:rFonts w:hint="eastAsia" w:ascii="宋体" w:hAnsi="宋体" w:cs="宋体"/>
          <w:color w:val="auto"/>
          <w:sz w:val="24"/>
          <w:highlight w:val="none"/>
        </w:rPr>
        <w:t>。</w:t>
      </w:r>
    </w:p>
    <w:p>
      <w:pPr>
        <w:spacing w:line="360" w:lineRule="auto"/>
        <w:ind w:firstLine="480" w:firstLineChars="200"/>
        <w:outlineLvl w:val="9"/>
        <w:rPr>
          <w:rFonts w:hint="eastAsia" w:ascii="宋体" w:hAnsi="宋体" w:cs="宋体"/>
          <w:color w:val="auto"/>
          <w:sz w:val="24"/>
          <w:highlight w:val="none"/>
        </w:rPr>
      </w:pP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投标单位全称（公章）：</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单位负责人或授权代理人（签字）：</w:t>
      </w:r>
    </w:p>
    <w:p>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时间：     年  月  日</w:t>
      </w:r>
    </w:p>
    <w:p>
      <w:pPr>
        <w:spacing w:line="360" w:lineRule="auto"/>
        <w:jc w:val="center"/>
        <w:outlineLvl w:val="9"/>
        <w:rPr>
          <w:rFonts w:hint="eastAsia" w:ascii="宋体" w:hAnsi="宋体" w:cs="宋体"/>
          <w:b/>
          <w:color w:val="auto"/>
          <w:sz w:val="24"/>
          <w:szCs w:val="28"/>
          <w:highlight w:val="none"/>
        </w:rPr>
        <w:sectPr>
          <w:pgSz w:w="11906" w:h="16838"/>
          <w:pgMar w:top="1361" w:right="1304" w:bottom="1247" w:left="1304" w:header="680" w:footer="1077" w:gutter="0"/>
          <w:pgBorders>
            <w:top w:val="none" w:sz="0" w:space="0"/>
            <w:left w:val="none" w:sz="0" w:space="0"/>
            <w:bottom w:val="none" w:sz="0" w:space="0"/>
            <w:right w:val="none" w:sz="0" w:space="0"/>
          </w:pgBorders>
          <w:pgNumType w:fmt="decimal"/>
          <w:cols w:space="720" w:num="1"/>
          <w:docGrid w:linePitch="312" w:charSpace="0"/>
        </w:sectPr>
      </w:pPr>
    </w:p>
    <w:p>
      <w:pPr>
        <w:outlineLvl w:val="1"/>
        <w:rPr>
          <w:rFonts w:hint="eastAsia" w:ascii="宋体" w:hAnsi="宋体"/>
          <w:b/>
          <w:bCs/>
          <w:color w:val="auto"/>
          <w:sz w:val="24"/>
          <w:szCs w:val="24"/>
          <w:highlight w:val="none"/>
        </w:rPr>
      </w:pPr>
      <w:bookmarkStart w:id="196" w:name="_Toc29968"/>
      <w:bookmarkStart w:id="197" w:name="_Toc23524"/>
      <w:r>
        <w:rPr>
          <w:rFonts w:hint="eastAsia" w:ascii="宋体" w:hAnsi="宋体"/>
          <w:b/>
          <w:bCs/>
          <w:color w:val="auto"/>
          <w:sz w:val="24"/>
          <w:szCs w:val="24"/>
          <w:highlight w:val="none"/>
        </w:rPr>
        <w:t>格式</w:t>
      </w:r>
      <w:r>
        <w:rPr>
          <w:rFonts w:ascii="宋体" w:hAnsi="宋体"/>
          <w:b/>
          <w:bCs/>
          <w:color w:val="auto"/>
          <w:sz w:val="24"/>
          <w:szCs w:val="24"/>
          <w:highlight w:val="none"/>
        </w:rPr>
        <w:t>十</w:t>
      </w:r>
      <w:r>
        <w:rPr>
          <w:rFonts w:hint="eastAsia" w:ascii="宋体" w:hAnsi="宋体"/>
          <w:b/>
          <w:bCs/>
          <w:color w:val="auto"/>
          <w:sz w:val="24"/>
          <w:szCs w:val="24"/>
          <w:highlight w:val="none"/>
          <w:lang w:val="en-US" w:eastAsia="zh-CN"/>
        </w:rPr>
        <w:t>七</w:t>
      </w:r>
      <w:r>
        <w:rPr>
          <w:rFonts w:hint="eastAsia" w:ascii="宋体" w:hAnsi="宋体"/>
          <w:b/>
          <w:bCs/>
          <w:color w:val="auto"/>
          <w:sz w:val="24"/>
          <w:szCs w:val="24"/>
          <w:highlight w:val="none"/>
        </w:rPr>
        <w:t xml:space="preserve">  提供招标文件内要求的承诺书及投标人认为有必要提交的其他材料</w:t>
      </w:r>
      <w:bookmarkEnd w:id="196"/>
      <w:bookmarkEnd w:id="197"/>
    </w:p>
    <w:p>
      <w:pPr>
        <w:pStyle w:val="18"/>
        <w:rPr>
          <w:rFonts w:hint="eastAsia" w:ascii="宋体" w:hAnsi="宋体"/>
          <w:b w:val="0"/>
          <w:bCs w:val="0"/>
          <w:color w:val="auto"/>
          <w:sz w:val="24"/>
          <w:szCs w:val="24"/>
          <w:highlight w:val="none"/>
        </w:rPr>
      </w:pPr>
    </w:p>
    <w:p>
      <w:pPr>
        <w:pStyle w:val="18"/>
        <w:rPr>
          <w:rFonts w:hint="eastAsia" w:ascii="宋体" w:hAnsi="宋体"/>
          <w:b w:val="0"/>
          <w:bCs w:val="0"/>
          <w:color w:val="auto"/>
          <w:sz w:val="24"/>
          <w:szCs w:val="24"/>
          <w:highlight w:val="none"/>
          <w:lang w:eastAsia="zh-CN"/>
        </w:rPr>
        <w:sectPr>
          <w:pgSz w:w="11906" w:h="16838"/>
          <w:pgMar w:top="1440" w:right="1080" w:bottom="1440" w:left="1080" w:header="720" w:footer="1077" w:gutter="0"/>
          <w:pgBorders>
            <w:top w:val="none" w:sz="0" w:space="0"/>
            <w:left w:val="none" w:sz="0" w:space="0"/>
            <w:bottom w:val="none" w:sz="0" w:space="0"/>
            <w:right w:val="none" w:sz="0" w:space="0"/>
          </w:pgBorders>
          <w:pgNumType w:fmt="decimal"/>
          <w:cols w:space="720" w:num="1"/>
          <w:titlePg/>
        </w:sectPr>
      </w:pPr>
      <w:r>
        <w:rPr>
          <w:rFonts w:hint="eastAsia" w:ascii="宋体" w:hAnsi="宋体"/>
          <w:b w:val="0"/>
          <w:bCs w:val="0"/>
          <w:color w:val="auto"/>
          <w:sz w:val="24"/>
          <w:szCs w:val="24"/>
          <w:highlight w:val="none"/>
          <w:lang w:eastAsia="zh-CN"/>
        </w:rPr>
        <w:t>（格式自拟，</w:t>
      </w:r>
      <w:r>
        <w:rPr>
          <w:rFonts w:hint="eastAsia" w:ascii="宋体" w:hAnsi="宋体"/>
          <w:b w:val="0"/>
          <w:bCs w:val="0"/>
          <w:color w:val="auto"/>
          <w:sz w:val="24"/>
          <w:szCs w:val="24"/>
          <w:highlight w:val="none"/>
          <w:lang w:val="en-US" w:eastAsia="zh-CN"/>
        </w:rPr>
        <w:t>包括但不限于评标办法中要求的相关材料</w:t>
      </w:r>
      <w:r>
        <w:rPr>
          <w:rFonts w:hint="eastAsia" w:ascii="宋体" w:hAnsi="宋体"/>
          <w:b w:val="0"/>
          <w:bCs w:val="0"/>
          <w:color w:val="auto"/>
          <w:sz w:val="24"/>
          <w:szCs w:val="24"/>
          <w:highlight w:val="none"/>
          <w:lang w:eastAsia="zh-CN"/>
        </w:rPr>
        <w:t>）</w:t>
      </w:r>
    </w:p>
    <w:p>
      <w:pPr>
        <w:rPr>
          <w:rFonts w:ascii="宋体" w:hAnsi="宋体"/>
          <w:b/>
          <w:color w:val="auto"/>
          <w:szCs w:val="21"/>
          <w:highlight w:val="none"/>
        </w:rPr>
      </w:pPr>
      <w:r>
        <w:rPr>
          <w:rFonts w:hint="eastAsia" w:ascii="宋体" w:hAnsi="宋体"/>
          <w:b/>
          <w:color w:val="auto"/>
          <w:szCs w:val="21"/>
          <w:highlight w:val="none"/>
        </w:rPr>
        <w:t>附件：</w:t>
      </w:r>
    </w:p>
    <w:p>
      <w:pPr>
        <w:keepNext w:val="0"/>
        <w:keepLines w:val="0"/>
        <w:widowControl/>
        <w:shd w:val="clear" w:color="auto" w:fill="FFFFFF"/>
        <w:adjustRightInd w:val="0"/>
        <w:snapToGrid w:val="0"/>
        <w:spacing w:before="0" w:after="0" w:line="360" w:lineRule="auto"/>
        <w:jc w:val="center"/>
        <w:outlineLvl w:val="9"/>
        <w:rPr>
          <w:rFonts w:ascii="宋体" w:hAnsi="宋体" w:eastAsia="宋体" w:cs="宋体"/>
          <w:color w:val="auto"/>
          <w:spacing w:val="7"/>
          <w:sz w:val="21"/>
          <w:szCs w:val="21"/>
          <w:highlight w:val="none"/>
        </w:rPr>
      </w:pPr>
      <w:bookmarkStart w:id="198" w:name="_Toc63327628"/>
      <w:r>
        <w:rPr>
          <w:rStyle w:val="26"/>
          <w:rFonts w:hint="eastAsia" w:ascii="宋体" w:hAnsi="宋体" w:cs="宋体"/>
          <w:b w:val="0"/>
          <w:bCs w:val="0"/>
          <w:color w:val="auto"/>
          <w:spacing w:val="7"/>
          <w:sz w:val="21"/>
          <w:szCs w:val="21"/>
          <w:highlight w:val="none"/>
          <w:shd w:val="clear" w:color="auto" w:fill="FFFFFF"/>
        </w:rPr>
        <w:t>关于印发《政府采购促进中小企业发展管理办法》的通知</w:t>
      </w:r>
      <w:bookmarkEnd w:id="198"/>
    </w:p>
    <w:p>
      <w:pPr>
        <w:pStyle w:val="19"/>
        <w:shd w:val="clear" w:color="auto" w:fill="FFFFFF"/>
        <w:adjustRightInd w:val="0"/>
        <w:snapToGrid w:val="0"/>
        <w:spacing w:before="0" w:beforeAutospacing="0" w:after="0" w:afterAutospacing="0" w:line="360" w:lineRule="auto"/>
        <w:jc w:val="center"/>
        <w:rPr>
          <w:rStyle w:val="26"/>
          <w:rFonts w:ascii="宋体" w:hAnsi="宋体" w:cs="宋体"/>
          <w:color w:val="auto"/>
          <w:spacing w:val="7"/>
          <w:sz w:val="21"/>
          <w:szCs w:val="21"/>
          <w:highlight w:val="none"/>
          <w:shd w:val="clear" w:color="auto" w:fill="FFFFFF"/>
        </w:rPr>
      </w:pPr>
      <w:r>
        <w:rPr>
          <w:rStyle w:val="26"/>
          <w:rFonts w:hint="eastAsia" w:ascii="宋体" w:hAnsi="宋体" w:cs="宋体"/>
          <w:color w:val="auto"/>
          <w:spacing w:val="7"/>
          <w:sz w:val="21"/>
          <w:szCs w:val="21"/>
          <w:highlight w:val="none"/>
          <w:shd w:val="clear" w:color="auto" w:fill="FFFFFF"/>
        </w:rPr>
        <w:t>财库[2020]46号</w:t>
      </w:r>
    </w:p>
    <w:p>
      <w:pPr>
        <w:pStyle w:val="19"/>
        <w:shd w:val="clear" w:color="auto" w:fill="FFFFFF"/>
        <w:adjustRightInd w:val="0"/>
        <w:snapToGrid w:val="0"/>
        <w:spacing w:before="0" w:beforeAutospacing="0" w:after="0" w:afterAutospacing="0" w:line="276" w:lineRule="auto"/>
        <w:jc w:val="both"/>
        <w:rPr>
          <w:rFonts w:cs="宋体"/>
          <w:color w:val="auto"/>
          <w:spacing w:val="7"/>
          <w:sz w:val="21"/>
          <w:szCs w:val="21"/>
          <w:highlight w:val="none"/>
        </w:rPr>
      </w:pPr>
      <w:r>
        <w:rPr>
          <w:rFonts w:hint="eastAsia" w:cs="宋体"/>
          <w:color w:val="auto"/>
          <w:spacing w:val="7"/>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pPr>
        <w:pStyle w:val="19"/>
        <w:shd w:val="clear" w:color="auto" w:fill="FFFFFF"/>
        <w:adjustRightInd w:val="0"/>
        <w:snapToGrid w:val="0"/>
        <w:spacing w:before="0" w:beforeAutospacing="0" w:after="0" w:afterAutospacing="0" w:line="276" w:lineRule="auto"/>
        <w:jc w:val="both"/>
        <w:rPr>
          <w:rFonts w:cs="宋体"/>
          <w:color w:val="auto"/>
          <w:spacing w:val="7"/>
          <w:sz w:val="21"/>
          <w:szCs w:val="21"/>
          <w:highlight w:val="none"/>
        </w:rPr>
      </w:pPr>
      <w:r>
        <w:rPr>
          <w:rFonts w:hint="eastAsia" w:cs="宋体"/>
          <w:color w:val="auto"/>
          <w:spacing w:val="7"/>
          <w:sz w:val="21"/>
          <w:szCs w:val="21"/>
          <w:highlight w:val="none"/>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19"/>
        <w:shd w:val="clear" w:color="auto" w:fill="FFFFFF"/>
        <w:adjustRightInd w:val="0"/>
        <w:snapToGrid w:val="0"/>
        <w:spacing w:before="0" w:beforeAutospacing="0" w:after="0" w:afterAutospacing="0" w:line="276" w:lineRule="auto"/>
        <w:jc w:val="both"/>
        <w:rPr>
          <w:rFonts w:cs="宋体"/>
          <w:color w:val="auto"/>
          <w:spacing w:val="7"/>
          <w:sz w:val="21"/>
          <w:szCs w:val="21"/>
          <w:highlight w:val="none"/>
        </w:rPr>
      </w:pPr>
      <w:r>
        <w:rPr>
          <w:rFonts w:hint="eastAsia" w:cs="宋体"/>
          <w:color w:val="auto"/>
          <w:spacing w:val="7"/>
          <w:sz w:val="21"/>
          <w:szCs w:val="21"/>
          <w:highlight w:val="none"/>
          <w:shd w:val="clear" w:color="auto" w:fill="FFFFFF"/>
        </w:rPr>
        <w:t>附件：政府采购促进中小企业发展管理办法</w:t>
      </w:r>
    </w:p>
    <w:p>
      <w:pPr>
        <w:pStyle w:val="19"/>
        <w:shd w:val="clear" w:color="auto" w:fill="FFFFFF"/>
        <w:adjustRightInd w:val="0"/>
        <w:snapToGrid w:val="0"/>
        <w:spacing w:before="0" w:beforeAutospacing="0" w:after="0" w:afterAutospacing="0" w:line="360" w:lineRule="auto"/>
        <w:jc w:val="right"/>
        <w:rPr>
          <w:rFonts w:cs="宋体"/>
          <w:color w:val="auto"/>
          <w:spacing w:val="7"/>
          <w:sz w:val="21"/>
          <w:szCs w:val="21"/>
          <w:highlight w:val="none"/>
        </w:rPr>
      </w:pPr>
      <w:r>
        <w:rPr>
          <w:rFonts w:hint="eastAsia" w:cs="宋体"/>
          <w:color w:val="auto"/>
          <w:spacing w:val="7"/>
          <w:sz w:val="21"/>
          <w:szCs w:val="21"/>
          <w:highlight w:val="none"/>
          <w:shd w:val="clear" w:color="auto" w:fill="FFFFFF"/>
        </w:rPr>
        <w:t> 财  政  部</w:t>
      </w:r>
    </w:p>
    <w:p>
      <w:pPr>
        <w:pStyle w:val="19"/>
        <w:shd w:val="clear" w:color="auto" w:fill="FFFFFF"/>
        <w:adjustRightInd w:val="0"/>
        <w:snapToGrid w:val="0"/>
        <w:spacing w:before="0" w:beforeAutospacing="0" w:after="0" w:afterAutospacing="0" w:line="360" w:lineRule="auto"/>
        <w:jc w:val="right"/>
        <w:rPr>
          <w:rFonts w:cs="宋体"/>
          <w:color w:val="auto"/>
          <w:spacing w:val="7"/>
          <w:sz w:val="21"/>
          <w:szCs w:val="21"/>
          <w:highlight w:val="none"/>
        </w:rPr>
      </w:pPr>
      <w:r>
        <w:rPr>
          <w:rFonts w:hint="eastAsia" w:cs="宋体"/>
          <w:color w:val="auto"/>
          <w:spacing w:val="7"/>
          <w:sz w:val="21"/>
          <w:szCs w:val="21"/>
          <w:highlight w:val="none"/>
          <w:shd w:val="clear" w:color="auto" w:fill="FFFFFF"/>
        </w:rPr>
        <w:t>工业和信息化部</w:t>
      </w:r>
    </w:p>
    <w:p>
      <w:pPr>
        <w:pStyle w:val="19"/>
        <w:shd w:val="clear" w:color="auto" w:fill="FFFFFF"/>
        <w:adjustRightInd w:val="0"/>
        <w:snapToGrid w:val="0"/>
        <w:spacing w:before="0" w:beforeAutospacing="0" w:after="0" w:afterAutospacing="0" w:line="360" w:lineRule="auto"/>
        <w:jc w:val="right"/>
        <w:rPr>
          <w:rFonts w:cs="宋体"/>
          <w:color w:val="auto"/>
          <w:spacing w:val="7"/>
          <w:sz w:val="21"/>
          <w:szCs w:val="21"/>
          <w:highlight w:val="none"/>
        </w:rPr>
      </w:pPr>
      <w:r>
        <w:rPr>
          <w:rFonts w:hint="eastAsia" w:cs="宋体"/>
          <w:color w:val="auto"/>
          <w:spacing w:val="7"/>
          <w:sz w:val="21"/>
          <w:szCs w:val="21"/>
          <w:highlight w:val="none"/>
          <w:shd w:val="clear" w:color="auto" w:fill="FFFFFF"/>
        </w:rPr>
        <w:t>2020年12月18日</w:t>
      </w:r>
    </w:p>
    <w:p>
      <w:pPr>
        <w:keepNext w:val="0"/>
        <w:keepLines w:val="0"/>
        <w:widowControl/>
        <w:shd w:val="clear" w:color="auto" w:fill="FFFFFF"/>
        <w:adjustRightInd w:val="0"/>
        <w:snapToGrid w:val="0"/>
        <w:spacing w:before="0" w:after="0" w:line="360" w:lineRule="auto"/>
        <w:jc w:val="center"/>
        <w:outlineLvl w:val="9"/>
        <w:rPr>
          <w:rStyle w:val="26"/>
          <w:rFonts w:ascii="宋体" w:hAnsi="宋体" w:cs="宋体"/>
          <w:b w:val="0"/>
          <w:bCs w:val="0"/>
          <w:color w:val="auto"/>
          <w:spacing w:val="7"/>
          <w:sz w:val="21"/>
          <w:szCs w:val="21"/>
          <w:highlight w:val="none"/>
          <w:shd w:val="clear" w:color="auto" w:fill="FFFFFF"/>
        </w:rPr>
      </w:pPr>
      <w:bookmarkStart w:id="199" w:name="_Toc63327629"/>
      <w:r>
        <w:rPr>
          <w:rStyle w:val="26"/>
          <w:rFonts w:hint="eastAsia" w:ascii="宋体" w:hAnsi="宋体" w:cs="宋体"/>
          <w:b w:val="0"/>
          <w:bCs w:val="0"/>
          <w:color w:val="auto"/>
          <w:spacing w:val="7"/>
          <w:sz w:val="21"/>
          <w:szCs w:val="21"/>
          <w:highlight w:val="none"/>
          <w:shd w:val="clear" w:color="auto" w:fill="FFFFFF"/>
        </w:rPr>
        <w:t>政府采购促进中小企业发展管理办法</w:t>
      </w:r>
      <w:bookmarkEnd w:id="199"/>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第一条　</w:t>
      </w:r>
      <w:r>
        <w:rPr>
          <w:rFonts w:hint="eastAsia" w:cs="宋体"/>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第二条　</w:t>
      </w:r>
      <w:r>
        <w:rPr>
          <w:rFonts w:hint="eastAsia" w:cs="宋体"/>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符合中小企业划分标准的个体工商户，在政府采购活动中视同中小企业。</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第三条　</w:t>
      </w:r>
      <w:r>
        <w:rPr>
          <w:rFonts w:hint="eastAsia" w:cs="宋体"/>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第四条　</w:t>
      </w:r>
      <w:r>
        <w:rPr>
          <w:rFonts w:hint="eastAsia" w:cs="宋体"/>
          <w:color w:val="auto"/>
          <w:spacing w:val="7"/>
          <w:sz w:val="21"/>
          <w:szCs w:val="21"/>
          <w:highlight w:val="none"/>
        </w:rPr>
        <w:t>在政府采购活动中，供应商提供的货物、工程或者服务符合下列情形的，享受本办法规定的中小企业扶持政策：</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（一）在货物采购项目中，货物由中小企业制造，即货物由中小企业生产且使用该中小企业商号或者注册商标；</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（二）在工程采购项目中，工程由中小企业承建，即工程施工单位为中小企业；</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（三）在服务采购项目中，服务由中小企业承接，即提供服务的人员为中小企业依照《中华人民共和国劳动合同法》订立劳动合同的从业人员。</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在货物采购项目中，供应商提供的货物既有中小企业制造货物，也有大型企业制造货物的，不享受本办法规定的中小企业扶持政策。</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第五条　</w:t>
      </w:r>
      <w:r>
        <w:rPr>
          <w:rFonts w:hint="eastAsia" w:cs="宋体"/>
          <w:color w:val="auto"/>
          <w:spacing w:val="7"/>
          <w:sz w:val="21"/>
          <w:szCs w:val="21"/>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第六条</w:t>
      </w:r>
      <w:r>
        <w:rPr>
          <w:rFonts w:hint="eastAsia" w:cs="宋体"/>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符合下列情形之一的，可不专门面向中小企业预留采购份额：</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（一）法律法规和国家有关政策明确规定优先或者应当面向事业单位、社会组织等非企业主体采购的；</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（二）因确需使用不可替代的专利、专有技术，基础设施限制，或者提供特定公共服务等原因，只能从中小企业之外的供应商处采购的；</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（三）按照本办法规定预留采购份额无法确保充分供应、充分竞争，或者存在可能影响政府采购目标实现的情形；</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（四）框架协议采购项目；</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（五）省级以上人民政府财政部门规定的其他情形。</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除上述情形外，其他均为适宜由中小企业提供的情形。</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第七条　</w:t>
      </w:r>
      <w:r>
        <w:rPr>
          <w:rFonts w:hint="eastAsia" w:cs="宋体"/>
          <w:color w:val="auto"/>
          <w:spacing w:val="7"/>
          <w:sz w:val="21"/>
          <w:szCs w:val="21"/>
          <w:highlight w:val="none"/>
        </w:rPr>
        <w:t>采购限额标准以上，200万元以下的货物和服务采购项目、400万元以下的工程采购项目，适宜由中小企业提供的，采购人应当专门面向中小企业采购。</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第八条</w:t>
      </w:r>
      <w:r>
        <w:rPr>
          <w:rFonts w:hint="eastAsia" w:cs="宋体"/>
          <w:color w:val="auto"/>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（一）将采购项目整体或者设置采购包专门面向中小企业采购；</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（二）要求供应商以联合体形式参加采购活动，且联合体中中小企业承担的部分达到一定比例；</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（三）要求获得采购合同的供应商将采购项目中的一定比例分包给一家或者多家中小企业。</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组成联合体或者接受分包合同的中小企业与联合体内其他企业、分包企业之间不得存在直接控股、管理关系。</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第九条　</w:t>
      </w:r>
      <w:r>
        <w:rPr>
          <w:rFonts w:hint="eastAsia" w:cs="宋体"/>
          <w:color w:val="auto"/>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第十条　</w:t>
      </w:r>
      <w:r>
        <w:rPr>
          <w:rFonts w:hint="eastAsia" w:cs="宋体"/>
          <w:color w:val="auto"/>
          <w:spacing w:val="7"/>
          <w:sz w:val="21"/>
          <w:szCs w:val="21"/>
          <w:highlight w:val="none"/>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第十一条　</w:t>
      </w:r>
      <w:r>
        <w:rPr>
          <w:rFonts w:hint="eastAsia" w:cs="宋体"/>
          <w:color w:val="auto"/>
          <w:spacing w:val="7"/>
          <w:sz w:val="21"/>
          <w:szCs w:val="21"/>
          <w:highlight w:val="none"/>
        </w:rPr>
        <w:t>中小企业参加政府采购活动，应当出具本办法规定的《中小企业声明函》（附1），否则不得享受相关中小企业扶持政策。任何单位和个人不得要求供应商提供《中小企业声明函》之外的中小企业身份证明文件。</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Style w:val="26"/>
          <w:rFonts w:hint="eastAsia" w:ascii="宋体" w:hAnsi="宋体" w:cs="宋体"/>
          <w:color w:val="auto"/>
          <w:spacing w:val="7"/>
          <w:sz w:val="21"/>
          <w:szCs w:val="21"/>
          <w:highlight w:val="none"/>
        </w:rPr>
        <w:t>第十二条　</w:t>
      </w:r>
      <w:r>
        <w:rPr>
          <w:rFonts w:hint="eastAsia" w:cs="宋体"/>
          <w:color w:val="auto"/>
          <w:spacing w:val="7"/>
          <w:sz w:val="21"/>
          <w:szCs w:val="21"/>
          <w:highlight w:val="none"/>
        </w:rPr>
        <w:t>采购项目涉及中小企业采购的，采购文件应当明确以下内容：</w:t>
      </w:r>
    </w:p>
    <w:p>
      <w:pPr>
        <w:pStyle w:val="19"/>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（一）预留份额的采购项目或者采购包，明确该项目或相关采购包专门面向中小企业采购，以及相关标的及预算金额；</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（二）要求以联合体形式参加或者合同分包的，明确联合协议或者分包意向协议中中小企业合同金额应当达到的比例，并作为供应商资格条件；</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（三）非预留份额的采购项目或者采购包，明确有关价格扣除比例或者价格分加分比例；</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（四）规定依据本办法规定享受扶持政策获得政府采购合同的，小微企业不得将合同分包给大中型企业，中型企业不得将合同分包给大型企业；</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（五）采购人认为具备相关条件的，明确对中小企业在资金支付期限、预付款比例等方面的优惠措施；</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（六）明确采购标的对应的中小企业划分标准所属行业；</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（七）法律法规和省级以上人民政府财政部门规定的其他事项。</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第十三条　</w:t>
      </w:r>
      <w:r>
        <w:rPr>
          <w:rFonts w:hint="eastAsia" w:cs="宋体"/>
          <w:color w:val="auto"/>
          <w:spacing w:val="7"/>
          <w:sz w:val="21"/>
          <w:szCs w:val="21"/>
          <w:highlight w:val="none"/>
        </w:rPr>
        <w:t>中标、成交供应商享受本办法规定的中小企业扶持政策的，采购人、采购代理机构应当随中标、成交结果公开中标、成交供应商的《中小企业声明函》。</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适用招标投标法的政府采购工程建设项目，应当在公示中标候选人时公开中标候选人的《中小企业声明函》。</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第十四条</w:t>
      </w:r>
      <w:r>
        <w:rPr>
          <w:rFonts w:hint="eastAsia" w:cs="宋体"/>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第十五条　</w:t>
      </w:r>
      <w:r>
        <w:rPr>
          <w:rFonts w:hint="eastAsia" w:cs="宋体"/>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第十六条　</w:t>
      </w:r>
      <w:r>
        <w:rPr>
          <w:rFonts w:hint="eastAsia" w:cs="宋体"/>
          <w:color w:val="auto"/>
          <w:spacing w:val="7"/>
          <w:sz w:val="21"/>
          <w:szCs w:val="21"/>
          <w:highlight w:val="none"/>
        </w:rPr>
        <w:t>政府采购监督检查、投诉处理及政府采购行政处罚中对中小企业的认定，由货物制造商或者工程、服务供应商注册登记所在地的县级以上人民政府中小企业主管部门负责。</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中小企业主管部门应当在收到财政部门或者有关招标投标行政监督部门关于协助开展中小企业认定函后10个工作日内做出书面答复。</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第十七条　</w:t>
      </w:r>
      <w:r>
        <w:rPr>
          <w:rFonts w:hint="eastAsia" w:cs="宋体"/>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第十八条　</w:t>
      </w:r>
      <w:r>
        <w:rPr>
          <w:rFonts w:hint="eastAsia" w:cs="宋体"/>
          <w:color w:val="auto"/>
          <w:spacing w:val="7"/>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第十九条</w:t>
      </w:r>
      <w:r>
        <w:rPr>
          <w:rFonts w:hint="eastAsia" w:cs="宋体"/>
          <w:color w:val="auto"/>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第二十条</w:t>
      </w:r>
      <w:r>
        <w:rPr>
          <w:rFonts w:hint="eastAsia" w:cs="宋体"/>
          <w:color w:val="auto"/>
          <w:spacing w:val="7"/>
          <w:sz w:val="21"/>
          <w:szCs w:val="21"/>
          <w:highlight w:val="none"/>
        </w:rPr>
        <w:t>　供应商按照本办法规定提供声明函内容不实的，属于提供虚假材料谋取中标、成交，依照《中华人民共和国政府采购法》等国家有关规定追究相应责任。</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第二十一条　</w:t>
      </w:r>
      <w:r>
        <w:rPr>
          <w:rFonts w:hint="eastAsia" w:cs="宋体"/>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第二十二条</w:t>
      </w:r>
      <w:r>
        <w:rPr>
          <w:rFonts w:hint="eastAsia" w:cs="宋体"/>
          <w:color w:val="auto"/>
          <w:spacing w:val="7"/>
          <w:sz w:val="21"/>
          <w:szCs w:val="21"/>
          <w:highlight w:val="none"/>
        </w:rPr>
        <w:t>　对外援助项目、国家相关资格或者资质管理制度另有规定的项目，不适用本办法。</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第二十三条　</w:t>
      </w:r>
      <w:r>
        <w:rPr>
          <w:rFonts w:hint="eastAsia" w:cs="宋体"/>
          <w:color w:val="auto"/>
          <w:spacing w:val="7"/>
          <w:sz w:val="21"/>
          <w:szCs w:val="21"/>
          <w:highlight w:val="none"/>
        </w:rPr>
        <w:t>关于视同中小企业的其他主体的政府采购扶持政策，由财政部会同有关部门另行规定。</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第二十四条</w:t>
      </w:r>
      <w:r>
        <w:rPr>
          <w:rFonts w:hint="eastAsia" w:cs="宋体"/>
          <w:color w:val="auto"/>
          <w:spacing w:val="7"/>
          <w:sz w:val="21"/>
          <w:szCs w:val="21"/>
          <w:highlight w:val="none"/>
        </w:rPr>
        <w:t>　省级财政部门可以会同中小企业主管部门根据本办法的规定制定具体实施办法。</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第二十五条</w:t>
      </w:r>
      <w:r>
        <w:rPr>
          <w:rFonts w:hint="eastAsia" w:cs="宋体"/>
          <w:color w:val="auto"/>
          <w:spacing w:val="7"/>
          <w:sz w:val="21"/>
          <w:szCs w:val="21"/>
          <w:highlight w:val="none"/>
        </w:rPr>
        <w:t>　本办法自2021年1月1日起施行。《财政部工业和信息化部关于印发〈政府采购促进中小企业发展暂行办法〉的通知》（财库﹝2011﹞181号）同时废止。</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6"/>
          <w:rFonts w:hint="eastAsia" w:ascii="宋体" w:hAnsi="宋体" w:cs="宋体"/>
          <w:color w:val="auto"/>
          <w:spacing w:val="7"/>
          <w:sz w:val="21"/>
          <w:szCs w:val="21"/>
          <w:highlight w:val="none"/>
        </w:rPr>
        <w:t>附：</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1.中小企业声明函</w:t>
      </w:r>
    </w:p>
    <w:p>
      <w:pPr>
        <w:pStyle w:val="19"/>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2.面向中小企业预留项目执行情况公告</w:t>
      </w:r>
    </w:p>
    <w:p>
      <w:pPr>
        <w:adjustRightInd w:val="0"/>
        <w:snapToGrid w:val="0"/>
        <w:spacing w:line="300" w:lineRule="auto"/>
        <w:rPr>
          <w:rFonts w:ascii="宋体" w:hAnsi="宋体" w:cs="宋体"/>
          <w:color w:val="auto"/>
          <w:szCs w:val="21"/>
          <w:highlight w:val="none"/>
        </w:rPr>
        <w:sectPr>
          <w:footerReference r:id="rId18" w:type="default"/>
          <w:pgSz w:w="11910" w:h="16840"/>
          <w:pgMar w:top="1440" w:right="1080" w:bottom="1440" w:left="1080" w:header="0" w:footer="1329" w:gutter="0"/>
          <w:pgBorders>
            <w:top w:val="none" w:sz="0" w:space="0"/>
            <w:left w:val="none" w:sz="0" w:space="0"/>
            <w:bottom w:val="none" w:sz="0" w:space="0"/>
            <w:right w:val="none" w:sz="0" w:space="0"/>
          </w:pgBorders>
          <w:pgNumType w:fmt="decimal"/>
          <w:cols w:space="720" w:num="1"/>
        </w:sectPr>
      </w:pPr>
      <w:r>
        <w:rPr>
          <w:rFonts w:ascii="宋体" w:hAnsi="宋体" w:cs="宋体"/>
          <w:color w:val="auto"/>
          <w:szCs w:val="21"/>
          <w:highlight w:val="none"/>
        </w:rPr>
        <mc:AlternateContent>
          <mc:Choice Requires="wps">
            <w:drawing>
              <wp:inline distT="0" distB="0" distL="114300" distR="11430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8yWdNIAAAADAQAADwAAAAAAAAABACAAAAAiAAAAZHJzL2Rvd25yZXYueG1sUEsBAhQAFAAA&#10;AAgAh07iQJOw5CH1AQAA2gMAAA4AAAAAAAAAAQAgAAAAIQEAAGRycy9lMm9Eb2MueG1sUEsFBgAA&#10;AAAGAAYAWQEAAIgFAAAAAA==&#10;">
                <v:fill on="f" focussize="0,0"/>
                <v:stroke on="f"/>
                <v:imagedata o:title=""/>
                <o:lock v:ext="edit" aspectratio="t"/>
                <v:textbox>
                  <w:txbxContent>
                    <w:p/>
                  </w:txbxContent>
                </v:textbox>
                <w10:wrap type="none"/>
                <w10:anchorlock/>
              </v:rect>
            </w:pict>
          </mc:Fallback>
        </mc:AlternateContent>
      </w:r>
    </w:p>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关于印发《吉林省强化政府采购政策支持中小企业发展落实举措》</w:t>
      </w:r>
    </w:p>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的通知</w:t>
      </w:r>
    </w:p>
    <w:p>
      <w:pPr>
        <w:pStyle w:val="10"/>
        <w:spacing w:line="360" w:lineRule="auto"/>
        <w:ind w:left="63" w:right="63" w:firstLine="482"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吉财采购〔2022〕478号</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各省级主管预算单位，各市（州）、县（市、区）财政局，长白山管委会、长春新区、中韩（长春）国际合作示范区管委会财政局，各政府采购代理机构：</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现将《吉林省强化政府采购政策支持中小企业发展落实举措》印发给你们，请遵照执行。</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附件：吉林省强化政府采购政策支持中小企业发展落实举措</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rPr>
      </w:pPr>
      <w:r>
        <w:rPr>
          <w:rFonts w:hint="eastAsia" w:cs="宋体"/>
          <w:color w:val="auto"/>
          <w:sz w:val="21"/>
          <w:szCs w:val="21"/>
          <w:highlight w:val="none"/>
        </w:rPr>
        <w:t> </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吉林省财政厅</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2022年6月6日</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吉林省强化政府采购政策支持中小企业发展落实举措</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 </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一、强化政策落实支持中小企业发展</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 </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二、提高政府采购项目价格评审优惠幅度</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三、提高政府采购工程项目预留份额比例</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四、降低经营成本提高履约能力</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五、优化政府采购程序推进全流程电子化</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六、加强项目执行管理提升政府采购透明度</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lang w:eastAsia="zh-CN"/>
        </w:rPr>
      </w:pPr>
      <w:r>
        <w:rPr>
          <w:rFonts w:hint="eastAsia" w:cs="宋体"/>
          <w:color w:val="auto"/>
          <w:sz w:val="21"/>
          <w:szCs w:val="21"/>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pPr>
        <w:pStyle w:val="19"/>
        <w:adjustRightInd w:val="0"/>
        <w:snapToGrid w:val="0"/>
        <w:spacing w:before="0" w:beforeAutospacing="0" w:after="0" w:afterAutospacing="0" w:line="340" w:lineRule="exact"/>
        <w:ind w:firstLine="420" w:firstLineChars="200"/>
        <w:jc w:val="both"/>
        <w:rPr>
          <w:rFonts w:hint="eastAsia" w:cs="宋体"/>
          <w:color w:val="auto"/>
          <w:sz w:val="21"/>
          <w:szCs w:val="21"/>
          <w:highlight w:val="none"/>
        </w:rPr>
        <w:sectPr>
          <w:footerReference r:id="rId19" w:type="default"/>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ind w:firstLine="487" w:firstLineChars="202"/>
        <w:jc w:val="center"/>
        <w:rPr>
          <w:rFonts w:ascii="宋体" w:hAnsi="宋体"/>
          <w:b/>
          <w:color w:val="auto"/>
          <w:sz w:val="24"/>
          <w:highlight w:val="none"/>
        </w:rPr>
      </w:pPr>
      <w:r>
        <w:rPr>
          <w:rFonts w:hint="eastAsia" w:ascii="宋体" w:hAnsi="宋体"/>
          <w:b/>
          <w:color w:val="auto"/>
          <w:sz w:val="24"/>
          <w:highlight w:val="none"/>
        </w:rPr>
        <w:t>关于促进残疾人就业政府采购政策的通知</w:t>
      </w:r>
    </w:p>
    <w:p>
      <w:pPr>
        <w:pStyle w:val="19"/>
        <w:spacing w:before="0" w:beforeAutospacing="0" w:after="0" w:afterAutospacing="0" w:line="360" w:lineRule="auto"/>
        <w:ind w:firstLine="480" w:firstLineChars="200"/>
        <w:jc w:val="center"/>
        <w:rPr>
          <w:b/>
          <w:color w:val="auto"/>
          <w:kern w:val="2"/>
          <w:szCs w:val="24"/>
          <w:highlight w:val="none"/>
        </w:rPr>
      </w:pPr>
      <w:bookmarkStart w:id="200" w:name="sendNo"/>
      <w:r>
        <w:rPr>
          <w:rFonts w:hint="eastAsia"/>
          <w:color w:val="auto"/>
          <w:kern w:val="2"/>
          <w:highlight w:val="none"/>
        </w:rPr>
        <w:t>财库〔</w:t>
      </w:r>
      <w:bookmarkEnd w:id="200"/>
      <w:r>
        <w:rPr>
          <w:rFonts w:hint="eastAsia"/>
          <w:color w:val="auto"/>
          <w:kern w:val="2"/>
          <w:highlight w:val="none"/>
        </w:rPr>
        <w:t>2017〕141号</w:t>
      </w:r>
    </w:p>
    <w:p>
      <w:pPr>
        <w:pStyle w:val="19"/>
        <w:spacing w:before="0" w:beforeAutospacing="0" w:after="0" w:afterAutospacing="0" w:line="360" w:lineRule="auto"/>
        <w:ind w:firstLine="420" w:firstLineChars="200"/>
        <w:jc w:val="both"/>
        <w:rPr>
          <w:rFonts w:cs="宋体"/>
          <w:color w:val="auto"/>
          <w:sz w:val="21"/>
          <w:szCs w:val="21"/>
          <w:highlight w:val="none"/>
        </w:rPr>
      </w:pPr>
      <w:bookmarkStart w:id="201" w:name="toDeptId"/>
      <w:r>
        <w:rPr>
          <w:rFonts w:hint="eastAsia" w:cs="宋体"/>
          <w:color w:val="auto"/>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01"/>
      <w:r>
        <w:rPr>
          <w:rFonts w:hint="eastAsia" w:cs="宋体"/>
          <w:color w:val="auto"/>
          <w:sz w:val="21"/>
          <w:szCs w:val="21"/>
          <w:highlight w:val="none"/>
          <w:shd w:val="clear" w:color="auto" w:fill="FFFFFF"/>
        </w:rPr>
        <w:t>：</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为了发挥政府采购促进残疾人就业的作用，进一步保障残疾人权益，依照《政府采购法》、《残疾人保障法》等法律法规及相关规定，现就促进残疾人就业政府采购政策通知如下：</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一、享受政府采购支持政策的残疾人福利性单位应当同时满足以下条件：</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（一）安置的残疾人占本单位在职职工人数的比例不低于25%（含25%），并且安置的残疾人人数不少于10人（含10人）；</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（二）依法与安置的每位残疾人签订了一年以上（含一年）的劳动合同或服务协议；</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（三）为安置的每位残疾人按月足额缴纳了基本养老保险、基本医疗保险、失业保险、工伤保险和生育保险等社会保险费；</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（四）通过银行等金融机构向安置的每位残疾人，按月支付了不低于单位所在区县适用的经省级人民政府批准的月最低工资标准的工资；</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（五）提供本单位制造的货物、承担的工程或者服务（以下简称产品），或者提供其他残疾人福利性单位制造的货物（不包括使用非残疾人福利性单位注册商标的货物）。</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中标、成交供应商为残疾人福利性单位的，采购人或者其委托的采购代理机构应当随中标、成交结果同时公告其《残疾人福利性单位声明函》，接受社会监督。</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供应商提供的《残疾人福利性单位声明函》与事实不符的，依照《政府采购法》第七十七条第一款的规定追究法律责任。</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四、采购人采购公开招标数额标准以上的货物或者服务，因落实促进残疾人就业政策的需要，依法履行有关报批程序后，可采用公开招标以外的采购方式。</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pacing w:before="0" w:beforeAutospacing="0" w:after="0" w:afterAutospacing="0" w:line="360" w:lineRule="auto"/>
        <w:ind w:firstLine="420" w:firstLineChars="200"/>
        <w:jc w:val="both"/>
        <w:rPr>
          <w:rFonts w:cs="宋体"/>
          <w:color w:val="auto"/>
          <w:sz w:val="21"/>
          <w:szCs w:val="21"/>
          <w:highlight w:val="none"/>
        </w:rPr>
      </w:pPr>
      <w:r>
        <w:rPr>
          <w:rFonts w:hint="eastAsia" w:cs="宋体"/>
          <w:color w:val="auto"/>
          <w:sz w:val="21"/>
          <w:szCs w:val="21"/>
          <w:highlight w:val="none"/>
          <w:shd w:val="clear" w:color="auto" w:fill="FFFFFF"/>
        </w:rPr>
        <w:t>七、本通知自2017年10月1日起执行。</w:t>
      </w:r>
    </w:p>
    <w:p>
      <w:pPr>
        <w:pStyle w:val="19"/>
        <w:spacing w:before="0" w:beforeAutospacing="0" w:after="0" w:afterAutospacing="0" w:line="360" w:lineRule="auto"/>
        <w:ind w:firstLine="420" w:firstLineChars="200"/>
        <w:jc w:val="right"/>
        <w:rPr>
          <w:rFonts w:cs="宋体"/>
          <w:color w:val="auto"/>
          <w:sz w:val="21"/>
          <w:szCs w:val="21"/>
          <w:highlight w:val="none"/>
        </w:rPr>
      </w:pPr>
      <w:r>
        <w:rPr>
          <w:rFonts w:hint="eastAsia" w:cs="宋体"/>
          <w:color w:val="auto"/>
          <w:sz w:val="21"/>
          <w:szCs w:val="21"/>
          <w:highlight w:val="none"/>
          <w:shd w:val="clear" w:color="auto" w:fill="FFFFFF"/>
        </w:rPr>
        <w:t>财政部民政部中国残疾人联合会</w:t>
      </w:r>
    </w:p>
    <w:p>
      <w:pPr>
        <w:spacing w:line="312" w:lineRule="auto"/>
        <w:jc w:val="center"/>
        <w:rPr>
          <w:rFonts w:ascii="宋体" w:hAnsi="宋体" w:cs="宋体"/>
          <w:b/>
          <w:color w:val="auto"/>
          <w:sz w:val="24"/>
          <w:highlight w:val="none"/>
        </w:rPr>
      </w:pPr>
      <w:r>
        <w:rPr>
          <w:rFonts w:ascii="宋体" w:hAnsi="宋体"/>
          <w:b/>
          <w:color w:val="auto"/>
          <w:sz w:val="24"/>
          <w:highlight w:val="none"/>
        </w:rPr>
        <w:br w:type="page"/>
      </w:r>
      <w:r>
        <w:rPr>
          <w:rFonts w:hint="eastAsia" w:ascii="宋体" w:hAnsi="宋体" w:cs="宋体"/>
          <w:b/>
          <w:color w:val="auto"/>
          <w:sz w:val="24"/>
          <w:highlight w:val="none"/>
        </w:rPr>
        <w:t>财政部司法部关于政府采购支持监狱企业发展有关问题的通知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财库〔2014〕68号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四、各地区可以结合本地区实际，对监狱企业生产的办公用品、家具用具、车辆维修和提供的保养服务、消防设备等，提出预留份额等政府采购支持措施，加大对监狱企业产品的采购力度。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中华人民共和国财政部</w:t>
      </w:r>
    </w:p>
    <w:p>
      <w:pPr>
        <w:spacing w:line="360" w:lineRule="auto"/>
        <w:jc w:val="right"/>
        <w:rPr>
          <w:rFonts w:hint="eastAsia" w:ascii="宋体" w:hAnsi="宋体"/>
          <w:b/>
          <w:color w:val="auto"/>
          <w:sz w:val="30"/>
          <w:szCs w:val="30"/>
          <w:highlight w:val="none"/>
        </w:rPr>
        <w:sectPr>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highlight w:val="none"/>
        </w:rPr>
        <w:t>中华人民共和国司法部</w:t>
      </w:r>
    </w:p>
    <w:p>
      <w:pPr>
        <w:ind w:left="-48" w:leftChars="-23" w:right="-65" w:rightChars="-31"/>
        <w:jc w:val="center"/>
        <w:rPr>
          <w:rFonts w:ascii="宋体" w:hAnsi="宋体"/>
          <w:b/>
          <w:color w:val="auto"/>
          <w:sz w:val="28"/>
          <w:szCs w:val="28"/>
          <w:highlight w:val="none"/>
        </w:rPr>
      </w:pPr>
      <w:r>
        <w:rPr>
          <w:rFonts w:hint="eastAsia" w:ascii="宋体" w:hAnsi="宋体"/>
          <w:b/>
          <w:color w:val="auto"/>
          <w:sz w:val="28"/>
          <w:szCs w:val="28"/>
          <w:highlight w:val="none"/>
        </w:rPr>
        <w:t>中小企业划型标准</w:t>
      </w:r>
    </w:p>
    <w:tbl>
      <w:tblPr>
        <w:tblStyle w:val="23"/>
        <w:tblW w:w="1447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1494"/>
        <w:gridCol w:w="994"/>
        <w:gridCol w:w="1846"/>
        <w:gridCol w:w="2904"/>
        <w:gridCol w:w="2668"/>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行业名称</w:t>
            </w:r>
          </w:p>
        </w:tc>
        <w:tc>
          <w:tcPr>
            <w:tcW w:w="1494" w:type="dxa"/>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指标名称</w:t>
            </w:r>
          </w:p>
        </w:tc>
        <w:tc>
          <w:tcPr>
            <w:tcW w:w="994" w:type="dxa"/>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计量单位</w:t>
            </w:r>
          </w:p>
        </w:tc>
        <w:tc>
          <w:tcPr>
            <w:tcW w:w="1846" w:type="dxa"/>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大型</w:t>
            </w:r>
          </w:p>
        </w:tc>
        <w:tc>
          <w:tcPr>
            <w:tcW w:w="2904" w:type="dxa"/>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w:t>
            </w:r>
          </w:p>
        </w:tc>
        <w:tc>
          <w:tcPr>
            <w:tcW w:w="2668" w:type="dxa"/>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w:t>
            </w:r>
          </w:p>
        </w:tc>
        <w:tc>
          <w:tcPr>
            <w:tcW w:w="2089" w:type="dxa"/>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农、林、牧、渔业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500≤Y＜20000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50≤Y＜500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工业 *</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2000≤Y＜40000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300≤Y＜2000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建筑业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Y≥80000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6000≤Y＜80000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300≤Y＜6000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Z≥80000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5000≤Z＜80000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300≤Z＜5000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批发业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20≤X＜200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5≤X＜20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Y≥40000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5000≤Y＜40000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零售业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50≤X＜300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10≤X＜50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500≤Y＜20000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100≤Y＜500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交通运输业 *</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3000≤Y＜30000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200≤Y＜3000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仓储业*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20≤X＜100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1000≤Y＜30000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邮政业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20≤X＜300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Y≥30000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2000≤Y＜30000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住宿业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餐饮业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2000≤Y＜10000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100≤Y＜2000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信息传输业 *</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X≥2000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100≤X＜2000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软件和信息技术服务业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1000≤Y＜10000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50≤Y＜1000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房地产开发经营</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Y≥200000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1000≤Y＜200000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100≤Y＜1000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5000≤Z＜10000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2000≤Z＜5000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物业管理</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300≤X＜1000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营业收入(Y)</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1000≤Y＜5000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500≤Y＜1000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restart"/>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租赁和商务服务业</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vMerge w:val="continue"/>
            <w:noWrap w:val="0"/>
            <w:vAlign w:val="center"/>
          </w:tcPr>
          <w:p>
            <w:pPr>
              <w:bidi w:val="0"/>
              <w:jc w:val="center"/>
              <w:rPr>
                <w:rFonts w:hint="eastAsia" w:ascii="宋体" w:hAnsi="宋体" w:eastAsia="宋体" w:cs="宋体"/>
                <w:b/>
                <w:bCs/>
                <w:color w:val="auto"/>
                <w:sz w:val="18"/>
                <w:szCs w:val="18"/>
                <w:highlight w:val="none"/>
              </w:rPr>
            </w:pP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资产总额(Z)</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万元</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Z≥120000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8000≤Z＜120000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100≤Z＜8000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exact"/>
        </w:trPr>
        <w:tc>
          <w:tcPr>
            <w:tcW w:w="2475" w:type="dxa"/>
            <w:noWrap w:val="0"/>
            <w:vAlign w:val="center"/>
          </w:tcPr>
          <w:p>
            <w:pPr>
              <w:bidi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其他未列明行业 *</w:t>
            </w:r>
          </w:p>
        </w:tc>
        <w:tc>
          <w:tcPr>
            <w:tcW w:w="14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从业人员(X)</w:t>
            </w:r>
          </w:p>
        </w:tc>
        <w:tc>
          <w:tcPr>
            <w:tcW w:w="99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846"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X≥300</w:t>
            </w:r>
          </w:p>
        </w:tc>
        <w:tc>
          <w:tcPr>
            <w:tcW w:w="2904"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100≤X＜300</w:t>
            </w:r>
          </w:p>
        </w:tc>
        <w:tc>
          <w:tcPr>
            <w:tcW w:w="2668"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10≤X＜100</w:t>
            </w:r>
          </w:p>
        </w:tc>
        <w:tc>
          <w:tcPr>
            <w:tcW w:w="2089" w:type="dxa"/>
            <w:noWrap w:val="0"/>
            <w:vAlign w:val="center"/>
          </w:tcPr>
          <w:p>
            <w:pPr>
              <w:bidi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X＜10</w:t>
            </w:r>
          </w:p>
        </w:tc>
      </w:tr>
    </w:tbl>
    <w:p>
      <w:pPr>
        <w:pStyle w:val="40"/>
        <w:rPr>
          <w:color w:val="auto"/>
          <w:highlight w:val="none"/>
        </w:rPr>
        <w:sectPr>
          <w:pgSz w:w="16838" w:h="11906" w:orient="landscape"/>
          <w:pgMar w:top="963" w:right="1440" w:bottom="1106" w:left="1440" w:header="794" w:footer="850" w:gutter="0"/>
          <w:pgBorders>
            <w:top w:val="none" w:sz="0" w:space="0"/>
            <w:left w:val="none" w:sz="0" w:space="0"/>
            <w:bottom w:val="none" w:sz="0" w:space="0"/>
            <w:right w:val="none" w:sz="0" w:space="0"/>
          </w:pgBorders>
          <w:pgNumType w:fmt="decimal"/>
          <w:cols w:space="0" w:num="1"/>
          <w:rtlGutter w:val="0"/>
          <w:docGrid w:type="lines" w:linePitch="321" w:charSpace="0"/>
        </w:sectPr>
      </w:pPr>
    </w:p>
    <w:p>
      <w:pPr>
        <w:pStyle w:val="40"/>
        <w:rPr>
          <w:color w:val="auto"/>
          <w:highlight w:val="none"/>
        </w:rPr>
      </w:pPr>
    </w:p>
    <w:p>
      <w:pPr>
        <w:tabs>
          <w:tab w:val="left" w:pos="432"/>
        </w:tabs>
        <w:jc w:val="center"/>
        <w:outlineLvl w:val="0"/>
        <w:rPr>
          <w:rFonts w:hint="eastAsia" w:ascii="宋体" w:hAnsi="宋体" w:eastAsia="宋体" w:cs="宋体"/>
          <w:color w:val="auto"/>
          <w:highlight w:val="none"/>
        </w:rPr>
      </w:pPr>
      <w:bookmarkStart w:id="202" w:name="_Toc25180"/>
      <w:bookmarkStart w:id="203" w:name="_Toc24625"/>
      <w:r>
        <w:rPr>
          <w:rStyle w:val="64"/>
          <w:rFonts w:hint="eastAsia" w:ascii="宋体" w:hAnsi="宋体" w:eastAsia="宋体" w:cs="宋体"/>
          <w:color w:val="auto"/>
          <w:highlight w:val="none"/>
          <w:lang w:val="zh-CN"/>
        </w:rPr>
        <w:t>第七章</w:t>
      </w:r>
      <w:r>
        <w:rPr>
          <w:rStyle w:val="64"/>
          <w:rFonts w:hint="eastAsia" w:ascii="宋体" w:hAnsi="宋体" w:eastAsia="宋体" w:cs="宋体"/>
          <w:color w:val="auto"/>
          <w:highlight w:val="none"/>
          <w:lang w:val="en-US" w:eastAsia="zh-CN"/>
        </w:rPr>
        <w:t xml:space="preserve">  </w:t>
      </w:r>
      <w:r>
        <w:rPr>
          <w:rStyle w:val="64"/>
          <w:rFonts w:hint="eastAsia" w:ascii="宋体" w:hAnsi="宋体" w:eastAsia="宋体" w:cs="宋体"/>
          <w:color w:val="auto"/>
          <w:highlight w:val="none"/>
          <w:lang w:val="zh-CN"/>
        </w:rPr>
        <w:t>附</w:t>
      </w:r>
      <w:r>
        <w:rPr>
          <w:rStyle w:val="64"/>
          <w:rFonts w:hint="eastAsia" w:ascii="宋体" w:hAnsi="宋体" w:eastAsia="宋体" w:cs="宋体"/>
          <w:color w:val="auto"/>
          <w:highlight w:val="none"/>
        </w:rPr>
        <w:t xml:space="preserve"> </w:t>
      </w:r>
      <w:r>
        <w:rPr>
          <w:rStyle w:val="64"/>
          <w:rFonts w:hint="eastAsia" w:ascii="宋体" w:hAnsi="宋体" w:eastAsia="宋体" w:cs="宋体"/>
          <w:color w:val="auto"/>
          <w:highlight w:val="none"/>
          <w:lang w:val="zh-CN"/>
        </w:rPr>
        <w:t>件</w:t>
      </w:r>
      <w:bookmarkEnd w:id="202"/>
      <w:bookmarkEnd w:id="203"/>
    </w:p>
    <w:p>
      <w:pPr>
        <w:rPr>
          <w:rFonts w:hint="eastAsia" w:ascii="宋体" w:hAnsi="宋体" w:eastAsia="宋体" w:cs="宋体"/>
          <w:color w:val="auto"/>
          <w:highlight w:val="none"/>
        </w:rPr>
      </w:pPr>
    </w:p>
    <w:p>
      <w:pPr>
        <w:autoSpaceDE w:val="0"/>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204" w:name="_Toc1040"/>
      <w:bookmarkStart w:id="205" w:name="_Toc635"/>
      <w:bookmarkStart w:id="206" w:name="_Toc12391"/>
      <w:r>
        <w:rPr>
          <w:rFonts w:hint="eastAsia" w:ascii="宋体" w:hAnsi="宋体" w:eastAsia="宋体" w:cs="宋体"/>
          <w:b/>
          <w:color w:val="auto"/>
          <w:sz w:val="32"/>
          <w:szCs w:val="32"/>
          <w:highlight w:val="none"/>
          <w:lang w:val="zh-CN"/>
        </w:rPr>
        <w:t>投标文件包装袋封面标贴（格式）</w:t>
      </w:r>
      <w:bookmarkEnd w:id="204"/>
      <w:bookmarkEnd w:id="205"/>
      <w:bookmarkEnd w:id="206"/>
    </w:p>
    <w:tbl>
      <w:tblPr>
        <w:tblStyle w:val="23"/>
        <w:tblW w:w="8584" w:type="dxa"/>
        <w:jc w:val="center"/>
        <w:tblInd w:w="0" w:type="dxa"/>
        <w:tblLayout w:type="fixed"/>
        <w:tblCellMar>
          <w:top w:w="0" w:type="dxa"/>
          <w:left w:w="108" w:type="dxa"/>
          <w:bottom w:w="0" w:type="dxa"/>
          <w:right w:w="108" w:type="dxa"/>
        </w:tblCellMar>
      </w:tblPr>
      <w:tblGrid>
        <w:gridCol w:w="8584"/>
      </w:tblGrid>
      <w:tr>
        <w:tblPrEx>
          <w:tblLayout w:type="fixed"/>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3"/>
              <w:tblW w:w="8584"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pPr>
                    <w:snapToGrid w:val="0"/>
                    <w:spacing w:line="360" w:lineRule="auto"/>
                    <w:jc w:val="center"/>
                    <w:rPr>
                      <w:rFonts w:hint="eastAsia" w:ascii="宋体" w:hAnsi="宋体" w:eastAsia="宋体" w:cs="宋体"/>
                      <w:b/>
                      <w:color w:val="auto"/>
                      <w:sz w:val="30"/>
                      <w:highlight w:val="none"/>
                    </w:rPr>
                  </w:pPr>
                </w:p>
                <w:p>
                  <w:pPr>
                    <w:pStyle w:val="10"/>
                    <w:snapToGrid w:val="0"/>
                    <w:spacing w:line="360" w:lineRule="auto"/>
                    <w:jc w:val="center"/>
                    <w:rPr>
                      <w:rFonts w:hint="eastAsia" w:ascii="宋体" w:hAnsi="宋体" w:eastAsia="宋体" w:cs="宋体"/>
                      <w:b w:val="0"/>
                      <w:color w:val="auto"/>
                      <w:sz w:val="44"/>
                      <w:highlight w:val="none"/>
                    </w:rPr>
                  </w:pPr>
                  <w:r>
                    <w:rPr>
                      <w:rFonts w:hint="eastAsia" w:ascii="宋体" w:hAnsi="宋体" w:eastAsia="宋体" w:cs="宋体"/>
                      <w:b w:val="0"/>
                      <w:color w:val="auto"/>
                      <w:sz w:val="44"/>
                      <w:highlight w:val="none"/>
                    </w:rPr>
                    <w:t>政府采购项目投标文件</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（封口处加盖投标人公章）</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密封内容：</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 xml:space="preserve">文件正本 </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副本</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snapToGrid w:val="0"/>
                    <w:spacing w:line="360" w:lineRule="auto"/>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p>
                <w:p>
                  <w:pPr>
                    <w:snapToGrid w:val="0"/>
                    <w:spacing w:line="360" w:lineRule="auto"/>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DOCVARIABLE  采购编号  \* MERGEFORMAT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 xml:space="preserve">                                    </w:t>
                  </w:r>
                </w:p>
                <w:p>
                  <w:pPr>
                    <w:snapToGrid w:val="0"/>
                    <w:spacing w:line="360" w:lineRule="auto"/>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DOCVARIABLE  项目名称  \* MERGEFORMAT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 xml:space="preserve">                                   </w:t>
                  </w:r>
                </w:p>
                <w:p>
                  <w:pPr>
                    <w:snapToGrid w:val="0"/>
                    <w:spacing w:line="360" w:lineRule="auto"/>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DOCVARIABLE  项目名称  \* MERGEFORMAT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 xml:space="preserve">                                 </w:t>
                  </w:r>
                </w:p>
                <w:p>
                  <w:pPr>
                    <w:snapToGrid w:val="0"/>
                    <w:spacing w:line="360" w:lineRule="auto"/>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在  年  月  日  时之前递交，且不得启封</w:t>
                  </w:r>
                </w:p>
                <w:p>
                  <w:pPr>
                    <w:snapToGrid w:val="0"/>
                    <w:spacing w:line="360" w:lineRule="auto"/>
                    <w:ind w:firstLine="840" w:firstLineChars="400"/>
                    <w:rPr>
                      <w:rFonts w:hint="eastAsia" w:ascii="宋体" w:hAnsi="宋体" w:eastAsia="宋体" w:cs="宋体"/>
                      <w:b/>
                      <w:bCs/>
                      <w:color w:val="auto"/>
                      <w:sz w:val="24"/>
                      <w:highlight w:val="none"/>
                      <w:u w:val="single"/>
                    </w:rPr>
                  </w:pPr>
                  <w:r>
                    <w:rPr>
                      <w:rFonts w:hint="eastAsia" w:ascii="宋体" w:hAnsi="宋体" w:eastAsia="宋体" w:cs="宋体"/>
                      <w:bCs/>
                      <w:color w:val="auto"/>
                      <w:szCs w:val="21"/>
                      <w:highlight w:val="none"/>
                    </w:rPr>
                    <w:t xml:space="preserve">递交地点： </w:t>
                  </w:r>
                </w:p>
              </w:tc>
            </w:tr>
          </w:tbl>
          <w:p>
            <w:pPr>
              <w:snapToGrid w:val="0"/>
              <w:spacing w:line="360" w:lineRule="auto"/>
              <w:rPr>
                <w:rFonts w:hint="eastAsia" w:ascii="宋体" w:hAnsi="宋体" w:eastAsia="宋体" w:cs="宋体"/>
                <w:color w:val="auto"/>
                <w:highlight w:val="none"/>
              </w:rPr>
            </w:pPr>
          </w:p>
        </w:tc>
      </w:tr>
    </w:tbl>
    <w:p>
      <w:pPr>
        <w:autoSpaceDE w:val="0"/>
        <w:autoSpaceDN w:val="0"/>
        <w:adjustRightInd w:val="0"/>
        <w:snapToGrid w:val="0"/>
        <w:spacing w:line="360" w:lineRule="auto"/>
        <w:jc w:val="center"/>
        <w:rPr>
          <w:rFonts w:hint="eastAsia" w:ascii="宋体" w:hAnsi="宋体" w:eastAsia="宋体" w:cs="宋体"/>
          <w:b/>
          <w:color w:val="auto"/>
          <w:sz w:val="32"/>
          <w:szCs w:val="32"/>
          <w:highlight w:val="none"/>
          <w:lang w:val="zh-CN"/>
        </w:rPr>
      </w:pPr>
    </w:p>
    <w:p>
      <w:pPr>
        <w:pStyle w:val="40"/>
        <w:rPr>
          <w:color w:val="auto"/>
        </w:rPr>
      </w:pPr>
    </w:p>
    <w:sectPr>
      <w:headerReference r:id="rId20" w:type="default"/>
      <w:footerReference r:id="rId21" w:type="default"/>
      <w:pgSz w:w="11906" w:h="16838"/>
      <w:pgMar w:top="1440" w:right="1106" w:bottom="1440" w:left="1800" w:header="851" w:footer="107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HelveticaNeueLT Std Lt 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64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40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40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r>
      <w:rPr>
        <w:kern w:val="0"/>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47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0" w:after="0" w:line="200" w:lineRule="exact"/>
      <w:jc w:val="left"/>
      <w:rPr>
        <w:rFonts w:hint="eastAsia" w:ascii="宋体" w:hAnsi="宋体" w:eastAsia="宋体" w:cs="宋体"/>
        <w:b/>
        <w:bCs/>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color w:val="0070C0"/>
      </w:rP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76599"/>
    <w:multiLevelType w:val="singleLevel"/>
    <w:tmpl w:val="A8976599"/>
    <w:lvl w:ilvl="0" w:tentative="0">
      <w:start w:val="1"/>
      <w:numFmt w:val="decimal"/>
      <w:suff w:val="nothing"/>
      <w:lvlText w:val="%1、"/>
      <w:lvlJc w:val="left"/>
    </w:lvl>
  </w:abstractNum>
  <w:abstractNum w:abstractNumId="1">
    <w:nsid w:val="C059F56A"/>
    <w:multiLevelType w:val="singleLevel"/>
    <w:tmpl w:val="C059F56A"/>
    <w:lvl w:ilvl="0" w:tentative="0">
      <w:start w:val="1"/>
      <w:numFmt w:val="decimal"/>
      <w:suff w:val="nothing"/>
      <w:lvlText w:val="%1、"/>
      <w:lvlJc w:val="left"/>
    </w:lvl>
  </w:abstractNum>
  <w:abstractNum w:abstractNumId="2">
    <w:nsid w:val="C61053C1"/>
    <w:multiLevelType w:val="singleLevel"/>
    <w:tmpl w:val="C61053C1"/>
    <w:lvl w:ilvl="0" w:tentative="0">
      <w:start w:val="3"/>
      <w:numFmt w:val="chineseCounting"/>
      <w:suff w:val="nothing"/>
      <w:lvlText w:val="（%1）"/>
      <w:lvlJc w:val="left"/>
      <w:rPr>
        <w:rFonts w:hint="eastAsia"/>
      </w:rPr>
    </w:lvl>
  </w:abstractNum>
  <w:abstractNum w:abstractNumId="3">
    <w:nsid w:val="FAFB3284"/>
    <w:multiLevelType w:val="singleLevel"/>
    <w:tmpl w:val="FAFB3284"/>
    <w:lvl w:ilvl="0" w:tentative="0">
      <w:start w:val="1"/>
      <w:numFmt w:val="decimal"/>
      <w:suff w:val="nothing"/>
      <w:lvlText w:val="%1、"/>
      <w:lvlJc w:val="left"/>
    </w:lvl>
  </w:abstractNum>
  <w:abstractNum w:abstractNumId="4">
    <w:nsid w:val="0000000E"/>
    <w:multiLevelType w:val="multilevel"/>
    <w:tmpl w:val="0000000E"/>
    <w:lvl w:ilvl="0" w:tentative="0">
      <w:start w:val="1"/>
      <w:numFmt w:val="bullet"/>
      <w:pStyle w:val="8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2BE5662"/>
    <w:multiLevelType w:val="singleLevel"/>
    <w:tmpl w:val="02BE5662"/>
    <w:lvl w:ilvl="0" w:tentative="0">
      <w:start w:val="6"/>
      <w:numFmt w:val="decimal"/>
      <w:suff w:val="nothing"/>
      <w:lvlText w:val="%1、"/>
      <w:lvlJc w:val="left"/>
    </w:lvl>
  </w:abstractNum>
  <w:abstractNum w:abstractNumId="6">
    <w:nsid w:val="2FA07BC6"/>
    <w:multiLevelType w:val="singleLevel"/>
    <w:tmpl w:val="2FA07BC6"/>
    <w:lvl w:ilvl="0" w:tentative="0">
      <w:start w:val="2"/>
      <w:numFmt w:val="chineseCounting"/>
      <w:suff w:val="nothing"/>
      <w:lvlText w:val="%1、"/>
      <w:lvlJc w:val="left"/>
      <w:rPr>
        <w:rFonts w:hint="eastAsia"/>
      </w:rPr>
    </w:lvl>
  </w:abstractNum>
  <w:abstractNum w:abstractNumId="7">
    <w:nsid w:val="3863853C"/>
    <w:multiLevelType w:val="singleLevel"/>
    <w:tmpl w:val="3863853C"/>
    <w:lvl w:ilvl="0" w:tentative="0">
      <w:start w:val="1"/>
      <w:numFmt w:val="decimal"/>
      <w:suff w:val="nothing"/>
      <w:lvlText w:val="%1、"/>
      <w:lvlJc w:val="left"/>
    </w:lvl>
  </w:abstractNum>
  <w:abstractNum w:abstractNumId="8">
    <w:nsid w:val="6B020CE9"/>
    <w:multiLevelType w:val="multilevel"/>
    <w:tmpl w:val="6B02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395B58"/>
    <w:rsid w:val="008261A8"/>
    <w:rsid w:val="00D81B6C"/>
    <w:rsid w:val="00DD3B71"/>
    <w:rsid w:val="00E83921"/>
    <w:rsid w:val="00EC47B0"/>
    <w:rsid w:val="00F97C2F"/>
    <w:rsid w:val="00FC5547"/>
    <w:rsid w:val="010035A1"/>
    <w:rsid w:val="012A5D20"/>
    <w:rsid w:val="01742708"/>
    <w:rsid w:val="01DC4A33"/>
    <w:rsid w:val="01E76E9F"/>
    <w:rsid w:val="01F0269B"/>
    <w:rsid w:val="01F42148"/>
    <w:rsid w:val="01F42BFC"/>
    <w:rsid w:val="020350EF"/>
    <w:rsid w:val="02044C7F"/>
    <w:rsid w:val="020734F9"/>
    <w:rsid w:val="022475A8"/>
    <w:rsid w:val="025F77FD"/>
    <w:rsid w:val="02690772"/>
    <w:rsid w:val="02875423"/>
    <w:rsid w:val="028F052A"/>
    <w:rsid w:val="02AC327A"/>
    <w:rsid w:val="02C62933"/>
    <w:rsid w:val="02EB5A56"/>
    <w:rsid w:val="02F55107"/>
    <w:rsid w:val="02FD6FF2"/>
    <w:rsid w:val="031E5901"/>
    <w:rsid w:val="034C646D"/>
    <w:rsid w:val="03747EDC"/>
    <w:rsid w:val="03A73896"/>
    <w:rsid w:val="03C436E0"/>
    <w:rsid w:val="04072D96"/>
    <w:rsid w:val="04113D67"/>
    <w:rsid w:val="043B4C5B"/>
    <w:rsid w:val="04461F17"/>
    <w:rsid w:val="046B2208"/>
    <w:rsid w:val="04B31B0F"/>
    <w:rsid w:val="04F14911"/>
    <w:rsid w:val="04F95927"/>
    <w:rsid w:val="052A7F8F"/>
    <w:rsid w:val="052D7D6B"/>
    <w:rsid w:val="059F4E6E"/>
    <w:rsid w:val="05A22CCB"/>
    <w:rsid w:val="05A6764F"/>
    <w:rsid w:val="05B252A0"/>
    <w:rsid w:val="05E41A4E"/>
    <w:rsid w:val="064B76E6"/>
    <w:rsid w:val="066A2DA8"/>
    <w:rsid w:val="06A65148"/>
    <w:rsid w:val="06D06953"/>
    <w:rsid w:val="06DD2419"/>
    <w:rsid w:val="06E05BC6"/>
    <w:rsid w:val="06FB0DA0"/>
    <w:rsid w:val="07043FBE"/>
    <w:rsid w:val="07896E78"/>
    <w:rsid w:val="07C81FD4"/>
    <w:rsid w:val="08026C2E"/>
    <w:rsid w:val="080F107E"/>
    <w:rsid w:val="081E7539"/>
    <w:rsid w:val="081F2D98"/>
    <w:rsid w:val="082A57A7"/>
    <w:rsid w:val="083F2C94"/>
    <w:rsid w:val="08713341"/>
    <w:rsid w:val="089811AF"/>
    <w:rsid w:val="089A4974"/>
    <w:rsid w:val="08B06EE6"/>
    <w:rsid w:val="08C036BB"/>
    <w:rsid w:val="09B173FC"/>
    <w:rsid w:val="09F26260"/>
    <w:rsid w:val="09F6286C"/>
    <w:rsid w:val="0A0838DE"/>
    <w:rsid w:val="0A2515E6"/>
    <w:rsid w:val="0A2C6474"/>
    <w:rsid w:val="0A8B3D7B"/>
    <w:rsid w:val="0AB9026D"/>
    <w:rsid w:val="0AE84A44"/>
    <w:rsid w:val="0B11587B"/>
    <w:rsid w:val="0B1672F1"/>
    <w:rsid w:val="0B1D3918"/>
    <w:rsid w:val="0B503A5B"/>
    <w:rsid w:val="0B811AED"/>
    <w:rsid w:val="0B8D6906"/>
    <w:rsid w:val="0B8E171D"/>
    <w:rsid w:val="0BDC4F75"/>
    <w:rsid w:val="0BEA07FD"/>
    <w:rsid w:val="0BFC0893"/>
    <w:rsid w:val="0C012E0F"/>
    <w:rsid w:val="0C78067D"/>
    <w:rsid w:val="0C863025"/>
    <w:rsid w:val="0CA31B45"/>
    <w:rsid w:val="0CAD02FE"/>
    <w:rsid w:val="0D734853"/>
    <w:rsid w:val="0D7611DC"/>
    <w:rsid w:val="0D8B17F4"/>
    <w:rsid w:val="0DA871EA"/>
    <w:rsid w:val="0DC932D7"/>
    <w:rsid w:val="0DD47709"/>
    <w:rsid w:val="0DF265EC"/>
    <w:rsid w:val="0DFB4E81"/>
    <w:rsid w:val="0E212E81"/>
    <w:rsid w:val="0E851C91"/>
    <w:rsid w:val="0E874A3E"/>
    <w:rsid w:val="0E885D3D"/>
    <w:rsid w:val="0EA97EFE"/>
    <w:rsid w:val="0EAB3E74"/>
    <w:rsid w:val="0EB275BE"/>
    <w:rsid w:val="0FAB1C03"/>
    <w:rsid w:val="0FCA203F"/>
    <w:rsid w:val="0FE17F26"/>
    <w:rsid w:val="10181B0C"/>
    <w:rsid w:val="102A2EC9"/>
    <w:rsid w:val="1063075B"/>
    <w:rsid w:val="108252DB"/>
    <w:rsid w:val="10A15C1D"/>
    <w:rsid w:val="10B13F1D"/>
    <w:rsid w:val="11151A17"/>
    <w:rsid w:val="11251C17"/>
    <w:rsid w:val="11757A4A"/>
    <w:rsid w:val="11EA2FBC"/>
    <w:rsid w:val="11EF5A27"/>
    <w:rsid w:val="1233009D"/>
    <w:rsid w:val="12645DB1"/>
    <w:rsid w:val="126F0D08"/>
    <w:rsid w:val="12FB779B"/>
    <w:rsid w:val="130A6074"/>
    <w:rsid w:val="13275AA1"/>
    <w:rsid w:val="134428A7"/>
    <w:rsid w:val="13D206E6"/>
    <w:rsid w:val="14072F84"/>
    <w:rsid w:val="14196B13"/>
    <w:rsid w:val="14273644"/>
    <w:rsid w:val="14522BCA"/>
    <w:rsid w:val="145E4782"/>
    <w:rsid w:val="14A00569"/>
    <w:rsid w:val="14A561B7"/>
    <w:rsid w:val="14CF29F4"/>
    <w:rsid w:val="153A2726"/>
    <w:rsid w:val="153C41E1"/>
    <w:rsid w:val="156F0F1F"/>
    <w:rsid w:val="157E6F22"/>
    <w:rsid w:val="15D33839"/>
    <w:rsid w:val="15F227C3"/>
    <w:rsid w:val="15FF68A6"/>
    <w:rsid w:val="16154ABF"/>
    <w:rsid w:val="16165263"/>
    <w:rsid w:val="163B0AEA"/>
    <w:rsid w:val="163D12AD"/>
    <w:rsid w:val="168A0709"/>
    <w:rsid w:val="169D32AE"/>
    <w:rsid w:val="16A707AD"/>
    <w:rsid w:val="16BC5E4C"/>
    <w:rsid w:val="16F377DD"/>
    <w:rsid w:val="17412D5A"/>
    <w:rsid w:val="175C184B"/>
    <w:rsid w:val="17632A94"/>
    <w:rsid w:val="17A10B0C"/>
    <w:rsid w:val="17CB1B67"/>
    <w:rsid w:val="17E5658D"/>
    <w:rsid w:val="18397281"/>
    <w:rsid w:val="18414ADE"/>
    <w:rsid w:val="18481E9F"/>
    <w:rsid w:val="1858031E"/>
    <w:rsid w:val="185F4F64"/>
    <w:rsid w:val="18620079"/>
    <w:rsid w:val="1871499D"/>
    <w:rsid w:val="18842D36"/>
    <w:rsid w:val="18F61CFA"/>
    <w:rsid w:val="1914521E"/>
    <w:rsid w:val="195F248B"/>
    <w:rsid w:val="198D0107"/>
    <w:rsid w:val="19CD04FD"/>
    <w:rsid w:val="1A5634EF"/>
    <w:rsid w:val="1A58410F"/>
    <w:rsid w:val="1AB63DC9"/>
    <w:rsid w:val="1B0F0323"/>
    <w:rsid w:val="1B364F75"/>
    <w:rsid w:val="1B366A39"/>
    <w:rsid w:val="1B9E5610"/>
    <w:rsid w:val="1BAF319C"/>
    <w:rsid w:val="1BB77E36"/>
    <w:rsid w:val="1BDE4373"/>
    <w:rsid w:val="1BE175E3"/>
    <w:rsid w:val="1C24274C"/>
    <w:rsid w:val="1C2A13ED"/>
    <w:rsid w:val="1C500D77"/>
    <w:rsid w:val="1C8368D3"/>
    <w:rsid w:val="1C855563"/>
    <w:rsid w:val="1CA2245A"/>
    <w:rsid w:val="1CB32466"/>
    <w:rsid w:val="1CBA77F5"/>
    <w:rsid w:val="1CFE69C3"/>
    <w:rsid w:val="1D0C7170"/>
    <w:rsid w:val="1D33787D"/>
    <w:rsid w:val="1D392A66"/>
    <w:rsid w:val="1D3B4320"/>
    <w:rsid w:val="1D496450"/>
    <w:rsid w:val="1D4E628F"/>
    <w:rsid w:val="1D7D31BA"/>
    <w:rsid w:val="1D8B7418"/>
    <w:rsid w:val="1D8D5464"/>
    <w:rsid w:val="1D990F18"/>
    <w:rsid w:val="1D9F0760"/>
    <w:rsid w:val="1E133295"/>
    <w:rsid w:val="1E1A02B2"/>
    <w:rsid w:val="1E5858D1"/>
    <w:rsid w:val="1E725431"/>
    <w:rsid w:val="1E7E0CE9"/>
    <w:rsid w:val="1E89515C"/>
    <w:rsid w:val="1E9134B1"/>
    <w:rsid w:val="1ECB4B7B"/>
    <w:rsid w:val="1EE750C9"/>
    <w:rsid w:val="1EE862BF"/>
    <w:rsid w:val="1EF42956"/>
    <w:rsid w:val="1F0D66C1"/>
    <w:rsid w:val="1F126D8C"/>
    <w:rsid w:val="1FAD0CAB"/>
    <w:rsid w:val="1FE31339"/>
    <w:rsid w:val="209E49A9"/>
    <w:rsid w:val="20BC73F6"/>
    <w:rsid w:val="20C54185"/>
    <w:rsid w:val="20E20AB0"/>
    <w:rsid w:val="20EB5FEB"/>
    <w:rsid w:val="20EE1865"/>
    <w:rsid w:val="210822A7"/>
    <w:rsid w:val="213A416A"/>
    <w:rsid w:val="21603C14"/>
    <w:rsid w:val="21D81DB2"/>
    <w:rsid w:val="220B11B4"/>
    <w:rsid w:val="2237112D"/>
    <w:rsid w:val="223F0DAE"/>
    <w:rsid w:val="224D187D"/>
    <w:rsid w:val="22534A89"/>
    <w:rsid w:val="22A7389F"/>
    <w:rsid w:val="22D931C8"/>
    <w:rsid w:val="22F230EA"/>
    <w:rsid w:val="2302081B"/>
    <w:rsid w:val="23333575"/>
    <w:rsid w:val="234731C4"/>
    <w:rsid w:val="236A0579"/>
    <w:rsid w:val="2383091E"/>
    <w:rsid w:val="23863DFB"/>
    <w:rsid w:val="23AE1C91"/>
    <w:rsid w:val="23DF33FD"/>
    <w:rsid w:val="23F65690"/>
    <w:rsid w:val="23F8612F"/>
    <w:rsid w:val="24010B3F"/>
    <w:rsid w:val="24AA264F"/>
    <w:rsid w:val="24D87EB8"/>
    <w:rsid w:val="25225191"/>
    <w:rsid w:val="254054E9"/>
    <w:rsid w:val="25652FFC"/>
    <w:rsid w:val="25AE1D42"/>
    <w:rsid w:val="25D03AAA"/>
    <w:rsid w:val="261F23CE"/>
    <w:rsid w:val="262E2F26"/>
    <w:rsid w:val="26581C46"/>
    <w:rsid w:val="2666119D"/>
    <w:rsid w:val="266677F1"/>
    <w:rsid w:val="26B15CA8"/>
    <w:rsid w:val="26C1041E"/>
    <w:rsid w:val="270A69E3"/>
    <w:rsid w:val="270B2B20"/>
    <w:rsid w:val="27243FAE"/>
    <w:rsid w:val="27261217"/>
    <w:rsid w:val="2728195E"/>
    <w:rsid w:val="27382EDD"/>
    <w:rsid w:val="273E541F"/>
    <w:rsid w:val="27574C8A"/>
    <w:rsid w:val="27772197"/>
    <w:rsid w:val="27877893"/>
    <w:rsid w:val="279F4A40"/>
    <w:rsid w:val="27A77AAD"/>
    <w:rsid w:val="288E128F"/>
    <w:rsid w:val="289B4722"/>
    <w:rsid w:val="28A101CD"/>
    <w:rsid w:val="28D0114A"/>
    <w:rsid w:val="28FE2B76"/>
    <w:rsid w:val="290651DC"/>
    <w:rsid w:val="2908618E"/>
    <w:rsid w:val="29160C34"/>
    <w:rsid w:val="29192172"/>
    <w:rsid w:val="292815E6"/>
    <w:rsid w:val="2A0718D0"/>
    <w:rsid w:val="2A0B5713"/>
    <w:rsid w:val="2A486221"/>
    <w:rsid w:val="2AA85397"/>
    <w:rsid w:val="2AA947AB"/>
    <w:rsid w:val="2ABB3F65"/>
    <w:rsid w:val="2AE30886"/>
    <w:rsid w:val="2AF90E15"/>
    <w:rsid w:val="2B282C13"/>
    <w:rsid w:val="2B7A2E53"/>
    <w:rsid w:val="2BA876DE"/>
    <w:rsid w:val="2BF912D2"/>
    <w:rsid w:val="2C372033"/>
    <w:rsid w:val="2C3E6F83"/>
    <w:rsid w:val="2C505BF9"/>
    <w:rsid w:val="2CCA591B"/>
    <w:rsid w:val="2CDD6F7D"/>
    <w:rsid w:val="2D085F4B"/>
    <w:rsid w:val="2D4358F8"/>
    <w:rsid w:val="2D804C11"/>
    <w:rsid w:val="2D933BBB"/>
    <w:rsid w:val="2DBE4F31"/>
    <w:rsid w:val="2E175927"/>
    <w:rsid w:val="2E3861BE"/>
    <w:rsid w:val="2E762E50"/>
    <w:rsid w:val="2E882B17"/>
    <w:rsid w:val="2ECE62A1"/>
    <w:rsid w:val="2EDB48DD"/>
    <w:rsid w:val="2EED2804"/>
    <w:rsid w:val="2F0D23F0"/>
    <w:rsid w:val="2F1553C8"/>
    <w:rsid w:val="2F8006B9"/>
    <w:rsid w:val="2FB6522B"/>
    <w:rsid w:val="2FB90604"/>
    <w:rsid w:val="2FCA68E6"/>
    <w:rsid w:val="2FD76C30"/>
    <w:rsid w:val="2FF03DBF"/>
    <w:rsid w:val="30604C50"/>
    <w:rsid w:val="308D0D35"/>
    <w:rsid w:val="309D133A"/>
    <w:rsid w:val="30C85734"/>
    <w:rsid w:val="31045E10"/>
    <w:rsid w:val="318647B8"/>
    <w:rsid w:val="31BD0A75"/>
    <w:rsid w:val="32023E0A"/>
    <w:rsid w:val="321B34FE"/>
    <w:rsid w:val="3238406C"/>
    <w:rsid w:val="3358706C"/>
    <w:rsid w:val="337E0A1E"/>
    <w:rsid w:val="33A46D62"/>
    <w:rsid w:val="33D03A5E"/>
    <w:rsid w:val="33E66022"/>
    <w:rsid w:val="33F442BB"/>
    <w:rsid w:val="34180735"/>
    <w:rsid w:val="34372892"/>
    <w:rsid w:val="344633A1"/>
    <w:rsid w:val="34E66AA0"/>
    <w:rsid w:val="351537C1"/>
    <w:rsid w:val="353770F1"/>
    <w:rsid w:val="35C93368"/>
    <w:rsid w:val="361A55C6"/>
    <w:rsid w:val="36490F24"/>
    <w:rsid w:val="36546EC1"/>
    <w:rsid w:val="36734407"/>
    <w:rsid w:val="36AC3B15"/>
    <w:rsid w:val="36CE2325"/>
    <w:rsid w:val="370D6A0A"/>
    <w:rsid w:val="373A5EAF"/>
    <w:rsid w:val="37484934"/>
    <w:rsid w:val="377C2FE5"/>
    <w:rsid w:val="378C54D2"/>
    <w:rsid w:val="37936580"/>
    <w:rsid w:val="37B13A18"/>
    <w:rsid w:val="37C863CA"/>
    <w:rsid w:val="37CA0F32"/>
    <w:rsid w:val="37F22186"/>
    <w:rsid w:val="385731C9"/>
    <w:rsid w:val="388116E1"/>
    <w:rsid w:val="38934E7C"/>
    <w:rsid w:val="389925DE"/>
    <w:rsid w:val="38FC2956"/>
    <w:rsid w:val="393157D1"/>
    <w:rsid w:val="393424EE"/>
    <w:rsid w:val="39611066"/>
    <w:rsid w:val="397A398F"/>
    <w:rsid w:val="398E0A89"/>
    <w:rsid w:val="399B1E8F"/>
    <w:rsid w:val="39AF008B"/>
    <w:rsid w:val="39F96B6F"/>
    <w:rsid w:val="3A652DFC"/>
    <w:rsid w:val="3A842EE5"/>
    <w:rsid w:val="3A8B4A80"/>
    <w:rsid w:val="3ACB0053"/>
    <w:rsid w:val="3B245F49"/>
    <w:rsid w:val="3B2742FF"/>
    <w:rsid w:val="3B4F1A17"/>
    <w:rsid w:val="3BA754B1"/>
    <w:rsid w:val="3BC66AA5"/>
    <w:rsid w:val="3BC959D4"/>
    <w:rsid w:val="3BCE19A6"/>
    <w:rsid w:val="3C2C59C6"/>
    <w:rsid w:val="3C377508"/>
    <w:rsid w:val="3C5C16A6"/>
    <w:rsid w:val="3C896CAE"/>
    <w:rsid w:val="3C8C6288"/>
    <w:rsid w:val="3C8F32A2"/>
    <w:rsid w:val="3CC659DD"/>
    <w:rsid w:val="3D462262"/>
    <w:rsid w:val="3DC05588"/>
    <w:rsid w:val="3E08054B"/>
    <w:rsid w:val="3EC314F9"/>
    <w:rsid w:val="3EE02B14"/>
    <w:rsid w:val="3EE56777"/>
    <w:rsid w:val="3EEA143A"/>
    <w:rsid w:val="3EEE4839"/>
    <w:rsid w:val="3EF55F3D"/>
    <w:rsid w:val="3F146C3D"/>
    <w:rsid w:val="3F2C3C34"/>
    <w:rsid w:val="3F5D0D52"/>
    <w:rsid w:val="3F60728F"/>
    <w:rsid w:val="3F6B2967"/>
    <w:rsid w:val="3FDB1DC5"/>
    <w:rsid w:val="3FEF530B"/>
    <w:rsid w:val="40175DF6"/>
    <w:rsid w:val="40545931"/>
    <w:rsid w:val="40852EA8"/>
    <w:rsid w:val="40872753"/>
    <w:rsid w:val="40B057B7"/>
    <w:rsid w:val="40CB28E7"/>
    <w:rsid w:val="412E2AAC"/>
    <w:rsid w:val="413F59B5"/>
    <w:rsid w:val="415E01D2"/>
    <w:rsid w:val="415E6718"/>
    <w:rsid w:val="41845E3E"/>
    <w:rsid w:val="418C332D"/>
    <w:rsid w:val="419A4993"/>
    <w:rsid w:val="41D93893"/>
    <w:rsid w:val="41FD518C"/>
    <w:rsid w:val="421B6F49"/>
    <w:rsid w:val="42236939"/>
    <w:rsid w:val="42383125"/>
    <w:rsid w:val="424F14CB"/>
    <w:rsid w:val="42D77C69"/>
    <w:rsid w:val="43537A1A"/>
    <w:rsid w:val="435F733A"/>
    <w:rsid w:val="43634B06"/>
    <w:rsid w:val="438549CD"/>
    <w:rsid w:val="438F42E8"/>
    <w:rsid w:val="43B2251C"/>
    <w:rsid w:val="43B90800"/>
    <w:rsid w:val="43CD4AB5"/>
    <w:rsid w:val="43CF0940"/>
    <w:rsid w:val="44114AB5"/>
    <w:rsid w:val="44394FE7"/>
    <w:rsid w:val="4449237B"/>
    <w:rsid w:val="44A4550B"/>
    <w:rsid w:val="44BE0D1E"/>
    <w:rsid w:val="4508410A"/>
    <w:rsid w:val="451B3EB1"/>
    <w:rsid w:val="45285F65"/>
    <w:rsid w:val="45323CD8"/>
    <w:rsid w:val="456B301E"/>
    <w:rsid w:val="457F7D73"/>
    <w:rsid w:val="45BA7A05"/>
    <w:rsid w:val="45D50990"/>
    <w:rsid w:val="45F34DBA"/>
    <w:rsid w:val="463E4A03"/>
    <w:rsid w:val="46AF13FF"/>
    <w:rsid w:val="46DE4D6B"/>
    <w:rsid w:val="47027509"/>
    <w:rsid w:val="47254704"/>
    <w:rsid w:val="474651F6"/>
    <w:rsid w:val="47BA0074"/>
    <w:rsid w:val="482079BC"/>
    <w:rsid w:val="483C3D23"/>
    <w:rsid w:val="486539C9"/>
    <w:rsid w:val="48A04BD6"/>
    <w:rsid w:val="48E348B9"/>
    <w:rsid w:val="490F0EA3"/>
    <w:rsid w:val="492E2242"/>
    <w:rsid w:val="494F6824"/>
    <w:rsid w:val="49D04944"/>
    <w:rsid w:val="49D82BB1"/>
    <w:rsid w:val="4A373620"/>
    <w:rsid w:val="4A3C47C9"/>
    <w:rsid w:val="4A5C478F"/>
    <w:rsid w:val="4A68239F"/>
    <w:rsid w:val="4A800876"/>
    <w:rsid w:val="4ABB2DCE"/>
    <w:rsid w:val="4AC3192A"/>
    <w:rsid w:val="4ACE02BF"/>
    <w:rsid w:val="4AD20CF4"/>
    <w:rsid w:val="4AF04A59"/>
    <w:rsid w:val="4B1056B8"/>
    <w:rsid w:val="4B1E7AFA"/>
    <w:rsid w:val="4B9C3D69"/>
    <w:rsid w:val="4BCC42C1"/>
    <w:rsid w:val="4BF13566"/>
    <w:rsid w:val="4C2E2A8A"/>
    <w:rsid w:val="4C845391"/>
    <w:rsid w:val="4CCC3053"/>
    <w:rsid w:val="4CD615D7"/>
    <w:rsid w:val="4D324917"/>
    <w:rsid w:val="4D904DAF"/>
    <w:rsid w:val="4DA56B30"/>
    <w:rsid w:val="4E7C5765"/>
    <w:rsid w:val="4E915497"/>
    <w:rsid w:val="4E9C63DE"/>
    <w:rsid w:val="4F005FFC"/>
    <w:rsid w:val="4F037FE2"/>
    <w:rsid w:val="4F2F6463"/>
    <w:rsid w:val="4F4137F2"/>
    <w:rsid w:val="4F5006D0"/>
    <w:rsid w:val="4F5B577E"/>
    <w:rsid w:val="4F6C1739"/>
    <w:rsid w:val="4F887E26"/>
    <w:rsid w:val="4F9449AD"/>
    <w:rsid w:val="4FA315BC"/>
    <w:rsid w:val="508F3931"/>
    <w:rsid w:val="50E17C67"/>
    <w:rsid w:val="513D73A2"/>
    <w:rsid w:val="514C0491"/>
    <w:rsid w:val="519571F7"/>
    <w:rsid w:val="51993882"/>
    <w:rsid w:val="51AA0B29"/>
    <w:rsid w:val="51B40698"/>
    <w:rsid w:val="520F032D"/>
    <w:rsid w:val="52146DE8"/>
    <w:rsid w:val="52342052"/>
    <w:rsid w:val="52CE708B"/>
    <w:rsid w:val="52F8157B"/>
    <w:rsid w:val="53196066"/>
    <w:rsid w:val="535D333D"/>
    <w:rsid w:val="536224F1"/>
    <w:rsid w:val="538D587F"/>
    <w:rsid w:val="53B02B97"/>
    <w:rsid w:val="542B43C7"/>
    <w:rsid w:val="546222EE"/>
    <w:rsid w:val="54E104D3"/>
    <w:rsid w:val="54E51A3C"/>
    <w:rsid w:val="551E50E4"/>
    <w:rsid w:val="554E0F89"/>
    <w:rsid w:val="555F6B30"/>
    <w:rsid w:val="556E620B"/>
    <w:rsid w:val="55C91DC1"/>
    <w:rsid w:val="55D25710"/>
    <w:rsid w:val="560921BB"/>
    <w:rsid w:val="5633235B"/>
    <w:rsid w:val="565A678F"/>
    <w:rsid w:val="56607BC9"/>
    <w:rsid w:val="567B3B76"/>
    <w:rsid w:val="569B54F7"/>
    <w:rsid w:val="570F34A5"/>
    <w:rsid w:val="57E767DB"/>
    <w:rsid w:val="58220235"/>
    <w:rsid w:val="58E978B0"/>
    <w:rsid w:val="58EC5FAA"/>
    <w:rsid w:val="591D1B7F"/>
    <w:rsid w:val="59567DC7"/>
    <w:rsid w:val="599C071E"/>
    <w:rsid w:val="59B14918"/>
    <w:rsid w:val="59BB183D"/>
    <w:rsid w:val="59CB4CED"/>
    <w:rsid w:val="59E9140D"/>
    <w:rsid w:val="5A5172EE"/>
    <w:rsid w:val="5A54702E"/>
    <w:rsid w:val="5A7D5432"/>
    <w:rsid w:val="5AB9795B"/>
    <w:rsid w:val="5AC93EE4"/>
    <w:rsid w:val="5AD14B46"/>
    <w:rsid w:val="5AEA1E3F"/>
    <w:rsid w:val="5B170417"/>
    <w:rsid w:val="5B2902CB"/>
    <w:rsid w:val="5B3C51ED"/>
    <w:rsid w:val="5B4841F9"/>
    <w:rsid w:val="5B4C7178"/>
    <w:rsid w:val="5B5B5E65"/>
    <w:rsid w:val="5B7D2AB2"/>
    <w:rsid w:val="5B8B6431"/>
    <w:rsid w:val="5B941CAD"/>
    <w:rsid w:val="5B9A7BBF"/>
    <w:rsid w:val="5BA3073E"/>
    <w:rsid w:val="5BB83565"/>
    <w:rsid w:val="5BCE6C66"/>
    <w:rsid w:val="5BCF2503"/>
    <w:rsid w:val="5C3A3FF3"/>
    <w:rsid w:val="5C69739A"/>
    <w:rsid w:val="5D1B45A3"/>
    <w:rsid w:val="5D4305E5"/>
    <w:rsid w:val="5D700646"/>
    <w:rsid w:val="5D853F18"/>
    <w:rsid w:val="5D9C533F"/>
    <w:rsid w:val="5DB045FF"/>
    <w:rsid w:val="5DBA7287"/>
    <w:rsid w:val="5DDA06E5"/>
    <w:rsid w:val="5E267A8B"/>
    <w:rsid w:val="5E3E3884"/>
    <w:rsid w:val="5E6E75EE"/>
    <w:rsid w:val="5E87679A"/>
    <w:rsid w:val="5E8C6F92"/>
    <w:rsid w:val="5EC71B65"/>
    <w:rsid w:val="5F053010"/>
    <w:rsid w:val="5F0C7335"/>
    <w:rsid w:val="5F3156D7"/>
    <w:rsid w:val="5F5D1CA0"/>
    <w:rsid w:val="5FAF476F"/>
    <w:rsid w:val="5FC80ED8"/>
    <w:rsid w:val="5FCB7E0D"/>
    <w:rsid w:val="5FD96D8E"/>
    <w:rsid w:val="5FE308D8"/>
    <w:rsid w:val="5FFC0490"/>
    <w:rsid w:val="600B5602"/>
    <w:rsid w:val="600C35A2"/>
    <w:rsid w:val="603216BB"/>
    <w:rsid w:val="60570E22"/>
    <w:rsid w:val="60AC2CF1"/>
    <w:rsid w:val="60C8325D"/>
    <w:rsid w:val="60E857B6"/>
    <w:rsid w:val="60E86B97"/>
    <w:rsid w:val="60FA737C"/>
    <w:rsid w:val="60FD3B17"/>
    <w:rsid w:val="60FE4AB5"/>
    <w:rsid w:val="613E355B"/>
    <w:rsid w:val="614F5763"/>
    <w:rsid w:val="61B068EB"/>
    <w:rsid w:val="62092774"/>
    <w:rsid w:val="62D7717A"/>
    <w:rsid w:val="63285DAD"/>
    <w:rsid w:val="63500DA3"/>
    <w:rsid w:val="636F1C55"/>
    <w:rsid w:val="638D51D3"/>
    <w:rsid w:val="6397392D"/>
    <w:rsid w:val="644F0316"/>
    <w:rsid w:val="645F3C33"/>
    <w:rsid w:val="6467324D"/>
    <w:rsid w:val="647F48D1"/>
    <w:rsid w:val="64CF3CF1"/>
    <w:rsid w:val="650F69B3"/>
    <w:rsid w:val="6557520D"/>
    <w:rsid w:val="65721C63"/>
    <w:rsid w:val="6573771B"/>
    <w:rsid w:val="65AC0081"/>
    <w:rsid w:val="65CA3DFC"/>
    <w:rsid w:val="65CA64DA"/>
    <w:rsid w:val="65CB1F90"/>
    <w:rsid w:val="662629C3"/>
    <w:rsid w:val="662D049F"/>
    <w:rsid w:val="66353C2C"/>
    <w:rsid w:val="66692CBB"/>
    <w:rsid w:val="668F398C"/>
    <w:rsid w:val="669D227B"/>
    <w:rsid w:val="67346A2B"/>
    <w:rsid w:val="673859E6"/>
    <w:rsid w:val="673F0CCA"/>
    <w:rsid w:val="6761487F"/>
    <w:rsid w:val="67982C74"/>
    <w:rsid w:val="681F5AE6"/>
    <w:rsid w:val="68376BD9"/>
    <w:rsid w:val="6867167A"/>
    <w:rsid w:val="689870AC"/>
    <w:rsid w:val="68CA0CAE"/>
    <w:rsid w:val="69476B41"/>
    <w:rsid w:val="69FC0568"/>
    <w:rsid w:val="6A0E0C43"/>
    <w:rsid w:val="6A46685B"/>
    <w:rsid w:val="6A5415FD"/>
    <w:rsid w:val="6A600491"/>
    <w:rsid w:val="6A7B092A"/>
    <w:rsid w:val="6B03194B"/>
    <w:rsid w:val="6B785C6A"/>
    <w:rsid w:val="6B7F16AF"/>
    <w:rsid w:val="6BE859EB"/>
    <w:rsid w:val="6C12513D"/>
    <w:rsid w:val="6CA210BB"/>
    <w:rsid w:val="6CE83CC8"/>
    <w:rsid w:val="6D252EE9"/>
    <w:rsid w:val="6D8217D6"/>
    <w:rsid w:val="6D8B550C"/>
    <w:rsid w:val="6D9949ED"/>
    <w:rsid w:val="6DBD3434"/>
    <w:rsid w:val="6DF826BE"/>
    <w:rsid w:val="6E3000E1"/>
    <w:rsid w:val="6E3A0F28"/>
    <w:rsid w:val="6E4849B3"/>
    <w:rsid w:val="6E7104A8"/>
    <w:rsid w:val="6E922D4C"/>
    <w:rsid w:val="6EA71E77"/>
    <w:rsid w:val="6EAE1AAA"/>
    <w:rsid w:val="6ED24CBD"/>
    <w:rsid w:val="6EDC761D"/>
    <w:rsid w:val="6EE46F12"/>
    <w:rsid w:val="6F044E3E"/>
    <w:rsid w:val="6F281617"/>
    <w:rsid w:val="6F3C3AA0"/>
    <w:rsid w:val="6F5B769C"/>
    <w:rsid w:val="6F765C12"/>
    <w:rsid w:val="6F783750"/>
    <w:rsid w:val="6F9014D6"/>
    <w:rsid w:val="6FB47A4E"/>
    <w:rsid w:val="6FC54878"/>
    <w:rsid w:val="6FD22652"/>
    <w:rsid w:val="6FE4132D"/>
    <w:rsid w:val="6FF87AD9"/>
    <w:rsid w:val="7016626E"/>
    <w:rsid w:val="70280FCA"/>
    <w:rsid w:val="70420C19"/>
    <w:rsid w:val="706051B4"/>
    <w:rsid w:val="707822DA"/>
    <w:rsid w:val="709B6C0A"/>
    <w:rsid w:val="70A05028"/>
    <w:rsid w:val="70A83A69"/>
    <w:rsid w:val="70BA4909"/>
    <w:rsid w:val="710739B3"/>
    <w:rsid w:val="71260839"/>
    <w:rsid w:val="715A3929"/>
    <w:rsid w:val="71634CC0"/>
    <w:rsid w:val="71850427"/>
    <w:rsid w:val="71C26195"/>
    <w:rsid w:val="71C72529"/>
    <w:rsid w:val="71D25669"/>
    <w:rsid w:val="72194BB5"/>
    <w:rsid w:val="726C0120"/>
    <w:rsid w:val="72D930E7"/>
    <w:rsid w:val="730302F8"/>
    <w:rsid w:val="7331397E"/>
    <w:rsid w:val="733D3D42"/>
    <w:rsid w:val="737F4531"/>
    <w:rsid w:val="73BB6A80"/>
    <w:rsid w:val="73DC48A4"/>
    <w:rsid w:val="74044778"/>
    <w:rsid w:val="7423258A"/>
    <w:rsid w:val="74543118"/>
    <w:rsid w:val="74617C76"/>
    <w:rsid w:val="7466495B"/>
    <w:rsid w:val="747F7B17"/>
    <w:rsid w:val="74E44ACA"/>
    <w:rsid w:val="75065DE4"/>
    <w:rsid w:val="75272800"/>
    <w:rsid w:val="755664B6"/>
    <w:rsid w:val="756A5CA2"/>
    <w:rsid w:val="758C6B50"/>
    <w:rsid w:val="758E2CD2"/>
    <w:rsid w:val="75A57E58"/>
    <w:rsid w:val="75CE5976"/>
    <w:rsid w:val="75FE5451"/>
    <w:rsid w:val="76354A40"/>
    <w:rsid w:val="763F1CCE"/>
    <w:rsid w:val="763F535A"/>
    <w:rsid w:val="766C5D71"/>
    <w:rsid w:val="76A61C59"/>
    <w:rsid w:val="76FE6510"/>
    <w:rsid w:val="77075720"/>
    <w:rsid w:val="7710265B"/>
    <w:rsid w:val="77351533"/>
    <w:rsid w:val="77443369"/>
    <w:rsid w:val="77630534"/>
    <w:rsid w:val="77B24736"/>
    <w:rsid w:val="77E03EC1"/>
    <w:rsid w:val="77F7671B"/>
    <w:rsid w:val="78000B40"/>
    <w:rsid w:val="78412362"/>
    <w:rsid w:val="78615897"/>
    <w:rsid w:val="78C52043"/>
    <w:rsid w:val="78DC79F9"/>
    <w:rsid w:val="78F91935"/>
    <w:rsid w:val="791505C8"/>
    <w:rsid w:val="794A7145"/>
    <w:rsid w:val="795025F4"/>
    <w:rsid w:val="799E56AB"/>
    <w:rsid w:val="79A50EDE"/>
    <w:rsid w:val="79BE3388"/>
    <w:rsid w:val="79CB21FB"/>
    <w:rsid w:val="7A31610A"/>
    <w:rsid w:val="7A9A3A3A"/>
    <w:rsid w:val="7AB665A5"/>
    <w:rsid w:val="7AD7100E"/>
    <w:rsid w:val="7B0D351A"/>
    <w:rsid w:val="7B1679CA"/>
    <w:rsid w:val="7B1B73FE"/>
    <w:rsid w:val="7B742907"/>
    <w:rsid w:val="7BBB6C2C"/>
    <w:rsid w:val="7BCE4D30"/>
    <w:rsid w:val="7BDD7288"/>
    <w:rsid w:val="7BF726C8"/>
    <w:rsid w:val="7C3F6BE2"/>
    <w:rsid w:val="7CFD3E8B"/>
    <w:rsid w:val="7D0A4830"/>
    <w:rsid w:val="7D22772C"/>
    <w:rsid w:val="7D9A40AD"/>
    <w:rsid w:val="7E02355B"/>
    <w:rsid w:val="7E0E07CF"/>
    <w:rsid w:val="7E277154"/>
    <w:rsid w:val="7E27775F"/>
    <w:rsid w:val="7E53731E"/>
    <w:rsid w:val="7E550A2F"/>
    <w:rsid w:val="7EA87B5E"/>
    <w:rsid w:val="7EAF27D5"/>
    <w:rsid w:val="7EC273CE"/>
    <w:rsid w:val="7EFC0FC9"/>
    <w:rsid w:val="7F39685D"/>
    <w:rsid w:val="7F72234E"/>
    <w:rsid w:val="7F8B138A"/>
    <w:rsid w:val="7F9F075F"/>
    <w:rsid w:val="7F9F6A17"/>
    <w:rsid w:val="7FA536FE"/>
    <w:rsid w:val="7FB47434"/>
    <w:rsid w:val="7FB92CE4"/>
    <w:rsid w:val="7FBC53E8"/>
    <w:rsid w:val="7FDA0A5B"/>
    <w:rsid w:val="7FE02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4"/>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toa heading"/>
    <w:basedOn w:val="1"/>
    <w:next w:val="1"/>
    <w:unhideWhenUsed/>
    <w:qFormat/>
    <w:uiPriority w:val="99"/>
    <w:pPr>
      <w:spacing w:before="120"/>
    </w:pPr>
    <w:rPr>
      <w:rFonts w:ascii="Cambria" w:hAnsi="Cambria" w:eastAsia="宋体" w:cs="Times New Roman"/>
      <w:sz w:val="24"/>
      <w:szCs w:val="24"/>
    </w:r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next w:val="1"/>
    <w:qFormat/>
    <w:uiPriority w:val="0"/>
    <w:pPr>
      <w:spacing w:line="0" w:lineRule="atLeast"/>
    </w:pPr>
    <w:rPr>
      <w:b/>
      <w:sz w:val="30"/>
      <w:szCs w:val="20"/>
    </w:rPr>
  </w:style>
  <w:style w:type="paragraph" w:styleId="11">
    <w:name w:val="Body Text Indent"/>
    <w:basedOn w:val="1"/>
    <w:next w:val="12"/>
    <w:qFormat/>
    <w:uiPriority w:val="0"/>
    <w:pPr>
      <w:spacing w:after="120" w:afterLines="0" w:afterAutospacing="0"/>
      <w:ind w:left="420" w:leftChars="200"/>
    </w:pPr>
  </w:style>
  <w:style w:type="paragraph" w:styleId="12">
    <w:name w:val="envelope return"/>
    <w:basedOn w:val="1"/>
    <w:qFormat/>
    <w:uiPriority w:val="0"/>
    <w:pPr>
      <w:snapToGrid w:val="0"/>
    </w:pPr>
    <w:rPr>
      <w:rFonts w:ascii="Arial" w:hAnsi="Arial"/>
    </w:rPr>
  </w:style>
  <w:style w:type="paragraph" w:styleId="13">
    <w:name w:val="Plain Text"/>
    <w:basedOn w:val="1"/>
    <w:qFormat/>
    <w:uiPriority w:val="0"/>
    <w:rPr>
      <w:rFonts w:ascii="宋体" w:hAnsi="Courier New"/>
    </w:rPr>
  </w:style>
  <w:style w:type="paragraph" w:styleId="14">
    <w:name w:val="Date"/>
    <w:basedOn w:val="1"/>
    <w:next w:val="1"/>
    <w:qFormat/>
    <w:uiPriority w:val="0"/>
    <w:rPr>
      <w:sz w:val="24"/>
      <w:szCs w:val="20"/>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spacing w:before="120" w:after="120"/>
      <w:jc w:val="left"/>
    </w:pPr>
    <w:rPr>
      <w:b/>
      <w:bCs/>
      <w:caps/>
      <w:sz w:val="20"/>
      <w:szCs w:val="20"/>
    </w:rPr>
  </w:style>
  <w:style w:type="paragraph" w:styleId="19">
    <w:name w:val="Normal (Web)"/>
    <w:basedOn w:val="1"/>
    <w:qFormat/>
    <w:uiPriority w:val="0"/>
    <w:pPr>
      <w:jc w:val="left"/>
    </w:pPr>
    <w:rPr>
      <w:rFonts w:cs="Times New Roman"/>
      <w:kern w:val="0"/>
      <w:sz w:val="24"/>
    </w:rPr>
  </w:style>
  <w:style w:type="paragraph" w:styleId="20">
    <w:name w:val="Title"/>
    <w:basedOn w:val="1"/>
    <w:qFormat/>
    <w:uiPriority w:val="0"/>
    <w:pPr>
      <w:widowControl/>
      <w:spacing w:before="240" w:beforeLines="0" w:after="60" w:afterLines="0"/>
      <w:jc w:val="center"/>
      <w:outlineLvl w:val="0"/>
    </w:pPr>
    <w:rPr>
      <w:rFonts w:ascii="Arial" w:hAnsi="Arial" w:cs="Arial"/>
      <w:b/>
      <w:bCs/>
      <w:kern w:val="0"/>
      <w:sz w:val="44"/>
      <w:szCs w:val="32"/>
    </w:rPr>
  </w:style>
  <w:style w:type="paragraph" w:styleId="21">
    <w:name w:val="Body Text First Indent"/>
    <w:basedOn w:val="1"/>
    <w:next w:val="1"/>
    <w:qFormat/>
    <w:uiPriority w:val="0"/>
    <w:pPr>
      <w:spacing w:after="120" w:afterLines="0"/>
      <w:ind w:firstLine="420" w:firstLineChars="100"/>
    </w:pPr>
    <w:rPr>
      <w:rFonts w:eastAsia="宋体"/>
      <w:sz w:val="21"/>
      <w:szCs w:val="24"/>
    </w:rPr>
  </w:style>
  <w:style w:type="paragraph" w:styleId="22">
    <w:name w:val="Body Text First Indent 2"/>
    <w:basedOn w:val="1"/>
    <w:next w:val="21"/>
    <w:qFormat/>
    <w:uiPriority w:val="0"/>
    <w:pPr>
      <w:spacing w:after="120"/>
      <w:ind w:left="420" w:leftChars="200" w:firstLine="420" w:firstLineChars="200"/>
    </w:pPr>
    <w:rPr>
      <w:rFonts w:ascii="Times New Roman"/>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0"/>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qFormat/>
    <w:uiPriority w:val="0"/>
    <w:rPr>
      <w:color w:val="0000FF"/>
      <w:u w:val="none"/>
    </w:rPr>
  </w:style>
  <w:style w:type="character" w:styleId="35">
    <w:name w:val="HTML Code"/>
    <w:basedOn w:val="25"/>
    <w:qFormat/>
    <w:uiPriority w:val="0"/>
    <w:rPr>
      <w:rFonts w:hint="default" w:ascii="monospace" w:hAnsi="monospace" w:eastAsia="monospace" w:cs="monospace"/>
      <w:sz w:val="20"/>
    </w:rPr>
  </w:style>
  <w:style w:type="character" w:styleId="36">
    <w:name w:val="HTML Cite"/>
    <w:basedOn w:val="25"/>
    <w:qFormat/>
    <w:uiPriority w:val="0"/>
  </w:style>
  <w:style w:type="character" w:styleId="37">
    <w:name w:val="HTML Keyboard"/>
    <w:basedOn w:val="25"/>
    <w:qFormat/>
    <w:uiPriority w:val="0"/>
    <w:rPr>
      <w:rFonts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正文格式"/>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0">
    <w:name w:val="Default"/>
    <w:next w:val="14"/>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Char Char Char"/>
    <w:basedOn w:val="1"/>
    <w:qFormat/>
    <w:uiPriority w:val="0"/>
    <w:rPr>
      <w:szCs w:val="20"/>
    </w:rPr>
  </w:style>
  <w:style w:type="character" w:customStyle="1" w:styleId="42">
    <w:name w:val="font01"/>
    <w:basedOn w:val="25"/>
    <w:qFormat/>
    <w:uiPriority w:val="0"/>
    <w:rPr>
      <w:rFonts w:hint="eastAsia" w:ascii="宋体" w:hAnsi="宋体" w:eastAsia="宋体" w:cs="宋体"/>
      <w:color w:val="000000"/>
      <w:sz w:val="28"/>
      <w:szCs w:val="28"/>
      <w:u w:val="none"/>
    </w:rPr>
  </w:style>
  <w:style w:type="paragraph" w:customStyle="1" w:styleId="43">
    <w:name w:val="目录"/>
    <w:basedOn w:val="1"/>
    <w:qFormat/>
    <w:uiPriority w:val="0"/>
    <w:pPr>
      <w:jc w:val="center"/>
    </w:pPr>
    <w:rPr>
      <w:rFonts w:ascii="宋体" w:hAnsi="Times New Roman" w:eastAsia="宋体" w:cs="Times New Roman"/>
      <w:sz w:val="36"/>
    </w:rPr>
  </w:style>
  <w:style w:type="character" w:customStyle="1" w:styleId="44">
    <w:name w:val="font51"/>
    <w:basedOn w:val="25"/>
    <w:qFormat/>
    <w:uiPriority w:val="0"/>
    <w:rPr>
      <w:rFonts w:hint="eastAsia" w:ascii="宋体" w:hAnsi="宋体" w:eastAsia="宋体" w:cs="宋体"/>
      <w:color w:val="000000"/>
      <w:sz w:val="28"/>
      <w:szCs w:val="28"/>
      <w:u w:val="none"/>
    </w:rPr>
  </w:style>
  <w:style w:type="character" w:customStyle="1" w:styleId="45">
    <w:name w:val="font21"/>
    <w:basedOn w:val="25"/>
    <w:qFormat/>
    <w:uiPriority w:val="0"/>
    <w:rPr>
      <w:rFonts w:ascii="Arial" w:hAnsi="Arial" w:cs="Arial"/>
      <w:color w:val="000000"/>
      <w:sz w:val="28"/>
      <w:szCs w:val="28"/>
      <w:u w:val="none"/>
    </w:rPr>
  </w:style>
  <w:style w:type="character" w:customStyle="1" w:styleId="46">
    <w:name w:val="font61"/>
    <w:basedOn w:val="25"/>
    <w:qFormat/>
    <w:uiPriority w:val="0"/>
    <w:rPr>
      <w:rFonts w:hint="eastAsia" w:ascii="宋体" w:hAnsi="宋体" w:eastAsia="宋体" w:cs="宋体"/>
      <w:color w:val="000000"/>
      <w:sz w:val="20"/>
      <w:szCs w:val="20"/>
      <w:u w:val="none"/>
    </w:rPr>
  </w:style>
  <w:style w:type="character" w:customStyle="1" w:styleId="47">
    <w:name w:val="font11"/>
    <w:basedOn w:val="25"/>
    <w:qFormat/>
    <w:uiPriority w:val="0"/>
    <w:rPr>
      <w:rFonts w:hint="eastAsia" w:ascii="宋体" w:hAnsi="宋体" w:eastAsia="宋体" w:cs="宋体"/>
      <w:color w:val="FF0000"/>
      <w:sz w:val="20"/>
      <w:szCs w:val="20"/>
      <w:u w:val="none"/>
    </w:rPr>
  </w:style>
  <w:style w:type="character" w:customStyle="1" w:styleId="48">
    <w:name w:val="font31"/>
    <w:basedOn w:val="25"/>
    <w:qFormat/>
    <w:uiPriority w:val="0"/>
    <w:rPr>
      <w:rFonts w:hint="default" w:ascii="Times New Roman" w:hAnsi="Times New Roman" w:cs="Times New Roman"/>
      <w:color w:val="FF0000"/>
      <w:sz w:val="21"/>
      <w:szCs w:val="21"/>
      <w:u w:val="none"/>
    </w:rPr>
  </w:style>
  <w:style w:type="character" w:customStyle="1" w:styleId="49">
    <w:name w:val="font41"/>
    <w:basedOn w:val="25"/>
    <w:qFormat/>
    <w:uiPriority w:val="0"/>
    <w:rPr>
      <w:rFonts w:hint="eastAsia" w:ascii="宋体" w:hAnsi="宋体" w:eastAsia="宋体" w:cs="宋体"/>
      <w:color w:val="FF0000"/>
      <w:sz w:val="21"/>
      <w:szCs w:val="21"/>
      <w:u w:val="none"/>
    </w:rPr>
  </w:style>
  <w:style w:type="paragraph" w:customStyle="1" w:styleId="50">
    <w:name w:val="_Style 2"/>
    <w:basedOn w:val="1"/>
    <w:qFormat/>
    <w:uiPriority w:val="34"/>
    <w:pPr>
      <w:widowControl/>
      <w:ind w:firstLine="420" w:firstLineChars="200"/>
      <w:jc w:val="left"/>
    </w:pPr>
    <w:rPr>
      <w:rFonts w:ascii="宋体" w:hAnsi="宋体" w:cs="宋体"/>
      <w:kern w:val="0"/>
      <w:sz w:val="24"/>
    </w:rPr>
  </w:style>
  <w:style w:type="character" w:customStyle="1" w:styleId="51">
    <w:name w:val="font71"/>
    <w:basedOn w:val="25"/>
    <w:qFormat/>
    <w:uiPriority w:val="0"/>
    <w:rPr>
      <w:rFonts w:hint="eastAsia" w:ascii="宋体" w:hAnsi="宋体" w:eastAsia="宋体" w:cs="宋体"/>
      <w:color w:val="000000"/>
      <w:sz w:val="28"/>
      <w:szCs w:val="28"/>
      <w:u w:val="none"/>
    </w:rPr>
  </w:style>
  <w:style w:type="paragraph" w:customStyle="1" w:styleId="52">
    <w:name w:val="方案正文"/>
    <w:basedOn w:val="1"/>
    <w:qFormat/>
    <w:uiPriority w:val="0"/>
    <w:pPr>
      <w:spacing w:before="156" w:line="360" w:lineRule="auto"/>
      <w:ind w:firstLine="359" w:firstLineChars="171"/>
      <w:jc w:val="left"/>
    </w:pPr>
    <w:rPr>
      <w:sz w:val="24"/>
    </w:rPr>
  </w:style>
  <w:style w:type="paragraph" w:customStyle="1" w:styleId="53">
    <w:name w:val="GF报告一级标题"/>
    <w:basedOn w:val="1"/>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54">
    <w:name w:val="GF报告正文"/>
    <w:basedOn w:val="1"/>
    <w:qFormat/>
    <w:uiPriority w:val="0"/>
    <w:pPr>
      <w:widowControl/>
      <w:adjustRightInd w:val="0"/>
      <w:spacing w:line="360" w:lineRule="atLeast"/>
      <w:ind w:firstLine="431"/>
      <w:jc w:val="left"/>
      <w:textAlignment w:val="baseline"/>
    </w:pPr>
    <w:rPr>
      <w:rFonts w:ascii="黑体"/>
      <w:kern w:val="0"/>
      <w:szCs w:val="20"/>
    </w:rPr>
  </w:style>
  <w:style w:type="paragraph" w:customStyle="1" w:styleId="55">
    <w:name w:val="GF报告二级标题"/>
    <w:basedOn w:val="1"/>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paragraph" w:customStyle="1" w:styleId="56">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57">
    <w:name w:val="redfilenumber"/>
    <w:basedOn w:val="25"/>
    <w:qFormat/>
    <w:uiPriority w:val="0"/>
    <w:rPr>
      <w:color w:val="BA2636"/>
      <w:sz w:val="18"/>
      <w:szCs w:val="18"/>
    </w:rPr>
  </w:style>
  <w:style w:type="character" w:customStyle="1" w:styleId="58">
    <w:name w:val="gjfg"/>
    <w:basedOn w:val="25"/>
    <w:qFormat/>
    <w:uiPriority w:val="0"/>
  </w:style>
  <w:style w:type="character" w:customStyle="1" w:styleId="59">
    <w:name w:val="qxdate"/>
    <w:basedOn w:val="25"/>
    <w:qFormat/>
    <w:uiPriority w:val="0"/>
    <w:rPr>
      <w:color w:val="333333"/>
      <w:sz w:val="18"/>
      <w:szCs w:val="18"/>
    </w:rPr>
  </w:style>
  <w:style w:type="character" w:customStyle="1" w:styleId="60">
    <w:name w:val="redfilefwwh"/>
    <w:basedOn w:val="25"/>
    <w:qFormat/>
    <w:uiPriority w:val="0"/>
    <w:rPr>
      <w:color w:val="BA2636"/>
      <w:sz w:val="18"/>
      <w:szCs w:val="18"/>
    </w:rPr>
  </w:style>
  <w:style w:type="character" w:customStyle="1" w:styleId="61">
    <w:name w:val="cfdate"/>
    <w:basedOn w:val="25"/>
    <w:qFormat/>
    <w:uiPriority w:val="0"/>
    <w:rPr>
      <w:color w:val="333333"/>
      <w:sz w:val="18"/>
      <w:szCs w:val="18"/>
    </w:rPr>
  </w:style>
  <w:style w:type="character" w:customStyle="1" w:styleId="62">
    <w:name w:val="displayarti"/>
    <w:basedOn w:val="25"/>
    <w:qFormat/>
    <w:uiPriority w:val="0"/>
    <w:rPr>
      <w:color w:val="FFFFFF"/>
      <w:shd w:val="clear" w:color="auto" w:fill="A00000"/>
    </w:rPr>
  </w:style>
  <w:style w:type="paragraph" w:styleId="63">
    <w:name w:val="List Paragraph"/>
    <w:basedOn w:val="1"/>
    <w:qFormat/>
    <w:uiPriority w:val="34"/>
    <w:pPr>
      <w:ind w:left="720"/>
      <w:contextualSpacing/>
    </w:pPr>
  </w:style>
  <w:style w:type="character" w:customStyle="1" w:styleId="64">
    <w:name w:val="标题 1 Char"/>
    <w:link w:val="2"/>
    <w:qFormat/>
    <w:uiPriority w:val="0"/>
    <w:rPr>
      <w:b/>
      <w:bCs/>
      <w:kern w:val="44"/>
      <w:sz w:val="44"/>
      <w:szCs w:val="44"/>
    </w:rPr>
  </w:style>
  <w:style w:type="character" w:customStyle="1" w:styleId="65">
    <w:name w:val="hover5"/>
    <w:basedOn w:val="25"/>
    <w:qFormat/>
    <w:uiPriority w:val="0"/>
    <w:rPr>
      <w:color w:val="0063BA"/>
    </w:rPr>
  </w:style>
  <w:style w:type="character" w:customStyle="1" w:styleId="66">
    <w:name w:val="before"/>
    <w:basedOn w:val="25"/>
    <w:qFormat/>
    <w:uiPriority w:val="0"/>
    <w:rPr>
      <w:shd w:val="clear" w:fill="E22323"/>
    </w:rPr>
  </w:style>
  <w:style w:type="paragraph" w:customStyle="1" w:styleId="67">
    <w:name w:val="Table Paragraph"/>
    <w:basedOn w:val="1"/>
    <w:qFormat/>
    <w:uiPriority w:val="1"/>
    <w:rPr>
      <w:rFonts w:ascii="宋体" w:hAnsi="宋体" w:eastAsia="宋体" w:cs="宋体"/>
      <w:lang w:val="zh-CN" w:eastAsia="zh-CN" w:bidi="zh-CN"/>
    </w:rPr>
  </w:style>
  <w:style w:type="paragraph" w:customStyle="1" w:styleId="68">
    <w:name w:val="_Style 3"/>
    <w:next w:val="69"/>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
    <w:name w:val="Pa13"/>
    <w:basedOn w:val="40"/>
    <w:next w:val="40"/>
    <w:qFormat/>
    <w:uiPriority w:val="99"/>
    <w:pPr>
      <w:spacing w:line="241" w:lineRule="atLeast"/>
    </w:pPr>
    <w:rPr>
      <w:rFonts w:ascii="HelveticaNeueLT Std Lt Cn" w:hAnsi="Calibri" w:eastAsia="HelveticaNeueLT Std Lt Cn" w:cs="Times New Roman"/>
      <w:color w:val="auto"/>
    </w:rPr>
  </w:style>
  <w:style w:type="character" w:customStyle="1" w:styleId="70">
    <w:name w:val="prev"/>
    <w:basedOn w:val="25"/>
    <w:qFormat/>
    <w:uiPriority w:val="0"/>
    <w:rPr>
      <w:rFonts w:ascii="微软雅黑" w:hAnsi="微软雅黑" w:eastAsia="微软雅黑" w:cs="微软雅黑"/>
      <w:sz w:val="21"/>
      <w:szCs w:val="21"/>
    </w:rPr>
  </w:style>
  <w:style w:type="character" w:customStyle="1" w:styleId="71">
    <w:name w:val="prev1"/>
    <w:basedOn w:val="25"/>
    <w:qFormat/>
    <w:uiPriority w:val="0"/>
    <w:rPr>
      <w:color w:val="888888"/>
    </w:rPr>
  </w:style>
  <w:style w:type="character" w:customStyle="1" w:styleId="72">
    <w:name w:val="next"/>
    <w:basedOn w:val="25"/>
    <w:qFormat/>
    <w:uiPriority w:val="0"/>
    <w:rPr>
      <w:rFonts w:hint="eastAsia" w:ascii="微软雅黑" w:hAnsi="微软雅黑" w:eastAsia="微软雅黑" w:cs="微软雅黑"/>
      <w:sz w:val="21"/>
      <w:szCs w:val="21"/>
    </w:rPr>
  </w:style>
  <w:style w:type="character" w:customStyle="1" w:styleId="73">
    <w:name w:val="next1"/>
    <w:basedOn w:val="25"/>
    <w:qFormat/>
    <w:uiPriority w:val="0"/>
    <w:rPr>
      <w:color w:val="888888"/>
    </w:rPr>
  </w:style>
  <w:style w:type="character" w:customStyle="1" w:styleId="74">
    <w:name w:val="NormalCharacter"/>
    <w:qFormat/>
    <w:uiPriority w:val="0"/>
    <w:rPr>
      <w:kern w:val="2"/>
      <w:sz w:val="21"/>
      <w:szCs w:val="22"/>
      <w:lang w:val="en-US" w:eastAsia="zh-CN" w:bidi="ar-SA"/>
    </w:rPr>
  </w:style>
  <w:style w:type="paragraph" w:customStyle="1" w:styleId="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CM11"/>
    <w:basedOn w:val="40"/>
    <w:next w:val="40"/>
    <w:unhideWhenUsed/>
    <w:qFormat/>
    <w:uiPriority w:val="99"/>
    <w:pPr>
      <w:spacing w:beforeLines="0" w:afterLines="0" w:line="520" w:lineRule="atLeast"/>
    </w:pPr>
    <w:rPr>
      <w:rFonts w:hint="default"/>
      <w:sz w:val="24"/>
    </w:rPr>
  </w:style>
  <w:style w:type="paragraph" w:customStyle="1" w:styleId="77">
    <w:name w:val="CM13"/>
    <w:basedOn w:val="40"/>
    <w:next w:val="40"/>
    <w:unhideWhenUsed/>
    <w:qFormat/>
    <w:uiPriority w:val="99"/>
    <w:pPr>
      <w:spacing w:beforeLines="0" w:afterLines="0" w:line="520" w:lineRule="atLeast"/>
    </w:pPr>
    <w:rPr>
      <w:rFonts w:hint="default"/>
      <w:sz w:val="24"/>
    </w:rPr>
  </w:style>
  <w:style w:type="paragraph" w:customStyle="1" w:styleId="78">
    <w:name w:val="CM14"/>
    <w:basedOn w:val="40"/>
    <w:next w:val="40"/>
    <w:unhideWhenUsed/>
    <w:qFormat/>
    <w:uiPriority w:val="99"/>
    <w:pPr>
      <w:spacing w:beforeLines="0" w:afterLines="0" w:line="546" w:lineRule="atLeast"/>
    </w:pPr>
    <w:rPr>
      <w:rFonts w:hint="default"/>
      <w:sz w:val="24"/>
    </w:rPr>
  </w:style>
  <w:style w:type="character" w:customStyle="1" w:styleId="79">
    <w:name w:val="标题 1 Char1"/>
    <w:qFormat/>
    <w:uiPriority w:val="0"/>
    <w:rPr>
      <w:rFonts w:ascii="Times New Roman" w:hAnsi="Times New Roman" w:eastAsia="宋体" w:cs="Times New Roman"/>
      <w:b/>
      <w:bCs/>
      <w:kern w:val="44"/>
      <w:sz w:val="32"/>
      <w:szCs w:val="44"/>
    </w:rPr>
  </w:style>
  <w:style w:type="paragraph" w:customStyle="1" w:styleId="80">
    <w:name w:val="首行缩进"/>
    <w:basedOn w:val="1"/>
    <w:next w:val="13"/>
    <w:qFormat/>
    <w:uiPriority w:val="0"/>
    <w:pPr>
      <w:numPr>
        <w:ilvl w:val="0"/>
        <w:numId w:val="1"/>
      </w:numPr>
      <w:spacing w:line="360" w:lineRule="auto"/>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53670</Words>
  <Characters>58596</Characters>
  <Lines>215</Lines>
  <Paragraphs>60</Paragraphs>
  <TotalTime>33</TotalTime>
  <ScaleCrop>false</ScaleCrop>
  <LinksUpToDate>false</LinksUpToDate>
  <CharactersWithSpaces>61630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2017-07-20T02:31:00Z</dcterms:created>
  <dc:creator>Administrator</dc:creator>
  <cp:lastModifiedBy>zhao</cp:lastModifiedBy>
  <cp:lastPrinted>2020-12-07T01:09:00Z</cp:lastPrinted>
  <dcterms:modified xsi:type="dcterms:W3CDTF">2025-07-07T02:43:13Z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eyJoZGlkIjoiYWJmNTAxYTA0NTllZTU0OWY5NWY0MWNlMzBjNGU2OTYiLCJ1c2VySWQiOiI0NDc3NDQ1OTYifQ==</vt:lpwstr>
  </property>
  <property fmtid="{D5CDD505-2E9C-101B-9397-08002B2CF9AE}" pid="4" name="ICV">
    <vt:lpwstr>4AE9BC44834444D19C9CEA94E8144F45_12</vt:lpwstr>
  </property>
</Properties>
</file>