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22C76">
      <w:pPr>
        <w:jc w:val="center"/>
        <w:rPr>
          <w:rFonts w:hint="eastAsia" w:ascii="宋体" w:hAnsi="宋体" w:cs="宋体"/>
          <w:b/>
          <w:bCs/>
          <w:color w:val="auto"/>
          <w:sz w:val="72"/>
          <w:szCs w:val="72"/>
          <w:highlight w:val="none"/>
        </w:rPr>
      </w:pPr>
      <w:bookmarkStart w:id="0" w:name="_Toc25490"/>
      <w:bookmarkStart w:id="1" w:name="_Toc26523"/>
    </w:p>
    <w:p w14:paraId="270FCA9F">
      <w:pPr>
        <w:jc w:val="center"/>
        <w:rPr>
          <w:rFonts w:hint="eastAsia" w:ascii="宋体" w:hAnsi="宋体" w:cs="宋体"/>
          <w:b/>
          <w:bCs/>
          <w:color w:val="auto"/>
          <w:sz w:val="56"/>
          <w:szCs w:val="56"/>
          <w:highlight w:val="none"/>
        </w:rPr>
      </w:pPr>
      <w:r>
        <w:rPr>
          <w:rFonts w:hint="eastAsia" w:ascii="宋体" w:hAnsi="宋体" w:cs="宋体"/>
          <w:b/>
          <w:bCs/>
          <w:color w:val="auto"/>
          <w:sz w:val="60"/>
          <w:szCs w:val="60"/>
          <w:highlight w:val="none"/>
          <w:lang w:eastAsia="zh-CN"/>
        </w:rPr>
        <w:t>高质量发展-国家平台-长春中医药大学方药量效关键技术研究平台（三次）</w:t>
      </w:r>
    </w:p>
    <w:p w14:paraId="5F96E9CE">
      <w:pPr>
        <w:jc w:val="center"/>
        <w:rPr>
          <w:rFonts w:hint="eastAsia" w:ascii="宋体" w:hAnsi="宋体" w:cs="宋体"/>
          <w:b/>
          <w:bCs/>
          <w:color w:val="auto"/>
          <w:sz w:val="72"/>
          <w:szCs w:val="72"/>
          <w:highlight w:val="none"/>
        </w:rPr>
      </w:pPr>
    </w:p>
    <w:p w14:paraId="1236303E">
      <w:pPr>
        <w:jc w:val="center"/>
        <w:rPr>
          <w:rFonts w:hint="eastAsia" w:ascii="宋体" w:hAnsi="宋体" w:cs="宋体"/>
          <w:b/>
          <w:bCs/>
          <w:color w:val="auto"/>
          <w:sz w:val="72"/>
          <w:szCs w:val="72"/>
          <w:highlight w:val="none"/>
        </w:rPr>
      </w:pPr>
      <w:r>
        <w:rPr>
          <w:rFonts w:hint="eastAsia" w:ascii="宋体" w:hAnsi="宋体" w:cs="宋体"/>
          <w:b/>
          <w:bCs/>
          <w:color w:val="auto"/>
          <w:sz w:val="96"/>
          <w:szCs w:val="96"/>
          <w:highlight w:val="none"/>
        </w:rPr>
        <w:t>采购文件</w:t>
      </w:r>
    </w:p>
    <w:p w14:paraId="0C6DB510">
      <w:pPr>
        <w:jc w:val="center"/>
        <w:rPr>
          <w:rFonts w:hint="eastAsia" w:ascii="宋体" w:hAnsi="宋体" w:cs="宋体"/>
          <w:bCs/>
          <w:color w:val="auto"/>
          <w:sz w:val="28"/>
          <w:highlight w:val="none"/>
        </w:rPr>
      </w:pPr>
    </w:p>
    <w:p w14:paraId="3220BB8E">
      <w:pPr>
        <w:jc w:val="center"/>
        <w:rPr>
          <w:rFonts w:hint="eastAsia" w:ascii="宋体" w:hAnsi="宋体" w:cs="宋体"/>
          <w:bCs/>
          <w:color w:val="auto"/>
          <w:sz w:val="28"/>
          <w:highlight w:val="none"/>
        </w:rPr>
      </w:pPr>
    </w:p>
    <w:p w14:paraId="1B27AC05">
      <w:pPr>
        <w:pStyle w:val="16"/>
        <w:rPr>
          <w:color w:val="auto"/>
          <w:highlight w:val="none"/>
        </w:rPr>
      </w:pPr>
    </w:p>
    <w:p w14:paraId="38D74A3A">
      <w:pPr>
        <w:jc w:val="center"/>
        <w:rPr>
          <w:rFonts w:hint="eastAsia" w:ascii="宋体" w:hAnsi="宋体" w:cs="宋体"/>
          <w:bCs/>
          <w:color w:val="auto"/>
          <w:sz w:val="32"/>
          <w:highlight w:val="none"/>
        </w:rPr>
      </w:pPr>
    </w:p>
    <w:p w14:paraId="0CFB59E6">
      <w:pPr>
        <w:jc w:val="center"/>
        <w:rPr>
          <w:rFonts w:hint="eastAsia" w:ascii="宋体" w:hAnsi="宋体" w:cs="宋体"/>
          <w:bCs/>
          <w:color w:val="auto"/>
          <w:sz w:val="32"/>
          <w:highlight w:val="none"/>
        </w:rPr>
      </w:pPr>
      <w:r>
        <w:rPr>
          <w:rFonts w:hint="eastAsia" w:ascii="宋体" w:hAnsi="宋体" w:cs="宋体"/>
          <w:b/>
          <w:bCs/>
          <w:color w:val="auto"/>
          <w:sz w:val="32"/>
          <w:highlight w:val="none"/>
        </w:rPr>
        <w:t>项目编号：</w:t>
      </w:r>
      <w:r>
        <w:rPr>
          <w:rFonts w:hint="eastAsia" w:ascii="宋体" w:hAnsi="宋体" w:cs="宋体"/>
          <w:b/>
          <w:bCs/>
          <w:color w:val="auto"/>
          <w:sz w:val="32"/>
          <w:szCs w:val="22"/>
          <w:highlight w:val="none"/>
        </w:rPr>
        <w:t>JLZJ-2025-</w:t>
      </w:r>
      <w:r>
        <w:rPr>
          <w:rFonts w:hint="eastAsia" w:ascii="宋体" w:hAnsi="宋体" w:cs="宋体"/>
          <w:b/>
          <w:bCs/>
          <w:color w:val="auto"/>
          <w:sz w:val="32"/>
          <w:szCs w:val="22"/>
          <w:highlight w:val="none"/>
          <w:lang w:val="en-US" w:eastAsia="zh-CN"/>
        </w:rPr>
        <w:t>-</w:t>
      </w:r>
      <w:r>
        <w:rPr>
          <w:rFonts w:hint="eastAsia" w:ascii="宋体" w:hAnsi="宋体" w:cs="宋体"/>
          <w:b/>
          <w:bCs/>
          <w:color w:val="auto"/>
          <w:sz w:val="32"/>
          <w:szCs w:val="22"/>
          <w:highlight w:val="none"/>
        </w:rPr>
        <w:t>1012</w:t>
      </w:r>
    </w:p>
    <w:p w14:paraId="2E1C572C">
      <w:pPr>
        <w:snapToGrid w:val="0"/>
        <w:rPr>
          <w:rFonts w:hint="eastAsia" w:ascii="宋体" w:hAnsi="宋体" w:cs="宋体"/>
          <w:bCs/>
          <w:color w:val="auto"/>
          <w:sz w:val="32"/>
          <w:highlight w:val="none"/>
        </w:rPr>
      </w:pPr>
    </w:p>
    <w:p w14:paraId="681EC493">
      <w:pPr>
        <w:snapToGrid w:val="0"/>
        <w:rPr>
          <w:rFonts w:hint="eastAsia" w:ascii="宋体" w:hAnsi="宋体" w:cs="宋体"/>
          <w:bCs/>
          <w:color w:val="auto"/>
          <w:sz w:val="32"/>
          <w:highlight w:val="none"/>
        </w:rPr>
      </w:pPr>
    </w:p>
    <w:p w14:paraId="76D4236A">
      <w:pPr>
        <w:snapToGrid w:val="0"/>
        <w:rPr>
          <w:rFonts w:hint="eastAsia" w:ascii="宋体" w:hAnsi="宋体" w:cs="宋体"/>
          <w:bCs/>
          <w:color w:val="auto"/>
          <w:sz w:val="32"/>
          <w:highlight w:val="none"/>
        </w:rPr>
      </w:pPr>
    </w:p>
    <w:p w14:paraId="0C2A0B9D">
      <w:pPr>
        <w:rPr>
          <w:color w:val="auto"/>
          <w:highlight w:val="none"/>
        </w:rPr>
      </w:pPr>
    </w:p>
    <w:p w14:paraId="268DD43C">
      <w:pPr>
        <w:pStyle w:val="16"/>
        <w:rPr>
          <w:rFonts w:hint="eastAsia" w:ascii="宋体" w:hAnsi="宋体" w:cs="宋体"/>
          <w:color w:val="auto"/>
          <w:highlight w:val="none"/>
        </w:rPr>
      </w:pPr>
    </w:p>
    <w:p w14:paraId="1E11B3B4">
      <w:pPr>
        <w:snapToGrid w:val="0"/>
        <w:jc w:val="center"/>
        <w:rPr>
          <w:rFonts w:hint="eastAsia" w:ascii="宋体" w:hAnsi="宋体" w:cs="宋体"/>
          <w:bCs/>
          <w:color w:val="auto"/>
          <w:sz w:val="32"/>
          <w:highlight w:val="none"/>
        </w:rPr>
      </w:pPr>
    </w:p>
    <w:p w14:paraId="7186727E">
      <w:pPr>
        <w:snapToGrid w:val="0"/>
        <w:rPr>
          <w:rFonts w:hint="eastAsia" w:ascii="宋体" w:hAnsi="宋体" w:cs="宋体"/>
          <w:b/>
          <w:bCs/>
          <w:color w:val="auto"/>
          <w:sz w:val="32"/>
          <w:highlight w:val="none"/>
        </w:rPr>
      </w:pPr>
      <w:r>
        <w:rPr>
          <w:rFonts w:hint="eastAsia" w:ascii="宋体" w:hAnsi="宋体" w:cs="宋体"/>
          <w:b/>
          <w:bCs/>
          <w:color w:val="auto"/>
          <w:sz w:val="32"/>
          <w:highlight w:val="none"/>
        </w:rPr>
        <w:t xml:space="preserve">            采购人：</w:t>
      </w:r>
      <w:r>
        <w:rPr>
          <w:rFonts w:hint="eastAsia" w:ascii="宋体" w:hAnsi="宋体" w:cs="宋体"/>
          <w:b/>
          <w:bCs/>
          <w:color w:val="auto"/>
          <w:sz w:val="32"/>
          <w:highlight w:val="none"/>
          <w:lang w:val="zh-CN"/>
        </w:rPr>
        <w:t>长春中医药大学</w:t>
      </w:r>
    </w:p>
    <w:p w14:paraId="1966DDE3">
      <w:pPr>
        <w:snapToGrid w:val="0"/>
        <w:rPr>
          <w:rFonts w:hint="eastAsia" w:ascii="宋体" w:hAnsi="宋体" w:cs="宋体"/>
          <w:b/>
          <w:bCs/>
          <w:color w:val="auto"/>
          <w:sz w:val="32"/>
          <w:highlight w:val="none"/>
        </w:rPr>
      </w:pPr>
    </w:p>
    <w:p w14:paraId="066B3A36">
      <w:pPr>
        <w:snapToGrid w:val="0"/>
        <w:rPr>
          <w:rFonts w:hint="eastAsia" w:ascii="宋体" w:hAnsi="宋体" w:cs="宋体"/>
          <w:b/>
          <w:bCs/>
          <w:color w:val="auto"/>
          <w:sz w:val="32"/>
          <w:highlight w:val="none"/>
        </w:rPr>
      </w:pPr>
      <w:r>
        <w:rPr>
          <w:rFonts w:hint="eastAsia" w:ascii="宋体" w:hAnsi="宋体" w:cs="宋体"/>
          <w:b/>
          <w:bCs/>
          <w:color w:val="auto"/>
          <w:sz w:val="32"/>
          <w:highlight w:val="none"/>
        </w:rPr>
        <w:t xml:space="preserve">            采购代理机构：吉林省中锦工程管理有限公司</w:t>
      </w:r>
    </w:p>
    <w:p w14:paraId="5FB792D1">
      <w:pPr>
        <w:snapToGrid w:val="0"/>
        <w:jc w:val="center"/>
        <w:rPr>
          <w:rFonts w:hint="eastAsia" w:ascii="宋体" w:hAnsi="宋体" w:cs="宋体"/>
          <w:b/>
          <w:bCs/>
          <w:color w:val="auto"/>
          <w:sz w:val="32"/>
          <w:highlight w:val="none"/>
        </w:rPr>
      </w:pPr>
    </w:p>
    <w:p w14:paraId="285E0068">
      <w:pPr>
        <w:jc w:val="center"/>
        <w:rPr>
          <w:rFonts w:hint="eastAsia" w:ascii="宋体" w:hAnsi="宋体" w:cs="宋体"/>
          <w:b/>
          <w:bCs/>
          <w:color w:val="auto"/>
          <w:highlight w:val="none"/>
        </w:rPr>
      </w:pPr>
      <w:r>
        <w:rPr>
          <w:rFonts w:hint="eastAsia" w:ascii="宋体" w:hAnsi="宋体" w:cs="宋体"/>
          <w:b/>
          <w:bCs/>
          <w:color w:val="auto"/>
          <w:sz w:val="32"/>
          <w:szCs w:val="32"/>
          <w:highlight w:val="none"/>
        </w:rPr>
        <w:t>日期：二〇二五年</w:t>
      </w:r>
      <w:r>
        <w:rPr>
          <w:rFonts w:hint="eastAsia" w:ascii="宋体" w:hAnsi="宋体" w:cs="宋体"/>
          <w:b/>
          <w:bCs/>
          <w:color w:val="auto"/>
          <w:sz w:val="32"/>
          <w:szCs w:val="32"/>
          <w:highlight w:val="none"/>
          <w:lang w:val="en-US" w:eastAsia="zh-CN"/>
        </w:rPr>
        <w:t>七</w:t>
      </w:r>
      <w:r>
        <w:rPr>
          <w:rFonts w:hint="eastAsia" w:ascii="宋体" w:hAnsi="宋体" w:cs="宋体"/>
          <w:b/>
          <w:bCs/>
          <w:color w:val="auto"/>
          <w:sz w:val="32"/>
          <w:szCs w:val="32"/>
          <w:highlight w:val="none"/>
        </w:rPr>
        <w:t>月</w:t>
      </w:r>
    </w:p>
    <w:p w14:paraId="6F101767">
      <w:pPr>
        <w:pStyle w:val="107"/>
        <w:jc w:val="center"/>
        <w:rPr>
          <w:rFonts w:hint="eastAsia" w:asciiTheme="minorEastAsia" w:hAnsiTheme="minorEastAsia" w:eastAsiaTheme="minorEastAsia" w:cstheme="minorEastAsia"/>
          <w:color w:val="auto"/>
          <w:sz w:val="56"/>
          <w:szCs w:val="56"/>
          <w:highlight w:val="none"/>
          <w:lang w:val="zh-CN"/>
        </w:rPr>
        <w:sectPr>
          <w:headerReference r:id="rId4" w:type="first"/>
          <w:footerReference r:id="rId7" w:type="first"/>
          <w:headerReference r:id="rId3" w:type="default"/>
          <w:footerReference r:id="rId5" w:type="default"/>
          <w:footerReference r:id="rId6" w:type="even"/>
          <w:pgSz w:w="11906" w:h="16838"/>
          <w:pgMar w:top="1440" w:right="1080" w:bottom="1440" w:left="1080" w:header="1247" w:footer="1344" w:gutter="0"/>
          <w:pgNumType w:start="0"/>
          <w:cols w:space="720" w:num="1"/>
          <w:docGrid w:linePitch="312" w:charSpace="0"/>
        </w:sectPr>
      </w:pPr>
    </w:p>
    <w:p w14:paraId="6995FEC2">
      <w:pPr>
        <w:pStyle w:val="107"/>
        <w:jc w:val="center"/>
        <w:rPr>
          <w:rFonts w:hint="eastAsia" w:asciiTheme="minorEastAsia" w:hAnsiTheme="minorEastAsia" w:eastAsiaTheme="minorEastAsia" w:cstheme="minorEastAsia"/>
          <w:color w:val="auto"/>
          <w:sz w:val="52"/>
          <w:szCs w:val="52"/>
          <w:highlight w:val="none"/>
        </w:rPr>
      </w:pPr>
      <w:r>
        <w:rPr>
          <w:rFonts w:hint="eastAsia" w:asciiTheme="minorEastAsia" w:hAnsiTheme="minorEastAsia" w:eastAsiaTheme="minorEastAsia" w:cstheme="minorEastAsia"/>
          <w:color w:val="auto"/>
          <w:sz w:val="52"/>
          <w:szCs w:val="52"/>
          <w:highlight w:val="none"/>
          <w:lang w:val="zh-CN"/>
        </w:rPr>
        <w:t>目</w:t>
      </w:r>
      <w:r>
        <w:rPr>
          <w:rFonts w:hint="eastAsia" w:asciiTheme="minorEastAsia" w:hAnsiTheme="minorEastAsia" w:eastAsiaTheme="minorEastAsia" w:cstheme="minorEastAsia"/>
          <w:color w:val="auto"/>
          <w:sz w:val="52"/>
          <w:szCs w:val="52"/>
          <w:highlight w:val="none"/>
        </w:rPr>
        <w:t xml:space="preserve"> </w:t>
      </w:r>
      <w:r>
        <w:rPr>
          <w:rFonts w:hint="eastAsia" w:asciiTheme="minorEastAsia" w:hAnsiTheme="minorEastAsia" w:eastAsiaTheme="minorEastAsia" w:cstheme="minorEastAsia"/>
          <w:color w:val="auto"/>
          <w:sz w:val="52"/>
          <w:szCs w:val="52"/>
          <w:highlight w:val="none"/>
          <w:lang w:val="zh-CN"/>
        </w:rPr>
        <w:t>录</w:t>
      </w:r>
      <w:bookmarkEnd w:id="0"/>
      <w:bookmarkEnd w:id="1"/>
    </w:p>
    <w:p w14:paraId="00812E69">
      <w:pPr>
        <w:pStyle w:val="30"/>
        <w:tabs>
          <w:tab w:val="right" w:leader="dot" w:pos="9354"/>
        </w:tabs>
        <w:spacing w:line="360" w:lineRule="auto"/>
        <w:rPr>
          <w:rFonts w:hint="eastAsia" w:ascii="宋体" w:hAnsi="宋体" w:cs="宋体"/>
          <w:color w:val="auto"/>
          <w:sz w:val="24"/>
          <w:szCs w:val="24"/>
          <w:highlight w:val="none"/>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TOC \o "1-3" \h \z \u </w:instrText>
      </w:r>
      <w:r>
        <w:rPr>
          <w:rFonts w:hint="eastAsia" w:asciiTheme="minorEastAsia" w:hAnsiTheme="minorEastAsia" w:eastAsiaTheme="minorEastAsia" w:cstheme="minorEastAsia"/>
          <w:color w:val="auto"/>
          <w:sz w:val="32"/>
          <w:szCs w:val="32"/>
          <w:highlight w:val="none"/>
        </w:rPr>
        <w:fldChar w:fldCharType="separate"/>
      </w:r>
      <w:r>
        <w:rPr>
          <w:color w:val="auto"/>
          <w:highlight w:val="none"/>
        </w:rPr>
        <w:fldChar w:fldCharType="begin"/>
      </w:r>
      <w:r>
        <w:rPr>
          <w:color w:val="auto"/>
          <w:highlight w:val="none"/>
        </w:rPr>
        <w:instrText xml:space="preserve"> HYPERLINK \l "_Toc23308" </w:instrText>
      </w:r>
      <w:r>
        <w:rPr>
          <w:color w:val="auto"/>
          <w:highlight w:val="none"/>
        </w:rPr>
        <w:fldChar w:fldCharType="separate"/>
      </w:r>
      <w:r>
        <w:rPr>
          <w:rFonts w:hint="eastAsia" w:ascii="宋体" w:hAnsi="宋体" w:cs="宋体"/>
          <w:color w:val="auto"/>
          <w:sz w:val="24"/>
          <w:szCs w:val="24"/>
          <w:highlight w:val="none"/>
        </w:rPr>
        <w:t>第一章 采购公告</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_Toc23308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186016B0">
      <w:pPr>
        <w:pStyle w:val="30"/>
        <w:tabs>
          <w:tab w:val="right" w:leader="dot" w:pos="9354"/>
        </w:tabs>
        <w:spacing w:line="36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"_Toc5460" </w:instrText>
      </w:r>
      <w:r>
        <w:rPr>
          <w:color w:val="auto"/>
          <w:highlight w:val="none"/>
        </w:rPr>
        <w:fldChar w:fldCharType="separate"/>
      </w:r>
      <w:r>
        <w:rPr>
          <w:rFonts w:hint="eastAsia" w:ascii="宋体" w:hAnsi="宋体" w:cs="宋体"/>
          <w:color w:val="auto"/>
          <w:sz w:val="24"/>
          <w:szCs w:val="24"/>
          <w:highlight w:val="none"/>
        </w:rPr>
        <w:t>第二章 供应商须知前附表</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_Toc5460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5FC738B">
      <w:pPr>
        <w:pStyle w:val="30"/>
        <w:tabs>
          <w:tab w:val="right" w:leader="dot" w:pos="9354"/>
        </w:tabs>
        <w:spacing w:line="36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"_Toc11906" </w:instrText>
      </w:r>
      <w:r>
        <w:rPr>
          <w:color w:val="auto"/>
          <w:highlight w:val="none"/>
        </w:rPr>
        <w:fldChar w:fldCharType="separate"/>
      </w:r>
      <w:r>
        <w:rPr>
          <w:rFonts w:hint="eastAsia" w:ascii="宋体" w:hAnsi="宋体" w:cs="宋体"/>
          <w:color w:val="auto"/>
          <w:sz w:val="24"/>
          <w:szCs w:val="24"/>
          <w:highlight w:val="none"/>
        </w:rPr>
        <w:t>第三章 供应商须知</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_Toc11906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19D47FAF">
      <w:pPr>
        <w:pStyle w:val="30"/>
        <w:tabs>
          <w:tab w:val="right" w:leader="dot" w:pos="9354"/>
        </w:tabs>
        <w:spacing w:line="36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"_Toc27025" </w:instrText>
      </w:r>
      <w:r>
        <w:rPr>
          <w:color w:val="auto"/>
          <w:highlight w:val="none"/>
        </w:rPr>
        <w:fldChar w:fldCharType="separate"/>
      </w:r>
      <w:r>
        <w:rPr>
          <w:rFonts w:hint="eastAsia" w:ascii="宋体" w:hAnsi="宋体" w:cs="宋体"/>
          <w:color w:val="auto"/>
          <w:sz w:val="24"/>
          <w:szCs w:val="24"/>
          <w:highlight w:val="none"/>
        </w:rPr>
        <w:t xml:space="preserve">第四章 </w:t>
      </w:r>
      <w:r>
        <w:rPr>
          <w:rFonts w:hint="eastAsia" w:ascii="宋体" w:hAnsi="宋体" w:cs="宋体"/>
          <w:color w:val="auto"/>
          <w:sz w:val="24"/>
          <w:szCs w:val="24"/>
          <w:highlight w:val="none"/>
          <w:lang w:val="zh-CN"/>
        </w:rPr>
        <w:t>采购需求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_Toc27025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00508C5A">
      <w:pPr>
        <w:pStyle w:val="30"/>
        <w:tabs>
          <w:tab w:val="right" w:leader="dot" w:pos="9354"/>
        </w:tabs>
        <w:spacing w:line="36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"_Toc18573" </w:instrText>
      </w:r>
      <w:r>
        <w:rPr>
          <w:color w:val="auto"/>
          <w:highlight w:val="none"/>
        </w:rPr>
        <w:fldChar w:fldCharType="separate"/>
      </w:r>
      <w:r>
        <w:rPr>
          <w:rFonts w:hint="eastAsia" w:ascii="宋体" w:hAnsi="宋体" w:cs="宋体"/>
          <w:color w:val="auto"/>
          <w:sz w:val="24"/>
          <w:szCs w:val="24"/>
          <w:highlight w:val="none"/>
        </w:rPr>
        <w:t>第五章 评标办法</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_Toc18573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43</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2BFB6B6">
      <w:pPr>
        <w:pStyle w:val="30"/>
        <w:tabs>
          <w:tab w:val="right" w:leader="dot" w:pos="9354"/>
        </w:tabs>
        <w:spacing w:line="36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"_Toc20307" </w:instrText>
      </w:r>
      <w:r>
        <w:rPr>
          <w:color w:val="auto"/>
          <w:highlight w:val="none"/>
        </w:rPr>
        <w:fldChar w:fldCharType="separate"/>
      </w:r>
      <w:r>
        <w:rPr>
          <w:rFonts w:hint="eastAsia" w:ascii="宋体" w:hAnsi="宋体" w:cs="宋体"/>
          <w:color w:val="auto"/>
          <w:sz w:val="24"/>
          <w:szCs w:val="24"/>
          <w:highlight w:val="none"/>
        </w:rPr>
        <w:t>第六章 响应文件格式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_Toc20307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49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61D851C7">
      <w:pPr>
        <w:pStyle w:val="30"/>
        <w:tabs>
          <w:tab w:val="right" w:leader="dot" w:pos="9354"/>
        </w:tabs>
        <w:spacing w:line="360" w:lineRule="auto"/>
        <w:rPr>
          <w:color w:val="auto"/>
          <w:highlight w:val="none"/>
        </w:rPr>
      </w:pPr>
      <w:r>
        <w:rPr>
          <w:color w:val="auto"/>
          <w:highlight w:val="none"/>
        </w:rPr>
        <w:fldChar w:fldCharType="begin"/>
      </w:r>
      <w:r>
        <w:rPr>
          <w:color w:val="auto"/>
          <w:highlight w:val="none"/>
        </w:rPr>
        <w:instrText xml:space="preserve"> HYPERLINK \l "_Toc4931" </w:instrText>
      </w:r>
      <w:r>
        <w:rPr>
          <w:color w:val="auto"/>
          <w:highlight w:val="none"/>
        </w:rPr>
        <w:fldChar w:fldCharType="separate"/>
      </w:r>
      <w:r>
        <w:rPr>
          <w:rFonts w:hint="eastAsia" w:ascii="宋体" w:hAnsi="宋体" w:cs="宋体"/>
          <w:color w:val="auto"/>
          <w:sz w:val="24"/>
          <w:szCs w:val="24"/>
          <w:highlight w:val="none"/>
        </w:rPr>
        <w:t>第七章 合同条款及格式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_Toc4931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71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68A1C9FB">
      <w:pPr>
        <w:rPr>
          <w:rFonts w:hint="eastAsia" w:asciiTheme="minorEastAsia" w:hAnsiTheme="minorEastAsia" w:eastAsiaTheme="minorEastAsia" w:cstheme="minorEastAsia"/>
          <w:color w:val="auto"/>
          <w:sz w:val="32"/>
          <w:szCs w:val="32"/>
          <w:highlight w:val="none"/>
        </w:rPr>
        <w:sectPr>
          <w:pgSz w:w="11906" w:h="16838"/>
          <w:pgMar w:top="1701" w:right="1134" w:bottom="851" w:left="1418" w:header="1247" w:footer="1344" w:gutter="0"/>
          <w:pgNumType w:start="0"/>
          <w:cols w:space="720" w:num="1"/>
          <w:titlePg/>
          <w:docGrid w:linePitch="312" w:charSpace="0"/>
        </w:sectPr>
      </w:pPr>
      <w:r>
        <w:rPr>
          <w:rFonts w:hint="eastAsia" w:asciiTheme="minorEastAsia" w:hAnsiTheme="minorEastAsia" w:eastAsiaTheme="minorEastAsia" w:cstheme="minorEastAsia"/>
          <w:color w:val="auto"/>
          <w:szCs w:val="32"/>
          <w:highlight w:val="none"/>
        </w:rPr>
        <w:fldChar w:fldCharType="end"/>
      </w:r>
      <w:bookmarkStart w:id="2" w:name="_Toc455213195"/>
      <w:bookmarkStart w:id="3" w:name="_Toc367975912"/>
    </w:p>
    <w:p w14:paraId="74052B86">
      <w:pPr>
        <w:jc w:val="center"/>
        <w:outlineLvl w:val="0"/>
        <w:rPr>
          <w:rFonts w:hint="eastAsia" w:asciiTheme="minorEastAsia" w:hAnsiTheme="minorEastAsia" w:eastAsiaTheme="minorEastAsia" w:cstheme="minorEastAsia"/>
          <w:b/>
          <w:color w:val="auto"/>
          <w:sz w:val="36"/>
          <w:szCs w:val="36"/>
          <w:highlight w:val="none"/>
        </w:rPr>
      </w:pPr>
      <w:bookmarkStart w:id="4" w:name="_Toc23308"/>
      <w:r>
        <w:rPr>
          <w:rFonts w:hint="eastAsia" w:asciiTheme="minorEastAsia" w:hAnsiTheme="minorEastAsia" w:eastAsiaTheme="minorEastAsia" w:cstheme="minorEastAsia"/>
          <w:b/>
          <w:color w:val="auto"/>
          <w:sz w:val="36"/>
          <w:szCs w:val="36"/>
          <w:highlight w:val="none"/>
        </w:rPr>
        <w:t xml:space="preserve">第一章 </w:t>
      </w:r>
      <w:bookmarkEnd w:id="2"/>
      <w:bookmarkStart w:id="5" w:name="OLE_LINK1"/>
      <w:r>
        <w:rPr>
          <w:rFonts w:hint="eastAsia" w:asciiTheme="minorEastAsia" w:hAnsiTheme="minorEastAsia" w:eastAsiaTheme="minorEastAsia" w:cstheme="minorEastAsia"/>
          <w:b/>
          <w:color w:val="auto"/>
          <w:sz w:val="36"/>
          <w:szCs w:val="36"/>
          <w:highlight w:val="none"/>
        </w:rPr>
        <w:t>采购公告</w:t>
      </w:r>
      <w:bookmarkEnd w:id="4"/>
    </w:p>
    <w:p w14:paraId="68741A01">
      <w:pPr>
        <w:rPr>
          <w:rFonts w:hint="eastAsia" w:asciiTheme="minorEastAsia" w:hAnsiTheme="minorEastAsia" w:eastAsiaTheme="minorEastAsia" w:cstheme="minorEastAsia"/>
          <w:color w:val="auto"/>
          <w:sz w:val="21"/>
          <w:szCs w:val="21"/>
          <w:highlight w:val="none"/>
        </w:rPr>
      </w:pPr>
    </w:p>
    <w:p w14:paraId="6070C9F5">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项目编号：JLZJ-2025-</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1012</w:t>
      </w:r>
    </w:p>
    <w:bookmarkEnd w:id="5"/>
    <w:p w14:paraId="6B72B219">
      <w:pPr>
        <w:autoSpaceDE w:val="0"/>
        <w:autoSpaceDN w:val="0"/>
        <w:adjustRightInd w:val="0"/>
        <w:spacing w:line="360" w:lineRule="auto"/>
        <w:rPr>
          <w:rFonts w:hint="eastAsia" w:ascii="宋体" w:hAnsi="宋体" w:cs="宋体"/>
          <w:b/>
          <w:color w:val="auto"/>
          <w:sz w:val="21"/>
          <w:szCs w:val="21"/>
          <w:highlight w:val="none"/>
          <w:lang w:val="zh-CN"/>
        </w:rPr>
      </w:pPr>
      <w:r>
        <w:rPr>
          <w:rFonts w:hint="eastAsia" w:ascii="宋体" w:hAnsi="宋体" w:cs="宋体"/>
          <w:b/>
          <w:color w:val="auto"/>
          <w:sz w:val="21"/>
          <w:szCs w:val="21"/>
          <w:highlight w:val="none"/>
          <w:lang w:val="zh-CN"/>
        </w:rPr>
        <w:t>项目概况</w:t>
      </w:r>
    </w:p>
    <w:p w14:paraId="05072F6F">
      <w:pPr>
        <w:autoSpaceDE w:val="0"/>
        <w:autoSpaceDN w:val="0"/>
        <w:adjustRightInd w:val="0"/>
        <w:spacing w:line="360" w:lineRule="auto"/>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高质量发展-国家平台-长春中医药大学方药量效关键技术研究平台（</w:t>
      </w:r>
      <w:r>
        <w:rPr>
          <w:rFonts w:hint="eastAsia" w:ascii="宋体" w:hAnsi="宋体" w:cs="宋体"/>
          <w:bCs/>
          <w:color w:val="auto"/>
          <w:sz w:val="21"/>
          <w:szCs w:val="21"/>
          <w:highlight w:val="none"/>
          <w:lang w:val="en-US" w:eastAsia="zh-CN"/>
        </w:rPr>
        <w:t>三</w:t>
      </w:r>
      <w:r>
        <w:rPr>
          <w:rFonts w:hint="eastAsia" w:ascii="宋体" w:hAnsi="宋体" w:cs="宋体"/>
          <w:bCs/>
          <w:color w:val="auto"/>
          <w:sz w:val="21"/>
          <w:szCs w:val="21"/>
          <w:highlight w:val="none"/>
          <w:lang w:val="zh-CN"/>
        </w:rPr>
        <w:t>次）的潜在供应商应在政府采购云平台（网址：http:// www.zc ygov.cn）获取招标文件，并于</w:t>
      </w:r>
      <w:r>
        <w:rPr>
          <w:rFonts w:hint="eastAsia" w:ascii="宋体" w:hAnsi="宋体" w:cs="宋体"/>
          <w:bCs/>
          <w:color w:val="auto"/>
          <w:sz w:val="21"/>
          <w:szCs w:val="21"/>
          <w:highlight w:val="none"/>
          <w:lang w:eastAsia="zh-CN"/>
        </w:rPr>
        <w:t>2025年07月23日09点00分</w:t>
      </w:r>
      <w:r>
        <w:rPr>
          <w:rFonts w:hint="eastAsia" w:ascii="宋体" w:hAnsi="宋体" w:cs="宋体"/>
          <w:bCs/>
          <w:color w:val="auto"/>
          <w:sz w:val="21"/>
          <w:szCs w:val="21"/>
          <w:highlight w:val="none"/>
          <w:lang w:val="zh-CN"/>
        </w:rPr>
        <w:t>（北京时间）前提交投标文件。</w:t>
      </w:r>
    </w:p>
    <w:p w14:paraId="68BFA1F3">
      <w:pPr>
        <w:autoSpaceDE w:val="0"/>
        <w:autoSpaceDN w:val="0"/>
        <w:adjustRightInd w:val="0"/>
        <w:spacing w:line="360" w:lineRule="auto"/>
        <w:rPr>
          <w:rFonts w:hint="eastAsia" w:ascii="宋体" w:hAnsi="宋体" w:cs="宋体"/>
          <w:b/>
          <w:color w:val="auto"/>
          <w:sz w:val="21"/>
          <w:szCs w:val="21"/>
          <w:highlight w:val="none"/>
          <w:lang w:val="zh-CN"/>
        </w:rPr>
      </w:pPr>
      <w:r>
        <w:rPr>
          <w:rFonts w:hint="eastAsia" w:ascii="宋体" w:hAnsi="宋体" w:cs="宋体"/>
          <w:b/>
          <w:color w:val="auto"/>
          <w:sz w:val="21"/>
          <w:szCs w:val="21"/>
          <w:highlight w:val="none"/>
          <w:lang w:val="zh-CN"/>
        </w:rPr>
        <w:t>一、项目基本情况</w:t>
      </w:r>
    </w:p>
    <w:p w14:paraId="16051E79">
      <w:pPr>
        <w:autoSpaceDE w:val="0"/>
        <w:autoSpaceDN w:val="0"/>
        <w:adjustRightInd w:val="0"/>
        <w:spacing w:line="360" w:lineRule="auto"/>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项目编号：</w:t>
      </w:r>
      <w:r>
        <w:rPr>
          <w:rFonts w:hint="eastAsia" w:ascii="宋体" w:hAnsi="宋体" w:cs="宋体"/>
          <w:color w:val="auto"/>
          <w:sz w:val="21"/>
          <w:szCs w:val="21"/>
          <w:highlight w:val="none"/>
        </w:rPr>
        <w:t>JLZJ-2025-1012</w:t>
      </w:r>
      <w:r>
        <w:rPr>
          <w:rFonts w:hint="eastAsia" w:ascii="宋体" w:hAnsi="宋体" w:cs="宋体"/>
          <w:bCs/>
          <w:color w:val="auto"/>
          <w:sz w:val="21"/>
          <w:szCs w:val="21"/>
          <w:highlight w:val="none"/>
          <w:lang w:val="zh-CN"/>
        </w:rPr>
        <w:t>（采购计划编号：采购计划-[2025]-02762号）</w:t>
      </w:r>
    </w:p>
    <w:p w14:paraId="57F995AF">
      <w:pPr>
        <w:autoSpaceDE w:val="0"/>
        <w:autoSpaceDN w:val="0"/>
        <w:adjustRightInd w:val="0"/>
        <w:spacing w:line="360" w:lineRule="auto"/>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项目名称：高质量发展-国家平台-长春中医药大学方药量效关键技术研究平台（三次）</w:t>
      </w:r>
    </w:p>
    <w:p w14:paraId="38A35D12">
      <w:pPr>
        <w:autoSpaceDE w:val="0"/>
        <w:autoSpaceDN w:val="0"/>
        <w:adjustRightInd w:val="0"/>
        <w:spacing w:line="360" w:lineRule="auto"/>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预算金额：9,980,000.00元</w:t>
      </w:r>
    </w:p>
    <w:p w14:paraId="1D039EBC">
      <w:pPr>
        <w:autoSpaceDE w:val="0"/>
        <w:autoSpaceDN w:val="0"/>
        <w:adjustRightInd w:val="0"/>
        <w:spacing w:line="360" w:lineRule="auto"/>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最高限价：9,980,000.00元</w:t>
      </w:r>
    </w:p>
    <w:p w14:paraId="4225AEA2">
      <w:pPr>
        <w:autoSpaceDE w:val="0"/>
        <w:autoSpaceDN w:val="0"/>
        <w:adjustRightInd w:val="0"/>
        <w:spacing w:line="360" w:lineRule="auto"/>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zh-CN"/>
        </w:rPr>
        <w:t>采购需求：</w:t>
      </w:r>
      <w:r>
        <w:rPr>
          <w:rFonts w:hint="eastAsia" w:ascii="宋体" w:hAnsi="宋体" w:cs="宋体"/>
          <w:bCs/>
          <w:color w:val="auto"/>
          <w:sz w:val="21"/>
          <w:szCs w:val="21"/>
          <w:highlight w:val="none"/>
        </w:rPr>
        <w:t>详见采购文件</w:t>
      </w:r>
    </w:p>
    <w:p w14:paraId="1E2E5D84">
      <w:pPr>
        <w:autoSpaceDE w:val="0"/>
        <w:autoSpaceDN w:val="0"/>
        <w:adjustRightInd w:val="0"/>
        <w:spacing w:line="360" w:lineRule="auto"/>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采购内容：计划购置模式动物运动行为捕获成像工作站、超级多模式高效电转化仪、果蝇T迷宫学习记忆系统、果蝇攀爬行为监测系统等科研设备，通过引进相关实验设备和技术，阐明中药量-效-毒关系，有助于探寻安全、有效的临床用药剂量范围，指导临床医师合理安全用药，提高临床疗效；</w:t>
      </w:r>
    </w:p>
    <w:p w14:paraId="31982AAC">
      <w:pPr>
        <w:autoSpaceDE w:val="0"/>
        <w:autoSpaceDN w:val="0"/>
        <w:adjustRightInd w:val="0"/>
        <w:spacing w:line="360" w:lineRule="auto"/>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zh-CN"/>
        </w:rPr>
        <w:t>供货期：签订合同后，国产设备30日，进口设备90日内完成送货及安装</w:t>
      </w:r>
      <w:r>
        <w:rPr>
          <w:rFonts w:hint="eastAsia" w:ascii="宋体" w:hAnsi="宋体" w:cs="宋体"/>
          <w:bCs/>
          <w:color w:val="auto"/>
          <w:sz w:val="21"/>
          <w:szCs w:val="21"/>
          <w:highlight w:val="none"/>
        </w:rPr>
        <w:t>及调试</w:t>
      </w:r>
    </w:p>
    <w:p w14:paraId="54E62E36">
      <w:pPr>
        <w:autoSpaceDE w:val="0"/>
        <w:autoSpaceDN w:val="0"/>
        <w:adjustRightInd w:val="0"/>
        <w:spacing w:line="360" w:lineRule="auto"/>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本项目不接受联合体投标。</w:t>
      </w:r>
    </w:p>
    <w:p w14:paraId="05FE8DB2">
      <w:pPr>
        <w:tabs>
          <w:tab w:val="left" w:pos="432"/>
        </w:tabs>
        <w:spacing w:line="360"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二、申请人的资格要求：</w:t>
      </w:r>
    </w:p>
    <w:p w14:paraId="12486B5B">
      <w:pPr>
        <w:tabs>
          <w:tab w:val="left" w:pos="432"/>
        </w:tabs>
        <w:spacing w:line="360" w:lineRule="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1.满足《中华人民共和国政府采购法》第二十二条规定；</w:t>
      </w:r>
    </w:p>
    <w:p w14:paraId="2C826351">
      <w:pPr>
        <w:tabs>
          <w:tab w:val="left" w:pos="432"/>
        </w:tabs>
        <w:spacing w:line="360" w:lineRule="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2.落实政府采购政策需满足的资格要求：本项目属于非专门面向中小企业采购的项目。</w:t>
      </w:r>
    </w:p>
    <w:p w14:paraId="1156433B">
      <w:pPr>
        <w:tabs>
          <w:tab w:val="left" w:pos="432"/>
        </w:tabs>
        <w:spacing w:line="360" w:lineRule="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3.本项目的特定资格要求：</w:t>
      </w:r>
    </w:p>
    <w:p w14:paraId="2BB55E78">
      <w:pPr>
        <w:tabs>
          <w:tab w:val="left" w:pos="432"/>
        </w:tabs>
        <w:spacing w:line="360" w:lineRule="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3.1.投标人应具备有效的营业执照。</w:t>
      </w:r>
    </w:p>
    <w:p w14:paraId="402D87DA">
      <w:pPr>
        <w:tabs>
          <w:tab w:val="left" w:pos="432"/>
        </w:tabs>
        <w:spacing w:line="360" w:lineRule="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3.2.财务要求：投标人须提供（2021年、2022年、2023年）的财务报表或经会计师事务所出具的财务审计报告（成立不足三年的企业需提供成立之日起至2023年的财务审计报告，2024年</w:t>
      </w:r>
      <w:r>
        <w:rPr>
          <w:rFonts w:hint="eastAsia" w:ascii="宋体" w:hAnsi="宋体" w:cs="宋体"/>
          <w:bCs/>
          <w:color w:val="auto"/>
          <w:sz w:val="21"/>
          <w:szCs w:val="21"/>
          <w:highlight w:val="none"/>
          <w:lang w:val="en-US" w:eastAsia="zh-CN"/>
        </w:rPr>
        <w:t>之后</w:t>
      </w:r>
      <w:r>
        <w:rPr>
          <w:rFonts w:hint="eastAsia" w:ascii="宋体" w:hAnsi="宋体" w:cs="宋体"/>
          <w:bCs/>
          <w:color w:val="auto"/>
          <w:sz w:val="21"/>
          <w:szCs w:val="21"/>
          <w:highlight w:val="none"/>
        </w:rPr>
        <w:t>成立的企业提供加盖公章的财务状况良好承诺书）；</w:t>
      </w:r>
    </w:p>
    <w:p w14:paraId="048AC991">
      <w:pPr>
        <w:tabs>
          <w:tab w:val="left" w:pos="432"/>
        </w:tabs>
        <w:spacing w:line="360" w:lineRule="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3.3.投标人须提供近一年任意一个月依法缴纳税收和依法缴纳社会保险（依法免税企业提供免税证明）的证明材料以供查询；</w:t>
      </w:r>
    </w:p>
    <w:p w14:paraId="5B7F9672">
      <w:pPr>
        <w:tabs>
          <w:tab w:val="left" w:pos="432"/>
        </w:tabs>
        <w:spacing w:line="360" w:lineRule="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3.4.拒绝列入政府取消投标资格记录期间的企业或个人投标；</w:t>
      </w:r>
    </w:p>
    <w:p w14:paraId="729E4791">
      <w:pPr>
        <w:tabs>
          <w:tab w:val="left" w:pos="432"/>
        </w:tabs>
        <w:spacing w:line="360" w:lineRule="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3.5.供应商不得为“信用中国”网站（www.creditchina.gov.cn）中列入失信被执行人和重大税收违法失信主体的供应商，不得为中国政府采购网（www.ccpg.gov.cn）政府采购严重违法失信行为记录名单中被财政部门禁止参加政府采购活动的供应商（在处罚决定规定的时间和地域范围内）；</w:t>
      </w:r>
    </w:p>
    <w:p w14:paraId="3F5C2E3E">
      <w:pPr>
        <w:tabs>
          <w:tab w:val="left" w:pos="432"/>
        </w:tabs>
        <w:spacing w:line="360" w:lineRule="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3.6.与采购人存在利害关系可能影响招标公正性的法人、其他组织或者个人，不得参加投标。单位负责人为同一人或者存在控股、管理关系的不同单位，不得参加同一标段投标或者未划分标段的同一招标项目投标。违反本规定的，相关投标均无效；</w:t>
      </w:r>
    </w:p>
    <w:p w14:paraId="7806C055">
      <w:pPr>
        <w:tabs>
          <w:tab w:val="left" w:pos="432"/>
        </w:tabs>
        <w:spacing w:line="360" w:lineRule="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3.7.</w:t>
      </w:r>
      <w:r>
        <w:rPr>
          <w:rFonts w:hint="eastAsia"/>
          <w:color w:val="auto"/>
          <w:highlight w:val="none"/>
        </w:rPr>
        <w:t xml:space="preserve"> </w:t>
      </w:r>
      <w:r>
        <w:rPr>
          <w:rFonts w:hint="eastAsia" w:ascii="宋体" w:hAnsi="宋体" w:cs="宋体"/>
          <w:bCs/>
          <w:color w:val="auto"/>
          <w:sz w:val="21"/>
          <w:szCs w:val="21"/>
          <w:highlight w:val="none"/>
        </w:rPr>
        <w:t>投标人如为经销商，所投产品为进口产品，需提供生产厂家或生产厂家中国区代理商针对本项目的授权 （如生产厂家中国区代理商针对本项目的授权时需要提供生产厂家对中国区代理商授权文件的复印件。）</w:t>
      </w:r>
    </w:p>
    <w:p w14:paraId="60FFBCBE">
      <w:pPr>
        <w:tabs>
          <w:tab w:val="left" w:pos="432"/>
        </w:tabs>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三、获取招标文件</w:t>
      </w:r>
    </w:p>
    <w:p w14:paraId="5B242A16">
      <w:pPr>
        <w:tabs>
          <w:tab w:val="left" w:pos="432"/>
        </w:tabs>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时间：2025年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日上午8时30分起至2025年</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8</w:t>
      </w:r>
      <w:bookmarkStart w:id="173" w:name="_GoBack"/>
      <w:bookmarkEnd w:id="173"/>
      <w:r>
        <w:rPr>
          <w:rFonts w:hint="eastAsia" w:ascii="宋体" w:hAnsi="宋体" w:cs="宋体"/>
          <w:color w:val="auto"/>
          <w:sz w:val="21"/>
          <w:szCs w:val="21"/>
          <w:highlight w:val="none"/>
        </w:rPr>
        <w:t>日下午16时00 分止（北京时间）；</w:t>
      </w:r>
    </w:p>
    <w:p w14:paraId="322EBA55">
      <w:pPr>
        <w:tabs>
          <w:tab w:val="left" w:pos="432"/>
        </w:tabs>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地点：政府采购云平台（网址：http:// www.zcygov.cn）；</w:t>
      </w:r>
    </w:p>
    <w:p w14:paraId="03D3A429">
      <w:pPr>
        <w:tabs>
          <w:tab w:val="left" w:pos="432"/>
        </w:tabs>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方式：网上免费获取（潜在供应商自行登录政府采购云平台（网址：http:// www.zcygov.cn）网上注册（https://middle.zcygov.cn/v-settle-front/registry）并下载招标文件，其他途径获取的招标文件开标时一律按无效投标处理）；未进行网上注册并办理 CA 认证的供应商将无法参与本次采购活动。</w:t>
      </w:r>
    </w:p>
    <w:p w14:paraId="74C0897C">
      <w:pPr>
        <w:tabs>
          <w:tab w:val="left" w:pos="432"/>
        </w:tabs>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售价：0元。</w:t>
      </w:r>
    </w:p>
    <w:p w14:paraId="15676080">
      <w:pPr>
        <w:numPr>
          <w:ilvl w:val="0"/>
          <w:numId w:val="3"/>
        </w:numPr>
        <w:tabs>
          <w:tab w:val="left" w:pos="432"/>
        </w:tabs>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提交投标文件截止时间、开标时间和地点</w:t>
      </w:r>
    </w:p>
    <w:p w14:paraId="21D847A6">
      <w:pPr>
        <w:tabs>
          <w:tab w:val="left" w:pos="432"/>
        </w:tabs>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提交投标文件截止时间、开标时间：</w:t>
      </w:r>
      <w:r>
        <w:rPr>
          <w:rFonts w:hint="eastAsia" w:ascii="宋体" w:hAnsi="宋体" w:cs="宋体"/>
          <w:bCs/>
          <w:color w:val="auto"/>
          <w:sz w:val="21"/>
          <w:szCs w:val="21"/>
          <w:highlight w:val="none"/>
          <w:lang w:eastAsia="zh-CN"/>
        </w:rPr>
        <w:t>2025年07月23日09点00分</w:t>
      </w:r>
      <w:r>
        <w:rPr>
          <w:rFonts w:hint="eastAsia" w:ascii="宋体" w:hAnsi="宋体" w:cs="宋体"/>
          <w:color w:val="auto"/>
          <w:sz w:val="21"/>
          <w:szCs w:val="21"/>
          <w:highlight w:val="none"/>
        </w:rPr>
        <w:t>（北京时间）</w:t>
      </w:r>
    </w:p>
    <w:p w14:paraId="799D986E">
      <w:pPr>
        <w:tabs>
          <w:tab w:val="left" w:pos="432"/>
        </w:tabs>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地点：吉利招公共资源标准化交易平台（长春市高新区鸿达街248号吉林日报副楼 4 楼）</w:t>
      </w:r>
      <w:r>
        <w:rPr>
          <w:rFonts w:hint="eastAsia" w:ascii="宋体" w:hAnsi="宋体" w:cs="宋体"/>
          <w:color w:val="auto"/>
          <w:sz w:val="21"/>
          <w:szCs w:val="21"/>
          <w:highlight w:val="none"/>
          <w:lang w:eastAsia="zh-CN"/>
        </w:rPr>
        <w:t>第四开标室</w:t>
      </w:r>
      <w:r>
        <w:rPr>
          <w:rFonts w:hint="eastAsia" w:ascii="宋体" w:hAnsi="宋体" w:cs="宋体"/>
          <w:color w:val="auto"/>
          <w:sz w:val="21"/>
          <w:szCs w:val="21"/>
          <w:highlight w:val="none"/>
        </w:rPr>
        <w:t>；</w:t>
      </w:r>
    </w:p>
    <w:p w14:paraId="6801A57B">
      <w:pPr>
        <w:tabs>
          <w:tab w:val="left" w:pos="432"/>
        </w:tabs>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响应文件提交方式：本项目执行电子化招投标，须通过政府采购云平台（网址：http://www.zcygov.cn）递交电子版投标文件（开标时间后30分钟内，由供应商持制作该电子投标文件的同一数字证书（CA 锁）及电脑进行解密）。</w:t>
      </w:r>
    </w:p>
    <w:p w14:paraId="399EDCD5">
      <w:pPr>
        <w:tabs>
          <w:tab w:val="left" w:pos="432"/>
        </w:tabs>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投标操作流程：供应商在政府采购云平台网注册入库成为正式供应商后，在平台上按《政府采购项目电子交易管理操作指南-供应商》进行投标操作，供应商须办理数字证书方可参加投标</w:t>
      </w:r>
    </w:p>
    <w:p w14:paraId="55EA9797">
      <w:pPr>
        <w:autoSpaceDE w:val="0"/>
        <w:autoSpaceDN w:val="0"/>
        <w:adjustRightInd w:val="0"/>
        <w:spacing w:line="360" w:lineRule="auto"/>
        <w:rPr>
          <w:rFonts w:hint="eastAsia" w:ascii="宋体" w:hAnsi="宋体" w:cs="宋体"/>
          <w:b/>
          <w:color w:val="auto"/>
          <w:sz w:val="21"/>
          <w:szCs w:val="21"/>
          <w:highlight w:val="none"/>
          <w:lang w:val="zh-CN"/>
        </w:rPr>
      </w:pPr>
      <w:r>
        <w:rPr>
          <w:rFonts w:hint="eastAsia" w:ascii="宋体" w:hAnsi="宋体" w:cs="宋体"/>
          <w:b/>
          <w:color w:val="auto"/>
          <w:sz w:val="21"/>
          <w:szCs w:val="21"/>
          <w:highlight w:val="none"/>
          <w:lang w:val="zh-CN"/>
        </w:rPr>
        <w:t>五、公告期限</w:t>
      </w:r>
    </w:p>
    <w:p w14:paraId="11C24435">
      <w:pPr>
        <w:tabs>
          <w:tab w:val="left" w:pos="432"/>
        </w:tabs>
        <w:spacing w:line="36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自本公告发布之日起</w:t>
      </w:r>
      <w:r>
        <w:rPr>
          <w:rFonts w:hint="eastAsia" w:ascii="宋体" w:hAnsi="宋体" w:cs="宋体"/>
          <w:color w:val="auto"/>
          <w:sz w:val="21"/>
          <w:szCs w:val="21"/>
          <w:highlight w:val="none"/>
        </w:rPr>
        <w:t>5</w:t>
      </w:r>
      <w:r>
        <w:rPr>
          <w:rFonts w:hint="eastAsia" w:ascii="宋体" w:hAnsi="宋体" w:cs="宋体"/>
          <w:color w:val="auto"/>
          <w:sz w:val="21"/>
          <w:szCs w:val="21"/>
          <w:highlight w:val="none"/>
          <w:lang w:val="zh-CN"/>
        </w:rPr>
        <w:t>个工作日。</w:t>
      </w:r>
    </w:p>
    <w:p w14:paraId="3309A394">
      <w:pPr>
        <w:autoSpaceDE w:val="0"/>
        <w:autoSpaceDN w:val="0"/>
        <w:adjustRightInd w:val="0"/>
        <w:spacing w:line="360" w:lineRule="auto"/>
        <w:rPr>
          <w:rFonts w:hint="eastAsia" w:ascii="宋体" w:hAnsi="宋体" w:cs="宋体"/>
          <w:b/>
          <w:color w:val="auto"/>
          <w:sz w:val="21"/>
          <w:szCs w:val="21"/>
          <w:highlight w:val="none"/>
          <w:lang w:val="zh-CN"/>
        </w:rPr>
      </w:pPr>
      <w:r>
        <w:rPr>
          <w:rFonts w:hint="eastAsia" w:ascii="宋体" w:hAnsi="宋体" w:cs="宋体"/>
          <w:b/>
          <w:color w:val="auto"/>
          <w:sz w:val="21"/>
          <w:szCs w:val="21"/>
          <w:highlight w:val="none"/>
          <w:lang w:val="zh-CN"/>
        </w:rPr>
        <w:t>六、其他补充事宜</w:t>
      </w:r>
    </w:p>
    <w:p w14:paraId="4A69FCF4">
      <w:pPr>
        <w:tabs>
          <w:tab w:val="left" w:pos="432"/>
        </w:tabs>
        <w:spacing w:line="36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1.公告发布媒体：在“政采云 ”平台（http:// www.zcygov.cn） (同步推送到吉林省政府采购网（http://www.ccgp-jilin.gov.cn/）、中国政府采购网)上发布；</w:t>
      </w:r>
    </w:p>
    <w:p w14:paraId="38E538C0">
      <w:pPr>
        <w:pStyle w:val="44"/>
        <w:spacing w:after="0" w:line="360" w:lineRule="auto"/>
        <w:ind w:left="0" w:leftChars="0" w:firstLine="0" w:firstLineChars="0"/>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2.若对项目采购电子交易系统操作有疑问，可登录“政采云 ”平台（https://www.zcygov.cn/） 点击右侧咨询小采，获取采小蜜智能服务管家帮助，或拨打政采云服务热线 95763 获取热线服务帮助。</w:t>
      </w:r>
    </w:p>
    <w:p w14:paraId="6700CABA">
      <w:pPr>
        <w:tabs>
          <w:tab w:val="left" w:pos="432"/>
        </w:tabs>
        <w:spacing w:line="360" w:lineRule="auto"/>
        <w:rPr>
          <w:rFonts w:hint="eastAsia" w:ascii="宋体" w:hAnsi="宋体" w:cs="宋体"/>
          <w:b/>
          <w:bCs/>
          <w:color w:val="auto"/>
          <w:sz w:val="21"/>
          <w:szCs w:val="21"/>
          <w:highlight w:val="none"/>
          <w:lang w:val="zh-CN"/>
        </w:rPr>
      </w:pPr>
      <w:r>
        <w:rPr>
          <w:rFonts w:hint="eastAsia" w:ascii="宋体" w:hAnsi="宋体" w:cs="宋体"/>
          <w:b/>
          <w:bCs/>
          <w:color w:val="auto"/>
          <w:sz w:val="21"/>
          <w:szCs w:val="21"/>
          <w:highlight w:val="none"/>
          <w:lang w:val="zh-CN"/>
        </w:rPr>
        <w:t>七、对本次招标提出询问，请按以下方式联系。</w:t>
      </w:r>
    </w:p>
    <w:p w14:paraId="09F4E295">
      <w:pPr>
        <w:tabs>
          <w:tab w:val="left" w:pos="432"/>
        </w:tabs>
        <w:spacing w:line="36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1.采购人信息</w:t>
      </w:r>
    </w:p>
    <w:p w14:paraId="271BBD9A">
      <w:pPr>
        <w:tabs>
          <w:tab w:val="left" w:pos="432"/>
        </w:tabs>
        <w:spacing w:line="36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采购人：长春中医药大学      </w:t>
      </w:r>
    </w:p>
    <w:p w14:paraId="774EC57E">
      <w:pPr>
        <w:tabs>
          <w:tab w:val="left" w:pos="432"/>
        </w:tabs>
        <w:spacing w:line="36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地址：长春市净月开发区博硕路1035号        </w:t>
      </w:r>
    </w:p>
    <w:p w14:paraId="6CBD7C03">
      <w:pPr>
        <w:tabs>
          <w:tab w:val="left" w:pos="432"/>
        </w:tabs>
        <w:spacing w:line="36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联系人：曲婧                               </w:t>
      </w:r>
    </w:p>
    <w:p w14:paraId="03C67698">
      <w:pPr>
        <w:tabs>
          <w:tab w:val="left" w:pos="432"/>
        </w:tabs>
        <w:spacing w:line="36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电话： 0431-89989192　 </w:t>
      </w:r>
    </w:p>
    <w:p w14:paraId="22ECF04F">
      <w:pPr>
        <w:tabs>
          <w:tab w:val="left" w:pos="432"/>
        </w:tabs>
        <w:spacing w:line="36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2.采购代理机构信息</w:t>
      </w:r>
    </w:p>
    <w:p w14:paraId="3748A033">
      <w:pPr>
        <w:tabs>
          <w:tab w:val="left" w:pos="432"/>
        </w:tabs>
        <w:spacing w:line="36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名 称：吉林省中锦工程管理有限公司　　　　　　　　　　　</w:t>
      </w:r>
    </w:p>
    <w:p w14:paraId="6A735EDB">
      <w:pPr>
        <w:tabs>
          <w:tab w:val="left" w:pos="432"/>
        </w:tabs>
        <w:spacing w:line="36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地　址：长春市朝阳区921号宝来雅居东南2号门　　　　　　　　　</w:t>
      </w:r>
    </w:p>
    <w:p w14:paraId="2C02D217">
      <w:pPr>
        <w:tabs>
          <w:tab w:val="left" w:pos="432"/>
        </w:tabs>
        <w:spacing w:line="36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联系方式：</w:t>
      </w:r>
      <w:r>
        <w:rPr>
          <w:rFonts w:hint="eastAsia" w:ascii="宋体" w:hAnsi="宋体" w:cs="宋体"/>
          <w:color w:val="auto"/>
          <w:sz w:val="21"/>
          <w:szCs w:val="21"/>
          <w:highlight w:val="none"/>
        </w:rPr>
        <w:t>傅晓艺；13364316965</w:t>
      </w:r>
      <w:r>
        <w:rPr>
          <w:rFonts w:hint="eastAsia" w:ascii="宋体" w:hAnsi="宋体" w:cs="宋体"/>
          <w:color w:val="auto"/>
          <w:sz w:val="21"/>
          <w:szCs w:val="21"/>
          <w:highlight w:val="none"/>
          <w:lang w:val="zh-CN"/>
        </w:rPr>
        <w:t>　　　　　　　　　　　　</w:t>
      </w:r>
    </w:p>
    <w:p w14:paraId="01388260">
      <w:pPr>
        <w:tabs>
          <w:tab w:val="left" w:pos="432"/>
        </w:tabs>
        <w:spacing w:line="360" w:lineRule="auto"/>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3.项目联系方式</w:t>
      </w:r>
    </w:p>
    <w:p w14:paraId="6D5F10E8">
      <w:pPr>
        <w:spacing w:line="360" w:lineRule="auto"/>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项目联系人：傅晓艺</w:t>
      </w:r>
    </w:p>
    <w:p w14:paraId="1EDFA983">
      <w:pPr>
        <w:spacing w:line="360" w:lineRule="auto"/>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电　话：13364316965　　　　　　　　　　　</w:t>
      </w:r>
    </w:p>
    <w:p w14:paraId="7AEF6420">
      <w:pPr>
        <w:spacing w:line="360" w:lineRule="auto"/>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监管部门：吉林省财政厅政府采购管理工作处</w:t>
      </w:r>
    </w:p>
    <w:p w14:paraId="1222364D">
      <w:pPr>
        <w:spacing w:line="360" w:lineRule="auto"/>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来源：吉林省中锦工程管理有限公司</w:t>
      </w:r>
    </w:p>
    <w:p w14:paraId="5D2048A9">
      <w:pPr>
        <w:spacing w:line="360" w:lineRule="auto"/>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初审：傅晓艺</w:t>
      </w:r>
    </w:p>
    <w:p w14:paraId="6F602946">
      <w:pPr>
        <w:spacing w:line="360" w:lineRule="auto"/>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复审：王乔松</w:t>
      </w:r>
    </w:p>
    <w:p w14:paraId="4B2278B8">
      <w:pPr>
        <w:tabs>
          <w:tab w:val="left" w:pos="432"/>
        </w:tabs>
        <w:spacing w:line="360" w:lineRule="auto"/>
        <w:rPr>
          <w:rFonts w:hint="eastAsia" w:ascii="宋体" w:hAnsi="宋体" w:cs="宋体"/>
          <w:color w:val="auto"/>
          <w:sz w:val="21"/>
          <w:szCs w:val="21"/>
          <w:highlight w:val="none"/>
          <w:lang w:val="zh-CN"/>
        </w:rPr>
      </w:pPr>
      <w:r>
        <w:rPr>
          <w:rFonts w:hint="eastAsia" w:ascii="宋体" w:hAnsi="宋体" w:cs="宋体"/>
          <w:color w:val="auto"/>
          <w:sz w:val="22"/>
          <w:szCs w:val="22"/>
          <w:highlight w:val="none"/>
          <w:lang w:val="zh-CN"/>
        </w:rPr>
        <w:t>终审：肖新毅</w:t>
      </w:r>
    </w:p>
    <w:p w14:paraId="5EAE6929">
      <w:pPr>
        <w:tabs>
          <w:tab w:val="left" w:pos="432"/>
        </w:tabs>
        <w:spacing w:line="360" w:lineRule="auto"/>
        <w:rPr>
          <w:rFonts w:hint="eastAsia" w:asciiTheme="minorEastAsia" w:hAnsiTheme="minorEastAsia" w:eastAsiaTheme="minorEastAsia" w:cstheme="minorEastAsia"/>
          <w:color w:val="auto"/>
          <w:sz w:val="21"/>
          <w:szCs w:val="21"/>
          <w:highlight w:val="none"/>
        </w:rPr>
      </w:pPr>
      <w:r>
        <w:rPr>
          <w:rFonts w:hint="eastAsia"/>
          <w:b/>
          <w:bCs/>
          <w:color w:val="auto"/>
          <w:sz w:val="30"/>
          <w:szCs w:val="30"/>
          <w:highlight w:val="none"/>
        </w:rPr>
        <w:br w:type="page"/>
      </w:r>
    </w:p>
    <w:bookmarkEnd w:id="3"/>
    <w:p w14:paraId="73C0117E">
      <w:pPr>
        <w:pStyle w:val="2"/>
        <w:ind w:left="0" w:firstLine="0"/>
        <w:rPr>
          <w:rFonts w:hint="eastAsia" w:asciiTheme="minorEastAsia" w:hAnsiTheme="minorEastAsia" w:eastAsiaTheme="minorEastAsia" w:cstheme="minorEastAsia"/>
          <w:b/>
          <w:bCs/>
          <w:color w:val="auto"/>
          <w:sz w:val="36"/>
          <w:szCs w:val="36"/>
          <w:highlight w:val="none"/>
        </w:rPr>
        <w:sectPr>
          <w:footerReference r:id="rId12" w:type="first"/>
          <w:headerReference r:id="rId8" w:type="default"/>
          <w:footerReference r:id="rId10" w:type="default"/>
          <w:headerReference r:id="rId9" w:type="even"/>
          <w:footerReference r:id="rId11" w:type="even"/>
          <w:pgSz w:w="11906" w:h="16838"/>
          <w:pgMar w:top="1418" w:right="1134" w:bottom="1418" w:left="1417" w:header="720" w:footer="720" w:gutter="0"/>
          <w:pgNumType w:start="1"/>
          <w:cols w:space="720" w:num="1"/>
          <w:docGrid w:linePitch="312" w:charSpace="0"/>
        </w:sectPr>
      </w:pPr>
    </w:p>
    <w:p w14:paraId="352C5842">
      <w:pPr>
        <w:pStyle w:val="2"/>
        <w:ind w:left="0" w:firstLine="0"/>
        <w:rPr>
          <w:rFonts w:hint="eastAsia" w:asciiTheme="minorEastAsia" w:hAnsiTheme="minorEastAsia" w:eastAsiaTheme="minorEastAsia" w:cstheme="minorEastAsia"/>
          <w:b/>
          <w:bCs/>
          <w:color w:val="auto"/>
          <w:spacing w:val="-6"/>
          <w:sz w:val="36"/>
          <w:szCs w:val="36"/>
          <w:highlight w:val="none"/>
        </w:rPr>
      </w:pPr>
      <w:bookmarkStart w:id="6" w:name="_Toc5460"/>
      <w:r>
        <w:rPr>
          <w:rFonts w:hint="eastAsia" w:asciiTheme="minorEastAsia" w:hAnsiTheme="minorEastAsia" w:eastAsiaTheme="minorEastAsia" w:cstheme="minorEastAsia"/>
          <w:b/>
          <w:bCs/>
          <w:color w:val="auto"/>
          <w:sz w:val="36"/>
          <w:szCs w:val="36"/>
          <w:highlight w:val="none"/>
        </w:rPr>
        <w:t>第二章 供应商须知前附表</w:t>
      </w:r>
      <w:bookmarkEnd w:id="6"/>
    </w:p>
    <w:tbl>
      <w:tblPr>
        <w:tblStyle w:val="45"/>
        <w:tblW w:w="4994"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3"/>
        <w:gridCol w:w="2209"/>
        <w:gridCol w:w="6648"/>
      </w:tblGrid>
      <w:tr w14:paraId="286604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1E7462C3">
            <w:pPr>
              <w:spacing w:line="300" w:lineRule="exact"/>
              <w:rPr>
                <w:rFonts w:hint="eastAsia" w:ascii="宋体" w:hAnsi="宋体" w:cs="宋体"/>
                <w:b/>
                <w:color w:val="auto"/>
                <w:sz w:val="21"/>
                <w:szCs w:val="21"/>
                <w:highlight w:val="none"/>
              </w:rPr>
            </w:pPr>
            <w:r>
              <w:rPr>
                <w:rFonts w:hint="eastAsia" w:ascii="宋体" w:hAnsi="宋体" w:cs="宋体"/>
                <w:b/>
                <w:color w:val="auto"/>
                <w:sz w:val="21"/>
                <w:szCs w:val="21"/>
                <w:highlight w:val="none"/>
              </w:rPr>
              <w:t>项号</w:t>
            </w:r>
          </w:p>
        </w:tc>
        <w:tc>
          <w:tcPr>
            <w:tcW w:w="1155" w:type="pct"/>
            <w:tcBorders>
              <w:top w:val="single" w:color="auto" w:sz="4" w:space="0"/>
              <w:left w:val="single" w:color="auto" w:sz="4" w:space="0"/>
              <w:bottom w:val="single" w:color="auto" w:sz="4" w:space="0"/>
              <w:right w:val="single" w:color="auto" w:sz="4" w:space="0"/>
            </w:tcBorders>
            <w:vAlign w:val="center"/>
          </w:tcPr>
          <w:p w14:paraId="164176FD">
            <w:pPr>
              <w:spacing w:line="300" w:lineRule="exact"/>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内    容</w:t>
            </w:r>
          </w:p>
        </w:tc>
        <w:tc>
          <w:tcPr>
            <w:tcW w:w="3475" w:type="pct"/>
            <w:tcBorders>
              <w:top w:val="single" w:color="auto" w:sz="4" w:space="0"/>
              <w:left w:val="single" w:color="auto" w:sz="4" w:space="0"/>
              <w:bottom w:val="single" w:color="auto" w:sz="4" w:space="0"/>
              <w:right w:val="single" w:color="auto" w:sz="4" w:space="0"/>
            </w:tcBorders>
            <w:vAlign w:val="center"/>
          </w:tcPr>
          <w:p w14:paraId="09C400A8">
            <w:pPr>
              <w:tabs>
                <w:tab w:val="left" w:pos="1180"/>
              </w:tabs>
              <w:spacing w:line="300" w:lineRule="exact"/>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说明与要求</w:t>
            </w:r>
          </w:p>
        </w:tc>
      </w:tr>
      <w:tr w14:paraId="7AB23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0CEF47C0">
            <w:pPr>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1155" w:type="pct"/>
            <w:tcBorders>
              <w:top w:val="single" w:color="auto" w:sz="4" w:space="0"/>
              <w:left w:val="single" w:color="auto" w:sz="4" w:space="0"/>
              <w:bottom w:val="single" w:color="auto" w:sz="4" w:space="0"/>
              <w:right w:val="single" w:color="auto" w:sz="4" w:space="0"/>
            </w:tcBorders>
            <w:vAlign w:val="center"/>
          </w:tcPr>
          <w:p w14:paraId="50F413CC">
            <w:pPr>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采购人</w:t>
            </w:r>
          </w:p>
        </w:tc>
        <w:tc>
          <w:tcPr>
            <w:tcW w:w="3475" w:type="pct"/>
            <w:tcBorders>
              <w:top w:val="single" w:color="auto" w:sz="4" w:space="0"/>
              <w:left w:val="single" w:color="auto" w:sz="4" w:space="0"/>
              <w:bottom w:val="single" w:color="auto" w:sz="4" w:space="0"/>
              <w:right w:val="single" w:color="auto" w:sz="4" w:space="0"/>
            </w:tcBorders>
            <w:vAlign w:val="center"/>
          </w:tcPr>
          <w:p w14:paraId="60CF847B">
            <w:pPr>
              <w:tabs>
                <w:tab w:val="left" w:pos="432"/>
              </w:tabs>
              <w:spacing w:line="30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采购人：长春中医药大学      </w:t>
            </w:r>
          </w:p>
          <w:p w14:paraId="267C3C2C">
            <w:pPr>
              <w:tabs>
                <w:tab w:val="left" w:pos="432"/>
              </w:tabs>
              <w:spacing w:line="30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地址：长春市净月开发区博硕路1035号        </w:t>
            </w:r>
          </w:p>
          <w:p w14:paraId="71DBCC5B">
            <w:pPr>
              <w:tabs>
                <w:tab w:val="left" w:pos="432"/>
              </w:tabs>
              <w:spacing w:line="30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联系人：曲婧                                </w:t>
            </w:r>
          </w:p>
          <w:p w14:paraId="148D543E">
            <w:pPr>
              <w:tabs>
                <w:tab w:val="left" w:pos="432"/>
              </w:tabs>
              <w:spacing w:line="30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zh-CN"/>
              </w:rPr>
              <w:t>电话：0431-</w:t>
            </w:r>
            <w:r>
              <w:rPr>
                <w:rFonts w:hint="eastAsia" w:ascii="宋体" w:hAnsi="宋体" w:cs="宋体"/>
                <w:color w:val="auto"/>
                <w:sz w:val="21"/>
                <w:szCs w:val="21"/>
                <w:highlight w:val="none"/>
              </w:rPr>
              <w:t>89989192</w:t>
            </w:r>
          </w:p>
        </w:tc>
      </w:tr>
      <w:tr w14:paraId="70931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8" w:type="pct"/>
            <w:tcBorders>
              <w:top w:val="single" w:color="auto" w:sz="4" w:space="0"/>
              <w:left w:val="single" w:color="auto" w:sz="4" w:space="0"/>
              <w:right w:val="single" w:color="auto" w:sz="4" w:space="0"/>
            </w:tcBorders>
            <w:vAlign w:val="center"/>
          </w:tcPr>
          <w:p w14:paraId="5947B136">
            <w:pPr>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1155" w:type="pct"/>
            <w:tcBorders>
              <w:top w:val="single" w:color="auto" w:sz="4" w:space="0"/>
              <w:left w:val="single" w:color="auto" w:sz="4" w:space="0"/>
              <w:right w:val="single" w:color="auto" w:sz="4" w:space="0"/>
            </w:tcBorders>
            <w:vAlign w:val="center"/>
          </w:tcPr>
          <w:p w14:paraId="1FDE5EC4">
            <w:pPr>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采购代理机构</w:t>
            </w:r>
          </w:p>
        </w:tc>
        <w:tc>
          <w:tcPr>
            <w:tcW w:w="3475" w:type="pct"/>
            <w:tcBorders>
              <w:top w:val="single" w:color="auto" w:sz="4" w:space="0"/>
              <w:left w:val="single" w:color="auto" w:sz="4" w:space="0"/>
              <w:right w:val="single" w:color="auto" w:sz="4" w:space="0"/>
            </w:tcBorders>
            <w:vAlign w:val="center"/>
          </w:tcPr>
          <w:p w14:paraId="687A61FC">
            <w:pPr>
              <w:tabs>
                <w:tab w:val="left" w:pos="432"/>
              </w:tabs>
              <w:spacing w:line="30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采购代理机构：吉林省中锦工程管理有限公司   </w:t>
            </w:r>
          </w:p>
          <w:p w14:paraId="4BBCB211">
            <w:pPr>
              <w:tabs>
                <w:tab w:val="left" w:pos="432"/>
              </w:tabs>
              <w:spacing w:line="30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 xml:space="preserve">地址：长春市朝阳区光谷大街921号    </w:t>
            </w:r>
          </w:p>
          <w:p w14:paraId="2C3E85A8">
            <w:pPr>
              <w:tabs>
                <w:tab w:val="left" w:pos="432"/>
              </w:tabs>
              <w:spacing w:line="30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联系人：</w:t>
            </w:r>
            <w:r>
              <w:rPr>
                <w:rFonts w:hint="eastAsia" w:ascii="宋体" w:hAnsi="宋体" w:cs="宋体"/>
                <w:color w:val="auto"/>
                <w:sz w:val="21"/>
                <w:szCs w:val="21"/>
                <w:highlight w:val="none"/>
              </w:rPr>
              <w:t>傅晓艺</w:t>
            </w:r>
          </w:p>
          <w:p w14:paraId="15528269">
            <w:pPr>
              <w:tabs>
                <w:tab w:val="left" w:pos="432"/>
              </w:tabs>
              <w:spacing w:line="30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联系电话：</w:t>
            </w:r>
            <w:r>
              <w:rPr>
                <w:rFonts w:hint="eastAsia" w:ascii="宋体" w:hAnsi="宋体" w:cs="宋体"/>
                <w:color w:val="auto"/>
                <w:sz w:val="21"/>
                <w:szCs w:val="21"/>
                <w:highlight w:val="none"/>
              </w:rPr>
              <w:t>13364316965</w:t>
            </w:r>
          </w:p>
        </w:tc>
      </w:tr>
      <w:tr w14:paraId="0C6EFF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22B99161">
            <w:pPr>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1155" w:type="pct"/>
            <w:tcBorders>
              <w:top w:val="single" w:color="auto" w:sz="4" w:space="0"/>
              <w:left w:val="single" w:color="auto" w:sz="4" w:space="0"/>
              <w:bottom w:val="single" w:color="auto" w:sz="4" w:space="0"/>
              <w:right w:val="single" w:color="auto" w:sz="4" w:space="0"/>
            </w:tcBorders>
            <w:vAlign w:val="center"/>
          </w:tcPr>
          <w:p w14:paraId="3DE9898C">
            <w:pPr>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供货地点</w:t>
            </w:r>
          </w:p>
        </w:tc>
        <w:tc>
          <w:tcPr>
            <w:tcW w:w="3475" w:type="pct"/>
            <w:tcBorders>
              <w:top w:val="single" w:color="auto" w:sz="4" w:space="0"/>
              <w:left w:val="single" w:color="auto" w:sz="4" w:space="0"/>
              <w:bottom w:val="single" w:color="auto" w:sz="4" w:space="0"/>
              <w:right w:val="single" w:color="auto" w:sz="4" w:space="0"/>
            </w:tcBorders>
            <w:vAlign w:val="center"/>
          </w:tcPr>
          <w:p w14:paraId="19E9E76E">
            <w:pPr>
              <w:spacing w:line="300" w:lineRule="exact"/>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长春中医药大学</w:t>
            </w:r>
          </w:p>
        </w:tc>
      </w:tr>
      <w:tr w14:paraId="446E5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3986D258">
            <w:pPr>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4</w:t>
            </w:r>
          </w:p>
        </w:tc>
        <w:tc>
          <w:tcPr>
            <w:tcW w:w="1155" w:type="pct"/>
            <w:tcBorders>
              <w:top w:val="single" w:color="auto" w:sz="4" w:space="0"/>
              <w:left w:val="single" w:color="auto" w:sz="4" w:space="0"/>
              <w:bottom w:val="single" w:color="auto" w:sz="4" w:space="0"/>
              <w:right w:val="single" w:color="auto" w:sz="4" w:space="0"/>
            </w:tcBorders>
            <w:vAlign w:val="center"/>
          </w:tcPr>
          <w:p w14:paraId="04885CEE">
            <w:pPr>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采购内容</w:t>
            </w:r>
          </w:p>
        </w:tc>
        <w:tc>
          <w:tcPr>
            <w:tcW w:w="3475" w:type="pct"/>
            <w:tcBorders>
              <w:top w:val="single" w:color="auto" w:sz="4" w:space="0"/>
              <w:left w:val="single" w:color="auto" w:sz="4" w:space="0"/>
              <w:bottom w:val="single" w:color="auto" w:sz="4" w:space="0"/>
              <w:right w:val="single" w:color="auto" w:sz="4" w:space="0"/>
            </w:tcBorders>
            <w:vAlign w:val="center"/>
          </w:tcPr>
          <w:p w14:paraId="07A6F477">
            <w:pPr>
              <w:autoSpaceDE w:val="0"/>
              <w:autoSpaceDN w:val="0"/>
              <w:adjustRightInd w:val="0"/>
              <w:spacing w:line="300" w:lineRule="exact"/>
              <w:rPr>
                <w:rFonts w:hint="eastAsia" w:ascii="宋体" w:hAnsi="宋体" w:cs="宋体"/>
                <w:color w:val="auto"/>
                <w:sz w:val="21"/>
                <w:szCs w:val="21"/>
                <w:highlight w:val="none"/>
              </w:rPr>
            </w:pPr>
            <w:r>
              <w:rPr>
                <w:rFonts w:hint="eastAsia" w:ascii="宋体" w:hAnsi="宋体" w:cs="宋体"/>
                <w:bCs/>
                <w:color w:val="auto"/>
                <w:sz w:val="21"/>
                <w:szCs w:val="21"/>
                <w:highlight w:val="none"/>
                <w:lang w:val="zh-CN"/>
              </w:rPr>
              <w:t>计划购置模式动物运动行为捕获成像工作站、超级多模式高效电转化仪、果蝇T迷宫学习记忆系统、果蝇攀爬行为监测系统等科研设备，通过引进相关实验设备和技术，阐明中药量-效-毒关系，有助于探寻安全、有效的临床用药剂量范围，指导临床医师合理安全用药，提高临床疗效；</w:t>
            </w:r>
          </w:p>
        </w:tc>
      </w:tr>
      <w:tr w14:paraId="4EB41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0AD2C672">
            <w:pPr>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5</w:t>
            </w:r>
          </w:p>
        </w:tc>
        <w:tc>
          <w:tcPr>
            <w:tcW w:w="1155" w:type="pct"/>
            <w:tcBorders>
              <w:top w:val="single" w:color="auto" w:sz="4" w:space="0"/>
              <w:left w:val="single" w:color="auto" w:sz="4" w:space="0"/>
              <w:bottom w:val="single" w:color="auto" w:sz="4" w:space="0"/>
              <w:right w:val="single" w:color="auto" w:sz="4" w:space="0"/>
            </w:tcBorders>
            <w:vAlign w:val="center"/>
          </w:tcPr>
          <w:p w14:paraId="6528ED07">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供货期</w:t>
            </w:r>
          </w:p>
        </w:tc>
        <w:tc>
          <w:tcPr>
            <w:tcW w:w="3475" w:type="pct"/>
            <w:tcBorders>
              <w:top w:val="single" w:color="auto" w:sz="4" w:space="0"/>
              <w:left w:val="single" w:color="auto" w:sz="4" w:space="0"/>
              <w:bottom w:val="single" w:color="auto" w:sz="4" w:space="0"/>
              <w:right w:val="single" w:color="auto" w:sz="4" w:space="0"/>
            </w:tcBorders>
            <w:vAlign w:val="center"/>
          </w:tcPr>
          <w:p w14:paraId="02092601">
            <w:pPr>
              <w:autoSpaceDE w:val="0"/>
              <w:autoSpaceDN w:val="0"/>
              <w:adjustRightInd w:val="0"/>
              <w:rPr>
                <w:rFonts w:hint="eastAsia" w:ascii="宋体" w:hAnsi="宋体" w:cs="宋体"/>
                <w:color w:val="auto"/>
                <w:sz w:val="21"/>
                <w:szCs w:val="21"/>
                <w:highlight w:val="none"/>
              </w:rPr>
            </w:pPr>
            <w:r>
              <w:rPr>
                <w:rFonts w:hint="eastAsia" w:ascii="宋体" w:hAnsi="宋体" w:cs="宋体"/>
                <w:bCs/>
                <w:color w:val="auto"/>
                <w:sz w:val="21"/>
                <w:szCs w:val="21"/>
                <w:highlight w:val="none"/>
                <w:lang w:val="zh-CN"/>
              </w:rPr>
              <w:t>签订合同后，国产设备30日，进口设备90日内完成送货及安装</w:t>
            </w:r>
            <w:r>
              <w:rPr>
                <w:rFonts w:hint="eastAsia" w:ascii="宋体" w:hAnsi="宋体" w:cs="宋体"/>
                <w:bCs/>
                <w:color w:val="auto"/>
                <w:sz w:val="21"/>
                <w:szCs w:val="21"/>
                <w:highlight w:val="none"/>
              </w:rPr>
              <w:t>及调试</w:t>
            </w:r>
          </w:p>
        </w:tc>
      </w:tr>
      <w:tr w14:paraId="34624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5C318181">
            <w:pPr>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6</w:t>
            </w:r>
          </w:p>
        </w:tc>
        <w:tc>
          <w:tcPr>
            <w:tcW w:w="1155" w:type="pct"/>
            <w:tcBorders>
              <w:top w:val="single" w:color="auto" w:sz="4" w:space="0"/>
              <w:left w:val="single" w:color="auto" w:sz="4" w:space="0"/>
              <w:bottom w:val="single" w:color="auto" w:sz="4" w:space="0"/>
              <w:right w:val="single" w:color="auto" w:sz="4" w:space="0"/>
            </w:tcBorders>
            <w:vAlign w:val="center"/>
          </w:tcPr>
          <w:p w14:paraId="3748F129">
            <w:pPr>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质量标准</w:t>
            </w:r>
          </w:p>
        </w:tc>
        <w:tc>
          <w:tcPr>
            <w:tcW w:w="3475" w:type="pct"/>
            <w:tcBorders>
              <w:top w:val="single" w:color="auto" w:sz="4" w:space="0"/>
              <w:left w:val="single" w:color="auto" w:sz="4" w:space="0"/>
              <w:bottom w:val="single" w:color="auto" w:sz="4" w:space="0"/>
              <w:right w:val="single" w:color="auto" w:sz="4" w:space="0"/>
            </w:tcBorders>
            <w:vAlign w:val="center"/>
          </w:tcPr>
          <w:p w14:paraId="430880D4">
            <w:pPr>
              <w:spacing w:line="300" w:lineRule="exact"/>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满足国家及行业标准。</w:t>
            </w:r>
          </w:p>
        </w:tc>
      </w:tr>
      <w:tr w14:paraId="54A421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2FB7046D">
            <w:pPr>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7</w:t>
            </w:r>
          </w:p>
        </w:tc>
        <w:tc>
          <w:tcPr>
            <w:tcW w:w="1155" w:type="pct"/>
            <w:tcBorders>
              <w:top w:val="single" w:color="auto" w:sz="4" w:space="0"/>
              <w:left w:val="single" w:color="auto" w:sz="4" w:space="0"/>
              <w:bottom w:val="single" w:color="auto" w:sz="4" w:space="0"/>
              <w:right w:val="single" w:color="auto" w:sz="4" w:space="0"/>
            </w:tcBorders>
            <w:shd w:val="clear" w:color="auto" w:fill="auto"/>
            <w:vAlign w:val="center"/>
          </w:tcPr>
          <w:p w14:paraId="726167CF">
            <w:pPr>
              <w:jc w:val="center"/>
              <w:rPr>
                <w:rFonts w:hint="eastAsia"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供应商资格条件</w:t>
            </w:r>
          </w:p>
        </w:tc>
        <w:tc>
          <w:tcPr>
            <w:tcW w:w="3475" w:type="pct"/>
            <w:tcBorders>
              <w:top w:val="single" w:color="auto" w:sz="4" w:space="0"/>
              <w:left w:val="single" w:color="auto" w:sz="4" w:space="0"/>
              <w:bottom w:val="single" w:color="auto" w:sz="4" w:space="0"/>
              <w:right w:val="single" w:color="auto" w:sz="4" w:space="0"/>
            </w:tcBorders>
            <w:shd w:val="clear" w:color="auto" w:fill="auto"/>
            <w:vAlign w:val="center"/>
          </w:tcPr>
          <w:p w14:paraId="1C331DED">
            <w:pPr>
              <w:pStyle w:val="110"/>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1.满足《中华人民共和国政府采购法》第二十二条规定；</w:t>
            </w:r>
          </w:p>
          <w:p w14:paraId="7B29DC47">
            <w:pPr>
              <w:pStyle w:val="110"/>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2.落实政府采购政策需满足的资格要求：</w:t>
            </w:r>
            <w:r>
              <w:rPr>
                <w:rFonts w:hint="eastAsia" w:hAnsi="宋体" w:cs="宋体"/>
                <w:bCs/>
                <w:color w:val="auto"/>
                <w:sz w:val="21"/>
                <w:szCs w:val="21"/>
                <w:highlight w:val="none"/>
              </w:rPr>
              <w:t>本项目属于非专门面向中小企业采购的项目</w:t>
            </w:r>
            <w:r>
              <w:rPr>
                <w:rFonts w:hint="eastAsia" w:asciiTheme="majorEastAsia" w:hAnsiTheme="majorEastAsia" w:eastAsiaTheme="majorEastAsia" w:cstheme="majorEastAsia"/>
                <w:color w:val="auto"/>
                <w:sz w:val="21"/>
                <w:szCs w:val="21"/>
                <w:highlight w:val="none"/>
              </w:rPr>
              <w:t>。</w:t>
            </w:r>
          </w:p>
          <w:p w14:paraId="37C1D518">
            <w:pPr>
              <w:pStyle w:val="110"/>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3.本项目的特定资格要求：</w:t>
            </w:r>
          </w:p>
          <w:p w14:paraId="60A808F9">
            <w:pPr>
              <w:pStyle w:val="110"/>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3.1.投标人应具备有效的营业执照。</w:t>
            </w:r>
          </w:p>
          <w:p w14:paraId="0D1B12C0">
            <w:pPr>
              <w:pStyle w:val="110"/>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3.2.财务要求：投标人须提供（2021年、2022年、2023年）的财务报表或经会计师事务所出具的财务审计报告（成立不足三年的企业需提供成立之日起至2023年的财务审计报告，2024年成立的企业提供加盖公章的财务状况良好承诺书）；</w:t>
            </w:r>
          </w:p>
          <w:p w14:paraId="27303DC0">
            <w:pPr>
              <w:pStyle w:val="110"/>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3.3.投标人须提供近一年任意一个月依法缴纳税收和依法缴纳社会保险（依法免税企业提供免税证明）的证明材料以供查询；</w:t>
            </w:r>
          </w:p>
          <w:p w14:paraId="6E792259">
            <w:pPr>
              <w:pStyle w:val="110"/>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3.4.拒绝列入政府取消投标资格记录期间的企业或个人投标；</w:t>
            </w:r>
          </w:p>
          <w:p w14:paraId="5B938CEB">
            <w:pPr>
              <w:pStyle w:val="110"/>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3.5.供应商不得为“信用中国”网站（www.creditchina.gov.cn）中列入失信被执行人和重大税收违法失信主体的供应商，不得为中国政府采购网（www.ccpg.gov.cn）政府采购严重违法失信行为记录名单中被财政部门禁止参加政府采购活动的供应商（在处罚决定规定的时间和地域范围内）；</w:t>
            </w:r>
          </w:p>
          <w:p w14:paraId="287E440F">
            <w:pPr>
              <w:pStyle w:val="110"/>
              <w:jc w:val="both"/>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3.6.与采购人存在利害关系可能影响招标公正性的法人、其他组织或者个人，不得参加投标。单位负责人为同一人或者存在控股、管理关系的不同单位，不得参加同一标段投标或者未划分标段的同一招标项目投标。违反本规定的，相关投标均无效；</w:t>
            </w:r>
          </w:p>
          <w:p w14:paraId="1AE17A6C">
            <w:pPr>
              <w:pStyle w:val="25"/>
              <w:rPr>
                <w:color w:val="auto"/>
                <w:highlight w:val="none"/>
              </w:rPr>
            </w:pPr>
            <w:r>
              <w:rPr>
                <w:rFonts w:hint="eastAsia" w:ascii="宋体" w:hAnsi="宋体" w:cs="宋体"/>
                <w:bCs/>
                <w:color w:val="auto"/>
                <w:sz w:val="21"/>
                <w:szCs w:val="21"/>
                <w:highlight w:val="none"/>
              </w:rPr>
              <w:t>3.7.</w:t>
            </w:r>
            <w:r>
              <w:rPr>
                <w:rFonts w:hint="eastAsia"/>
                <w:color w:val="auto"/>
                <w:highlight w:val="none"/>
              </w:rPr>
              <w:t xml:space="preserve">  </w:t>
            </w:r>
            <w:r>
              <w:rPr>
                <w:rFonts w:hint="eastAsia" w:ascii="宋体" w:hAnsi="宋体" w:cs="宋体"/>
                <w:bCs/>
                <w:color w:val="auto"/>
                <w:sz w:val="21"/>
                <w:szCs w:val="21"/>
                <w:highlight w:val="none"/>
              </w:rPr>
              <w:t>投标人如为经销商，所投产品为进口产品，需提供生产厂家或生产厂家中国区代理商针对本项目的授权 （如生产厂家中国区代理商针对本项目的授权时需要提供生产厂家对中国区代理商 授权文件的复印件。）</w:t>
            </w:r>
          </w:p>
        </w:tc>
      </w:tr>
      <w:tr w14:paraId="6023EB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291F3C3C">
            <w:pPr>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8</w:t>
            </w:r>
          </w:p>
        </w:tc>
        <w:tc>
          <w:tcPr>
            <w:tcW w:w="1155" w:type="pct"/>
            <w:tcBorders>
              <w:top w:val="single" w:color="auto" w:sz="4" w:space="0"/>
              <w:left w:val="single" w:color="auto" w:sz="4" w:space="0"/>
              <w:bottom w:val="single" w:color="auto" w:sz="4" w:space="0"/>
              <w:right w:val="single" w:color="auto" w:sz="4" w:space="0"/>
            </w:tcBorders>
            <w:shd w:val="clear" w:color="auto" w:fill="auto"/>
            <w:vAlign w:val="center"/>
          </w:tcPr>
          <w:p w14:paraId="14D00C82">
            <w:pPr>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评标委员会的组建</w:t>
            </w:r>
          </w:p>
        </w:tc>
        <w:tc>
          <w:tcPr>
            <w:tcW w:w="3475" w:type="pct"/>
            <w:tcBorders>
              <w:top w:val="single" w:color="auto" w:sz="4" w:space="0"/>
              <w:left w:val="single" w:color="auto" w:sz="4" w:space="0"/>
              <w:bottom w:val="single" w:color="auto" w:sz="4" w:space="0"/>
              <w:right w:val="single" w:color="auto" w:sz="4" w:space="0"/>
            </w:tcBorders>
            <w:shd w:val="clear" w:color="auto" w:fill="auto"/>
            <w:vAlign w:val="center"/>
          </w:tcPr>
          <w:p w14:paraId="0088167C">
            <w:pPr>
              <w:spacing w:line="3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评标委员会构成：5人，其中采购人代表1人，技术、经济方面的专家4人；</w:t>
            </w:r>
          </w:p>
          <w:p w14:paraId="15034A36">
            <w:pPr>
              <w:spacing w:line="3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评标专家确定方式：在监督部门的监督下从依法设立的评标专家库中随机抽取。</w:t>
            </w:r>
          </w:p>
        </w:tc>
      </w:tr>
      <w:tr w14:paraId="275C63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485FABF4">
            <w:pPr>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9</w:t>
            </w:r>
          </w:p>
        </w:tc>
        <w:tc>
          <w:tcPr>
            <w:tcW w:w="1155" w:type="pct"/>
            <w:tcBorders>
              <w:top w:val="single" w:color="auto" w:sz="4" w:space="0"/>
              <w:left w:val="single" w:color="auto" w:sz="4" w:space="0"/>
              <w:bottom w:val="single" w:color="auto" w:sz="4" w:space="0"/>
              <w:right w:val="single" w:color="auto" w:sz="4" w:space="0"/>
            </w:tcBorders>
            <w:vAlign w:val="center"/>
          </w:tcPr>
          <w:p w14:paraId="3FB2572A">
            <w:pPr>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是否授权评审委员会确定中标单位</w:t>
            </w:r>
          </w:p>
        </w:tc>
        <w:tc>
          <w:tcPr>
            <w:tcW w:w="3475" w:type="pct"/>
            <w:tcBorders>
              <w:top w:val="single" w:color="auto" w:sz="4" w:space="0"/>
              <w:left w:val="single" w:color="auto" w:sz="4" w:space="0"/>
              <w:bottom w:val="single" w:color="auto" w:sz="4" w:space="0"/>
              <w:right w:val="single" w:color="auto" w:sz="4" w:space="0"/>
            </w:tcBorders>
            <w:vAlign w:val="center"/>
          </w:tcPr>
          <w:p w14:paraId="729BBD0A">
            <w:pPr>
              <w:spacing w:line="3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□是</w:t>
            </w:r>
          </w:p>
          <w:p w14:paraId="6023EDD4">
            <w:pPr>
              <w:spacing w:line="3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√否,推荐得分由高到低的前三名为中标候选人</w:t>
            </w:r>
          </w:p>
          <w:p w14:paraId="29A2EAFF">
            <w:pPr>
              <w:spacing w:line="3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注：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14:paraId="724AEF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17B4650E">
            <w:pPr>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w:t>
            </w:r>
          </w:p>
        </w:tc>
        <w:tc>
          <w:tcPr>
            <w:tcW w:w="1155" w:type="pct"/>
            <w:tcBorders>
              <w:top w:val="single" w:color="auto" w:sz="4" w:space="0"/>
              <w:left w:val="single" w:color="auto" w:sz="4" w:space="0"/>
              <w:bottom w:val="single" w:color="auto" w:sz="4" w:space="0"/>
              <w:right w:val="single" w:color="auto" w:sz="4" w:space="0"/>
            </w:tcBorders>
            <w:shd w:val="clear" w:color="auto" w:fill="auto"/>
            <w:vAlign w:val="center"/>
          </w:tcPr>
          <w:p w14:paraId="00F2BA8E">
            <w:pPr>
              <w:jc w:val="center"/>
              <w:rPr>
                <w:rFonts w:hint="eastAsia" w:ascii="宋体" w:hAnsi="宋体" w:cs="宋体"/>
                <w:color w:val="auto"/>
                <w:sz w:val="21"/>
                <w:szCs w:val="21"/>
                <w:highlight w:val="none"/>
                <w:lang w:eastAsia="en-US"/>
              </w:rPr>
            </w:pPr>
            <w:r>
              <w:rPr>
                <w:rFonts w:hint="eastAsia" w:ascii="宋体" w:hAnsi="宋体" w:cs="宋体"/>
                <w:color w:val="auto"/>
                <w:sz w:val="21"/>
                <w:szCs w:val="21"/>
                <w:highlight w:val="none"/>
              </w:rPr>
              <w:t>招标代理服务费</w:t>
            </w:r>
          </w:p>
        </w:tc>
        <w:tc>
          <w:tcPr>
            <w:tcW w:w="3475" w:type="pct"/>
            <w:tcBorders>
              <w:top w:val="single" w:color="auto" w:sz="4" w:space="0"/>
              <w:left w:val="single" w:color="auto" w:sz="4" w:space="0"/>
              <w:bottom w:val="single" w:color="auto" w:sz="4" w:space="0"/>
              <w:right w:val="single" w:color="auto" w:sz="4" w:space="0"/>
            </w:tcBorders>
            <w:shd w:val="clear" w:color="auto" w:fill="auto"/>
          </w:tcPr>
          <w:p w14:paraId="7CA132C8">
            <w:pPr>
              <w:rPr>
                <w:rFonts w:hint="eastAsia" w:ascii="宋体" w:hAnsi="宋体" w:cs="宋体"/>
                <w:color w:val="auto"/>
                <w:sz w:val="21"/>
                <w:szCs w:val="21"/>
                <w:highlight w:val="none"/>
              </w:rPr>
            </w:pPr>
            <w:r>
              <w:rPr>
                <w:rFonts w:hint="eastAsia" w:ascii="宋体" w:hAnsi="宋体" w:cs="宋体"/>
                <w:color w:val="auto"/>
                <w:sz w:val="21"/>
                <w:szCs w:val="21"/>
                <w:highlight w:val="none"/>
              </w:rPr>
              <w:t>执行国家发改委办公厅颁布的《关于进一步放开建设项目专业服务价格的通知》（发改办价格[2015]299号文件）规定的标准按招标控制价（工程1%，货物、服务1.5%）向成交人收取招标代理服务费。</w:t>
            </w:r>
          </w:p>
        </w:tc>
      </w:tr>
      <w:tr w14:paraId="022EE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7FAB3581">
            <w:pPr>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11</w:t>
            </w:r>
          </w:p>
        </w:tc>
        <w:tc>
          <w:tcPr>
            <w:tcW w:w="1155" w:type="pct"/>
            <w:tcBorders>
              <w:top w:val="single" w:color="auto" w:sz="4" w:space="0"/>
              <w:left w:val="single" w:color="auto" w:sz="4" w:space="0"/>
              <w:bottom w:val="single" w:color="auto" w:sz="4" w:space="0"/>
              <w:right w:val="single" w:color="auto" w:sz="4" w:space="0"/>
            </w:tcBorders>
            <w:vAlign w:val="center"/>
          </w:tcPr>
          <w:p w14:paraId="4B49D2DF">
            <w:pPr>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投标有效期</w:t>
            </w:r>
          </w:p>
        </w:tc>
        <w:tc>
          <w:tcPr>
            <w:tcW w:w="3475" w:type="pct"/>
            <w:tcBorders>
              <w:top w:val="single" w:color="auto" w:sz="4" w:space="0"/>
              <w:left w:val="single" w:color="auto" w:sz="4" w:space="0"/>
              <w:bottom w:val="single" w:color="auto" w:sz="4" w:space="0"/>
              <w:right w:val="single" w:color="auto" w:sz="4" w:space="0"/>
            </w:tcBorders>
            <w:vAlign w:val="center"/>
          </w:tcPr>
          <w:p w14:paraId="5A37EF08">
            <w:pPr>
              <w:spacing w:line="300" w:lineRule="exact"/>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90天（日历天）</w:t>
            </w:r>
          </w:p>
        </w:tc>
      </w:tr>
      <w:tr w14:paraId="22467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4B84C1C4">
            <w:pPr>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12</w:t>
            </w:r>
          </w:p>
        </w:tc>
        <w:tc>
          <w:tcPr>
            <w:tcW w:w="1155" w:type="pct"/>
            <w:tcBorders>
              <w:top w:val="single" w:color="auto" w:sz="4" w:space="0"/>
              <w:left w:val="single" w:color="auto" w:sz="4" w:space="0"/>
              <w:bottom w:val="single" w:color="auto" w:sz="4" w:space="0"/>
              <w:right w:val="single" w:color="auto" w:sz="4" w:space="0"/>
            </w:tcBorders>
            <w:vAlign w:val="center"/>
          </w:tcPr>
          <w:p w14:paraId="707EDA02">
            <w:pPr>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踏勘现场</w:t>
            </w:r>
          </w:p>
        </w:tc>
        <w:tc>
          <w:tcPr>
            <w:tcW w:w="3475" w:type="pct"/>
            <w:tcBorders>
              <w:top w:val="single" w:color="auto" w:sz="4" w:space="0"/>
              <w:left w:val="single" w:color="auto" w:sz="4" w:space="0"/>
              <w:bottom w:val="single" w:color="auto" w:sz="4" w:space="0"/>
              <w:right w:val="single" w:color="auto" w:sz="4" w:space="0"/>
            </w:tcBorders>
            <w:vAlign w:val="center"/>
          </w:tcPr>
          <w:p w14:paraId="123DD06E">
            <w:pPr>
              <w:spacing w:line="300" w:lineRule="exact"/>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无</w:t>
            </w:r>
          </w:p>
        </w:tc>
      </w:tr>
      <w:tr w14:paraId="2D02B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6E3F0465">
            <w:pPr>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13</w:t>
            </w:r>
          </w:p>
        </w:tc>
        <w:tc>
          <w:tcPr>
            <w:tcW w:w="1155" w:type="pct"/>
            <w:tcBorders>
              <w:top w:val="single" w:color="auto" w:sz="4" w:space="0"/>
              <w:left w:val="single" w:color="auto" w:sz="4" w:space="0"/>
              <w:bottom w:val="single" w:color="auto" w:sz="4" w:space="0"/>
              <w:right w:val="single" w:color="auto" w:sz="4" w:space="0"/>
            </w:tcBorders>
            <w:vAlign w:val="center"/>
          </w:tcPr>
          <w:p w14:paraId="3504E76D">
            <w:pPr>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响应文件份数</w:t>
            </w:r>
          </w:p>
        </w:tc>
        <w:tc>
          <w:tcPr>
            <w:tcW w:w="3475" w:type="pct"/>
            <w:tcBorders>
              <w:top w:val="single" w:color="auto" w:sz="4" w:space="0"/>
              <w:left w:val="single" w:color="auto" w:sz="4" w:space="0"/>
              <w:bottom w:val="single" w:color="auto" w:sz="4" w:space="0"/>
              <w:right w:val="single" w:color="auto" w:sz="4" w:space="0"/>
            </w:tcBorders>
            <w:vAlign w:val="center"/>
          </w:tcPr>
          <w:p w14:paraId="17843E51">
            <w:pPr>
              <w:spacing w:line="300" w:lineRule="exact"/>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1份正本，4份副本,电子版U盘2份</w:t>
            </w:r>
          </w:p>
        </w:tc>
      </w:tr>
      <w:tr w14:paraId="29CF2F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1EADFF2C">
            <w:pPr>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14</w:t>
            </w:r>
          </w:p>
        </w:tc>
        <w:tc>
          <w:tcPr>
            <w:tcW w:w="1155" w:type="pct"/>
            <w:tcBorders>
              <w:top w:val="single" w:color="auto" w:sz="4" w:space="0"/>
              <w:left w:val="single" w:color="auto" w:sz="4" w:space="0"/>
              <w:bottom w:val="single" w:color="auto" w:sz="4" w:space="0"/>
              <w:right w:val="single" w:color="auto" w:sz="4" w:space="0"/>
            </w:tcBorders>
            <w:vAlign w:val="center"/>
          </w:tcPr>
          <w:p w14:paraId="16BB32FC">
            <w:pPr>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采购时应提交的</w:t>
            </w:r>
          </w:p>
          <w:p w14:paraId="4E2DC63C">
            <w:pPr>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其它资料</w:t>
            </w:r>
          </w:p>
        </w:tc>
        <w:tc>
          <w:tcPr>
            <w:tcW w:w="3475" w:type="pct"/>
            <w:tcBorders>
              <w:top w:val="single" w:color="auto" w:sz="4" w:space="0"/>
              <w:left w:val="single" w:color="auto" w:sz="4" w:space="0"/>
              <w:bottom w:val="single" w:color="auto" w:sz="4" w:space="0"/>
              <w:right w:val="single" w:color="auto" w:sz="4" w:space="0"/>
            </w:tcBorders>
            <w:vAlign w:val="center"/>
          </w:tcPr>
          <w:p w14:paraId="74A88FF9">
            <w:pPr>
              <w:spacing w:line="300" w:lineRule="exact"/>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资格后审资料（详见投标资格审查部分）</w:t>
            </w:r>
          </w:p>
        </w:tc>
      </w:tr>
      <w:tr w14:paraId="36723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1F0CF34A">
            <w:pPr>
              <w:autoSpaceDE w:val="0"/>
              <w:autoSpaceDN w:val="0"/>
              <w:adjustRightInd w:val="0"/>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15</w:t>
            </w:r>
          </w:p>
        </w:tc>
        <w:tc>
          <w:tcPr>
            <w:tcW w:w="1155" w:type="pct"/>
            <w:tcBorders>
              <w:top w:val="single" w:color="auto" w:sz="4" w:space="0"/>
              <w:left w:val="single" w:color="auto" w:sz="4" w:space="0"/>
              <w:bottom w:val="single" w:color="auto" w:sz="4" w:space="0"/>
              <w:right w:val="single" w:color="auto" w:sz="4" w:space="0"/>
            </w:tcBorders>
            <w:vAlign w:val="center"/>
          </w:tcPr>
          <w:p w14:paraId="5E2D72A6">
            <w:pPr>
              <w:autoSpaceDE w:val="0"/>
              <w:autoSpaceDN w:val="0"/>
              <w:adjustRightInd w:val="0"/>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分包</w:t>
            </w:r>
          </w:p>
        </w:tc>
        <w:tc>
          <w:tcPr>
            <w:tcW w:w="3475" w:type="pct"/>
            <w:tcBorders>
              <w:top w:val="single" w:color="auto" w:sz="4" w:space="0"/>
              <w:left w:val="single" w:color="auto" w:sz="4" w:space="0"/>
              <w:bottom w:val="single" w:color="auto" w:sz="4" w:space="0"/>
              <w:right w:val="single" w:color="auto" w:sz="4" w:space="0"/>
            </w:tcBorders>
            <w:vAlign w:val="center"/>
          </w:tcPr>
          <w:p w14:paraId="3C5693D1">
            <w:pPr>
              <w:autoSpaceDE w:val="0"/>
              <w:autoSpaceDN w:val="0"/>
              <w:adjustRightInd w:val="0"/>
              <w:spacing w:line="3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不允许</w:t>
            </w:r>
          </w:p>
        </w:tc>
      </w:tr>
      <w:tr w14:paraId="6ACE46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775D7C95">
            <w:pPr>
              <w:autoSpaceDE w:val="0"/>
              <w:autoSpaceDN w:val="0"/>
              <w:adjustRightInd w:val="0"/>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16</w:t>
            </w:r>
          </w:p>
        </w:tc>
        <w:tc>
          <w:tcPr>
            <w:tcW w:w="1155" w:type="pct"/>
            <w:tcBorders>
              <w:top w:val="single" w:color="auto" w:sz="4" w:space="0"/>
              <w:left w:val="single" w:color="auto" w:sz="4" w:space="0"/>
              <w:bottom w:val="single" w:color="auto" w:sz="4" w:space="0"/>
              <w:right w:val="single" w:color="auto" w:sz="4" w:space="0"/>
            </w:tcBorders>
            <w:vAlign w:val="center"/>
          </w:tcPr>
          <w:p w14:paraId="4E27A9DB">
            <w:pPr>
              <w:autoSpaceDE w:val="0"/>
              <w:autoSpaceDN w:val="0"/>
              <w:adjustRightInd w:val="0"/>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偏离</w:t>
            </w:r>
          </w:p>
        </w:tc>
        <w:tc>
          <w:tcPr>
            <w:tcW w:w="3475" w:type="pct"/>
            <w:tcBorders>
              <w:top w:val="single" w:color="auto" w:sz="4" w:space="0"/>
              <w:left w:val="single" w:color="auto" w:sz="4" w:space="0"/>
              <w:bottom w:val="single" w:color="auto" w:sz="4" w:space="0"/>
              <w:right w:val="single" w:color="auto" w:sz="4" w:space="0"/>
            </w:tcBorders>
            <w:vAlign w:val="center"/>
          </w:tcPr>
          <w:p w14:paraId="0743487F">
            <w:pPr>
              <w:autoSpaceDE w:val="0"/>
              <w:autoSpaceDN w:val="0"/>
              <w:adjustRightInd w:val="0"/>
              <w:spacing w:line="3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对招标文件的实质性技术参数要求条款应作出实质性响应</w:t>
            </w:r>
          </w:p>
        </w:tc>
      </w:tr>
      <w:tr w14:paraId="3F684A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0783FB7A">
            <w:pPr>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17</w:t>
            </w:r>
          </w:p>
        </w:tc>
        <w:tc>
          <w:tcPr>
            <w:tcW w:w="1155" w:type="pct"/>
            <w:tcBorders>
              <w:top w:val="single" w:color="auto" w:sz="4" w:space="0"/>
              <w:left w:val="single" w:color="auto" w:sz="4" w:space="0"/>
              <w:bottom w:val="single" w:color="auto" w:sz="4" w:space="0"/>
              <w:right w:val="single" w:color="auto" w:sz="4" w:space="0"/>
            </w:tcBorders>
            <w:shd w:val="clear" w:color="auto" w:fill="auto"/>
            <w:vAlign w:val="center"/>
          </w:tcPr>
          <w:p w14:paraId="0C60494E">
            <w:pPr>
              <w:spacing w:line="300" w:lineRule="exact"/>
              <w:jc w:val="center"/>
              <w:rPr>
                <w:rFonts w:hint="eastAsia" w:ascii="宋体" w:hAnsi="宋体" w:cs="宋体"/>
                <w:color w:val="auto"/>
                <w:kern w:val="2"/>
                <w:sz w:val="21"/>
                <w:szCs w:val="21"/>
                <w:highlight w:val="none"/>
              </w:rPr>
            </w:pPr>
            <w:r>
              <w:rPr>
                <w:rFonts w:hint="eastAsia" w:ascii="宋体" w:hAnsi="宋体" w:cs="宋体"/>
                <w:color w:val="auto"/>
                <w:sz w:val="21"/>
                <w:szCs w:val="21"/>
                <w:highlight w:val="none"/>
              </w:rPr>
              <w:t>解密时间及解密方式</w:t>
            </w:r>
          </w:p>
        </w:tc>
        <w:tc>
          <w:tcPr>
            <w:tcW w:w="3475" w:type="pct"/>
            <w:tcBorders>
              <w:top w:val="single" w:color="auto" w:sz="4" w:space="0"/>
              <w:left w:val="single" w:color="auto" w:sz="4" w:space="0"/>
              <w:bottom w:val="single" w:color="auto" w:sz="4" w:space="0"/>
              <w:right w:val="single" w:color="auto" w:sz="4" w:space="0"/>
            </w:tcBorders>
            <w:shd w:val="clear" w:color="auto" w:fill="auto"/>
            <w:vAlign w:val="center"/>
          </w:tcPr>
          <w:p w14:paraId="7DD7CA4E">
            <w:pPr>
              <w:jc w:val="both"/>
              <w:rPr>
                <w:rFonts w:hint="eastAsia" w:ascii="宋体" w:hAnsi="宋体" w:eastAsia="宋体" w:cs="宋体"/>
                <w:bCs/>
                <w:color w:val="auto"/>
                <w:sz w:val="21"/>
                <w:szCs w:val="21"/>
                <w:highlight w:val="none"/>
                <w:lang w:eastAsia="zh-CN"/>
              </w:rPr>
            </w:pPr>
            <w:r>
              <w:rPr>
                <w:rFonts w:hint="eastAsia" w:ascii="宋体" w:hAnsi="宋体" w:cs="宋体"/>
                <w:color w:val="auto"/>
                <w:sz w:val="21"/>
                <w:szCs w:val="21"/>
                <w:highlight w:val="none"/>
              </w:rPr>
              <w:t>时  间:</w:t>
            </w:r>
            <w:r>
              <w:rPr>
                <w:rFonts w:hint="eastAsia" w:ascii="宋体" w:hAnsi="宋体" w:cs="宋体"/>
                <w:bCs/>
                <w:color w:val="auto"/>
                <w:sz w:val="21"/>
                <w:szCs w:val="21"/>
                <w:highlight w:val="none"/>
              </w:rPr>
              <w:t xml:space="preserve"> </w:t>
            </w:r>
            <w:r>
              <w:rPr>
                <w:rFonts w:hint="eastAsia" w:ascii="宋体" w:hAnsi="宋体" w:cs="宋体"/>
                <w:bCs/>
                <w:color w:val="auto"/>
                <w:sz w:val="21"/>
                <w:szCs w:val="21"/>
                <w:highlight w:val="none"/>
                <w:lang w:eastAsia="zh-CN"/>
              </w:rPr>
              <w:t>2025年07月23日09点00分</w:t>
            </w:r>
          </w:p>
          <w:p w14:paraId="76444395">
            <w:pPr>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方  式:本项目采用“政采云”平台(http：//www.zcygov.cn)不见面开标大厅进行远程采购活动，供应商无需到达开标现场，响应文件远程解密。</w:t>
            </w:r>
          </w:p>
          <w:p w14:paraId="22E6CACB">
            <w:pPr>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①公布供应商名单后30分钟内，由供应商持制作该电子响应文件的相同数字证书(CA锁)及电脑进行远程解密(各供应商在响应文件提交截止时间前及“政采云”系统公布供应商名单前，不要提前进行远程解密)。</w:t>
            </w:r>
          </w:p>
          <w:p w14:paraId="41DFB346">
            <w:pPr>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②响应文件解密截止时间后，“政采云”平台公布投标报价信息，供应商需持企业数字证书登录“政采云”平台在线确认投标报价信息。</w:t>
            </w:r>
          </w:p>
          <w:p w14:paraId="463313D1">
            <w:pPr>
              <w:jc w:val="both"/>
              <w:rPr>
                <w:rFonts w:hint="eastAsia" w:ascii="宋体" w:hAnsi="宋体" w:cs="宋体"/>
                <w:color w:val="auto"/>
                <w:kern w:val="2"/>
                <w:sz w:val="21"/>
                <w:szCs w:val="21"/>
                <w:highlight w:val="none"/>
              </w:rPr>
            </w:pPr>
            <w:r>
              <w:rPr>
                <w:rFonts w:hint="eastAsia" w:ascii="宋体" w:hAnsi="宋体" w:cs="宋体"/>
                <w:color w:val="auto"/>
                <w:sz w:val="21"/>
                <w:szCs w:val="21"/>
                <w:highlight w:val="none"/>
              </w:rPr>
              <w:t>③因投标供应商自身原因未能按时完成解密的，视为逾期未提交响应文件，其投标无效。</w:t>
            </w:r>
          </w:p>
        </w:tc>
      </w:tr>
      <w:tr w14:paraId="1C34A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7E723AE2">
            <w:pPr>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18</w:t>
            </w:r>
          </w:p>
        </w:tc>
        <w:tc>
          <w:tcPr>
            <w:tcW w:w="1155" w:type="pct"/>
            <w:tcBorders>
              <w:top w:val="single" w:color="auto" w:sz="4" w:space="0"/>
              <w:left w:val="single" w:color="auto" w:sz="4" w:space="0"/>
              <w:bottom w:val="single" w:color="auto" w:sz="4" w:space="0"/>
              <w:right w:val="single" w:color="auto" w:sz="4" w:space="0"/>
            </w:tcBorders>
            <w:shd w:val="clear" w:color="auto" w:fill="auto"/>
            <w:vAlign w:val="center"/>
          </w:tcPr>
          <w:p w14:paraId="5E65FD5C">
            <w:pPr>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投标保证金</w:t>
            </w:r>
          </w:p>
        </w:tc>
        <w:tc>
          <w:tcPr>
            <w:tcW w:w="3475" w:type="pct"/>
            <w:tcBorders>
              <w:top w:val="single" w:color="auto" w:sz="4" w:space="0"/>
              <w:left w:val="single" w:color="auto" w:sz="4" w:space="0"/>
              <w:bottom w:val="single" w:color="auto" w:sz="4" w:space="0"/>
              <w:right w:val="single" w:color="auto" w:sz="4" w:space="0"/>
            </w:tcBorders>
            <w:shd w:val="clear" w:color="auto" w:fill="auto"/>
            <w:vAlign w:val="center"/>
          </w:tcPr>
          <w:p w14:paraId="368C91ED">
            <w:pPr>
              <w:snapToGrid w:val="0"/>
              <w:spacing w:line="3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 不要求提供</w:t>
            </w:r>
          </w:p>
          <w:p w14:paraId="289B14F9">
            <w:pPr>
              <w:snapToGrid w:val="0"/>
              <w:spacing w:line="3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sym w:font="Wingdings" w:char="00FE"/>
            </w:r>
            <w:r>
              <w:rPr>
                <w:rFonts w:hint="eastAsia" w:ascii="宋体" w:hAnsi="宋体" w:cs="宋体"/>
                <w:color w:val="auto"/>
                <w:sz w:val="21"/>
                <w:szCs w:val="21"/>
                <w:highlight w:val="none"/>
              </w:rPr>
              <w:t xml:space="preserve"> 要求提供</w:t>
            </w:r>
          </w:p>
          <w:p w14:paraId="28C66E44">
            <w:pPr>
              <w:snapToGrid w:val="0"/>
              <w:spacing w:line="30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投标保证金投标保证金的形式：</w:t>
            </w:r>
            <w:r>
              <w:rPr>
                <w:rFonts w:hint="eastAsia" w:ascii="宋体" w:hAnsi="宋体" w:cs="宋体"/>
                <w:color w:val="auto"/>
                <w:sz w:val="21"/>
                <w:szCs w:val="21"/>
                <w:highlight w:val="none"/>
              </w:rPr>
              <w:t>以</w:t>
            </w:r>
            <w:r>
              <w:rPr>
                <w:rFonts w:hint="eastAsia" w:ascii="宋体" w:hAnsi="宋体" w:cs="宋体"/>
                <w:color w:val="auto"/>
                <w:sz w:val="21"/>
                <w:szCs w:val="21"/>
                <w:highlight w:val="none"/>
                <w:lang w:val="zh-CN"/>
              </w:rPr>
              <w:t>支票、汇票、本票、网上银行支付或者金融机构、担保机构出具的保函等非现金形式提交。</w:t>
            </w:r>
          </w:p>
          <w:p w14:paraId="760DD59F">
            <w:pPr>
              <w:snapToGrid w:val="0"/>
              <w:spacing w:line="30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投标保证金的金额：</w:t>
            </w:r>
            <w:r>
              <w:rPr>
                <w:rFonts w:hint="eastAsia" w:ascii="宋体" w:hAnsi="宋体" w:cs="宋体"/>
                <w:color w:val="auto"/>
                <w:sz w:val="21"/>
                <w:szCs w:val="21"/>
                <w:highlight w:val="none"/>
              </w:rPr>
              <w:t>9万</w:t>
            </w:r>
            <w:r>
              <w:rPr>
                <w:rFonts w:hint="eastAsia" w:ascii="宋体" w:hAnsi="宋体" w:cs="宋体"/>
                <w:color w:val="auto"/>
                <w:sz w:val="21"/>
                <w:szCs w:val="21"/>
                <w:highlight w:val="none"/>
                <w:lang w:val="zh-CN"/>
              </w:rPr>
              <w:t>元</w:t>
            </w:r>
          </w:p>
          <w:p w14:paraId="26CAF4A9">
            <w:pPr>
              <w:snapToGrid w:val="0"/>
              <w:spacing w:line="30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户</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zh-CN"/>
              </w:rPr>
              <w:t>名：吉林省中锦工程管理有限公司</w:t>
            </w:r>
          </w:p>
          <w:p w14:paraId="2677194C">
            <w:pPr>
              <w:snapToGrid w:val="0"/>
              <w:spacing w:line="30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账    号：922001010050489999</w:t>
            </w:r>
          </w:p>
          <w:p w14:paraId="0C08556C">
            <w:pPr>
              <w:snapToGrid w:val="0"/>
              <w:spacing w:line="30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开  户  行：中国邮政储蓄银行股份有限公司长春市彩宇大街支行</w:t>
            </w:r>
          </w:p>
          <w:p w14:paraId="0AF4C7FB">
            <w:pPr>
              <w:snapToGrid w:val="0"/>
              <w:spacing w:line="30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注：</w:t>
            </w:r>
            <w:r>
              <w:rPr>
                <w:rFonts w:hint="eastAsia" w:ascii="宋体" w:hAnsi="宋体" w:cs="宋体"/>
                <w:color w:val="auto"/>
                <w:sz w:val="21"/>
                <w:szCs w:val="21"/>
                <w:highlight w:val="none"/>
              </w:rPr>
              <w:t>1.</w:t>
            </w:r>
            <w:r>
              <w:rPr>
                <w:rFonts w:hint="eastAsia" w:ascii="宋体" w:hAnsi="宋体" w:cs="宋体"/>
                <w:color w:val="auto"/>
                <w:sz w:val="21"/>
                <w:szCs w:val="21"/>
                <w:highlight w:val="none"/>
                <w:lang w:val="zh-CN"/>
              </w:rPr>
              <w:t>投标保证金应从其基本账户转出，应在开标前提交，以到帐为准。投标保证金是响应文件的组成部分，开标前未按要求提交到账的，视为放弃投标，采购人将不接受其响应文件。供应商应在银行进账单或电汇凭证上项目用途、项目编号以便核对查实。</w:t>
            </w:r>
          </w:p>
          <w:p w14:paraId="16AC485D">
            <w:pPr>
              <w:snapToGrid w:val="0"/>
              <w:spacing w:line="3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2.投标保证金应以投标人自身名义缴纳，其名称应与投标单位名称一致，不得以分支机构等其他名义缴纳。为方便核对投标人投标保证金到账情况。</w:t>
            </w:r>
          </w:p>
          <w:p w14:paraId="31EC43EC">
            <w:pPr>
              <w:snapToGrid w:val="0"/>
              <w:spacing w:line="3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3.对项目本次招标出现废标情况的，投标保证金退还至投标人投标保证金原缴纳账户。重新组织招标时，投标人需按规定重新缴纳投标保证金。</w:t>
            </w:r>
          </w:p>
          <w:p w14:paraId="4BD4B2A0">
            <w:pPr>
              <w:pStyle w:val="16"/>
              <w:spacing w:after="0" w:line="3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（请在汇款单据上标明项目编号。并将保证金凭证发至974875963@qq.com邮箱，以便核查）</w:t>
            </w:r>
          </w:p>
        </w:tc>
      </w:tr>
      <w:tr w14:paraId="546FDF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2F293638">
            <w:pPr>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19</w:t>
            </w:r>
          </w:p>
        </w:tc>
        <w:tc>
          <w:tcPr>
            <w:tcW w:w="1155" w:type="pct"/>
            <w:tcBorders>
              <w:top w:val="single" w:color="auto" w:sz="4" w:space="0"/>
              <w:left w:val="single" w:color="auto" w:sz="4" w:space="0"/>
              <w:bottom w:val="single" w:color="auto" w:sz="4" w:space="0"/>
              <w:right w:val="single" w:color="auto" w:sz="4" w:space="0"/>
            </w:tcBorders>
            <w:shd w:val="clear" w:color="auto" w:fill="auto"/>
            <w:vAlign w:val="center"/>
          </w:tcPr>
          <w:p w14:paraId="40337C79">
            <w:pPr>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配送方式</w:t>
            </w:r>
          </w:p>
        </w:tc>
        <w:tc>
          <w:tcPr>
            <w:tcW w:w="3475" w:type="pct"/>
            <w:tcBorders>
              <w:top w:val="single" w:color="auto" w:sz="4" w:space="0"/>
              <w:left w:val="single" w:color="auto" w:sz="4" w:space="0"/>
              <w:bottom w:val="single" w:color="auto" w:sz="4" w:space="0"/>
              <w:right w:val="single" w:color="auto" w:sz="4" w:space="0"/>
            </w:tcBorders>
            <w:shd w:val="clear" w:color="auto" w:fill="auto"/>
            <w:vAlign w:val="center"/>
          </w:tcPr>
          <w:p w14:paraId="0C5555CE">
            <w:pPr>
              <w:spacing w:line="3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按甲方指定时间配送</w:t>
            </w:r>
          </w:p>
        </w:tc>
      </w:tr>
      <w:tr w14:paraId="4E878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37121F80">
            <w:pPr>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20</w:t>
            </w:r>
          </w:p>
        </w:tc>
        <w:tc>
          <w:tcPr>
            <w:tcW w:w="1155" w:type="pct"/>
            <w:tcBorders>
              <w:top w:val="single" w:color="auto" w:sz="4" w:space="0"/>
              <w:left w:val="single" w:color="auto" w:sz="4" w:space="0"/>
              <w:bottom w:val="single" w:color="auto" w:sz="4" w:space="0"/>
              <w:right w:val="single" w:color="auto" w:sz="4" w:space="0"/>
            </w:tcBorders>
            <w:shd w:val="clear" w:color="auto" w:fill="auto"/>
            <w:vAlign w:val="center"/>
          </w:tcPr>
          <w:p w14:paraId="44E2431A">
            <w:pPr>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验收标准</w:t>
            </w:r>
          </w:p>
        </w:tc>
        <w:tc>
          <w:tcPr>
            <w:tcW w:w="3475" w:type="pct"/>
            <w:tcBorders>
              <w:top w:val="single" w:color="auto" w:sz="4" w:space="0"/>
              <w:left w:val="single" w:color="auto" w:sz="4" w:space="0"/>
              <w:bottom w:val="single" w:color="auto" w:sz="4" w:space="0"/>
              <w:right w:val="single" w:color="auto" w:sz="4" w:space="0"/>
            </w:tcBorders>
            <w:shd w:val="clear" w:color="auto" w:fill="auto"/>
            <w:vAlign w:val="center"/>
          </w:tcPr>
          <w:p w14:paraId="0B07A3C7">
            <w:pPr>
              <w:spacing w:line="3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验收标准：设备到货时对产品型号、按照采购文件技术要求进行设备参数等进行验收，如果重大偏差不予通过。</w:t>
            </w:r>
          </w:p>
        </w:tc>
      </w:tr>
      <w:tr w14:paraId="63FAC0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64E2EF41">
            <w:pPr>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21</w:t>
            </w:r>
          </w:p>
        </w:tc>
        <w:tc>
          <w:tcPr>
            <w:tcW w:w="1155" w:type="pct"/>
            <w:tcBorders>
              <w:top w:val="single" w:color="auto" w:sz="4" w:space="0"/>
              <w:left w:val="single" w:color="auto" w:sz="4" w:space="0"/>
              <w:bottom w:val="single" w:color="auto" w:sz="4" w:space="0"/>
              <w:right w:val="single" w:color="auto" w:sz="4" w:space="0"/>
            </w:tcBorders>
            <w:shd w:val="clear" w:color="auto" w:fill="auto"/>
            <w:vAlign w:val="center"/>
          </w:tcPr>
          <w:p w14:paraId="6DFD8BBF">
            <w:pPr>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采购预算</w:t>
            </w:r>
          </w:p>
        </w:tc>
        <w:tc>
          <w:tcPr>
            <w:tcW w:w="3475" w:type="pct"/>
            <w:tcBorders>
              <w:top w:val="single" w:color="auto" w:sz="4" w:space="0"/>
              <w:left w:val="single" w:color="auto" w:sz="4" w:space="0"/>
              <w:bottom w:val="single" w:color="auto" w:sz="4" w:space="0"/>
              <w:right w:val="single" w:color="auto" w:sz="4" w:space="0"/>
            </w:tcBorders>
            <w:shd w:val="clear" w:color="auto" w:fill="auto"/>
            <w:vAlign w:val="center"/>
          </w:tcPr>
          <w:p w14:paraId="64648C70">
            <w:pPr>
              <w:spacing w:line="3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9,980,000.00元</w:t>
            </w:r>
          </w:p>
        </w:tc>
      </w:tr>
      <w:tr w14:paraId="02871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38B30BA7">
            <w:pPr>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22</w:t>
            </w:r>
          </w:p>
        </w:tc>
        <w:tc>
          <w:tcPr>
            <w:tcW w:w="1155" w:type="pct"/>
            <w:tcBorders>
              <w:top w:val="single" w:color="auto" w:sz="4" w:space="0"/>
              <w:left w:val="single" w:color="auto" w:sz="4" w:space="0"/>
              <w:bottom w:val="single" w:color="auto" w:sz="4" w:space="0"/>
              <w:right w:val="single" w:color="auto" w:sz="4" w:space="0"/>
            </w:tcBorders>
            <w:shd w:val="clear" w:color="auto" w:fill="auto"/>
            <w:vAlign w:val="center"/>
          </w:tcPr>
          <w:p w14:paraId="741CAC03">
            <w:pPr>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质保期</w:t>
            </w:r>
          </w:p>
        </w:tc>
        <w:tc>
          <w:tcPr>
            <w:tcW w:w="3475" w:type="pct"/>
            <w:tcBorders>
              <w:top w:val="single" w:color="auto" w:sz="4" w:space="0"/>
              <w:left w:val="single" w:color="auto" w:sz="4" w:space="0"/>
              <w:bottom w:val="single" w:color="auto" w:sz="4" w:space="0"/>
              <w:right w:val="single" w:color="auto" w:sz="4" w:space="0"/>
            </w:tcBorders>
            <w:shd w:val="clear" w:color="auto" w:fill="auto"/>
            <w:vAlign w:val="center"/>
          </w:tcPr>
          <w:p w14:paraId="17235085">
            <w:pPr>
              <w:spacing w:line="3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3年</w:t>
            </w:r>
          </w:p>
        </w:tc>
      </w:tr>
      <w:tr w14:paraId="0FC042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301A8D17">
            <w:pPr>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23</w:t>
            </w:r>
          </w:p>
        </w:tc>
        <w:tc>
          <w:tcPr>
            <w:tcW w:w="1155" w:type="pct"/>
            <w:tcBorders>
              <w:top w:val="single" w:color="auto" w:sz="4" w:space="0"/>
              <w:left w:val="single" w:color="auto" w:sz="4" w:space="0"/>
              <w:bottom w:val="single" w:color="auto" w:sz="4" w:space="0"/>
              <w:right w:val="single" w:color="auto" w:sz="4" w:space="0"/>
            </w:tcBorders>
            <w:shd w:val="clear" w:color="auto" w:fill="auto"/>
            <w:vAlign w:val="center"/>
          </w:tcPr>
          <w:p w14:paraId="4E83A599">
            <w:pPr>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付款方式</w:t>
            </w:r>
          </w:p>
        </w:tc>
        <w:tc>
          <w:tcPr>
            <w:tcW w:w="3475" w:type="pct"/>
            <w:tcBorders>
              <w:top w:val="single" w:color="auto" w:sz="4" w:space="0"/>
              <w:left w:val="single" w:color="auto" w:sz="4" w:space="0"/>
              <w:bottom w:val="single" w:color="auto" w:sz="4" w:space="0"/>
              <w:right w:val="single" w:color="auto" w:sz="4" w:space="0"/>
            </w:tcBorders>
            <w:shd w:val="clear" w:color="auto" w:fill="auto"/>
            <w:vAlign w:val="center"/>
          </w:tcPr>
          <w:p w14:paraId="346C7965">
            <w:pPr>
              <w:spacing w:line="3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1.付款条件：项目完成并验收合格，且票据齐全                         2.达到付款条件起30日内支付合同总金额100%   </w:t>
            </w:r>
          </w:p>
        </w:tc>
      </w:tr>
      <w:tr w14:paraId="47577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6A047CA4">
            <w:pPr>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24</w:t>
            </w:r>
          </w:p>
        </w:tc>
        <w:tc>
          <w:tcPr>
            <w:tcW w:w="1155" w:type="pct"/>
            <w:tcBorders>
              <w:top w:val="single" w:color="auto" w:sz="4" w:space="0"/>
              <w:left w:val="single" w:color="auto" w:sz="4" w:space="0"/>
              <w:bottom w:val="single" w:color="auto" w:sz="4" w:space="0"/>
              <w:right w:val="single" w:color="auto" w:sz="4" w:space="0"/>
            </w:tcBorders>
            <w:shd w:val="clear" w:color="auto" w:fill="auto"/>
            <w:vAlign w:val="center"/>
          </w:tcPr>
          <w:p w14:paraId="0C9450B4">
            <w:pPr>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履约保证金</w:t>
            </w:r>
          </w:p>
        </w:tc>
        <w:tc>
          <w:tcPr>
            <w:tcW w:w="3475" w:type="pct"/>
            <w:tcBorders>
              <w:top w:val="single" w:color="auto" w:sz="4" w:space="0"/>
              <w:left w:val="single" w:color="auto" w:sz="4" w:space="0"/>
              <w:bottom w:val="single" w:color="auto" w:sz="4" w:space="0"/>
              <w:right w:val="single" w:color="auto" w:sz="4" w:space="0"/>
            </w:tcBorders>
            <w:shd w:val="clear" w:color="auto" w:fill="auto"/>
            <w:vAlign w:val="center"/>
          </w:tcPr>
          <w:p w14:paraId="6B697EFC">
            <w:pPr>
              <w:spacing w:line="3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中标方在收到中标通知书后5天内，应将</w:t>
            </w:r>
            <w:r>
              <w:rPr>
                <w:rFonts w:hint="eastAsia" w:ascii="宋体" w:hAnsi="宋体" w:cs="宋体"/>
                <w:color w:val="auto"/>
                <w:sz w:val="21"/>
                <w:szCs w:val="21"/>
                <w:highlight w:val="none"/>
                <w:lang w:val="zh-CN"/>
              </w:rPr>
              <w:t>合同总价5%（</w:t>
            </w:r>
            <w:r>
              <w:rPr>
                <w:rFonts w:hint="eastAsia" w:ascii="宋体" w:hAnsi="宋体" w:cs="宋体"/>
                <w:color w:val="auto"/>
                <w:sz w:val="21"/>
                <w:szCs w:val="21"/>
                <w:highlight w:val="none"/>
              </w:rPr>
              <w:t>取整数</w:t>
            </w:r>
            <w:r>
              <w:rPr>
                <w:rFonts w:hint="eastAsia" w:ascii="宋体" w:hAnsi="宋体" w:cs="宋体"/>
                <w:color w:val="auto"/>
                <w:sz w:val="21"/>
                <w:szCs w:val="21"/>
                <w:highlight w:val="none"/>
                <w:lang w:val="zh-CN"/>
              </w:rPr>
              <w:t>）的</w:t>
            </w:r>
            <w:r>
              <w:rPr>
                <w:rFonts w:hint="eastAsia" w:ascii="宋体" w:hAnsi="宋体" w:cs="宋体"/>
                <w:color w:val="auto"/>
                <w:sz w:val="21"/>
                <w:szCs w:val="21"/>
                <w:highlight w:val="none"/>
              </w:rPr>
              <w:t>履约保证金支付到采购方指定账户。</w:t>
            </w:r>
          </w:p>
        </w:tc>
      </w:tr>
      <w:tr w14:paraId="0A709D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68246DD3">
            <w:pPr>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25</w:t>
            </w:r>
          </w:p>
        </w:tc>
        <w:tc>
          <w:tcPr>
            <w:tcW w:w="1155" w:type="pct"/>
            <w:tcBorders>
              <w:top w:val="single" w:color="auto" w:sz="4" w:space="0"/>
              <w:left w:val="single" w:color="auto" w:sz="4" w:space="0"/>
              <w:bottom w:val="single" w:color="auto" w:sz="4" w:space="0"/>
              <w:right w:val="single" w:color="auto" w:sz="4" w:space="0"/>
            </w:tcBorders>
            <w:shd w:val="clear" w:color="auto" w:fill="auto"/>
            <w:vAlign w:val="center"/>
          </w:tcPr>
          <w:p w14:paraId="20A1AB15">
            <w:pPr>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zh-CN"/>
              </w:rPr>
              <w:t>履约金返还的时间和条件</w:t>
            </w:r>
          </w:p>
        </w:tc>
        <w:tc>
          <w:tcPr>
            <w:tcW w:w="3475" w:type="pct"/>
            <w:tcBorders>
              <w:top w:val="single" w:color="auto" w:sz="4" w:space="0"/>
              <w:left w:val="single" w:color="auto" w:sz="4" w:space="0"/>
              <w:bottom w:val="single" w:color="auto" w:sz="4" w:space="0"/>
              <w:right w:val="single" w:color="auto" w:sz="4" w:space="0"/>
            </w:tcBorders>
            <w:shd w:val="clear" w:color="auto" w:fill="auto"/>
            <w:vAlign w:val="center"/>
          </w:tcPr>
          <w:p w14:paraId="08FF0750">
            <w:pPr>
              <w:spacing w:line="30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待项目完成后同合同款一并支付给中标供应商</w:t>
            </w:r>
          </w:p>
        </w:tc>
      </w:tr>
      <w:tr w14:paraId="21F339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70D7CB7E">
            <w:pPr>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26</w:t>
            </w:r>
          </w:p>
        </w:tc>
        <w:tc>
          <w:tcPr>
            <w:tcW w:w="1155" w:type="pct"/>
            <w:tcBorders>
              <w:top w:val="single" w:color="auto" w:sz="4" w:space="0"/>
              <w:left w:val="single" w:color="auto" w:sz="4" w:space="0"/>
              <w:bottom w:val="single" w:color="auto" w:sz="4" w:space="0"/>
              <w:right w:val="single" w:color="auto" w:sz="4" w:space="0"/>
            </w:tcBorders>
            <w:shd w:val="clear" w:color="auto" w:fill="FFFFFF"/>
            <w:vAlign w:val="center"/>
          </w:tcPr>
          <w:p w14:paraId="0ED8E6A4">
            <w:pPr>
              <w:wordWrap w:val="0"/>
              <w:jc w:val="center"/>
              <w:rPr>
                <w:rFonts w:hint="eastAsia" w:ascii="宋体" w:hAnsi="宋体" w:cs="宋体"/>
                <w:color w:val="auto"/>
                <w:kern w:val="2"/>
                <w:sz w:val="21"/>
                <w:szCs w:val="21"/>
                <w:highlight w:val="none"/>
                <w:lang w:val="zh-CN"/>
              </w:rPr>
            </w:pPr>
            <w:r>
              <w:rPr>
                <w:rFonts w:hint="eastAsia" w:ascii="宋体" w:hAnsi="宋体" w:cs="宋体"/>
                <w:bCs/>
                <w:color w:val="auto"/>
                <w:sz w:val="21"/>
                <w:szCs w:val="21"/>
                <w:highlight w:val="none"/>
                <w:lang w:val="zh-CN" w:bidi="ar"/>
              </w:rPr>
              <w:t>电子标说明</w:t>
            </w:r>
          </w:p>
        </w:tc>
        <w:tc>
          <w:tcPr>
            <w:tcW w:w="3475" w:type="pct"/>
            <w:tcBorders>
              <w:top w:val="single" w:color="auto" w:sz="4" w:space="0"/>
              <w:left w:val="single" w:color="auto" w:sz="4" w:space="0"/>
              <w:bottom w:val="single" w:color="auto" w:sz="4" w:space="0"/>
              <w:right w:val="single" w:color="auto" w:sz="4" w:space="0"/>
            </w:tcBorders>
            <w:shd w:val="clear" w:color="auto" w:fill="FFFFFF"/>
            <w:vAlign w:val="center"/>
          </w:tcPr>
          <w:p w14:paraId="63B96CE4">
            <w:pPr>
              <w:wordWrap w:val="0"/>
              <w:rPr>
                <w:rFonts w:hint="eastAsia" w:ascii="宋体" w:hAnsi="宋体" w:cs="宋体"/>
                <w:bCs/>
                <w:color w:val="auto"/>
                <w:sz w:val="21"/>
                <w:szCs w:val="21"/>
                <w:highlight w:val="none"/>
                <w:lang w:val="zh-CN" w:bidi="ar"/>
              </w:rPr>
            </w:pPr>
            <w:r>
              <w:rPr>
                <w:rFonts w:hint="eastAsia" w:ascii="宋体" w:hAnsi="宋体" w:cs="宋体"/>
                <w:bCs/>
                <w:color w:val="auto"/>
                <w:sz w:val="21"/>
                <w:szCs w:val="21"/>
                <w:highlight w:val="none"/>
                <w:lang w:val="zh-CN" w:bidi="ar"/>
              </w:rPr>
              <w:t>上传的电子证件及资料均需按要求签字盖章上传，否则按未签章处理。</w:t>
            </w:r>
          </w:p>
          <w:p w14:paraId="00EF29F2">
            <w:pPr>
              <w:wordWrap w:val="0"/>
              <w:rPr>
                <w:rFonts w:hint="eastAsia" w:ascii="宋体" w:hAnsi="宋体" w:cs="宋体"/>
                <w:bCs/>
                <w:color w:val="auto"/>
                <w:sz w:val="21"/>
                <w:szCs w:val="21"/>
                <w:highlight w:val="none"/>
                <w:lang w:val="zh-CN" w:bidi="ar"/>
              </w:rPr>
            </w:pPr>
            <w:r>
              <w:rPr>
                <w:rFonts w:hint="eastAsia" w:ascii="宋体" w:hAnsi="宋体" w:cs="宋体"/>
                <w:bCs/>
                <w:color w:val="auto"/>
                <w:sz w:val="21"/>
                <w:szCs w:val="21"/>
                <w:highlight w:val="none"/>
                <w:lang w:val="zh-CN" w:bidi="ar"/>
              </w:rPr>
              <w:t>响应文件电子版方面技术支持：95763</w:t>
            </w:r>
          </w:p>
          <w:p w14:paraId="3201F96B">
            <w:pPr>
              <w:wordWrap w:val="0"/>
              <w:rPr>
                <w:rFonts w:hint="eastAsia" w:ascii="宋体" w:hAnsi="宋体" w:cs="宋体"/>
                <w:bCs/>
                <w:color w:val="auto"/>
                <w:sz w:val="21"/>
                <w:szCs w:val="21"/>
                <w:highlight w:val="none"/>
                <w:lang w:val="zh-CN" w:bidi="ar"/>
              </w:rPr>
            </w:pPr>
            <w:r>
              <w:rPr>
                <w:rFonts w:hint="eastAsia" w:ascii="宋体" w:hAnsi="宋体" w:cs="宋体"/>
                <w:bCs/>
                <w:color w:val="auto"/>
                <w:sz w:val="21"/>
                <w:szCs w:val="21"/>
                <w:highlight w:val="none"/>
                <w:lang w:val="zh-CN" w:bidi="ar"/>
              </w:rPr>
              <w:t>供应商在政府采购云平台（网址：http:// www.zcygov.cn）通过数字证书制作响应文件1份（此响应文件需上传至政府采购云平台，并在开标</w:t>
            </w:r>
            <w:r>
              <w:rPr>
                <w:rFonts w:hint="eastAsia" w:ascii="宋体" w:hAnsi="宋体" w:cs="宋体"/>
                <w:bCs/>
                <w:color w:val="auto"/>
                <w:sz w:val="21"/>
                <w:szCs w:val="21"/>
                <w:highlight w:val="none"/>
                <w:lang w:bidi="ar"/>
              </w:rPr>
              <w:t>时</w:t>
            </w:r>
            <w:r>
              <w:rPr>
                <w:rFonts w:hint="eastAsia" w:ascii="宋体" w:hAnsi="宋体" w:cs="宋体"/>
                <w:bCs/>
                <w:color w:val="auto"/>
                <w:sz w:val="21"/>
                <w:szCs w:val="21"/>
                <w:highlight w:val="none"/>
                <w:lang w:val="zh-CN" w:bidi="ar"/>
              </w:rPr>
              <w:t>持编制响应文件的供应商数字证书解密）。</w:t>
            </w:r>
          </w:p>
          <w:p w14:paraId="0B3A43F4">
            <w:pPr>
              <w:wordWrap w:val="0"/>
              <w:rPr>
                <w:rFonts w:hint="eastAsia" w:ascii="宋体" w:hAnsi="宋体" w:cs="宋体"/>
                <w:color w:val="auto"/>
                <w:kern w:val="2"/>
                <w:sz w:val="21"/>
                <w:szCs w:val="21"/>
                <w:highlight w:val="none"/>
                <w:lang w:val="zh-CN"/>
              </w:rPr>
            </w:pPr>
            <w:r>
              <w:rPr>
                <w:rFonts w:hint="eastAsia" w:ascii="宋体" w:hAnsi="宋体" w:cs="宋体"/>
                <w:bCs/>
                <w:color w:val="auto"/>
                <w:sz w:val="21"/>
                <w:szCs w:val="21"/>
                <w:highlight w:val="none"/>
                <w:lang w:val="zh-CN" w:bidi="ar"/>
              </w:rPr>
              <w:t>备注：响应文件按竞争性磋商文件规定执行，用数字证书编制的电子版按《政府采购项目电子交易管理操作指南-供应商》进行投标操作。</w:t>
            </w:r>
          </w:p>
        </w:tc>
      </w:tr>
      <w:tr w14:paraId="40609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68" w:type="pct"/>
            <w:vMerge w:val="restart"/>
            <w:tcBorders>
              <w:top w:val="single" w:color="auto" w:sz="4" w:space="0"/>
              <w:left w:val="single" w:color="auto" w:sz="4" w:space="0"/>
              <w:right w:val="single" w:color="auto" w:sz="4" w:space="0"/>
            </w:tcBorders>
            <w:vAlign w:val="center"/>
          </w:tcPr>
          <w:p w14:paraId="09208CED">
            <w:pPr>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27</w:t>
            </w:r>
          </w:p>
        </w:tc>
        <w:tc>
          <w:tcPr>
            <w:tcW w:w="1155" w:type="pct"/>
            <w:vMerge w:val="restart"/>
            <w:tcBorders>
              <w:top w:val="single" w:color="auto" w:sz="4" w:space="0"/>
              <w:left w:val="single" w:color="auto" w:sz="4" w:space="0"/>
              <w:right w:val="single" w:color="auto" w:sz="4" w:space="0"/>
            </w:tcBorders>
            <w:shd w:val="clear" w:color="auto" w:fill="auto"/>
            <w:vAlign w:val="center"/>
          </w:tcPr>
          <w:p w14:paraId="1C1AF793">
            <w:pPr>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zh-CN"/>
              </w:rPr>
              <w:t>政府采购政策</w:t>
            </w:r>
          </w:p>
        </w:tc>
        <w:tc>
          <w:tcPr>
            <w:tcW w:w="3475" w:type="pct"/>
            <w:tcBorders>
              <w:top w:val="single" w:color="auto" w:sz="4" w:space="0"/>
              <w:left w:val="single" w:color="auto" w:sz="4" w:space="0"/>
              <w:bottom w:val="single" w:color="auto" w:sz="4" w:space="0"/>
              <w:right w:val="single" w:color="auto" w:sz="4" w:space="0"/>
            </w:tcBorders>
            <w:shd w:val="clear" w:color="auto" w:fill="auto"/>
            <w:vAlign w:val="center"/>
          </w:tcPr>
          <w:p w14:paraId="27C27867">
            <w:pPr>
              <w:spacing w:line="30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根据财库〔2020〕46 号文件规定，《吉林省强化政府采购政策支持中小企业发展落实举 措》（吉财采购【2022】478号）规定，对符合本办法规定的小微企业产品的投标报价在计算报价得分时，按照该单位投标报价下浮10%进入报价分计算（联合体按照〔2020〕46 号文件规定执行）。</w:t>
            </w:r>
          </w:p>
        </w:tc>
      </w:tr>
      <w:tr w14:paraId="22FFF7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68" w:type="pct"/>
            <w:vMerge w:val="continue"/>
            <w:tcBorders>
              <w:left w:val="single" w:color="auto" w:sz="4" w:space="0"/>
              <w:right w:val="single" w:color="auto" w:sz="4" w:space="0"/>
            </w:tcBorders>
            <w:vAlign w:val="center"/>
          </w:tcPr>
          <w:p w14:paraId="436B7B4F">
            <w:pPr>
              <w:spacing w:line="300" w:lineRule="exact"/>
              <w:jc w:val="center"/>
              <w:rPr>
                <w:rFonts w:hint="eastAsia" w:ascii="宋体" w:hAnsi="宋体" w:cs="宋体"/>
                <w:color w:val="auto"/>
                <w:sz w:val="21"/>
                <w:szCs w:val="21"/>
                <w:highlight w:val="none"/>
              </w:rPr>
            </w:pPr>
          </w:p>
        </w:tc>
        <w:tc>
          <w:tcPr>
            <w:tcW w:w="1155" w:type="pct"/>
            <w:vMerge w:val="continue"/>
            <w:tcBorders>
              <w:left w:val="single" w:color="auto" w:sz="4" w:space="0"/>
              <w:right w:val="single" w:color="auto" w:sz="4" w:space="0"/>
            </w:tcBorders>
            <w:shd w:val="clear" w:color="auto" w:fill="auto"/>
            <w:vAlign w:val="center"/>
          </w:tcPr>
          <w:p w14:paraId="71A789C4">
            <w:pPr>
              <w:spacing w:line="300" w:lineRule="exact"/>
              <w:jc w:val="center"/>
              <w:rPr>
                <w:rFonts w:hint="eastAsia" w:ascii="宋体" w:hAnsi="宋体" w:cs="宋体"/>
                <w:color w:val="auto"/>
                <w:sz w:val="21"/>
                <w:szCs w:val="21"/>
                <w:highlight w:val="none"/>
                <w:lang w:val="zh-CN"/>
              </w:rPr>
            </w:pPr>
          </w:p>
        </w:tc>
        <w:tc>
          <w:tcPr>
            <w:tcW w:w="3475" w:type="pct"/>
            <w:tcBorders>
              <w:top w:val="single" w:color="auto" w:sz="4" w:space="0"/>
              <w:left w:val="single" w:color="auto" w:sz="4" w:space="0"/>
              <w:bottom w:val="single" w:color="auto" w:sz="4" w:space="0"/>
              <w:right w:val="single" w:color="auto" w:sz="4" w:space="0"/>
            </w:tcBorders>
            <w:shd w:val="clear" w:color="auto" w:fill="auto"/>
            <w:vAlign w:val="center"/>
          </w:tcPr>
          <w:p w14:paraId="0D2BB704">
            <w:pPr>
              <w:ind w:left="117"/>
              <w:rPr>
                <w:rFonts w:hint="eastAsia" w:ascii="宋体" w:hAnsi="宋体" w:cs="宋体"/>
                <w:color w:val="auto"/>
                <w:spacing w:val="10"/>
                <w:sz w:val="21"/>
                <w:szCs w:val="21"/>
                <w:highlight w:val="none"/>
              </w:rPr>
            </w:pPr>
            <w:r>
              <w:rPr>
                <w:rFonts w:hint="eastAsia" w:ascii="宋体" w:hAnsi="宋体" w:cs="宋体"/>
                <w:color w:val="auto"/>
                <w:spacing w:val="10"/>
                <w:sz w:val="21"/>
                <w:szCs w:val="21"/>
                <w:highlight w:val="none"/>
              </w:rPr>
              <w:t>政府强制采购节能产品的规定:按照财政部、发展改革委最新发布执行的《节能产品政府采购清单》的规定，《货物需求及技术规格要求》中凡包含强制采购产品的，供应商必须提供列入《节能产品政府采购清单》的产品，否则投标无效。</w:t>
            </w:r>
          </w:p>
          <w:p w14:paraId="0F8D8F3A">
            <w:pPr>
              <w:wordWrap w:val="0"/>
              <w:adjustRightInd w:val="0"/>
              <w:rPr>
                <w:rFonts w:hint="eastAsia" w:ascii="宋体" w:hAnsi="宋体" w:cs="宋体"/>
                <w:color w:val="auto"/>
                <w:sz w:val="21"/>
                <w:szCs w:val="21"/>
                <w:highlight w:val="none"/>
                <w:lang w:val="zh-CN"/>
              </w:rPr>
            </w:pPr>
            <w:r>
              <w:rPr>
                <w:rFonts w:hint="eastAsia" w:ascii="宋体" w:hAnsi="宋体" w:cs="宋体"/>
                <w:color w:val="auto"/>
                <w:spacing w:val="10"/>
                <w:sz w:val="21"/>
                <w:szCs w:val="21"/>
                <w:highlight w:val="none"/>
              </w:rPr>
              <w:t>《货物需求及技术规格要求》中包含计算机设备的，供应商必须投标预装正版操作系统软件的计算机产品，否则无效。</w:t>
            </w:r>
          </w:p>
        </w:tc>
      </w:tr>
      <w:tr w14:paraId="2268FD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68" w:type="pct"/>
            <w:vMerge w:val="continue"/>
            <w:tcBorders>
              <w:left w:val="single" w:color="auto" w:sz="4" w:space="0"/>
              <w:bottom w:val="single" w:color="auto" w:sz="4" w:space="0"/>
              <w:right w:val="single" w:color="auto" w:sz="4" w:space="0"/>
            </w:tcBorders>
            <w:vAlign w:val="center"/>
          </w:tcPr>
          <w:p w14:paraId="26D44595">
            <w:pPr>
              <w:spacing w:line="300" w:lineRule="exact"/>
              <w:jc w:val="center"/>
              <w:rPr>
                <w:rFonts w:hint="eastAsia" w:ascii="宋体" w:hAnsi="宋体" w:cs="宋体"/>
                <w:color w:val="auto"/>
                <w:sz w:val="21"/>
                <w:szCs w:val="21"/>
                <w:highlight w:val="none"/>
              </w:rPr>
            </w:pPr>
          </w:p>
        </w:tc>
        <w:tc>
          <w:tcPr>
            <w:tcW w:w="1155" w:type="pct"/>
            <w:vMerge w:val="continue"/>
            <w:tcBorders>
              <w:left w:val="single" w:color="auto" w:sz="4" w:space="0"/>
              <w:bottom w:val="single" w:color="auto" w:sz="4" w:space="0"/>
              <w:right w:val="single" w:color="auto" w:sz="4" w:space="0"/>
            </w:tcBorders>
            <w:shd w:val="clear" w:color="auto" w:fill="auto"/>
            <w:vAlign w:val="center"/>
          </w:tcPr>
          <w:p w14:paraId="28B099E5">
            <w:pPr>
              <w:spacing w:line="300" w:lineRule="exact"/>
              <w:jc w:val="center"/>
              <w:rPr>
                <w:rFonts w:hint="eastAsia" w:ascii="宋体" w:hAnsi="宋体" w:cs="宋体"/>
                <w:color w:val="auto"/>
                <w:sz w:val="21"/>
                <w:szCs w:val="21"/>
                <w:highlight w:val="none"/>
                <w:lang w:val="zh-CN"/>
              </w:rPr>
            </w:pPr>
          </w:p>
        </w:tc>
        <w:tc>
          <w:tcPr>
            <w:tcW w:w="3475" w:type="pct"/>
            <w:tcBorders>
              <w:top w:val="single" w:color="auto" w:sz="4" w:space="0"/>
              <w:left w:val="single" w:color="auto" w:sz="4" w:space="0"/>
              <w:bottom w:val="single" w:color="auto" w:sz="4" w:space="0"/>
              <w:right w:val="single" w:color="auto" w:sz="4" w:space="0"/>
            </w:tcBorders>
            <w:shd w:val="clear" w:color="auto" w:fill="auto"/>
            <w:vAlign w:val="center"/>
          </w:tcPr>
          <w:p w14:paraId="3B92878E">
            <w:pPr>
              <w:wordWrap w:val="0"/>
              <w:adjustRightInd w:val="0"/>
              <w:rPr>
                <w:rFonts w:hint="eastAsia" w:ascii="宋体" w:hAnsi="宋体" w:cs="宋体"/>
                <w:color w:val="auto"/>
                <w:sz w:val="21"/>
                <w:szCs w:val="21"/>
                <w:highlight w:val="none"/>
                <w:lang w:val="zh-CN"/>
              </w:rPr>
            </w:pPr>
            <w:r>
              <w:rPr>
                <w:rStyle w:val="187"/>
                <w:rFonts w:hint="eastAsia" w:ascii="宋体" w:hAnsi="宋体" w:cs="宋体"/>
                <w:color w:val="auto"/>
                <w:szCs w:val="21"/>
                <w:highlight w:val="none"/>
              </w:rPr>
              <w:t>注：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tc>
      </w:tr>
      <w:tr w14:paraId="1154EB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37ADBED4">
            <w:pPr>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28</w:t>
            </w:r>
          </w:p>
        </w:tc>
        <w:tc>
          <w:tcPr>
            <w:tcW w:w="4631" w:type="pct"/>
            <w:gridSpan w:val="2"/>
            <w:tcBorders>
              <w:top w:val="single" w:color="auto" w:sz="4" w:space="0"/>
              <w:left w:val="single" w:color="auto" w:sz="4" w:space="0"/>
              <w:bottom w:val="single" w:color="auto" w:sz="4" w:space="0"/>
              <w:right w:val="single" w:color="auto" w:sz="4" w:space="0"/>
            </w:tcBorders>
            <w:vAlign w:val="center"/>
          </w:tcPr>
          <w:p w14:paraId="05110B23">
            <w:pPr>
              <w:spacing w:line="300" w:lineRule="exact"/>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采购公告与采购文件有不一致之处，以采购文件为准。</w:t>
            </w:r>
          </w:p>
        </w:tc>
      </w:tr>
    </w:tbl>
    <w:p w14:paraId="26666E5B">
      <w:pPr>
        <w:pStyle w:val="41"/>
        <w:jc w:val="both"/>
        <w:rPr>
          <w:rFonts w:hint="eastAsia" w:asciiTheme="minorEastAsia" w:hAnsiTheme="minorEastAsia" w:eastAsiaTheme="minorEastAsia" w:cstheme="minorEastAsia"/>
          <w:color w:val="auto"/>
          <w:sz w:val="21"/>
          <w:szCs w:val="21"/>
          <w:highlight w:val="none"/>
        </w:rPr>
      </w:pPr>
      <w:bookmarkStart w:id="7" w:name="_Toc256013809"/>
      <w:bookmarkStart w:id="8" w:name="_Toc455213199"/>
      <w:bookmarkStart w:id="9" w:name="_Toc255540908"/>
      <w:bookmarkStart w:id="10" w:name="_Toc367975916"/>
      <w:bookmarkStart w:id="11" w:name="_Toc256013827"/>
    </w:p>
    <w:p w14:paraId="50853CFE">
      <w:pPr>
        <w:pStyle w:val="2"/>
        <w:rPr>
          <w:rFonts w:hint="eastAsia" w:asciiTheme="minorEastAsia" w:hAnsiTheme="minorEastAsia" w:eastAsiaTheme="minorEastAsia" w:cstheme="minorEastAsia"/>
          <w:b/>
          <w:bCs/>
          <w:color w:val="auto"/>
          <w:sz w:val="36"/>
          <w:highlight w:val="none"/>
        </w:rPr>
      </w:pPr>
      <w:bookmarkStart w:id="12" w:name="_Toc11906"/>
      <w:bookmarkStart w:id="13" w:name="_Toc445838077"/>
      <w:bookmarkStart w:id="14" w:name="_Toc445901288"/>
      <w:bookmarkStart w:id="15" w:name="_Toc445838383"/>
      <w:bookmarkStart w:id="16" w:name="_Toc445837866"/>
      <w:r>
        <w:rPr>
          <w:rFonts w:hint="eastAsia" w:asciiTheme="minorEastAsia" w:hAnsiTheme="minorEastAsia" w:eastAsiaTheme="minorEastAsia" w:cstheme="minorEastAsia"/>
          <w:b/>
          <w:bCs/>
          <w:color w:val="auto"/>
          <w:sz w:val="36"/>
          <w:highlight w:val="none"/>
        </w:rPr>
        <w:t>第三章 供应商须知</w:t>
      </w:r>
      <w:bookmarkEnd w:id="12"/>
      <w:bookmarkEnd w:id="13"/>
      <w:bookmarkEnd w:id="14"/>
      <w:bookmarkEnd w:id="15"/>
      <w:bookmarkEnd w:id="16"/>
    </w:p>
    <w:p w14:paraId="7211731A">
      <w:pPr>
        <w:spacing w:before="161" w:line="228" w:lineRule="auto"/>
        <w:ind w:left="4221"/>
        <w:outlineLvl w:val="1"/>
        <w:rPr>
          <w:rFonts w:hint="eastAsia" w:ascii="宋体" w:hAnsi="宋体" w:cs="宋体"/>
          <w:color w:val="auto"/>
          <w:sz w:val="22"/>
          <w:szCs w:val="22"/>
          <w:highlight w:val="none"/>
        </w:rPr>
      </w:pPr>
      <w:r>
        <w:rPr>
          <w:rFonts w:ascii="宋体" w:hAnsi="宋体" w:cs="宋体"/>
          <w:b/>
          <w:bCs/>
          <w:color w:val="auto"/>
          <w:spacing w:val="2"/>
          <w:sz w:val="22"/>
          <w:szCs w:val="22"/>
          <w:highlight w:val="none"/>
        </w:rPr>
        <w:t>A</w:t>
      </w:r>
      <w:r>
        <w:rPr>
          <w:rFonts w:ascii="宋体" w:hAnsi="宋体" w:cs="宋体"/>
          <w:color w:val="auto"/>
          <w:spacing w:val="14"/>
          <w:sz w:val="22"/>
          <w:szCs w:val="22"/>
          <w:highlight w:val="none"/>
        </w:rPr>
        <w:t xml:space="preserve"> </w:t>
      </w:r>
      <w:r>
        <w:rPr>
          <w:rFonts w:ascii="宋体" w:hAnsi="宋体" w:cs="宋体"/>
          <w:b/>
          <w:bCs/>
          <w:color w:val="auto"/>
          <w:spacing w:val="2"/>
          <w:sz w:val="22"/>
          <w:szCs w:val="22"/>
          <w:highlight w:val="none"/>
        </w:rPr>
        <w:t>说明</w:t>
      </w:r>
    </w:p>
    <w:p w14:paraId="30E8CCD8">
      <w:pPr>
        <w:kinsoku w:val="0"/>
        <w:autoSpaceDE w:val="0"/>
        <w:autoSpaceDN w:val="0"/>
        <w:adjustRightInd w:val="0"/>
        <w:snapToGrid w:val="0"/>
        <w:spacing w:line="360" w:lineRule="auto"/>
        <w:textAlignment w:val="baseline"/>
        <w:outlineLvl w:val="2"/>
        <w:rPr>
          <w:rFonts w:hint="eastAsia" w:ascii="宋体" w:hAnsi="宋体" w:cs="宋体"/>
          <w:color w:val="auto"/>
          <w:sz w:val="22"/>
          <w:szCs w:val="22"/>
          <w:highlight w:val="none"/>
        </w:rPr>
      </w:pPr>
      <w:r>
        <w:rPr>
          <w:rFonts w:hint="eastAsia" w:ascii="宋体" w:hAnsi="宋体" w:cs="宋体"/>
          <w:b/>
          <w:bCs/>
          <w:color w:val="auto"/>
          <w:spacing w:val="2"/>
          <w:sz w:val="22"/>
          <w:szCs w:val="22"/>
          <w:highlight w:val="none"/>
        </w:rPr>
        <w:t>1.适用范围</w:t>
      </w:r>
    </w:p>
    <w:p w14:paraId="3486216B">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12"/>
          <w:sz w:val="22"/>
          <w:szCs w:val="22"/>
          <w:highlight w:val="none"/>
        </w:rPr>
        <w:t>本文件是受采购人委托，对采购人委托采购项目的规范性招标文件，适用于本项目采购需求</w:t>
      </w:r>
      <w:r>
        <w:rPr>
          <w:rFonts w:hint="eastAsia" w:ascii="宋体" w:hAnsi="宋体" w:cs="宋体"/>
          <w:color w:val="auto"/>
          <w:spacing w:val="9"/>
          <w:sz w:val="22"/>
          <w:szCs w:val="22"/>
          <w:highlight w:val="none"/>
        </w:rPr>
        <w:t>所述的标的采购及服务，是供应商编制投标文件的依据。</w:t>
      </w:r>
    </w:p>
    <w:p w14:paraId="0BE41369">
      <w:pPr>
        <w:kinsoku w:val="0"/>
        <w:autoSpaceDE w:val="0"/>
        <w:autoSpaceDN w:val="0"/>
        <w:adjustRightInd w:val="0"/>
        <w:snapToGrid w:val="0"/>
        <w:spacing w:line="360" w:lineRule="auto"/>
        <w:textAlignment w:val="baseline"/>
        <w:outlineLvl w:val="2"/>
        <w:rPr>
          <w:rFonts w:hint="eastAsia" w:ascii="宋体" w:hAnsi="宋体" w:cs="宋体"/>
          <w:color w:val="auto"/>
          <w:sz w:val="22"/>
          <w:szCs w:val="22"/>
          <w:highlight w:val="none"/>
        </w:rPr>
      </w:pPr>
      <w:r>
        <w:rPr>
          <w:rFonts w:hint="eastAsia" w:ascii="宋体" w:hAnsi="宋体" w:cs="宋体"/>
          <w:b/>
          <w:bCs/>
          <w:color w:val="auto"/>
          <w:spacing w:val="5"/>
          <w:sz w:val="22"/>
          <w:szCs w:val="22"/>
          <w:highlight w:val="none"/>
        </w:rPr>
        <w:t>2.法律适用</w:t>
      </w:r>
    </w:p>
    <w:p w14:paraId="18A96A02">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9"/>
          <w:sz w:val="22"/>
          <w:szCs w:val="22"/>
          <w:highlight w:val="none"/>
        </w:rPr>
        <w:t>本招标文件及由本次招标产生的合同适用中华人民共和国法律。</w:t>
      </w:r>
    </w:p>
    <w:p w14:paraId="77D7D6CF">
      <w:pPr>
        <w:kinsoku w:val="0"/>
        <w:autoSpaceDE w:val="0"/>
        <w:autoSpaceDN w:val="0"/>
        <w:adjustRightInd w:val="0"/>
        <w:snapToGrid w:val="0"/>
        <w:spacing w:line="360" w:lineRule="auto"/>
        <w:textAlignment w:val="baseline"/>
        <w:outlineLvl w:val="2"/>
        <w:rPr>
          <w:rFonts w:hint="eastAsia" w:ascii="宋体" w:hAnsi="宋体" w:cs="宋体"/>
          <w:color w:val="auto"/>
          <w:sz w:val="22"/>
          <w:szCs w:val="22"/>
          <w:highlight w:val="none"/>
        </w:rPr>
      </w:pPr>
      <w:r>
        <w:rPr>
          <w:rFonts w:hint="eastAsia" w:ascii="宋体" w:hAnsi="宋体" w:cs="宋体"/>
          <w:b/>
          <w:bCs/>
          <w:color w:val="auto"/>
          <w:spacing w:val="2"/>
          <w:sz w:val="22"/>
          <w:szCs w:val="22"/>
          <w:highlight w:val="none"/>
        </w:rPr>
        <w:t>3.定义</w:t>
      </w:r>
    </w:p>
    <w:p w14:paraId="4A55C5C2">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z w:val="22"/>
          <w:szCs w:val="22"/>
          <w:highlight w:val="none"/>
        </w:rPr>
        <w:t>“招标机构”系指组织本次招标的代理机构；</w:t>
      </w:r>
    </w:p>
    <w:p w14:paraId="14F6AA99">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z w:val="22"/>
          <w:szCs w:val="22"/>
          <w:highlight w:val="none"/>
        </w:rPr>
        <w:t>“供应商”系指向招标机构提交投标文件的投标商；“买方”系指采购人，合同一方当事；</w:t>
      </w:r>
    </w:p>
    <w:p w14:paraId="3AF99D79">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z w:val="22"/>
          <w:szCs w:val="22"/>
          <w:highlight w:val="none"/>
        </w:rPr>
        <w:t>“服务”系指招标文件规定须完成的服务和其他的类似义务；“日”、“天”系指日历日；</w:t>
      </w:r>
    </w:p>
    <w:p w14:paraId="774FDC61">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z w:val="22"/>
          <w:szCs w:val="22"/>
          <w:highlight w:val="none"/>
        </w:rPr>
        <w:t>“合同”是买方与中标人共同以招标文件、投标文件为依据，经过协商签订的具备法律效力的文件。招标文件、投标文件及其共同确定的补充文件是合同的有效组成部分，与合同具备同等的法律效力。</w:t>
      </w:r>
    </w:p>
    <w:p w14:paraId="401D02C6">
      <w:pPr>
        <w:kinsoku w:val="0"/>
        <w:autoSpaceDE w:val="0"/>
        <w:autoSpaceDN w:val="0"/>
        <w:adjustRightInd w:val="0"/>
        <w:snapToGrid w:val="0"/>
        <w:spacing w:line="360" w:lineRule="auto"/>
        <w:textAlignment w:val="baseline"/>
        <w:outlineLvl w:val="2"/>
        <w:rPr>
          <w:rFonts w:hint="eastAsia" w:ascii="宋体" w:hAnsi="宋体" w:cs="宋体"/>
          <w:color w:val="auto"/>
          <w:sz w:val="22"/>
          <w:szCs w:val="22"/>
          <w:highlight w:val="none"/>
        </w:rPr>
      </w:pPr>
      <w:r>
        <w:rPr>
          <w:rFonts w:hint="eastAsia" w:ascii="宋体" w:hAnsi="宋体" w:cs="宋体"/>
          <w:b/>
          <w:bCs/>
          <w:color w:val="auto"/>
          <w:spacing w:val="6"/>
          <w:sz w:val="22"/>
          <w:szCs w:val="22"/>
          <w:highlight w:val="none"/>
        </w:rPr>
        <w:t>4.合格的供应商</w:t>
      </w:r>
    </w:p>
    <w:p w14:paraId="2A51F2F1">
      <w:pPr>
        <w:kinsoku w:val="0"/>
        <w:autoSpaceDE w:val="0"/>
        <w:autoSpaceDN w:val="0"/>
        <w:adjustRightInd w:val="0"/>
        <w:snapToGrid w:val="0"/>
        <w:spacing w:line="360" w:lineRule="auto"/>
        <w:textAlignment w:val="baseline"/>
        <w:rPr>
          <w:rFonts w:hint="eastAsia" w:ascii="宋体" w:hAnsi="宋体" w:cs="宋体"/>
          <w:color w:val="auto"/>
          <w:spacing w:val="8"/>
          <w:sz w:val="22"/>
          <w:szCs w:val="22"/>
          <w:highlight w:val="none"/>
        </w:rPr>
      </w:pPr>
      <w:r>
        <w:rPr>
          <w:rFonts w:hint="eastAsia" w:ascii="宋体" w:hAnsi="宋体" w:cs="宋体"/>
          <w:color w:val="auto"/>
          <w:spacing w:val="8"/>
          <w:sz w:val="22"/>
          <w:szCs w:val="22"/>
          <w:highlight w:val="none"/>
        </w:rPr>
        <w:t>4.1</w:t>
      </w:r>
      <w:r>
        <w:rPr>
          <w:rFonts w:hint="eastAsia" w:ascii="宋体" w:hAnsi="宋体" w:cs="宋体"/>
          <w:color w:val="auto"/>
          <w:spacing w:val="-40"/>
          <w:sz w:val="22"/>
          <w:szCs w:val="22"/>
          <w:highlight w:val="none"/>
        </w:rPr>
        <w:t xml:space="preserve"> </w:t>
      </w:r>
      <w:r>
        <w:rPr>
          <w:rFonts w:hint="eastAsia" w:ascii="宋体" w:hAnsi="宋体" w:cs="宋体"/>
          <w:color w:val="auto"/>
          <w:spacing w:val="8"/>
          <w:sz w:val="22"/>
          <w:szCs w:val="22"/>
          <w:highlight w:val="none"/>
        </w:rPr>
        <w:t>合格供应商必须符合供应商须知前附表各项要求，并在投标时提供以</w:t>
      </w:r>
      <w:r>
        <w:rPr>
          <w:rFonts w:hint="eastAsia" w:ascii="宋体" w:hAnsi="宋体" w:cs="宋体"/>
          <w:color w:val="auto"/>
          <w:spacing w:val="7"/>
          <w:sz w:val="22"/>
          <w:szCs w:val="22"/>
          <w:highlight w:val="none"/>
        </w:rPr>
        <w:t>下文件，若</w:t>
      </w:r>
      <w:r>
        <w:rPr>
          <w:rFonts w:hint="eastAsia" w:ascii="宋体" w:hAnsi="宋体" w:cs="宋体"/>
          <w:color w:val="auto"/>
          <w:spacing w:val="8"/>
          <w:sz w:val="22"/>
          <w:szCs w:val="22"/>
          <w:highlight w:val="none"/>
        </w:rPr>
        <w:t>有遗漏或不符合要求均为资格审查不合格；</w:t>
      </w:r>
    </w:p>
    <w:p w14:paraId="439B76B8">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11"/>
          <w:sz w:val="22"/>
          <w:szCs w:val="22"/>
          <w:highlight w:val="none"/>
        </w:rPr>
        <w:t>4.2</w:t>
      </w:r>
      <w:r>
        <w:rPr>
          <w:rFonts w:hint="eastAsia" w:ascii="宋体" w:hAnsi="宋体" w:cs="宋体"/>
          <w:color w:val="auto"/>
          <w:spacing w:val="-24"/>
          <w:sz w:val="22"/>
          <w:szCs w:val="22"/>
          <w:highlight w:val="none"/>
        </w:rPr>
        <w:t xml:space="preserve"> </w:t>
      </w:r>
      <w:r>
        <w:rPr>
          <w:rFonts w:hint="eastAsia" w:ascii="宋体" w:hAnsi="宋体" w:cs="宋体"/>
          <w:color w:val="auto"/>
          <w:spacing w:val="11"/>
          <w:sz w:val="22"/>
          <w:szCs w:val="22"/>
          <w:highlight w:val="none"/>
        </w:rPr>
        <w:t>供应商应仔细阅读招标文件的所有内容，按招标文件的要求提供投标文件，并保证所提供的全部资料的真实性，使其投标对招标文件做出实质性响应</w:t>
      </w:r>
      <w:r>
        <w:rPr>
          <w:rFonts w:hint="eastAsia" w:ascii="宋体" w:hAnsi="宋体" w:cs="宋体"/>
          <w:color w:val="auto"/>
          <w:spacing w:val="10"/>
          <w:sz w:val="22"/>
          <w:szCs w:val="22"/>
          <w:highlight w:val="none"/>
        </w:rPr>
        <w:t>，否则，其投标将被拒绝。招标机构保</w:t>
      </w:r>
      <w:r>
        <w:rPr>
          <w:rFonts w:hint="eastAsia" w:ascii="宋体" w:hAnsi="宋体" w:cs="宋体"/>
          <w:color w:val="auto"/>
          <w:spacing w:val="11"/>
          <w:sz w:val="22"/>
          <w:szCs w:val="22"/>
          <w:highlight w:val="none"/>
        </w:rPr>
        <w:t>留进一步要求供应商补充提供有关材料的权利，拒绝补充材</w:t>
      </w:r>
      <w:r>
        <w:rPr>
          <w:rFonts w:hint="eastAsia" w:ascii="宋体" w:hAnsi="宋体" w:cs="宋体"/>
          <w:color w:val="auto"/>
          <w:spacing w:val="10"/>
          <w:sz w:val="22"/>
          <w:szCs w:val="22"/>
          <w:highlight w:val="none"/>
        </w:rPr>
        <w:t>料或提供材料不真实，将被视为自动放</w:t>
      </w:r>
      <w:r>
        <w:rPr>
          <w:rFonts w:hint="eastAsia" w:ascii="宋体" w:hAnsi="宋体" w:cs="宋体"/>
          <w:color w:val="auto"/>
          <w:spacing w:val="6"/>
          <w:sz w:val="22"/>
          <w:szCs w:val="22"/>
          <w:highlight w:val="none"/>
        </w:rPr>
        <w:t>弃投标资格。</w:t>
      </w:r>
    </w:p>
    <w:p w14:paraId="1E72E273">
      <w:pPr>
        <w:spacing w:line="360" w:lineRule="auto"/>
        <w:rPr>
          <w:rFonts w:hint="eastAsia" w:ascii="宋体" w:hAnsi="宋体" w:cs="宋体"/>
          <w:color w:val="auto"/>
          <w:sz w:val="22"/>
          <w:szCs w:val="22"/>
          <w:highlight w:val="none"/>
        </w:rPr>
      </w:pPr>
      <w:r>
        <w:rPr>
          <w:rFonts w:hint="eastAsia" w:ascii="宋体" w:hAnsi="宋体" w:cs="宋体"/>
          <w:b/>
          <w:bCs/>
          <w:color w:val="auto"/>
          <w:spacing w:val="4"/>
          <w:sz w:val="22"/>
          <w:szCs w:val="22"/>
          <w:highlight w:val="none"/>
        </w:rPr>
        <w:t>5．投标费用</w:t>
      </w:r>
    </w:p>
    <w:p w14:paraId="1FE32C9C">
      <w:pPr>
        <w:spacing w:line="360" w:lineRule="auto"/>
        <w:rPr>
          <w:rFonts w:hint="eastAsia" w:ascii="宋体" w:hAnsi="宋体" w:cs="宋体"/>
          <w:color w:val="auto"/>
          <w:sz w:val="22"/>
          <w:szCs w:val="22"/>
          <w:highlight w:val="none"/>
        </w:rPr>
      </w:pPr>
      <w:r>
        <w:rPr>
          <w:rFonts w:hint="eastAsia" w:ascii="宋体" w:hAnsi="宋体" w:cs="宋体"/>
          <w:color w:val="auto"/>
          <w:spacing w:val="10"/>
          <w:sz w:val="22"/>
          <w:szCs w:val="22"/>
          <w:highlight w:val="none"/>
        </w:rPr>
        <w:t>供应商应承担其在投标准备、编制、递交投标文件和签订合同协议书</w:t>
      </w:r>
      <w:r>
        <w:rPr>
          <w:rFonts w:hint="eastAsia" w:ascii="宋体" w:hAnsi="宋体" w:cs="宋体"/>
          <w:color w:val="auto"/>
          <w:spacing w:val="9"/>
          <w:sz w:val="22"/>
          <w:szCs w:val="22"/>
          <w:highlight w:val="none"/>
        </w:rPr>
        <w:t>的整个过程中发生的一切</w:t>
      </w:r>
      <w:r>
        <w:rPr>
          <w:rFonts w:hint="eastAsia" w:ascii="宋体" w:hAnsi="宋体" w:cs="宋体"/>
          <w:color w:val="auto"/>
          <w:spacing w:val="7"/>
          <w:sz w:val="22"/>
          <w:szCs w:val="22"/>
          <w:highlight w:val="none"/>
        </w:rPr>
        <w:t>费用而不论其投标结果如何。</w:t>
      </w:r>
    </w:p>
    <w:p w14:paraId="127DB62D">
      <w:pPr>
        <w:spacing w:line="360" w:lineRule="auto"/>
        <w:jc w:val="center"/>
        <w:outlineLvl w:val="1"/>
        <w:rPr>
          <w:rFonts w:hint="eastAsia" w:ascii="宋体" w:hAnsi="宋体" w:cs="宋体"/>
          <w:color w:val="auto"/>
          <w:sz w:val="22"/>
          <w:szCs w:val="22"/>
          <w:highlight w:val="none"/>
        </w:rPr>
      </w:pPr>
      <w:r>
        <w:rPr>
          <w:rFonts w:hint="eastAsia" w:ascii="宋体" w:hAnsi="宋体" w:cs="宋体"/>
          <w:b/>
          <w:bCs/>
          <w:color w:val="auto"/>
          <w:spacing w:val="6"/>
          <w:sz w:val="22"/>
          <w:szCs w:val="22"/>
          <w:highlight w:val="none"/>
        </w:rPr>
        <w:t>B.招标文件说明</w:t>
      </w:r>
    </w:p>
    <w:p w14:paraId="3C0280EF">
      <w:pPr>
        <w:kinsoku w:val="0"/>
        <w:autoSpaceDE w:val="0"/>
        <w:autoSpaceDN w:val="0"/>
        <w:adjustRightInd w:val="0"/>
        <w:snapToGrid w:val="0"/>
        <w:spacing w:line="360" w:lineRule="auto"/>
        <w:textAlignment w:val="baseline"/>
        <w:outlineLvl w:val="2"/>
        <w:rPr>
          <w:rFonts w:hint="eastAsia" w:ascii="宋体" w:hAnsi="宋体" w:cs="宋体"/>
          <w:color w:val="auto"/>
          <w:sz w:val="22"/>
          <w:szCs w:val="22"/>
          <w:highlight w:val="none"/>
        </w:rPr>
      </w:pPr>
      <w:r>
        <w:rPr>
          <w:rFonts w:hint="eastAsia" w:ascii="宋体" w:hAnsi="宋体" w:cs="宋体"/>
          <w:b/>
          <w:bCs/>
          <w:color w:val="auto"/>
          <w:spacing w:val="5"/>
          <w:sz w:val="22"/>
          <w:szCs w:val="22"/>
          <w:highlight w:val="none"/>
        </w:rPr>
        <w:t>6.招标文件</w:t>
      </w:r>
    </w:p>
    <w:p w14:paraId="6232E418">
      <w:pPr>
        <w:spacing w:line="360" w:lineRule="auto"/>
        <w:rPr>
          <w:rFonts w:hint="eastAsia" w:ascii="宋体" w:hAnsi="宋体" w:cs="宋体"/>
          <w:color w:val="auto"/>
          <w:spacing w:val="10"/>
          <w:sz w:val="22"/>
          <w:szCs w:val="22"/>
          <w:highlight w:val="none"/>
        </w:rPr>
      </w:pPr>
      <w:r>
        <w:rPr>
          <w:rFonts w:hint="eastAsia" w:ascii="宋体" w:hAnsi="宋体" w:cs="宋体"/>
          <w:color w:val="auto"/>
          <w:spacing w:val="10"/>
          <w:sz w:val="22"/>
          <w:szCs w:val="22"/>
          <w:highlight w:val="none"/>
        </w:rPr>
        <w:t>招标文件用以阐明所需货物及服务、招标投标程序和投标文件格式。招标文件由以下部分组成：</w:t>
      </w:r>
    </w:p>
    <w:p w14:paraId="12604C84">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bookmarkStart w:id="17" w:name="_Toc10042"/>
      <w:bookmarkStart w:id="18" w:name="_Toc26763"/>
      <w:r>
        <w:rPr>
          <w:rFonts w:hint="eastAsia" w:ascii="宋体" w:hAnsi="宋体" w:cs="宋体"/>
          <w:color w:val="auto"/>
          <w:sz w:val="22"/>
          <w:szCs w:val="22"/>
          <w:highlight w:val="none"/>
        </w:rPr>
        <w:t>第一</w:t>
      </w:r>
      <w:r>
        <w:rPr>
          <w:rFonts w:hint="eastAsia" w:ascii="宋体" w:hAnsi="宋体" w:cs="宋体"/>
          <w:color w:val="auto"/>
          <w:spacing w:val="7"/>
          <w:sz w:val="22"/>
          <w:szCs w:val="22"/>
          <w:highlight w:val="none"/>
        </w:rPr>
        <w:t>章</w:t>
      </w:r>
      <w:r>
        <w:rPr>
          <w:rFonts w:hint="eastAsia" w:ascii="宋体" w:hAnsi="宋体" w:cs="宋体"/>
          <w:color w:val="auto"/>
          <w:sz w:val="22"/>
          <w:szCs w:val="22"/>
          <w:highlight w:val="none"/>
        </w:rPr>
        <w:t xml:space="preserve"> 采购公告</w:t>
      </w:r>
    </w:p>
    <w:p w14:paraId="20AA9467">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z w:val="22"/>
          <w:szCs w:val="22"/>
          <w:highlight w:val="none"/>
        </w:rPr>
        <w:t>第二</w:t>
      </w:r>
      <w:r>
        <w:rPr>
          <w:rFonts w:hint="eastAsia" w:ascii="宋体" w:hAnsi="宋体" w:cs="宋体"/>
          <w:color w:val="auto"/>
          <w:spacing w:val="7"/>
          <w:sz w:val="22"/>
          <w:szCs w:val="22"/>
          <w:highlight w:val="none"/>
        </w:rPr>
        <w:t>章</w:t>
      </w:r>
      <w:r>
        <w:rPr>
          <w:rFonts w:hint="eastAsia" w:ascii="宋体" w:hAnsi="宋体" w:cs="宋体"/>
          <w:color w:val="auto"/>
          <w:sz w:val="22"/>
          <w:szCs w:val="22"/>
          <w:highlight w:val="none"/>
        </w:rPr>
        <w:t xml:space="preserve"> 供应商须知前附表</w:t>
      </w:r>
    </w:p>
    <w:p w14:paraId="11E5D1A3">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z w:val="22"/>
          <w:szCs w:val="22"/>
          <w:highlight w:val="none"/>
        </w:rPr>
        <w:t>第三</w:t>
      </w:r>
      <w:r>
        <w:rPr>
          <w:rFonts w:hint="eastAsia" w:ascii="宋体" w:hAnsi="宋体" w:cs="宋体"/>
          <w:color w:val="auto"/>
          <w:spacing w:val="7"/>
          <w:sz w:val="22"/>
          <w:szCs w:val="22"/>
          <w:highlight w:val="none"/>
        </w:rPr>
        <w:t>章</w:t>
      </w:r>
      <w:r>
        <w:rPr>
          <w:rFonts w:hint="eastAsia" w:ascii="宋体" w:hAnsi="宋体" w:cs="宋体"/>
          <w:color w:val="auto"/>
          <w:sz w:val="22"/>
          <w:szCs w:val="22"/>
          <w:highlight w:val="none"/>
        </w:rPr>
        <w:t xml:space="preserve"> 供应商须知</w:t>
      </w:r>
    </w:p>
    <w:p w14:paraId="7635FAF4">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z w:val="22"/>
          <w:szCs w:val="22"/>
          <w:highlight w:val="none"/>
        </w:rPr>
        <w:t>第四</w:t>
      </w:r>
      <w:r>
        <w:rPr>
          <w:rFonts w:hint="eastAsia" w:ascii="宋体" w:hAnsi="宋体" w:cs="宋体"/>
          <w:color w:val="auto"/>
          <w:spacing w:val="7"/>
          <w:sz w:val="22"/>
          <w:szCs w:val="22"/>
          <w:highlight w:val="none"/>
        </w:rPr>
        <w:t>章</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val="zh-CN"/>
        </w:rPr>
        <w:t>采购需求</w:t>
      </w:r>
    </w:p>
    <w:p w14:paraId="7E5E9BEF">
      <w:pPr>
        <w:kinsoku w:val="0"/>
        <w:autoSpaceDE w:val="0"/>
        <w:autoSpaceDN w:val="0"/>
        <w:adjustRightInd w:val="0"/>
        <w:snapToGrid w:val="0"/>
        <w:spacing w:line="360" w:lineRule="auto"/>
        <w:textAlignment w:val="baseline"/>
        <w:rPr>
          <w:rFonts w:hint="eastAsia" w:ascii="宋体" w:hAnsi="宋体" w:cs="宋体"/>
          <w:snapToGrid w:val="0"/>
          <w:color w:val="auto"/>
          <w:sz w:val="22"/>
          <w:szCs w:val="22"/>
          <w:highlight w:val="none"/>
        </w:rPr>
      </w:pPr>
      <w:r>
        <w:rPr>
          <w:rFonts w:hint="eastAsia" w:ascii="宋体" w:hAnsi="宋体" w:cs="宋体"/>
          <w:color w:val="auto"/>
          <w:sz w:val="22"/>
          <w:szCs w:val="22"/>
          <w:highlight w:val="none"/>
        </w:rPr>
        <w:t>第五</w:t>
      </w:r>
      <w:bookmarkEnd w:id="17"/>
      <w:bookmarkEnd w:id="18"/>
      <w:r>
        <w:rPr>
          <w:rFonts w:hint="eastAsia" w:ascii="宋体" w:hAnsi="宋体" w:cs="宋体"/>
          <w:color w:val="auto"/>
          <w:spacing w:val="7"/>
          <w:sz w:val="22"/>
          <w:szCs w:val="22"/>
          <w:highlight w:val="none"/>
        </w:rPr>
        <w:t>章</w:t>
      </w:r>
      <w:r>
        <w:rPr>
          <w:rFonts w:hint="eastAsia" w:ascii="宋体" w:hAnsi="宋体" w:cs="宋体"/>
          <w:color w:val="auto"/>
          <w:sz w:val="22"/>
          <w:szCs w:val="22"/>
          <w:highlight w:val="none"/>
        </w:rPr>
        <w:t xml:space="preserve"> 评标办法</w:t>
      </w:r>
    </w:p>
    <w:p w14:paraId="3B31B299">
      <w:pPr>
        <w:tabs>
          <w:tab w:val="left" w:pos="2883"/>
        </w:tabs>
        <w:kinsoku w:val="0"/>
        <w:autoSpaceDE w:val="0"/>
        <w:autoSpaceDN w:val="0"/>
        <w:adjustRightInd w:val="0"/>
        <w:snapToGrid w:val="0"/>
        <w:spacing w:line="360" w:lineRule="auto"/>
        <w:textAlignment w:val="baseline"/>
        <w:rPr>
          <w:rFonts w:hint="eastAsia" w:ascii="宋体" w:hAnsi="宋体" w:cs="宋体"/>
          <w:color w:val="auto"/>
          <w:spacing w:val="7"/>
          <w:sz w:val="22"/>
          <w:szCs w:val="22"/>
          <w:highlight w:val="none"/>
        </w:rPr>
      </w:pPr>
      <w:bookmarkStart w:id="19" w:name="_Toc18410"/>
      <w:r>
        <w:rPr>
          <w:rFonts w:hint="eastAsia" w:ascii="宋体" w:hAnsi="宋体" w:cs="宋体"/>
          <w:color w:val="auto"/>
          <w:spacing w:val="7"/>
          <w:sz w:val="22"/>
          <w:szCs w:val="22"/>
          <w:highlight w:val="none"/>
        </w:rPr>
        <w:t xml:space="preserve">第六章 </w:t>
      </w:r>
      <w:bookmarkEnd w:id="19"/>
      <w:r>
        <w:rPr>
          <w:rFonts w:hint="eastAsia" w:ascii="宋体" w:hAnsi="宋体" w:cs="宋体"/>
          <w:color w:val="auto"/>
          <w:spacing w:val="7"/>
          <w:sz w:val="22"/>
          <w:szCs w:val="22"/>
          <w:highlight w:val="none"/>
        </w:rPr>
        <w:t>响应文件格式</w:t>
      </w:r>
    </w:p>
    <w:p w14:paraId="7BC1175E">
      <w:pPr>
        <w:tabs>
          <w:tab w:val="left" w:pos="2883"/>
        </w:tabs>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7"/>
          <w:sz w:val="22"/>
          <w:szCs w:val="22"/>
          <w:highlight w:val="none"/>
        </w:rPr>
        <w:t>第七章 合同条款及格式</w:t>
      </w:r>
    </w:p>
    <w:p w14:paraId="5E70FEAB">
      <w:pPr>
        <w:kinsoku w:val="0"/>
        <w:autoSpaceDE w:val="0"/>
        <w:autoSpaceDN w:val="0"/>
        <w:adjustRightInd w:val="0"/>
        <w:snapToGrid w:val="0"/>
        <w:spacing w:line="360" w:lineRule="auto"/>
        <w:textAlignment w:val="baseline"/>
        <w:outlineLvl w:val="2"/>
        <w:rPr>
          <w:rFonts w:hint="eastAsia" w:ascii="宋体" w:hAnsi="宋体" w:cs="宋体"/>
          <w:color w:val="auto"/>
          <w:sz w:val="22"/>
          <w:szCs w:val="22"/>
          <w:highlight w:val="none"/>
        </w:rPr>
      </w:pPr>
      <w:r>
        <w:rPr>
          <w:rFonts w:hint="eastAsia" w:ascii="宋体" w:hAnsi="宋体" w:cs="宋体"/>
          <w:b/>
          <w:bCs/>
          <w:color w:val="auto"/>
          <w:spacing w:val="5"/>
          <w:sz w:val="22"/>
          <w:szCs w:val="22"/>
          <w:highlight w:val="none"/>
        </w:rPr>
        <w:t>7.招标文件的澄清</w:t>
      </w:r>
    </w:p>
    <w:p w14:paraId="08A4FCBE">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12"/>
          <w:sz w:val="22"/>
          <w:szCs w:val="22"/>
          <w:highlight w:val="none"/>
        </w:rPr>
        <w:t>供应商应仔细阅读和检查招标文件的全部内容。如发现缺页或附件不全，应及时向采购人提</w:t>
      </w:r>
      <w:r>
        <w:rPr>
          <w:rFonts w:hint="eastAsia" w:ascii="宋体" w:hAnsi="宋体" w:cs="宋体"/>
          <w:color w:val="auto"/>
          <w:spacing w:val="10"/>
          <w:sz w:val="22"/>
          <w:szCs w:val="22"/>
          <w:highlight w:val="none"/>
        </w:rPr>
        <w:t>出，以便补齐。如有疑问，应按供应商须知前附表规定的时间和形式将提出</w:t>
      </w:r>
      <w:r>
        <w:rPr>
          <w:rFonts w:hint="eastAsia" w:ascii="宋体" w:hAnsi="宋体" w:cs="宋体"/>
          <w:color w:val="auto"/>
          <w:spacing w:val="9"/>
          <w:sz w:val="22"/>
          <w:szCs w:val="22"/>
          <w:highlight w:val="none"/>
        </w:rPr>
        <w:t>，要求采购人对招标文</w:t>
      </w:r>
      <w:r>
        <w:rPr>
          <w:rFonts w:hint="eastAsia" w:ascii="宋体" w:hAnsi="宋体" w:cs="宋体"/>
          <w:color w:val="auto"/>
          <w:spacing w:val="6"/>
          <w:sz w:val="22"/>
          <w:szCs w:val="22"/>
          <w:highlight w:val="none"/>
        </w:rPr>
        <w:t>件予以澄清。</w:t>
      </w:r>
    </w:p>
    <w:p w14:paraId="49AAD74F">
      <w:pPr>
        <w:kinsoku w:val="0"/>
        <w:autoSpaceDE w:val="0"/>
        <w:autoSpaceDN w:val="0"/>
        <w:adjustRightInd w:val="0"/>
        <w:snapToGrid w:val="0"/>
        <w:spacing w:line="360" w:lineRule="auto"/>
        <w:textAlignment w:val="baseline"/>
        <w:outlineLvl w:val="2"/>
        <w:rPr>
          <w:rFonts w:hint="eastAsia" w:ascii="宋体" w:hAnsi="宋体" w:cs="宋体"/>
          <w:color w:val="auto"/>
          <w:sz w:val="22"/>
          <w:szCs w:val="22"/>
          <w:highlight w:val="none"/>
        </w:rPr>
      </w:pPr>
      <w:r>
        <w:rPr>
          <w:rFonts w:hint="eastAsia" w:ascii="宋体" w:hAnsi="宋体" w:cs="宋体"/>
          <w:b/>
          <w:bCs/>
          <w:color w:val="auto"/>
          <w:spacing w:val="6"/>
          <w:sz w:val="22"/>
          <w:szCs w:val="22"/>
          <w:highlight w:val="none"/>
        </w:rPr>
        <w:t>8.招标文件的修改</w:t>
      </w:r>
    </w:p>
    <w:p w14:paraId="6C312EED">
      <w:pPr>
        <w:kinsoku w:val="0"/>
        <w:autoSpaceDE w:val="0"/>
        <w:autoSpaceDN w:val="0"/>
        <w:adjustRightInd w:val="0"/>
        <w:snapToGrid w:val="0"/>
        <w:spacing w:line="360" w:lineRule="auto"/>
        <w:ind w:hanging="4"/>
        <w:textAlignment w:val="baseline"/>
        <w:rPr>
          <w:rFonts w:hint="eastAsia" w:ascii="宋体" w:hAnsi="宋体" w:cs="宋体"/>
          <w:color w:val="auto"/>
          <w:sz w:val="22"/>
          <w:szCs w:val="22"/>
          <w:highlight w:val="none"/>
        </w:rPr>
      </w:pPr>
      <w:r>
        <w:rPr>
          <w:rFonts w:hint="eastAsia" w:ascii="宋体" w:hAnsi="宋体" w:cs="宋体"/>
          <w:color w:val="auto"/>
          <w:spacing w:val="8"/>
          <w:sz w:val="22"/>
          <w:szCs w:val="22"/>
          <w:highlight w:val="none"/>
        </w:rPr>
        <w:t>8.1</w:t>
      </w:r>
      <w:r>
        <w:rPr>
          <w:rFonts w:hint="eastAsia" w:ascii="宋体" w:hAnsi="宋体" w:cs="宋体"/>
          <w:color w:val="auto"/>
          <w:spacing w:val="-42"/>
          <w:sz w:val="22"/>
          <w:szCs w:val="22"/>
          <w:highlight w:val="none"/>
        </w:rPr>
        <w:t xml:space="preserve"> </w:t>
      </w:r>
      <w:r>
        <w:rPr>
          <w:rFonts w:hint="eastAsia" w:ascii="宋体" w:hAnsi="宋体" w:cs="宋体"/>
          <w:color w:val="auto"/>
          <w:spacing w:val="8"/>
          <w:sz w:val="22"/>
          <w:szCs w:val="22"/>
          <w:highlight w:val="none"/>
        </w:rPr>
        <w:t>在投标截止时间前，招标机构可根据需要和（或）依据供应商要求澄清的问题而</w:t>
      </w:r>
      <w:r>
        <w:rPr>
          <w:rFonts w:hint="eastAsia" w:ascii="宋体" w:hAnsi="宋体" w:cs="宋体"/>
          <w:color w:val="auto"/>
          <w:spacing w:val="7"/>
          <w:sz w:val="22"/>
          <w:szCs w:val="22"/>
          <w:highlight w:val="none"/>
        </w:rPr>
        <w:t>修改招标文件，</w:t>
      </w:r>
      <w:r>
        <w:rPr>
          <w:rFonts w:hint="eastAsia" w:ascii="宋体" w:hAnsi="宋体" w:cs="宋体"/>
          <w:color w:val="auto"/>
          <w:spacing w:val="10"/>
          <w:sz w:val="22"/>
          <w:szCs w:val="22"/>
          <w:highlight w:val="none"/>
        </w:rPr>
        <w:t>并以书面形式在政府采购云平台（网址：</w:t>
      </w:r>
      <w:r>
        <w:rPr>
          <w:rFonts w:hint="eastAsia" w:ascii="宋体" w:hAnsi="宋体" w:cs="宋体"/>
          <w:color w:val="auto"/>
          <w:sz w:val="22"/>
          <w:szCs w:val="22"/>
          <w:highlight w:val="none"/>
        </w:rPr>
        <w:t>http</w:t>
      </w:r>
      <w:r>
        <w:rPr>
          <w:rFonts w:hint="eastAsia" w:ascii="宋体" w:hAnsi="宋体" w:cs="宋体"/>
          <w:color w:val="auto"/>
          <w:spacing w:val="10"/>
          <w:sz w:val="22"/>
          <w:szCs w:val="22"/>
          <w:highlight w:val="none"/>
        </w:rPr>
        <w:t xml:space="preserve">:// </w:t>
      </w:r>
      <w:r>
        <w:rPr>
          <w:rFonts w:hint="eastAsia" w:ascii="宋体" w:hAnsi="宋体" w:cs="宋体"/>
          <w:color w:val="auto"/>
          <w:sz w:val="22"/>
          <w:szCs w:val="22"/>
          <w:highlight w:val="none"/>
        </w:rPr>
        <w:t>www</w:t>
      </w:r>
      <w:r>
        <w:rPr>
          <w:rFonts w:hint="eastAsia" w:ascii="宋体" w:hAnsi="宋体" w:cs="宋体"/>
          <w:color w:val="auto"/>
          <w:spacing w:val="10"/>
          <w:sz w:val="22"/>
          <w:szCs w:val="22"/>
          <w:highlight w:val="none"/>
        </w:rPr>
        <w:t>.</w:t>
      </w:r>
      <w:r>
        <w:rPr>
          <w:rFonts w:hint="eastAsia" w:ascii="宋体" w:hAnsi="宋体" w:cs="宋体"/>
          <w:color w:val="auto"/>
          <w:sz w:val="22"/>
          <w:szCs w:val="22"/>
          <w:highlight w:val="none"/>
        </w:rPr>
        <w:t>zcygov</w:t>
      </w:r>
      <w:r>
        <w:rPr>
          <w:rFonts w:hint="eastAsia" w:ascii="宋体" w:hAnsi="宋体" w:cs="宋体"/>
          <w:color w:val="auto"/>
          <w:spacing w:val="10"/>
          <w:sz w:val="22"/>
          <w:szCs w:val="22"/>
          <w:highlight w:val="none"/>
        </w:rPr>
        <w:t>.</w:t>
      </w:r>
      <w:r>
        <w:rPr>
          <w:rFonts w:hint="eastAsia" w:ascii="宋体" w:hAnsi="宋体" w:cs="宋体"/>
          <w:color w:val="auto"/>
          <w:sz w:val="22"/>
          <w:szCs w:val="22"/>
          <w:highlight w:val="none"/>
        </w:rPr>
        <w:t>cn</w:t>
      </w:r>
      <w:r>
        <w:rPr>
          <w:rFonts w:hint="eastAsia" w:ascii="宋体" w:hAnsi="宋体" w:cs="宋体"/>
          <w:color w:val="auto"/>
          <w:spacing w:val="10"/>
          <w:sz w:val="22"/>
          <w:szCs w:val="22"/>
          <w:highlight w:val="none"/>
        </w:rPr>
        <w:t>）上发布；</w:t>
      </w:r>
    </w:p>
    <w:p w14:paraId="3F7EE7B2">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9"/>
          <w:sz w:val="22"/>
          <w:szCs w:val="22"/>
          <w:highlight w:val="none"/>
        </w:rPr>
        <w:t>8.2 招标文件的修改书将构成招标文件的一部分，对供应商具有同</w:t>
      </w:r>
      <w:r>
        <w:rPr>
          <w:rFonts w:hint="eastAsia" w:ascii="宋体" w:hAnsi="宋体" w:cs="宋体"/>
          <w:color w:val="auto"/>
          <w:spacing w:val="8"/>
          <w:sz w:val="22"/>
          <w:szCs w:val="22"/>
          <w:highlight w:val="none"/>
        </w:rPr>
        <w:t>样的约束力。</w:t>
      </w:r>
    </w:p>
    <w:p w14:paraId="24FACB15">
      <w:pPr>
        <w:kinsoku w:val="0"/>
        <w:autoSpaceDE w:val="0"/>
        <w:autoSpaceDN w:val="0"/>
        <w:adjustRightInd w:val="0"/>
        <w:snapToGrid w:val="0"/>
        <w:spacing w:line="360" w:lineRule="auto"/>
        <w:ind w:hanging="16"/>
        <w:textAlignment w:val="baseline"/>
        <w:rPr>
          <w:rFonts w:hint="eastAsia" w:ascii="宋体" w:hAnsi="宋体" w:cs="宋体"/>
          <w:color w:val="auto"/>
          <w:sz w:val="22"/>
          <w:szCs w:val="22"/>
          <w:highlight w:val="none"/>
        </w:rPr>
      </w:pPr>
      <w:r>
        <w:rPr>
          <w:rFonts w:hint="eastAsia" w:ascii="宋体" w:hAnsi="宋体" w:cs="宋体"/>
          <w:color w:val="auto"/>
          <w:spacing w:val="11"/>
          <w:sz w:val="22"/>
          <w:szCs w:val="22"/>
          <w:highlight w:val="none"/>
        </w:rPr>
        <w:t>8.3</w:t>
      </w:r>
      <w:r>
        <w:rPr>
          <w:rFonts w:hint="eastAsia" w:ascii="宋体" w:hAnsi="宋体" w:cs="宋体"/>
          <w:color w:val="auto"/>
          <w:spacing w:val="-27"/>
          <w:sz w:val="22"/>
          <w:szCs w:val="22"/>
          <w:highlight w:val="none"/>
        </w:rPr>
        <w:t xml:space="preserve"> </w:t>
      </w:r>
      <w:r>
        <w:rPr>
          <w:rFonts w:hint="eastAsia" w:ascii="宋体" w:hAnsi="宋体" w:cs="宋体"/>
          <w:color w:val="auto"/>
          <w:spacing w:val="11"/>
          <w:sz w:val="22"/>
          <w:szCs w:val="22"/>
          <w:highlight w:val="none"/>
        </w:rPr>
        <w:t>为使供应商有足够的时间按招标文件的修改要求考虑修正投标文件，招标机构可酌情推迟投标</w:t>
      </w:r>
      <w:r>
        <w:rPr>
          <w:rFonts w:hint="eastAsia" w:ascii="宋体" w:hAnsi="宋体" w:cs="宋体"/>
          <w:color w:val="auto"/>
          <w:spacing w:val="10"/>
          <w:sz w:val="22"/>
          <w:szCs w:val="22"/>
          <w:highlight w:val="none"/>
        </w:rPr>
        <w:t>的截止时间和开标时间，并在政府采购云平台（网址：</w:t>
      </w:r>
      <w:r>
        <w:rPr>
          <w:rFonts w:hint="eastAsia" w:ascii="宋体" w:hAnsi="宋体" w:cs="宋体"/>
          <w:color w:val="auto"/>
          <w:sz w:val="22"/>
          <w:szCs w:val="22"/>
          <w:highlight w:val="none"/>
        </w:rPr>
        <w:t>http</w:t>
      </w:r>
      <w:r>
        <w:rPr>
          <w:rFonts w:hint="eastAsia" w:ascii="宋体" w:hAnsi="宋体" w:cs="宋体"/>
          <w:color w:val="auto"/>
          <w:spacing w:val="10"/>
          <w:sz w:val="22"/>
          <w:szCs w:val="22"/>
          <w:highlight w:val="none"/>
        </w:rPr>
        <w:t xml:space="preserve">:// </w:t>
      </w:r>
      <w:r>
        <w:rPr>
          <w:rFonts w:hint="eastAsia" w:ascii="宋体" w:hAnsi="宋体" w:cs="宋体"/>
          <w:color w:val="auto"/>
          <w:sz w:val="22"/>
          <w:szCs w:val="22"/>
          <w:highlight w:val="none"/>
        </w:rPr>
        <w:t>www</w:t>
      </w:r>
      <w:r>
        <w:rPr>
          <w:rFonts w:hint="eastAsia" w:ascii="宋体" w:hAnsi="宋体" w:cs="宋体"/>
          <w:color w:val="auto"/>
          <w:spacing w:val="10"/>
          <w:sz w:val="22"/>
          <w:szCs w:val="22"/>
          <w:highlight w:val="none"/>
        </w:rPr>
        <w:t>.</w:t>
      </w:r>
      <w:r>
        <w:rPr>
          <w:rFonts w:hint="eastAsia" w:ascii="宋体" w:hAnsi="宋体" w:cs="宋体"/>
          <w:color w:val="auto"/>
          <w:sz w:val="22"/>
          <w:szCs w:val="22"/>
          <w:highlight w:val="none"/>
        </w:rPr>
        <w:t>zcygov</w:t>
      </w:r>
      <w:r>
        <w:rPr>
          <w:rFonts w:hint="eastAsia" w:ascii="宋体" w:hAnsi="宋体" w:cs="宋体"/>
          <w:color w:val="auto"/>
          <w:spacing w:val="10"/>
          <w:sz w:val="22"/>
          <w:szCs w:val="22"/>
          <w:highlight w:val="none"/>
        </w:rPr>
        <w:t>.</w:t>
      </w:r>
      <w:r>
        <w:rPr>
          <w:rFonts w:hint="eastAsia" w:ascii="宋体" w:hAnsi="宋体" w:cs="宋体"/>
          <w:color w:val="auto"/>
          <w:sz w:val="22"/>
          <w:szCs w:val="22"/>
          <w:highlight w:val="none"/>
        </w:rPr>
        <w:t>cn</w:t>
      </w:r>
      <w:r>
        <w:rPr>
          <w:rFonts w:hint="eastAsia" w:ascii="宋体" w:hAnsi="宋体" w:cs="宋体"/>
          <w:color w:val="auto"/>
          <w:spacing w:val="10"/>
          <w:sz w:val="22"/>
          <w:szCs w:val="22"/>
          <w:highlight w:val="none"/>
        </w:rPr>
        <w:t>）上发布。</w:t>
      </w:r>
    </w:p>
    <w:p w14:paraId="09741D96">
      <w:pPr>
        <w:spacing w:line="360" w:lineRule="auto"/>
        <w:jc w:val="center"/>
        <w:outlineLvl w:val="1"/>
        <w:rPr>
          <w:rFonts w:hint="eastAsia" w:ascii="宋体" w:hAnsi="宋体" w:cs="宋体"/>
          <w:color w:val="auto"/>
          <w:sz w:val="22"/>
          <w:szCs w:val="22"/>
          <w:highlight w:val="none"/>
        </w:rPr>
      </w:pPr>
      <w:r>
        <w:rPr>
          <w:rFonts w:hint="eastAsia" w:ascii="宋体" w:hAnsi="宋体" w:cs="宋体"/>
          <w:b/>
          <w:bCs/>
          <w:color w:val="auto"/>
          <w:spacing w:val="5"/>
          <w:sz w:val="22"/>
          <w:szCs w:val="22"/>
          <w:highlight w:val="none"/>
        </w:rPr>
        <w:t>C</w:t>
      </w:r>
      <w:r>
        <w:rPr>
          <w:rFonts w:hint="eastAsia" w:ascii="宋体" w:hAnsi="宋体" w:cs="宋体"/>
          <w:color w:val="auto"/>
          <w:spacing w:val="-33"/>
          <w:sz w:val="22"/>
          <w:szCs w:val="22"/>
          <w:highlight w:val="none"/>
        </w:rPr>
        <w:t xml:space="preserve"> </w:t>
      </w:r>
      <w:r>
        <w:rPr>
          <w:rFonts w:hint="eastAsia" w:ascii="宋体" w:hAnsi="宋体" w:cs="宋体"/>
          <w:b/>
          <w:bCs/>
          <w:color w:val="auto"/>
          <w:spacing w:val="5"/>
          <w:sz w:val="22"/>
          <w:szCs w:val="22"/>
          <w:highlight w:val="none"/>
        </w:rPr>
        <w:t>投标文件的编写</w:t>
      </w:r>
    </w:p>
    <w:p w14:paraId="034B7298">
      <w:pPr>
        <w:kinsoku w:val="0"/>
        <w:autoSpaceDE w:val="0"/>
        <w:autoSpaceDN w:val="0"/>
        <w:adjustRightInd w:val="0"/>
        <w:snapToGrid w:val="0"/>
        <w:spacing w:line="360" w:lineRule="auto"/>
        <w:textAlignment w:val="baseline"/>
        <w:outlineLvl w:val="2"/>
        <w:rPr>
          <w:rFonts w:hint="eastAsia" w:ascii="宋体" w:hAnsi="宋体" w:cs="宋体"/>
          <w:color w:val="auto"/>
          <w:sz w:val="22"/>
          <w:szCs w:val="22"/>
          <w:highlight w:val="none"/>
        </w:rPr>
      </w:pPr>
      <w:r>
        <w:rPr>
          <w:rFonts w:hint="eastAsia" w:ascii="宋体" w:hAnsi="宋体" w:cs="宋体"/>
          <w:b/>
          <w:bCs/>
          <w:color w:val="auto"/>
          <w:spacing w:val="6"/>
          <w:sz w:val="22"/>
          <w:szCs w:val="22"/>
          <w:highlight w:val="none"/>
        </w:rPr>
        <w:t>9.投标语言及计量单位</w:t>
      </w:r>
    </w:p>
    <w:p w14:paraId="2818E067">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9"/>
          <w:sz w:val="22"/>
          <w:szCs w:val="22"/>
          <w:highlight w:val="none"/>
        </w:rPr>
        <w:t>9.1</w:t>
      </w:r>
      <w:r>
        <w:rPr>
          <w:rFonts w:hint="eastAsia" w:ascii="宋体" w:hAnsi="宋体" w:cs="宋体"/>
          <w:color w:val="auto"/>
          <w:spacing w:val="-37"/>
          <w:sz w:val="22"/>
          <w:szCs w:val="22"/>
          <w:highlight w:val="none"/>
        </w:rPr>
        <w:t xml:space="preserve"> </w:t>
      </w:r>
      <w:r>
        <w:rPr>
          <w:rFonts w:hint="eastAsia" w:ascii="宋体" w:hAnsi="宋体" w:cs="宋体"/>
          <w:color w:val="auto"/>
          <w:spacing w:val="9"/>
          <w:sz w:val="22"/>
          <w:szCs w:val="22"/>
          <w:highlight w:val="none"/>
        </w:rPr>
        <w:t>投标文件及供应商和招标机构就投标交换的文件和来往信件，以中文书写（专有名词除外</w:t>
      </w:r>
      <w:r>
        <w:rPr>
          <w:rFonts w:hint="eastAsia" w:ascii="宋体" w:hAnsi="宋体" w:cs="宋体"/>
          <w:color w:val="auto"/>
          <w:spacing w:val="2"/>
          <w:sz w:val="22"/>
          <w:szCs w:val="22"/>
          <w:highlight w:val="none"/>
        </w:rPr>
        <w:t>）；</w:t>
      </w:r>
    </w:p>
    <w:p w14:paraId="7CDC0226">
      <w:pPr>
        <w:kinsoku w:val="0"/>
        <w:autoSpaceDE w:val="0"/>
        <w:autoSpaceDN w:val="0"/>
        <w:adjustRightInd w:val="0"/>
        <w:snapToGrid w:val="0"/>
        <w:spacing w:line="360" w:lineRule="auto"/>
        <w:ind w:hanging="13"/>
        <w:textAlignment w:val="baseline"/>
        <w:rPr>
          <w:rFonts w:hint="eastAsia" w:ascii="宋体" w:hAnsi="宋体" w:cs="宋体"/>
          <w:color w:val="auto"/>
          <w:sz w:val="22"/>
          <w:szCs w:val="22"/>
          <w:highlight w:val="none"/>
        </w:rPr>
      </w:pPr>
      <w:r>
        <w:rPr>
          <w:rFonts w:hint="eastAsia" w:ascii="宋体" w:hAnsi="宋体" w:cs="宋体"/>
          <w:color w:val="auto"/>
          <w:spacing w:val="5"/>
          <w:sz w:val="22"/>
          <w:szCs w:val="22"/>
          <w:highlight w:val="none"/>
        </w:rPr>
        <w:t>9.2</w:t>
      </w:r>
      <w:r>
        <w:rPr>
          <w:rFonts w:hint="eastAsia" w:ascii="宋体" w:hAnsi="宋体" w:cs="宋体"/>
          <w:color w:val="auto"/>
          <w:spacing w:val="-30"/>
          <w:sz w:val="22"/>
          <w:szCs w:val="22"/>
          <w:highlight w:val="none"/>
        </w:rPr>
        <w:t xml:space="preserve"> </w:t>
      </w:r>
      <w:r>
        <w:rPr>
          <w:rFonts w:hint="eastAsia" w:ascii="宋体" w:hAnsi="宋体" w:cs="宋体"/>
          <w:color w:val="auto"/>
          <w:spacing w:val="5"/>
          <w:sz w:val="22"/>
          <w:szCs w:val="22"/>
          <w:highlight w:val="none"/>
        </w:rPr>
        <w:t>除在招标文件的“技术要求</w:t>
      </w:r>
      <w:r>
        <w:rPr>
          <w:rFonts w:hint="eastAsia" w:ascii="宋体" w:hAnsi="宋体" w:cs="宋体"/>
          <w:color w:val="auto"/>
          <w:spacing w:val="-70"/>
          <w:sz w:val="22"/>
          <w:szCs w:val="22"/>
          <w:highlight w:val="none"/>
        </w:rPr>
        <w:t xml:space="preserve"> </w:t>
      </w:r>
      <w:r>
        <w:rPr>
          <w:rFonts w:hint="eastAsia" w:ascii="宋体" w:hAnsi="宋体" w:cs="宋体"/>
          <w:color w:val="auto"/>
          <w:spacing w:val="5"/>
          <w:sz w:val="22"/>
          <w:szCs w:val="22"/>
          <w:highlight w:val="none"/>
        </w:rPr>
        <w:t>”中另有规定外，计量单位应使用中华人民共和</w:t>
      </w:r>
      <w:r>
        <w:rPr>
          <w:rFonts w:hint="eastAsia" w:ascii="宋体" w:hAnsi="宋体" w:cs="宋体"/>
          <w:color w:val="auto"/>
          <w:spacing w:val="4"/>
          <w:sz w:val="22"/>
          <w:szCs w:val="22"/>
          <w:highlight w:val="none"/>
        </w:rPr>
        <w:t>国法定计量单位（国</w:t>
      </w:r>
      <w:r>
        <w:rPr>
          <w:rFonts w:hint="eastAsia" w:ascii="宋体" w:hAnsi="宋体" w:cs="宋体"/>
          <w:color w:val="auto"/>
          <w:spacing w:val="7"/>
          <w:sz w:val="22"/>
          <w:szCs w:val="22"/>
          <w:highlight w:val="none"/>
        </w:rPr>
        <w:t>际单位制和国家选定的其他计量单位）。</w:t>
      </w:r>
    </w:p>
    <w:p w14:paraId="583A93BD">
      <w:pPr>
        <w:kinsoku w:val="0"/>
        <w:autoSpaceDE w:val="0"/>
        <w:autoSpaceDN w:val="0"/>
        <w:adjustRightInd w:val="0"/>
        <w:snapToGrid w:val="0"/>
        <w:spacing w:line="360" w:lineRule="auto"/>
        <w:textAlignment w:val="baseline"/>
        <w:outlineLvl w:val="2"/>
        <w:rPr>
          <w:rFonts w:hint="eastAsia" w:ascii="宋体" w:hAnsi="宋体" w:cs="宋体"/>
          <w:color w:val="auto"/>
          <w:sz w:val="22"/>
          <w:szCs w:val="22"/>
          <w:highlight w:val="none"/>
        </w:rPr>
      </w:pPr>
      <w:r>
        <w:rPr>
          <w:rFonts w:hint="eastAsia" w:ascii="宋体" w:hAnsi="宋体" w:cs="宋体"/>
          <w:b/>
          <w:bCs/>
          <w:color w:val="auto"/>
          <w:spacing w:val="5"/>
          <w:sz w:val="22"/>
          <w:szCs w:val="22"/>
          <w:highlight w:val="none"/>
        </w:rPr>
        <w:t>10．投标文件的组成</w:t>
      </w:r>
    </w:p>
    <w:p w14:paraId="149339EF">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8"/>
          <w:sz w:val="22"/>
          <w:szCs w:val="22"/>
          <w:highlight w:val="none"/>
        </w:rPr>
        <w:t>详见第六部分：投标文件格式。</w:t>
      </w:r>
    </w:p>
    <w:p w14:paraId="68BB7924">
      <w:pPr>
        <w:kinsoku w:val="0"/>
        <w:autoSpaceDE w:val="0"/>
        <w:autoSpaceDN w:val="0"/>
        <w:adjustRightInd w:val="0"/>
        <w:snapToGrid w:val="0"/>
        <w:spacing w:line="360" w:lineRule="auto"/>
        <w:textAlignment w:val="baseline"/>
        <w:outlineLvl w:val="2"/>
        <w:rPr>
          <w:rFonts w:hint="eastAsia" w:ascii="宋体" w:hAnsi="宋体" w:cs="宋体"/>
          <w:color w:val="auto"/>
          <w:sz w:val="22"/>
          <w:szCs w:val="22"/>
          <w:highlight w:val="none"/>
        </w:rPr>
      </w:pPr>
      <w:r>
        <w:rPr>
          <w:rFonts w:hint="eastAsia" w:ascii="宋体" w:hAnsi="宋体" w:cs="宋体"/>
          <w:b/>
          <w:bCs/>
          <w:color w:val="auto"/>
          <w:spacing w:val="5"/>
          <w:sz w:val="22"/>
          <w:szCs w:val="22"/>
          <w:highlight w:val="none"/>
        </w:rPr>
        <w:t>11.投标文件内容填写说明</w:t>
      </w:r>
    </w:p>
    <w:p w14:paraId="0FD4999F">
      <w:pPr>
        <w:kinsoku w:val="0"/>
        <w:autoSpaceDE w:val="0"/>
        <w:autoSpaceDN w:val="0"/>
        <w:adjustRightInd w:val="0"/>
        <w:snapToGrid w:val="0"/>
        <w:spacing w:line="360" w:lineRule="auto"/>
        <w:ind w:firstLine="13"/>
        <w:textAlignment w:val="baseline"/>
        <w:rPr>
          <w:rFonts w:hint="eastAsia" w:ascii="宋体" w:hAnsi="宋体" w:cs="宋体"/>
          <w:color w:val="auto"/>
          <w:sz w:val="22"/>
          <w:szCs w:val="22"/>
          <w:highlight w:val="none"/>
        </w:rPr>
      </w:pPr>
      <w:r>
        <w:rPr>
          <w:rFonts w:hint="eastAsia" w:ascii="宋体" w:hAnsi="宋体" w:cs="宋体"/>
          <w:color w:val="auto"/>
          <w:spacing w:val="8"/>
          <w:sz w:val="22"/>
          <w:szCs w:val="22"/>
          <w:highlight w:val="none"/>
        </w:rPr>
        <w:t>11.1</w:t>
      </w:r>
      <w:r>
        <w:rPr>
          <w:rFonts w:hint="eastAsia" w:ascii="宋体" w:hAnsi="宋体" w:cs="宋体"/>
          <w:color w:val="auto"/>
          <w:spacing w:val="-40"/>
          <w:sz w:val="22"/>
          <w:szCs w:val="22"/>
          <w:highlight w:val="none"/>
        </w:rPr>
        <w:t xml:space="preserve"> </w:t>
      </w:r>
      <w:r>
        <w:rPr>
          <w:rFonts w:hint="eastAsia" w:ascii="宋体" w:hAnsi="宋体" w:cs="宋体"/>
          <w:color w:val="auto"/>
          <w:spacing w:val="8"/>
          <w:sz w:val="22"/>
          <w:szCs w:val="22"/>
          <w:highlight w:val="none"/>
        </w:rPr>
        <w:t>供应商应严格按招标文件要求的内容逐项填写编制投标文件，</w:t>
      </w:r>
      <w:r>
        <w:rPr>
          <w:rFonts w:hint="eastAsia" w:ascii="宋体" w:hAnsi="宋体" w:cs="宋体"/>
          <w:color w:val="auto"/>
          <w:spacing w:val="7"/>
          <w:sz w:val="22"/>
          <w:szCs w:val="22"/>
          <w:highlight w:val="none"/>
        </w:rPr>
        <w:t>有规定格式的按规定格式填写，</w:t>
      </w:r>
      <w:r>
        <w:rPr>
          <w:rFonts w:hint="eastAsia" w:ascii="宋体" w:hAnsi="宋体" w:cs="宋体"/>
          <w:color w:val="auto"/>
          <w:spacing w:val="8"/>
          <w:sz w:val="22"/>
          <w:szCs w:val="22"/>
          <w:highlight w:val="none"/>
        </w:rPr>
        <w:t>无规定格式的由供应商自拟</w:t>
      </w:r>
      <w:r>
        <w:rPr>
          <w:rFonts w:hint="eastAsia" w:ascii="宋体" w:hAnsi="宋体" w:cs="宋体"/>
          <w:b/>
          <w:bCs/>
          <w:color w:val="auto"/>
          <w:spacing w:val="8"/>
          <w:sz w:val="22"/>
          <w:szCs w:val="22"/>
          <w:highlight w:val="none"/>
        </w:rPr>
        <w:t>。</w:t>
      </w:r>
    </w:p>
    <w:p w14:paraId="4A7464B5">
      <w:pPr>
        <w:kinsoku w:val="0"/>
        <w:autoSpaceDE w:val="0"/>
        <w:autoSpaceDN w:val="0"/>
        <w:adjustRightInd w:val="0"/>
        <w:snapToGrid w:val="0"/>
        <w:spacing w:line="360" w:lineRule="auto"/>
        <w:ind w:firstLine="14"/>
        <w:textAlignment w:val="baseline"/>
        <w:rPr>
          <w:rFonts w:hint="eastAsia" w:ascii="宋体" w:hAnsi="宋体" w:cs="宋体"/>
          <w:color w:val="auto"/>
          <w:sz w:val="22"/>
          <w:szCs w:val="22"/>
          <w:highlight w:val="none"/>
        </w:rPr>
      </w:pPr>
      <w:r>
        <w:rPr>
          <w:rFonts w:hint="eastAsia" w:ascii="宋体" w:hAnsi="宋体" w:cs="宋体"/>
          <w:color w:val="auto"/>
          <w:spacing w:val="9"/>
          <w:sz w:val="22"/>
          <w:szCs w:val="22"/>
          <w:highlight w:val="none"/>
        </w:rPr>
        <w:t>11.2</w:t>
      </w:r>
      <w:r>
        <w:rPr>
          <w:rFonts w:hint="eastAsia" w:ascii="宋体" w:hAnsi="宋体" w:cs="宋体"/>
          <w:color w:val="auto"/>
          <w:spacing w:val="-39"/>
          <w:sz w:val="22"/>
          <w:szCs w:val="22"/>
          <w:highlight w:val="none"/>
        </w:rPr>
        <w:t xml:space="preserve"> </w:t>
      </w:r>
      <w:r>
        <w:rPr>
          <w:rFonts w:hint="eastAsia" w:ascii="宋体" w:hAnsi="宋体" w:cs="宋体"/>
          <w:color w:val="auto"/>
          <w:spacing w:val="9"/>
          <w:sz w:val="22"/>
          <w:szCs w:val="22"/>
          <w:highlight w:val="none"/>
        </w:rPr>
        <w:t>开标一览表为在开标仪式上唱标的内容，要求</w:t>
      </w:r>
      <w:r>
        <w:rPr>
          <w:rFonts w:hint="eastAsia" w:ascii="宋体" w:hAnsi="宋体" w:cs="宋体"/>
          <w:color w:val="auto"/>
          <w:spacing w:val="8"/>
          <w:sz w:val="22"/>
          <w:szCs w:val="22"/>
          <w:highlight w:val="none"/>
        </w:rPr>
        <w:t>按格式填写、统一规范，不得自行增减内容。投</w:t>
      </w:r>
      <w:r>
        <w:rPr>
          <w:rFonts w:hint="eastAsia" w:ascii="宋体" w:hAnsi="宋体" w:cs="宋体"/>
          <w:color w:val="auto"/>
          <w:spacing w:val="9"/>
          <w:sz w:val="22"/>
          <w:szCs w:val="22"/>
          <w:highlight w:val="none"/>
        </w:rPr>
        <w:t>标文件不得漏项或虚报，否则将可能导致其投标被拒绝。</w:t>
      </w:r>
    </w:p>
    <w:p w14:paraId="65E8EC17">
      <w:pPr>
        <w:kinsoku w:val="0"/>
        <w:autoSpaceDE w:val="0"/>
        <w:autoSpaceDN w:val="0"/>
        <w:adjustRightInd w:val="0"/>
        <w:snapToGrid w:val="0"/>
        <w:spacing w:line="360" w:lineRule="auto"/>
        <w:ind w:firstLine="14"/>
        <w:textAlignment w:val="baseline"/>
        <w:rPr>
          <w:rFonts w:hint="eastAsia" w:ascii="宋体" w:hAnsi="宋体" w:cs="宋体"/>
          <w:color w:val="auto"/>
          <w:sz w:val="22"/>
          <w:szCs w:val="22"/>
          <w:highlight w:val="none"/>
        </w:rPr>
      </w:pPr>
      <w:r>
        <w:rPr>
          <w:rFonts w:hint="eastAsia" w:ascii="宋体" w:hAnsi="宋体" w:cs="宋体"/>
          <w:color w:val="auto"/>
          <w:spacing w:val="8"/>
          <w:sz w:val="22"/>
          <w:szCs w:val="22"/>
          <w:highlight w:val="none"/>
        </w:rPr>
        <w:t>11.3 供应商应保证其所提供文件的真实性，并应对招标文件的实质性要求</w:t>
      </w:r>
      <w:r>
        <w:rPr>
          <w:rFonts w:hint="eastAsia" w:ascii="宋体" w:hAnsi="宋体" w:cs="宋体"/>
          <w:color w:val="auto"/>
          <w:spacing w:val="7"/>
          <w:sz w:val="22"/>
          <w:szCs w:val="22"/>
          <w:highlight w:val="none"/>
        </w:rPr>
        <w:t>作出完全响应，否则其投</w:t>
      </w:r>
      <w:r>
        <w:rPr>
          <w:rFonts w:hint="eastAsia" w:ascii="宋体" w:hAnsi="宋体" w:cs="宋体"/>
          <w:color w:val="auto"/>
          <w:spacing w:val="6"/>
          <w:sz w:val="22"/>
          <w:szCs w:val="22"/>
          <w:highlight w:val="none"/>
        </w:rPr>
        <w:t>标可能被拒绝。</w:t>
      </w:r>
    </w:p>
    <w:p w14:paraId="374178F6">
      <w:pPr>
        <w:kinsoku w:val="0"/>
        <w:autoSpaceDE w:val="0"/>
        <w:autoSpaceDN w:val="0"/>
        <w:adjustRightInd w:val="0"/>
        <w:snapToGrid w:val="0"/>
        <w:spacing w:line="360" w:lineRule="auto"/>
        <w:ind w:firstLine="10"/>
        <w:textAlignment w:val="baseline"/>
        <w:rPr>
          <w:rFonts w:hint="eastAsia" w:ascii="宋体" w:hAnsi="宋体" w:cs="宋体"/>
          <w:color w:val="auto"/>
          <w:w w:val="98"/>
          <w:sz w:val="22"/>
          <w:szCs w:val="22"/>
          <w:highlight w:val="none"/>
        </w:rPr>
      </w:pPr>
      <w:r>
        <w:rPr>
          <w:rFonts w:hint="eastAsia" w:ascii="宋体" w:hAnsi="宋体" w:cs="宋体"/>
          <w:color w:val="auto"/>
          <w:spacing w:val="9"/>
          <w:w w:val="98"/>
          <w:sz w:val="22"/>
          <w:szCs w:val="22"/>
          <w:highlight w:val="none"/>
        </w:rPr>
        <w:t>11.4</w:t>
      </w:r>
      <w:r>
        <w:rPr>
          <w:rFonts w:hint="eastAsia" w:ascii="宋体" w:hAnsi="宋体" w:cs="宋体"/>
          <w:color w:val="auto"/>
          <w:spacing w:val="-40"/>
          <w:w w:val="98"/>
          <w:sz w:val="22"/>
          <w:szCs w:val="22"/>
          <w:highlight w:val="none"/>
        </w:rPr>
        <w:t xml:space="preserve"> </w:t>
      </w:r>
      <w:r>
        <w:rPr>
          <w:rFonts w:hint="eastAsia" w:ascii="宋体" w:hAnsi="宋体" w:cs="宋体"/>
          <w:color w:val="auto"/>
          <w:spacing w:val="8"/>
          <w:sz w:val="22"/>
          <w:szCs w:val="22"/>
          <w:highlight w:val="none"/>
        </w:rPr>
        <w:t>供应商视需要自行编制技术文件的补充附件。规格幅面应与正文一致，附于正文之后，与正文页码</w:t>
      </w:r>
      <w:r>
        <w:rPr>
          <w:rFonts w:hint="eastAsia" w:ascii="宋体" w:hAnsi="宋体" w:cs="宋体"/>
          <w:b/>
          <w:bCs/>
          <w:color w:val="auto"/>
          <w:spacing w:val="6"/>
          <w:w w:val="98"/>
          <w:sz w:val="22"/>
          <w:szCs w:val="22"/>
          <w:highlight w:val="none"/>
        </w:rPr>
        <w:t>统一编目编码装订</w:t>
      </w:r>
      <w:r>
        <w:rPr>
          <w:rFonts w:hint="eastAsia" w:ascii="宋体" w:hAnsi="宋体" w:cs="宋体"/>
          <w:color w:val="auto"/>
          <w:spacing w:val="6"/>
          <w:w w:val="98"/>
          <w:sz w:val="22"/>
          <w:szCs w:val="22"/>
          <w:highlight w:val="none"/>
        </w:rPr>
        <w:t>。</w:t>
      </w:r>
    </w:p>
    <w:p w14:paraId="30EA9562">
      <w:pPr>
        <w:kinsoku w:val="0"/>
        <w:autoSpaceDE w:val="0"/>
        <w:autoSpaceDN w:val="0"/>
        <w:adjustRightInd w:val="0"/>
        <w:snapToGrid w:val="0"/>
        <w:spacing w:line="360" w:lineRule="auto"/>
        <w:textAlignment w:val="baseline"/>
        <w:outlineLvl w:val="2"/>
        <w:rPr>
          <w:rFonts w:hint="eastAsia" w:ascii="宋体" w:hAnsi="宋体" w:cs="宋体"/>
          <w:color w:val="auto"/>
          <w:sz w:val="22"/>
          <w:szCs w:val="22"/>
          <w:highlight w:val="none"/>
        </w:rPr>
      </w:pPr>
      <w:r>
        <w:rPr>
          <w:rFonts w:hint="eastAsia" w:ascii="宋体" w:hAnsi="宋体" w:cs="宋体"/>
          <w:b/>
          <w:bCs/>
          <w:color w:val="auto"/>
          <w:spacing w:val="3"/>
          <w:sz w:val="22"/>
          <w:szCs w:val="22"/>
          <w:highlight w:val="none"/>
        </w:rPr>
        <w:t>12.投标报价</w:t>
      </w:r>
    </w:p>
    <w:p w14:paraId="3390DFA1">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6"/>
          <w:sz w:val="22"/>
          <w:szCs w:val="22"/>
          <w:highlight w:val="none"/>
        </w:rPr>
        <w:t>12.1 所有投标均以人民币报价；</w:t>
      </w:r>
    </w:p>
    <w:p w14:paraId="1929CD94">
      <w:pPr>
        <w:kinsoku w:val="0"/>
        <w:autoSpaceDE w:val="0"/>
        <w:autoSpaceDN w:val="0"/>
        <w:adjustRightInd w:val="0"/>
        <w:snapToGrid w:val="0"/>
        <w:spacing w:line="360" w:lineRule="auto"/>
        <w:ind w:firstLine="14"/>
        <w:textAlignment w:val="baseline"/>
        <w:rPr>
          <w:rFonts w:hint="eastAsia" w:ascii="宋体" w:hAnsi="宋体" w:cs="宋体"/>
          <w:color w:val="auto"/>
          <w:sz w:val="22"/>
          <w:szCs w:val="22"/>
          <w:highlight w:val="none"/>
        </w:rPr>
      </w:pPr>
      <w:r>
        <w:rPr>
          <w:rFonts w:hint="eastAsia" w:ascii="宋体" w:hAnsi="宋体" w:cs="宋体"/>
          <w:color w:val="auto"/>
          <w:spacing w:val="9"/>
          <w:sz w:val="22"/>
          <w:szCs w:val="22"/>
          <w:highlight w:val="none"/>
        </w:rPr>
        <w:t>12.2</w:t>
      </w:r>
      <w:r>
        <w:rPr>
          <w:rFonts w:hint="eastAsia" w:ascii="宋体" w:hAnsi="宋体" w:cs="宋体"/>
          <w:color w:val="auto"/>
          <w:spacing w:val="-38"/>
          <w:sz w:val="22"/>
          <w:szCs w:val="22"/>
          <w:highlight w:val="none"/>
        </w:rPr>
        <w:t xml:space="preserve"> </w:t>
      </w:r>
      <w:r>
        <w:rPr>
          <w:rFonts w:hint="eastAsia" w:ascii="宋体" w:hAnsi="宋体" w:cs="宋体"/>
          <w:color w:val="auto"/>
          <w:spacing w:val="9"/>
          <w:sz w:val="22"/>
          <w:szCs w:val="22"/>
          <w:highlight w:val="none"/>
        </w:rPr>
        <w:t>供应商应在填写分项报价表时注明各项单价</w:t>
      </w:r>
      <w:r>
        <w:rPr>
          <w:rFonts w:hint="eastAsia" w:ascii="宋体" w:hAnsi="宋体" w:cs="宋体"/>
          <w:color w:val="auto"/>
          <w:spacing w:val="8"/>
          <w:sz w:val="22"/>
          <w:szCs w:val="22"/>
          <w:highlight w:val="none"/>
        </w:rPr>
        <w:t>、总价。如果单价与总价有出入，以单价为准。招</w:t>
      </w:r>
      <w:r>
        <w:rPr>
          <w:rFonts w:hint="eastAsia" w:ascii="宋体" w:hAnsi="宋体" w:cs="宋体"/>
          <w:color w:val="auto"/>
          <w:spacing w:val="9"/>
          <w:sz w:val="22"/>
          <w:szCs w:val="22"/>
          <w:highlight w:val="none"/>
        </w:rPr>
        <w:t>标机构不接受有任何选择的报价。</w:t>
      </w:r>
    </w:p>
    <w:p w14:paraId="77A92C5E">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7"/>
          <w:sz w:val="22"/>
          <w:szCs w:val="22"/>
          <w:highlight w:val="none"/>
        </w:rPr>
        <w:t>12.3</w:t>
      </w:r>
      <w:r>
        <w:rPr>
          <w:rFonts w:hint="eastAsia" w:ascii="宋体" w:hAnsi="宋体" w:cs="宋体"/>
          <w:color w:val="auto"/>
          <w:spacing w:val="-40"/>
          <w:sz w:val="22"/>
          <w:szCs w:val="22"/>
          <w:highlight w:val="none"/>
        </w:rPr>
        <w:t xml:space="preserve"> </w:t>
      </w:r>
      <w:r>
        <w:rPr>
          <w:rFonts w:hint="eastAsia" w:ascii="宋体" w:hAnsi="宋体" w:cs="宋体"/>
          <w:color w:val="auto"/>
          <w:spacing w:val="7"/>
          <w:sz w:val="22"/>
          <w:szCs w:val="22"/>
          <w:highlight w:val="none"/>
        </w:rPr>
        <w:t>供应商应按上述</w:t>
      </w:r>
      <w:r>
        <w:rPr>
          <w:rFonts w:hint="eastAsia" w:ascii="宋体" w:hAnsi="宋体" w:cs="宋体"/>
          <w:color w:val="auto"/>
          <w:spacing w:val="-21"/>
          <w:sz w:val="22"/>
          <w:szCs w:val="22"/>
          <w:highlight w:val="none"/>
        </w:rPr>
        <w:t xml:space="preserve"> </w:t>
      </w:r>
      <w:r>
        <w:rPr>
          <w:rFonts w:hint="eastAsia" w:ascii="宋体" w:hAnsi="宋体" w:cs="宋体"/>
          <w:color w:val="auto"/>
          <w:spacing w:val="7"/>
          <w:sz w:val="22"/>
          <w:szCs w:val="22"/>
          <w:highlight w:val="none"/>
        </w:rPr>
        <w:t>12.1-12.3</w:t>
      </w:r>
      <w:r>
        <w:rPr>
          <w:rFonts w:hint="eastAsia" w:ascii="宋体" w:hAnsi="宋体" w:cs="宋体"/>
          <w:color w:val="auto"/>
          <w:spacing w:val="-39"/>
          <w:sz w:val="22"/>
          <w:szCs w:val="22"/>
          <w:highlight w:val="none"/>
        </w:rPr>
        <w:t xml:space="preserve"> </w:t>
      </w:r>
      <w:r>
        <w:rPr>
          <w:rFonts w:hint="eastAsia" w:ascii="宋体" w:hAnsi="宋体" w:cs="宋体"/>
          <w:color w:val="auto"/>
          <w:spacing w:val="7"/>
          <w:sz w:val="22"/>
          <w:szCs w:val="22"/>
          <w:highlight w:val="none"/>
        </w:rPr>
        <w:t>条款要求填</w:t>
      </w:r>
      <w:r>
        <w:rPr>
          <w:rFonts w:hint="eastAsia" w:ascii="宋体" w:hAnsi="宋体" w:cs="宋体"/>
          <w:color w:val="auto"/>
          <w:spacing w:val="6"/>
          <w:sz w:val="22"/>
          <w:szCs w:val="22"/>
          <w:highlight w:val="none"/>
        </w:rPr>
        <w:t>写投标报价，以供评标委员会比较评价。</w:t>
      </w:r>
    </w:p>
    <w:p w14:paraId="4110E330">
      <w:pPr>
        <w:kinsoku w:val="0"/>
        <w:autoSpaceDE w:val="0"/>
        <w:autoSpaceDN w:val="0"/>
        <w:adjustRightInd w:val="0"/>
        <w:snapToGrid w:val="0"/>
        <w:spacing w:line="360" w:lineRule="auto"/>
        <w:ind w:firstLine="13"/>
        <w:textAlignment w:val="baseline"/>
        <w:rPr>
          <w:rFonts w:hint="eastAsia" w:ascii="宋体" w:hAnsi="宋体" w:cs="宋体"/>
          <w:color w:val="auto"/>
          <w:sz w:val="22"/>
          <w:szCs w:val="22"/>
          <w:highlight w:val="none"/>
        </w:rPr>
      </w:pPr>
      <w:r>
        <w:rPr>
          <w:rFonts w:hint="eastAsia" w:ascii="宋体" w:hAnsi="宋体" w:cs="宋体"/>
          <w:color w:val="auto"/>
          <w:spacing w:val="6"/>
          <w:sz w:val="22"/>
          <w:szCs w:val="22"/>
          <w:highlight w:val="none"/>
        </w:rPr>
        <w:t>12.4供应商因承包本项目需支付的一切费用如：</w:t>
      </w:r>
      <w:r>
        <w:rPr>
          <w:rFonts w:hint="eastAsia" w:ascii="宋体" w:hAnsi="宋体" w:cs="宋体"/>
          <w:color w:val="auto"/>
          <w:spacing w:val="5"/>
          <w:sz w:val="22"/>
          <w:szCs w:val="22"/>
          <w:highlight w:val="none"/>
        </w:rPr>
        <w:t>制作、拼装、检验、税金、运费、安装费、保险费、</w:t>
      </w:r>
      <w:r>
        <w:rPr>
          <w:rFonts w:hint="eastAsia" w:ascii="宋体" w:hAnsi="宋体" w:cs="宋体"/>
          <w:color w:val="auto"/>
          <w:spacing w:val="9"/>
          <w:sz w:val="22"/>
          <w:szCs w:val="22"/>
          <w:highlight w:val="none"/>
        </w:rPr>
        <w:t>调试验收等费用均由供应商承担，并包含在所报的单价或总额价内。</w:t>
      </w:r>
    </w:p>
    <w:p w14:paraId="33EA8FAA">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b/>
          <w:bCs/>
          <w:color w:val="auto"/>
          <w:spacing w:val="3"/>
          <w:sz w:val="22"/>
          <w:szCs w:val="22"/>
          <w:highlight w:val="none"/>
        </w:rPr>
        <w:t>13.投标保证金</w:t>
      </w:r>
    </w:p>
    <w:p w14:paraId="6DCE8FCE">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6"/>
          <w:sz w:val="22"/>
          <w:szCs w:val="22"/>
          <w:highlight w:val="none"/>
        </w:rPr>
        <w:t>13.1</w:t>
      </w:r>
      <w:r>
        <w:rPr>
          <w:rFonts w:hint="eastAsia" w:ascii="宋体" w:hAnsi="宋体" w:cs="宋体"/>
          <w:color w:val="auto"/>
          <w:spacing w:val="-38"/>
          <w:sz w:val="22"/>
          <w:szCs w:val="22"/>
          <w:highlight w:val="none"/>
        </w:rPr>
        <w:t xml:space="preserve"> </w:t>
      </w:r>
      <w:r>
        <w:rPr>
          <w:rFonts w:hint="eastAsia" w:ascii="宋体" w:hAnsi="宋体" w:cs="宋体"/>
          <w:color w:val="auto"/>
          <w:spacing w:val="6"/>
          <w:sz w:val="22"/>
          <w:szCs w:val="22"/>
          <w:highlight w:val="none"/>
        </w:rPr>
        <w:t>投标保证金的形式：见供应商须知前附</w:t>
      </w:r>
      <w:r>
        <w:rPr>
          <w:rFonts w:hint="eastAsia" w:ascii="宋体" w:hAnsi="宋体" w:cs="宋体"/>
          <w:color w:val="auto"/>
          <w:spacing w:val="5"/>
          <w:sz w:val="22"/>
          <w:szCs w:val="22"/>
          <w:highlight w:val="none"/>
        </w:rPr>
        <w:t>表；</w:t>
      </w:r>
    </w:p>
    <w:p w14:paraId="60329EB0">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6"/>
          <w:sz w:val="22"/>
          <w:szCs w:val="22"/>
          <w:highlight w:val="none"/>
        </w:rPr>
        <w:t>13.2</w:t>
      </w:r>
      <w:r>
        <w:rPr>
          <w:rFonts w:hint="eastAsia" w:ascii="宋体" w:hAnsi="宋体" w:cs="宋体"/>
          <w:color w:val="auto"/>
          <w:spacing w:val="-38"/>
          <w:sz w:val="22"/>
          <w:szCs w:val="22"/>
          <w:highlight w:val="none"/>
        </w:rPr>
        <w:t xml:space="preserve"> </w:t>
      </w:r>
      <w:r>
        <w:rPr>
          <w:rFonts w:hint="eastAsia" w:ascii="宋体" w:hAnsi="宋体" w:cs="宋体"/>
          <w:color w:val="auto"/>
          <w:spacing w:val="6"/>
          <w:sz w:val="22"/>
          <w:szCs w:val="22"/>
          <w:highlight w:val="none"/>
        </w:rPr>
        <w:t>投标保证金的金额：见供应商须知前附</w:t>
      </w:r>
      <w:r>
        <w:rPr>
          <w:rFonts w:hint="eastAsia" w:ascii="宋体" w:hAnsi="宋体" w:cs="宋体"/>
          <w:color w:val="auto"/>
          <w:spacing w:val="5"/>
          <w:sz w:val="22"/>
          <w:szCs w:val="22"/>
          <w:highlight w:val="none"/>
        </w:rPr>
        <w:t>表；</w:t>
      </w:r>
    </w:p>
    <w:p w14:paraId="4016686A">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5"/>
          <w:sz w:val="22"/>
          <w:szCs w:val="22"/>
          <w:highlight w:val="none"/>
        </w:rPr>
        <w:t>13.3</w:t>
      </w:r>
      <w:r>
        <w:rPr>
          <w:rFonts w:hint="eastAsia" w:ascii="宋体" w:hAnsi="宋体" w:cs="宋体"/>
          <w:color w:val="auto"/>
          <w:spacing w:val="-37"/>
          <w:sz w:val="22"/>
          <w:szCs w:val="22"/>
          <w:highlight w:val="none"/>
        </w:rPr>
        <w:t xml:space="preserve"> </w:t>
      </w:r>
      <w:r>
        <w:rPr>
          <w:rFonts w:hint="eastAsia" w:ascii="宋体" w:hAnsi="宋体" w:cs="宋体"/>
          <w:color w:val="auto"/>
          <w:spacing w:val="5"/>
          <w:sz w:val="22"/>
          <w:szCs w:val="22"/>
          <w:highlight w:val="none"/>
        </w:rPr>
        <w:t>递交方式：见供应商须知前附表；</w:t>
      </w:r>
    </w:p>
    <w:p w14:paraId="69E397A7">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8"/>
          <w:sz w:val="22"/>
          <w:szCs w:val="22"/>
          <w:highlight w:val="none"/>
        </w:rPr>
        <w:t>13.4</w:t>
      </w:r>
      <w:r>
        <w:rPr>
          <w:rFonts w:hint="eastAsia" w:ascii="宋体" w:hAnsi="宋体" w:cs="宋体"/>
          <w:color w:val="auto"/>
          <w:spacing w:val="-21"/>
          <w:sz w:val="22"/>
          <w:szCs w:val="22"/>
          <w:highlight w:val="none"/>
        </w:rPr>
        <w:t xml:space="preserve"> </w:t>
      </w:r>
      <w:r>
        <w:rPr>
          <w:rFonts w:hint="eastAsia" w:ascii="宋体" w:hAnsi="宋体" w:cs="宋体"/>
          <w:color w:val="auto"/>
          <w:spacing w:val="8"/>
          <w:sz w:val="22"/>
          <w:szCs w:val="22"/>
          <w:highlight w:val="none"/>
        </w:rPr>
        <w:t>投标保证金用于保护本次招标免受因供应商不履行投标承诺及合同等行为而引起的风险；</w:t>
      </w:r>
    </w:p>
    <w:p w14:paraId="4EB5CAB7">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5"/>
          <w:sz w:val="22"/>
          <w:szCs w:val="22"/>
          <w:highlight w:val="none"/>
        </w:rPr>
        <w:t>13.5</w:t>
      </w:r>
      <w:r>
        <w:rPr>
          <w:rFonts w:hint="eastAsia" w:ascii="宋体" w:hAnsi="宋体" w:cs="宋体"/>
          <w:color w:val="auto"/>
          <w:spacing w:val="-26"/>
          <w:sz w:val="22"/>
          <w:szCs w:val="22"/>
          <w:highlight w:val="none"/>
        </w:rPr>
        <w:t xml:space="preserve"> </w:t>
      </w:r>
      <w:r>
        <w:rPr>
          <w:rFonts w:hint="eastAsia" w:ascii="宋体" w:hAnsi="宋体" w:cs="宋体"/>
          <w:color w:val="auto"/>
          <w:spacing w:val="5"/>
          <w:sz w:val="22"/>
          <w:szCs w:val="22"/>
          <w:highlight w:val="none"/>
        </w:rPr>
        <w:t>未按</w:t>
      </w:r>
      <w:r>
        <w:rPr>
          <w:rFonts w:hint="eastAsia" w:ascii="宋体" w:hAnsi="宋体" w:cs="宋体"/>
          <w:color w:val="auto"/>
          <w:spacing w:val="-22"/>
          <w:sz w:val="22"/>
          <w:szCs w:val="22"/>
          <w:highlight w:val="none"/>
        </w:rPr>
        <w:t xml:space="preserve"> </w:t>
      </w:r>
      <w:r>
        <w:rPr>
          <w:rFonts w:hint="eastAsia" w:ascii="宋体" w:hAnsi="宋体" w:cs="宋体"/>
          <w:color w:val="auto"/>
          <w:spacing w:val="5"/>
          <w:sz w:val="22"/>
          <w:szCs w:val="22"/>
          <w:highlight w:val="none"/>
        </w:rPr>
        <w:t>13.1</w:t>
      </w:r>
      <w:r>
        <w:rPr>
          <w:rFonts w:hint="eastAsia" w:ascii="宋体" w:hAnsi="宋体" w:cs="宋体"/>
          <w:color w:val="auto"/>
          <w:spacing w:val="-39"/>
          <w:sz w:val="22"/>
          <w:szCs w:val="22"/>
          <w:highlight w:val="none"/>
        </w:rPr>
        <w:t xml:space="preserve"> </w:t>
      </w:r>
      <w:r>
        <w:rPr>
          <w:rFonts w:hint="eastAsia" w:ascii="宋体" w:hAnsi="宋体" w:cs="宋体"/>
          <w:color w:val="auto"/>
          <w:spacing w:val="5"/>
          <w:sz w:val="22"/>
          <w:szCs w:val="22"/>
          <w:highlight w:val="none"/>
        </w:rPr>
        <w:t>和</w:t>
      </w:r>
      <w:r>
        <w:rPr>
          <w:rFonts w:hint="eastAsia" w:ascii="宋体" w:hAnsi="宋体" w:cs="宋体"/>
          <w:color w:val="auto"/>
          <w:spacing w:val="-21"/>
          <w:sz w:val="22"/>
          <w:szCs w:val="22"/>
          <w:highlight w:val="none"/>
        </w:rPr>
        <w:t xml:space="preserve"> </w:t>
      </w:r>
      <w:r>
        <w:rPr>
          <w:rFonts w:hint="eastAsia" w:ascii="宋体" w:hAnsi="宋体" w:cs="宋体"/>
          <w:color w:val="auto"/>
          <w:spacing w:val="5"/>
          <w:sz w:val="22"/>
          <w:szCs w:val="22"/>
          <w:highlight w:val="none"/>
        </w:rPr>
        <w:t>13.2</w:t>
      </w:r>
      <w:r>
        <w:rPr>
          <w:rFonts w:hint="eastAsia" w:ascii="宋体" w:hAnsi="宋体" w:cs="宋体"/>
          <w:color w:val="auto"/>
          <w:spacing w:val="-39"/>
          <w:sz w:val="22"/>
          <w:szCs w:val="22"/>
          <w:highlight w:val="none"/>
        </w:rPr>
        <w:t xml:space="preserve"> </w:t>
      </w:r>
      <w:r>
        <w:rPr>
          <w:rFonts w:hint="eastAsia" w:ascii="宋体" w:hAnsi="宋体" w:cs="宋体"/>
          <w:color w:val="auto"/>
          <w:spacing w:val="5"/>
          <w:sz w:val="22"/>
          <w:szCs w:val="22"/>
          <w:highlight w:val="none"/>
        </w:rPr>
        <w:t>条款要求提交投标保证金的投标将被视为投标无效；</w:t>
      </w:r>
    </w:p>
    <w:p w14:paraId="46A76498">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7"/>
          <w:sz w:val="22"/>
          <w:szCs w:val="22"/>
          <w:highlight w:val="none"/>
        </w:rPr>
        <w:t>13.6 发生下列情况之一，投标保证金将被没收：</w:t>
      </w:r>
    </w:p>
    <w:p w14:paraId="643E6FCE">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8"/>
          <w:sz w:val="22"/>
          <w:szCs w:val="22"/>
          <w:highlight w:val="none"/>
        </w:rPr>
        <w:t>（1）开标后在投标有效期间，供应商撤回其投标文件；</w:t>
      </w:r>
    </w:p>
    <w:p w14:paraId="26087D89">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6"/>
          <w:sz w:val="22"/>
          <w:szCs w:val="22"/>
          <w:highlight w:val="none"/>
        </w:rPr>
        <w:t>（2）中标人不按本须知第</w:t>
      </w:r>
      <w:r>
        <w:rPr>
          <w:rFonts w:hint="eastAsia" w:ascii="宋体" w:hAnsi="宋体" w:cs="宋体"/>
          <w:color w:val="auto"/>
          <w:spacing w:val="-23"/>
          <w:sz w:val="22"/>
          <w:szCs w:val="22"/>
          <w:highlight w:val="none"/>
        </w:rPr>
        <w:t xml:space="preserve"> </w:t>
      </w:r>
      <w:r>
        <w:rPr>
          <w:rFonts w:hint="eastAsia" w:ascii="宋体" w:hAnsi="宋体" w:cs="宋体"/>
          <w:color w:val="auto"/>
          <w:spacing w:val="6"/>
          <w:sz w:val="22"/>
          <w:szCs w:val="22"/>
          <w:highlight w:val="none"/>
        </w:rPr>
        <w:t>26</w:t>
      </w:r>
      <w:r>
        <w:rPr>
          <w:rFonts w:hint="eastAsia" w:ascii="宋体" w:hAnsi="宋体" w:cs="宋体"/>
          <w:color w:val="auto"/>
          <w:spacing w:val="-39"/>
          <w:sz w:val="22"/>
          <w:szCs w:val="22"/>
          <w:highlight w:val="none"/>
        </w:rPr>
        <w:t xml:space="preserve"> </w:t>
      </w:r>
      <w:r>
        <w:rPr>
          <w:rFonts w:hint="eastAsia" w:ascii="宋体" w:hAnsi="宋体" w:cs="宋体"/>
          <w:color w:val="auto"/>
          <w:spacing w:val="6"/>
          <w:sz w:val="22"/>
          <w:szCs w:val="22"/>
          <w:highlight w:val="none"/>
        </w:rPr>
        <w:t>条规定签约；</w:t>
      </w:r>
    </w:p>
    <w:p w14:paraId="04794044">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7"/>
          <w:sz w:val="22"/>
          <w:szCs w:val="22"/>
          <w:highlight w:val="none"/>
        </w:rPr>
        <w:t>（3）中标人不按本须知第</w:t>
      </w:r>
      <w:r>
        <w:rPr>
          <w:rFonts w:hint="eastAsia" w:ascii="宋体" w:hAnsi="宋体" w:cs="宋体"/>
          <w:color w:val="auto"/>
          <w:spacing w:val="-30"/>
          <w:sz w:val="22"/>
          <w:szCs w:val="22"/>
          <w:highlight w:val="none"/>
        </w:rPr>
        <w:t xml:space="preserve"> </w:t>
      </w:r>
      <w:r>
        <w:rPr>
          <w:rFonts w:hint="eastAsia" w:ascii="宋体" w:hAnsi="宋体" w:cs="宋体"/>
          <w:color w:val="auto"/>
          <w:spacing w:val="7"/>
          <w:sz w:val="22"/>
          <w:szCs w:val="22"/>
          <w:highlight w:val="none"/>
        </w:rPr>
        <w:t>28</w:t>
      </w:r>
      <w:r>
        <w:rPr>
          <w:rFonts w:hint="eastAsia" w:ascii="宋体" w:hAnsi="宋体" w:cs="宋体"/>
          <w:color w:val="auto"/>
          <w:spacing w:val="-38"/>
          <w:sz w:val="22"/>
          <w:szCs w:val="22"/>
          <w:highlight w:val="none"/>
        </w:rPr>
        <w:t xml:space="preserve"> </w:t>
      </w:r>
      <w:r>
        <w:rPr>
          <w:rFonts w:hint="eastAsia" w:ascii="宋体" w:hAnsi="宋体" w:cs="宋体"/>
          <w:color w:val="auto"/>
          <w:spacing w:val="7"/>
          <w:sz w:val="22"/>
          <w:szCs w:val="22"/>
          <w:highlight w:val="none"/>
        </w:rPr>
        <w:t>条规定缴付中标服务费。</w:t>
      </w:r>
    </w:p>
    <w:p w14:paraId="39BC4B5B">
      <w:pPr>
        <w:kinsoku w:val="0"/>
        <w:autoSpaceDE w:val="0"/>
        <w:autoSpaceDN w:val="0"/>
        <w:adjustRightInd w:val="0"/>
        <w:snapToGrid w:val="0"/>
        <w:spacing w:line="360" w:lineRule="auto"/>
        <w:textAlignment w:val="baseline"/>
        <w:outlineLvl w:val="2"/>
        <w:rPr>
          <w:rFonts w:hint="eastAsia" w:ascii="宋体" w:hAnsi="宋体" w:cs="宋体"/>
          <w:color w:val="auto"/>
          <w:sz w:val="22"/>
          <w:szCs w:val="22"/>
          <w:highlight w:val="none"/>
        </w:rPr>
      </w:pPr>
      <w:r>
        <w:rPr>
          <w:rFonts w:hint="eastAsia" w:ascii="宋体" w:hAnsi="宋体" w:cs="宋体"/>
          <w:b/>
          <w:bCs/>
          <w:color w:val="auto"/>
          <w:spacing w:val="3"/>
          <w:sz w:val="22"/>
          <w:szCs w:val="22"/>
          <w:highlight w:val="none"/>
        </w:rPr>
        <w:t>14.投标有效期</w:t>
      </w:r>
    </w:p>
    <w:p w14:paraId="20A6CB4C">
      <w:pPr>
        <w:kinsoku w:val="0"/>
        <w:autoSpaceDE w:val="0"/>
        <w:autoSpaceDN w:val="0"/>
        <w:adjustRightInd w:val="0"/>
        <w:snapToGrid w:val="0"/>
        <w:spacing w:line="360" w:lineRule="auto"/>
        <w:textAlignment w:val="baseline"/>
        <w:rPr>
          <w:rFonts w:hint="eastAsia" w:ascii="宋体" w:hAnsi="宋体" w:cs="宋体"/>
          <w:color w:val="auto"/>
          <w:spacing w:val="7"/>
          <w:sz w:val="22"/>
          <w:szCs w:val="22"/>
          <w:highlight w:val="none"/>
        </w:rPr>
      </w:pPr>
      <w:r>
        <w:rPr>
          <w:rFonts w:hint="eastAsia" w:ascii="宋体" w:hAnsi="宋体" w:cs="宋体"/>
          <w:color w:val="auto"/>
          <w:spacing w:val="7"/>
          <w:sz w:val="22"/>
          <w:szCs w:val="22"/>
          <w:highlight w:val="none"/>
        </w:rPr>
        <w:t>14.1</w:t>
      </w:r>
      <w:r>
        <w:rPr>
          <w:rFonts w:hint="eastAsia" w:ascii="宋体" w:hAnsi="宋体" w:cs="宋体"/>
          <w:color w:val="auto"/>
          <w:spacing w:val="-21"/>
          <w:sz w:val="22"/>
          <w:szCs w:val="22"/>
          <w:highlight w:val="none"/>
        </w:rPr>
        <w:t xml:space="preserve"> </w:t>
      </w:r>
      <w:r>
        <w:rPr>
          <w:rFonts w:hint="eastAsia" w:ascii="宋体" w:hAnsi="宋体" w:cs="宋体"/>
          <w:color w:val="auto"/>
          <w:spacing w:val="7"/>
          <w:sz w:val="22"/>
          <w:szCs w:val="22"/>
          <w:highlight w:val="none"/>
        </w:rPr>
        <w:t>从开标之日起，投标有效期为</w:t>
      </w:r>
      <w:r>
        <w:rPr>
          <w:rFonts w:hint="eastAsia" w:ascii="宋体" w:hAnsi="宋体" w:cs="宋体"/>
          <w:color w:val="auto"/>
          <w:spacing w:val="-36"/>
          <w:sz w:val="22"/>
          <w:szCs w:val="22"/>
          <w:highlight w:val="none"/>
        </w:rPr>
        <w:t xml:space="preserve"> </w:t>
      </w:r>
      <w:r>
        <w:rPr>
          <w:rFonts w:hint="eastAsia" w:ascii="宋体" w:hAnsi="宋体" w:cs="宋体"/>
          <w:color w:val="auto"/>
          <w:spacing w:val="7"/>
          <w:sz w:val="22"/>
          <w:szCs w:val="22"/>
          <w:highlight w:val="none"/>
        </w:rPr>
        <w:t>90</w:t>
      </w:r>
      <w:r>
        <w:rPr>
          <w:rFonts w:hint="eastAsia" w:ascii="宋体" w:hAnsi="宋体" w:cs="宋体"/>
          <w:color w:val="auto"/>
          <w:spacing w:val="-36"/>
          <w:sz w:val="22"/>
          <w:szCs w:val="22"/>
          <w:highlight w:val="none"/>
        </w:rPr>
        <w:t xml:space="preserve"> </w:t>
      </w:r>
      <w:r>
        <w:rPr>
          <w:rFonts w:hint="eastAsia" w:ascii="宋体" w:hAnsi="宋体" w:cs="宋体"/>
          <w:color w:val="auto"/>
          <w:spacing w:val="7"/>
          <w:sz w:val="22"/>
          <w:szCs w:val="22"/>
          <w:highlight w:val="none"/>
        </w:rPr>
        <w:t>日历天。不能满足投标有效期的投标，将被拒绝；</w:t>
      </w:r>
    </w:p>
    <w:p w14:paraId="660FEA28">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9"/>
          <w:sz w:val="22"/>
          <w:szCs w:val="22"/>
          <w:highlight w:val="none"/>
        </w:rPr>
        <w:t>14.2</w:t>
      </w:r>
      <w:r>
        <w:rPr>
          <w:rFonts w:hint="eastAsia" w:ascii="宋体" w:hAnsi="宋体" w:cs="宋体"/>
          <w:color w:val="auto"/>
          <w:spacing w:val="-41"/>
          <w:sz w:val="22"/>
          <w:szCs w:val="22"/>
          <w:highlight w:val="none"/>
        </w:rPr>
        <w:t xml:space="preserve"> </w:t>
      </w:r>
      <w:r>
        <w:rPr>
          <w:rFonts w:hint="eastAsia" w:ascii="宋体" w:hAnsi="宋体" w:cs="宋体"/>
          <w:color w:val="auto"/>
          <w:spacing w:val="9"/>
          <w:sz w:val="22"/>
          <w:szCs w:val="22"/>
          <w:highlight w:val="none"/>
        </w:rPr>
        <w:t>特殊情况下，招标机构可于投标有效期满之</w:t>
      </w:r>
      <w:r>
        <w:rPr>
          <w:rFonts w:hint="eastAsia" w:ascii="宋体" w:hAnsi="宋体" w:cs="宋体"/>
          <w:color w:val="auto"/>
          <w:spacing w:val="8"/>
          <w:sz w:val="22"/>
          <w:szCs w:val="22"/>
          <w:highlight w:val="none"/>
        </w:rPr>
        <w:t>前要求供应商延长投标有效期，这种要求和答复都</w:t>
      </w:r>
      <w:r>
        <w:rPr>
          <w:rFonts w:hint="eastAsia" w:ascii="宋体" w:hAnsi="宋体" w:cs="宋体"/>
          <w:color w:val="auto"/>
          <w:spacing w:val="10"/>
          <w:sz w:val="22"/>
          <w:szCs w:val="22"/>
          <w:highlight w:val="none"/>
        </w:rPr>
        <w:t>应以书面的形式进行。供应商可以拒绝接受延期要求。同意延长</w:t>
      </w:r>
      <w:r>
        <w:rPr>
          <w:rFonts w:hint="eastAsia" w:ascii="宋体" w:hAnsi="宋体" w:cs="宋体"/>
          <w:color w:val="auto"/>
          <w:spacing w:val="9"/>
          <w:sz w:val="22"/>
          <w:szCs w:val="22"/>
          <w:highlight w:val="none"/>
        </w:rPr>
        <w:t>有效期的供应商不能修改投标</w:t>
      </w:r>
      <w:r>
        <w:rPr>
          <w:rFonts w:hint="eastAsia" w:ascii="宋体" w:hAnsi="宋体" w:cs="宋体"/>
          <w:color w:val="auto"/>
          <w:spacing w:val="3"/>
          <w:sz w:val="22"/>
          <w:szCs w:val="22"/>
          <w:highlight w:val="none"/>
        </w:rPr>
        <w:t>文件。</w:t>
      </w:r>
    </w:p>
    <w:p w14:paraId="18CE9B04">
      <w:pPr>
        <w:kinsoku w:val="0"/>
        <w:autoSpaceDE w:val="0"/>
        <w:autoSpaceDN w:val="0"/>
        <w:adjustRightInd w:val="0"/>
        <w:snapToGrid w:val="0"/>
        <w:spacing w:line="360" w:lineRule="auto"/>
        <w:textAlignment w:val="baseline"/>
        <w:outlineLvl w:val="2"/>
        <w:rPr>
          <w:rFonts w:hint="eastAsia" w:ascii="宋体" w:hAnsi="宋体" w:cs="宋体"/>
          <w:color w:val="auto"/>
          <w:sz w:val="22"/>
          <w:szCs w:val="22"/>
          <w:highlight w:val="none"/>
        </w:rPr>
      </w:pPr>
      <w:r>
        <w:rPr>
          <w:rFonts w:hint="eastAsia" w:ascii="宋体" w:hAnsi="宋体" w:cs="宋体"/>
          <w:b/>
          <w:bCs/>
          <w:color w:val="auto"/>
          <w:spacing w:val="5"/>
          <w:sz w:val="22"/>
          <w:szCs w:val="22"/>
          <w:highlight w:val="none"/>
        </w:rPr>
        <w:t>15.投标文件的签署及规定</w:t>
      </w:r>
    </w:p>
    <w:p w14:paraId="335CF0A8">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7"/>
          <w:sz w:val="22"/>
          <w:szCs w:val="22"/>
          <w:highlight w:val="none"/>
        </w:rPr>
        <w:t>15.1 组成投标文件的各项资料均应遵守本须知第</w:t>
      </w:r>
      <w:r>
        <w:rPr>
          <w:rFonts w:hint="eastAsia" w:ascii="宋体" w:hAnsi="宋体" w:cs="宋体"/>
          <w:color w:val="auto"/>
          <w:spacing w:val="-21"/>
          <w:sz w:val="22"/>
          <w:szCs w:val="22"/>
          <w:highlight w:val="none"/>
        </w:rPr>
        <w:t xml:space="preserve"> </w:t>
      </w:r>
      <w:r>
        <w:rPr>
          <w:rFonts w:hint="eastAsia" w:ascii="宋体" w:hAnsi="宋体" w:cs="宋体"/>
          <w:color w:val="auto"/>
          <w:spacing w:val="7"/>
          <w:sz w:val="22"/>
          <w:szCs w:val="22"/>
          <w:highlight w:val="none"/>
        </w:rPr>
        <w:t>10</w:t>
      </w:r>
      <w:r>
        <w:rPr>
          <w:rFonts w:hint="eastAsia" w:ascii="宋体" w:hAnsi="宋体" w:cs="宋体"/>
          <w:color w:val="auto"/>
          <w:spacing w:val="-39"/>
          <w:sz w:val="22"/>
          <w:szCs w:val="22"/>
          <w:highlight w:val="none"/>
        </w:rPr>
        <w:t xml:space="preserve"> </w:t>
      </w:r>
      <w:r>
        <w:rPr>
          <w:rFonts w:hint="eastAsia" w:ascii="宋体" w:hAnsi="宋体" w:cs="宋体"/>
          <w:color w:val="auto"/>
          <w:spacing w:val="7"/>
          <w:sz w:val="22"/>
          <w:szCs w:val="22"/>
          <w:highlight w:val="none"/>
        </w:rPr>
        <w:t>条中所规定</w:t>
      </w:r>
      <w:r>
        <w:rPr>
          <w:rFonts w:hint="eastAsia" w:ascii="宋体" w:hAnsi="宋体" w:cs="宋体"/>
          <w:color w:val="auto"/>
          <w:spacing w:val="6"/>
          <w:sz w:val="22"/>
          <w:szCs w:val="22"/>
          <w:highlight w:val="none"/>
        </w:rPr>
        <w:t>的内容。</w:t>
      </w:r>
    </w:p>
    <w:p w14:paraId="03459809">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7"/>
          <w:sz w:val="22"/>
          <w:szCs w:val="22"/>
          <w:highlight w:val="none"/>
        </w:rPr>
        <w:t>15.2 供应商应填写单位全称，同时加盖印章。</w:t>
      </w:r>
    </w:p>
    <w:p w14:paraId="35CBBA41">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7"/>
          <w:sz w:val="22"/>
          <w:szCs w:val="22"/>
          <w:highlight w:val="none"/>
        </w:rPr>
        <w:t>15.3 投标文件必须由法人代表或法人授权代表签署。</w:t>
      </w:r>
    </w:p>
    <w:p w14:paraId="0C70BB47">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5"/>
          <w:sz w:val="22"/>
          <w:szCs w:val="22"/>
          <w:highlight w:val="none"/>
        </w:rPr>
        <w:t>15.4 投标文件如果正本与副本不符，以正本为准。</w:t>
      </w:r>
    </w:p>
    <w:p w14:paraId="338E3874">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7"/>
          <w:sz w:val="22"/>
          <w:szCs w:val="22"/>
          <w:highlight w:val="none"/>
        </w:rPr>
        <w:t>15.5 投标文件的正本必须用不褪色的墨水填写。</w:t>
      </w:r>
    </w:p>
    <w:p w14:paraId="7EACFBFC">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8"/>
          <w:sz w:val="22"/>
          <w:szCs w:val="22"/>
          <w:highlight w:val="none"/>
        </w:rPr>
        <w:t>15.6 投标文件不得涂改和增删，如有修改错漏处，必须由同一签署人签字或盖章。</w:t>
      </w:r>
    </w:p>
    <w:p w14:paraId="3E14FF4B">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8"/>
          <w:sz w:val="22"/>
          <w:szCs w:val="22"/>
          <w:highlight w:val="none"/>
        </w:rPr>
        <w:t>15.7 投标文件因字迹潦草或表达不清所引起的后果由供应商负责。</w:t>
      </w:r>
    </w:p>
    <w:p w14:paraId="174ECC12">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7"/>
          <w:sz w:val="22"/>
          <w:szCs w:val="22"/>
          <w:highlight w:val="none"/>
        </w:rPr>
        <w:t>15.8</w:t>
      </w:r>
      <w:r>
        <w:rPr>
          <w:rFonts w:hint="eastAsia" w:ascii="宋体" w:hAnsi="宋体" w:cs="宋体"/>
          <w:color w:val="auto"/>
          <w:spacing w:val="-34"/>
          <w:sz w:val="22"/>
          <w:szCs w:val="22"/>
          <w:highlight w:val="none"/>
        </w:rPr>
        <w:t xml:space="preserve"> </w:t>
      </w:r>
      <w:r>
        <w:rPr>
          <w:rFonts w:hint="eastAsia" w:ascii="宋体" w:hAnsi="宋体" w:cs="宋体"/>
          <w:color w:val="auto"/>
          <w:spacing w:val="7"/>
          <w:sz w:val="22"/>
          <w:szCs w:val="22"/>
          <w:highlight w:val="none"/>
        </w:rPr>
        <w:t>招标机构概不接受以电话、传真形式的投标。</w:t>
      </w:r>
    </w:p>
    <w:p w14:paraId="36F11440">
      <w:pPr>
        <w:kinsoku w:val="0"/>
        <w:autoSpaceDE w:val="0"/>
        <w:autoSpaceDN w:val="0"/>
        <w:adjustRightInd w:val="0"/>
        <w:snapToGrid w:val="0"/>
        <w:spacing w:line="360" w:lineRule="auto"/>
        <w:jc w:val="center"/>
        <w:textAlignment w:val="baseline"/>
        <w:outlineLvl w:val="1"/>
        <w:rPr>
          <w:rFonts w:hint="eastAsia" w:ascii="宋体" w:hAnsi="宋体" w:cs="宋体"/>
          <w:color w:val="auto"/>
          <w:sz w:val="22"/>
          <w:szCs w:val="22"/>
          <w:highlight w:val="none"/>
        </w:rPr>
      </w:pPr>
      <w:r>
        <w:rPr>
          <w:rFonts w:hint="eastAsia" w:ascii="宋体" w:hAnsi="宋体" w:cs="宋体"/>
          <w:b/>
          <w:bCs/>
          <w:color w:val="auto"/>
          <w:spacing w:val="5"/>
          <w:sz w:val="22"/>
          <w:szCs w:val="22"/>
          <w:highlight w:val="none"/>
        </w:rPr>
        <w:t>D</w:t>
      </w:r>
      <w:r>
        <w:rPr>
          <w:rFonts w:hint="eastAsia" w:ascii="宋体" w:hAnsi="宋体" w:cs="宋体"/>
          <w:color w:val="auto"/>
          <w:spacing w:val="-30"/>
          <w:sz w:val="22"/>
          <w:szCs w:val="22"/>
          <w:highlight w:val="none"/>
        </w:rPr>
        <w:t xml:space="preserve"> </w:t>
      </w:r>
      <w:r>
        <w:rPr>
          <w:rFonts w:hint="eastAsia" w:ascii="宋体" w:hAnsi="宋体" w:cs="宋体"/>
          <w:b/>
          <w:bCs/>
          <w:color w:val="auto"/>
          <w:spacing w:val="5"/>
          <w:sz w:val="22"/>
          <w:szCs w:val="22"/>
          <w:highlight w:val="none"/>
        </w:rPr>
        <w:t>投标文件的递交</w:t>
      </w:r>
    </w:p>
    <w:p w14:paraId="6424757E">
      <w:pPr>
        <w:kinsoku w:val="0"/>
        <w:autoSpaceDE w:val="0"/>
        <w:autoSpaceDN w:val="0"/>
        <w:adjustRightInd w:val="0"/>
        <w:snapToGrid w:val="0"/>
        <w:spacing w:line="360" w:lineRule="auto"/>
        <w:textAlignment w:val="baseline"/>
        <w:outlineLvl w:val="2"/>
        <w:rPr>
          <w:rFonts w:hint="eastAsia" w:ascii="宋体" w:hAnsi="宋体" w:cs="宋体"/>
          <w:color w:val="auto"/>
          <w:sz w:val="22"/>
          <w:szCs w:val="22"/>
          <w:highlight w:val="none"/>
        </w:rPr>
      </w:pPr>
      <w:r>
        <w:rPr>
          <w:rFonts w:hint="eastAsia" w:ascii="宋体" w:hAnsi="宋体" w:cs="宋体"/>
          <w:b/>
          <w:bCs/>
          <w:color w:val="auto"/>
          <w:spacing w:val="5"/>
          <w:sz w:val="22"/>
          <w:szCs w:val="22"/>
          <w:highlight w:val="none"/>
        </w:rPr>
        <w:t>16.投标文件的密封和标记（本项目电子开标评标）</w:t>
      </w:r>
    </w:p>
    <w:p w14:paraId="159208EB">
      <w:pPr>
        <w:kinsoku w:val="0"/>
        <w:autoSpaceDE w:val="0"/>
        <w:autoSpaceDN w:val="0"/>
        <w:adjustRightInd w:val="0"/>
        <w:snapToGrid w:val="0"/>
        <w:spacing w:line="360" w:lineRule="auto"/>
        <w:ind w:firstLine="16"/>
        <w:textAlignment w:val="baseline"/>
        <w:rPr>
          <w:rFonts w:hint="eastAsia" w:ascii="宋体" w:hAnsi="宋体" w:cs="宋体"/>
          <w:color w:val="auto"/>
          <w:sz w:val="22"/>
          <w:szCs w:val="22"/>
          <w:highlight w:val="none"/>
        </w:rPr>
      </w:pPr>
      <w:r>
        <w:rPr>
          <w:rFonts w:hint="eastAsia" w:ascii="宋体" w:hAnsi="宋体" w:cs="宋体"/>
          <w:color w:val="auto"/>
          <w:spacing w:val="9"/>
          <w:sz w:val="22"/>
          <w:szCs w:val="22"/>
          <w:highlight w:val="none"/>
        </w:rPr>
        <w:t>16.1</w:t>
      </w:r>
      <w:r>
        <w:rPr>
          <w:rFonts w:hint="eastAsia" w:ascii="宋体" w:hAnsi="宋体" w:cs="宋体"/>
          <w:color w:val="auto"/>
          <w:spacing w:val="-41"/>
          <w:sz w:val="22"/>
          <w:szCs w:val="22"/>
          <w:highlight w:val="none"/>
        </w:rPr>
        <w:t xml:space="preserve"> </w:t>
      </w:r>
      <w:r>
        <w:rPr>
          <w:rFonts w:hint="eastAsia" w:ascii="宋体" w:hAnsi="宋体" w:cs="宋体"/>
          <w:color w:val="auto"/>
          <w:spacing w:val="9"/>
          <w:sz w:val="22"/>
          <w:szCs w:val="22"/>
          <w:highlight w:val="none"/>
        </w:rPr>
        <w:t>供应商应将投标文件正本和副本分别用信封</w:t>
      </w:r>
      <w:r>
        <w:rPr>
          <w:rFonts w:hint="eastAsia" w:ascii="宋体" w:hAnsi="宋体" w:cs="宋体"/>
          <w:color w:val="auto"/>
          <w:spacing w:val="8"/>
          <w:sz w:val="22"/>
          <w:szCs w:val="22"/>
          <w:highlight w:val="none"/>
        </w:rPr>
        <w:t>密封，并标明招标编号、投标项目名称、供应商名</w:t>
      </w:r>
      <w:r>
        <w:rPr>
          <w:rFonts w:hint="eastAsia" w:ascii="宋体" w:hAnsi="宋体" w:cs="宋体"/>
          <w:color w:val="auto"/>
          <w:spacing w:val="9"/>
          <w:sz w:val="22"/>
          <w:szCs w:val="22"/>
          <w:highlight w:val="none"/>
        </w:rPr>
        <w:t>称及正本或副本等。投标文件电子版应单独密封。</w:t>
      </w:r>
    </w:p>
    <w:p w14:paraId="7F362304">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7"/>
          <w:sz w:val="22"/>
          <w:szCs w:val="22"/>
          <w:highlight w:val="none"/>
        </w:rPr>
        <w:t>16.2</w:t>
      </w:r>
      <w:r>
        <w:rPr>
          <w:rFonts w:hint="eastAsia" w:ascii="宋体" w:hAnsi="宋体" w:cs="宋体"/>
          <w:color w:val="auto"/>
          <w:spacing w:val="-25"/>
          <w:sz w:val="22"/>
          <w:szCs w:val="22"/>
          <w:highlight w:val="none"/>
        </w:rPr>
        <w:t xml:space="preserve"> </w:t>
      </w:r>
      <w:r>
        <w:rPr>
          <w:rFonts w:hint="eastAsia" w:ascii="宋体" w:hAnsi="宋体" w:cs="宋体"/>
          <w:color w:val="auto"/>
          <w:spacing w:val="7"/>
          <w:sz w:val="22"/>
          <w:szCs w:val="22"/>
          <w:highlight w:val="none"/>
        </w:rPr>
        <w:t>供应商应将开标一览表单独密封，并在信封上标明“开标一览表</w:t>
      </w:r>
      <w:r>
        <w:rPr>
          <w:rFonts w:hint="eastAsia" w:ascii="宋体" w:hAnsi="宋体" w:cs="宋体"/>
          <w:color w:val="auto"/>
          <w:spacing w:val="-73"/>
          <w:sz w:val="22"/>
          <w:szCs w:val="22"/>
          <w:highlight w:val="none"/>
        </w:rPr>
        <w:t xml:space="preserve"> </w:t>
      </w:r>
      <w:r>
        <w:rPr>
          <w:rFonts w:hint="eastAsia" w:ascii="宋体" w:hAnsi="宋体" w:cs="宋体"/>
          <w:color w:val="auto"/>
          <w:spacing w:val="7"/>
          <w:sz w:val="22"/>
          <w:szCs w:val="22"/>
          <w:highlight w:val="none"/>
        </w:rPr>
        <w:t>”字样。</w:t>
      </w:r>
    </w:p>
    <w:p w14:paraId="12928CB1">
      <w:pPr>
        <w:kinsoku w:val="0"/>
        <w:autoSpaceDE w:val="0"/>
        <w:autoSpaceDN w:val="0"/>
        <w:adjustRightInd w:val="0"/>
        <w:snapToGrid w:val="0"/>
        <w:spacing w:line="360" w:lineRule="auto"/>
        <w:textAlignment w:val="baseline"/>
        <w:rPr>
          <w:rFonts w:hint="eastAsia" w:ascii="宋体" w:hAnsi="宋体" w:cs="宋体"/>
          <w:color w:val="auto"/>
          <w:spacing w:val="4"/>
          <w:sz w:val="22"/>
          <w:szCs w:val="22"/>
          <w:highlight w:val="none"/>
        </w:rPr>
      </w:pPr>
      <w:r>
        <w:rPr>
          <w:rFonts w:hint="eastAsia" w:ascii="宋体" w:hAnsi="宋体" w:cs="宋体"/>
          <w:color w:val="auto"/>
          <w:spacing w:val="5"/>
          <w:sz w:val="22"/>
          <w:szCs w:val="22"/>
          <w:highlight w:val="none"/>
        </w:rPr>
        <w:t>16.3</w:t>
      </w:r>
      <w:r>
        <w:rPr>
          <w:rFonts w:hint="eastAsia" w:ascii="宋体" w:hAnsi="宋体" w:cs="宋体"/>
          <w:color w:val="auto"/>
          <w:spacing w:val="-40"/>
          <w:sz w:val="22"/>
          <w:szCs w:val="22"/>
          <w:highlight w:val="none"/>
        </w:rPr>
        <w:t xml:space="preserve"> </w:t>
      </w:r>
      <w:r>
        <w:rPr>
          <w:rFonts w:hint="eastAsia" w:ascii="宋体" w:hAnsi="宋体" w:cs="宋体"/>
          <w:color w:val="auto"/>
          <w:spacing w:val="5"/>
          <w:sz w:val="22"/>
          <w:szCs w:val="22"/>
          <w:highlight w:val="none"/>
        </w:rPr>
        <w:t>每一密封信封上注明“</w:t>
      </w:r>
      <w:r>
        <w:rPr>
          <w:rFonts w:hint="eastAsia" w:ascii="宋体" w:hAnsi="宋体" w:cs="宋体"/>
          <w:color w:val="auto"/>
          <w:spacing w:val="5"/>
          <w:sz w:val="22"/>
          <w:szCs w:val="22"/>
          <w:highlight w:val="none"/>
          <w:u w:val="single"/>
        </w:rPr>
        <w:t>于   年   月</w:t>
      </w:r>
      <w:r>
        <w:rPr>
          <w:rFonts w:hint="eastAsia" w:ascii="宋体" w:hAnsi="宋体" w:cs="宋体"/>
          <w:color w:val="auto"/>
          <w:spacing w:val="27"/>
          <w:sz w:val="22"/>
          <w:szCs w:val="22"/>
          <w:highlight w:val="none"/>
          <w:u w:val="single"/>
        </w:rPr>
        <w:t xml:space="preserve">  </w:t>
      </w:r>
      <w:r>
        <w:rPr>
          <w:rFonts w:hint="eastAsia" w:ascii="宋体" w:hAnsi="宋体" w:cs="宋体"/>
          <w:color w:val="auto"/>
          <w:spacing w:val="5"/>
          <w:sz w:val="22"/>
          <w:szCs w:val="22"/>
          <w:highlight w:val="none"/>
          <w:u w:val="single"/>
        </w:rPr>
        <w:t>日</w:t>
      </w:r>
      <w:r>
        <w:rPr>
          <w:rFonts w:hint="eastAsia" w:ascii="宋体" w:hAnsi="宋体" w:cs="宋体"/>
          <w:color w:val="auto"/>
          <w:spacing w:val="11"/>
          <w:sz w:val="22"/>
          <w:szCs w:val="22"/>
          <w:highlight w:val="none"/>
          <w:u w:val="single"/>
        </w:rPr>
        <w:t xml:space="preserve">   </w:t>
      </w:r>
      <w:r>
        <w:rPr>
          <w:rFonts w:hint="eastAsia" w:ascii="宋体" w:hAnsi="宋体" w:cs="宋体"/>
          <w:color w:val="auto"/>
          <w:spacing w:val="5"/>
          <w:sz w:val="22"/>
          <w:szCs w:val="22"/>
          <w:highlight w:val="none"/>
          <w:u w:val="single"/>
        </w:rPr>
        <w:t>时之前不准启</w:t>
      </w:r>
      <w:r>
        <w:rPr>
          <w:rFonts w:hint="eastAsia" w:ascii="宋体" w:hAnsi="宋体" w:cs="宋体"/>
          <w:color w:val="auto"/>
          <w:spacing w:val="4"/>
          <w:sz w:val="22"/>
          <w:szCs w:val="22"/>
          <w:highlight w:val="none"/>
          <w:u w:val="single"/>
        </w:rPr>
        <w:t>封</w:t>
      </w:r>
      <w:r>
        <w:rPr>
          <w:rFonts w:hint="eastAsia" w:ascii="宋体" w:hAnsi="宋体" w:cs="宋体"/>
          <w:color w:val="auto"/>
          <w:spacing w:val="-70"/>
          <w:sz w:val="22"/>
          <w:szCs w:val="22"/>
          <w:highlight w:val="none"/>
        </w:rPr>
        <w:t xml:space="preserve"> </w:t>
      </w:r>
      <w:r>
        <w:rPr>
          <w:rFonts w:hint="eastAsia" w:ascii="宋体" w:hAnsi="宋体" w:cs="宋体"/>
          <w:color w:val="auto"/>
          <w:spacing w:val="4"/>
          <w:sz w:val="22"/>
          <w:szCs w:val="22"/>
          <w:highlight w:val="none"/>
        </w:rPr>
        <w:t>”的字样；</w:t>
      </w:r>
    </w:p>
    <w:p w14:paraId="07B2B7A8">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7"/>
          <w:sz w:val="22"/>
          <w:szCs w:val="22"/>
          <w:highlight w:val="none"/>
        </w:rPr>
        <w:t>16.4</w:t>
      </w:r>
      <w:r>
        <w:rPr>
          <w:rFonts w:hint="eastAsia" w:ascii="宋体" w:hAnsi="宋体" w:cs="宋体"/>
          <w:color w:val="auto"/>
          <w:spacing w:val="-37"/>
          <w:sz w:val="22"/>
          <w:szCs w:val="22"/>
          <w:highlight w:val="none"/>
        </w:rPr>
        <w:t xml:space="preserve"> </w:t>
      </w:r>
      <w:r>
        <w:rPr>
          <w:rFonts w:hint="eastAsia" w:ascii="宋体" w:hAnsi="宋体" w:cs="宋体"/>
          <w:color w:val="auto"/>
          <w:spacing w:val="7"/>
          <w:sz w:val="22"/>
          <w:szCs w:val="22"/>
          <w:highlight w:val="none"/>
        </w:rPr>
        <w:t>如投标文件由专人送交，供应商应将投标文件按</w:t>
      </w:r>
      <w:r>
        <w:rPr>
          <w:rFonts w:hint="eastAsia" w:ascii="宋体" w:hAnsi="宋体" w:cs="宋体"/>
          <w:color w:val="auto"/>
          <w:spacing w:val="-21"/>
          <w:sz w:val="22"/>
          <w:szCs w:val="22"/>
          <w:highlight w:val="none"/>
        </w:rPr>
        <w:t xml:space="preserve"> </w:t>
      </w:r>
      <w:r>
        <w:rPr>
          <w:rFonts w:hint="eastAsia" w:ascii="宋体" w:hAnsi="宋体" w:cs="宋体"/>
          <w:color w:val="auto"/>
          <w:spacing w:val="7"/>
          <w:sz w:val="22"/>
          <w:szCs w:val="22"/>
          <w:highlight w:val="none"/>
        </w:rPr>
        <w:t>16</w:t>
      </w:r>
      <w:r>
        <w:rPr>
          <w:rFonts w:hint="eastAsia" w:ascii="宋体" w:hAnsi="宋体" w:cs="宋体"/>
          <w:color w:val="auto"/>
          <w:spacing w:val="6"/>
          <w:sz w:val="22"/>
          <w:szCs w:val="22"/>
          <w:highlight w:val="none"/>
        </w:rPr>
        <w:t>.1-16.3</w:t>
      </w:r>
      <w:r>
        <w:rPr>
          <w:rFonts w:hint="eastAsia" w:ascii="宋体" w:hAnsi="宋体" w:cs="宋体"/>
          <w:color w:val="auto"/>
          <w:spacing w:val="-21"/>
          <w:sz w:val="22"/>
          <w:szCs w:val="22"/>
          <w:highlight w:val="none"/>
        </w:rPr>
        <w:t xml:space="preserve"> </w:t>
      </w:r>
      <w:r>
        <w:rPr>
          <w:rFonts w:hint="eastAsia" w:ascii="宋体" w:hAnsi="宋体" w:cs="宋体"/>
          <w:color w:val="auto"/>
          <w:spacing w:val="6"/>
          <w:sz w:val="22"/>
          <w:szCs w:val="22"/>
          <w:highlight w:val="none"/>
        </w:rPr>
        <w:t>中的规定进行密封和标记后，按投</w:t>
      </w:r>
      <w:r>
        <w:rPr>
          <w:rFonts w:hint="eastAsia" w:ascii="宋体" w:hAnsi="宋体" w:cs="宋体"/>
          <w:color w:val="auto"/>
          <w:spacing w:val="8"/>
          <w:sz w:val="22"/>
          <w:szCs w:val="22"/>
          <w:highlight w:val="none"/>
        </w:rPr>
        <w:t>标邀请注明的投标地址送至采购代理机构；</w:t>
      </w:r>
    </w:p>
    <w:p w14:paraId="54884217">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8"/>
          <w:sz w:val="22"/>
          <w:szCs w:val="22"/>
          <w:highlight w:val="none"/>
        </w:rPr>
        <w:t>16.5</w:t>
      </w:r>
      <w:r>
        <w:rPr>
          <w:rFonts w:hint="eastAsia" w:ascii="宋体" w:hAnsi="宋体" w:cs="宋体"/>
          <w:color w:val="auto"/>
          <w:spacing w:val="-37"/>
          <w:sz w:val="22"/>
          <w:szCs w:val="22"/>
          <w:highlight w:val="none"/>
        </w:rPr>
        <w:t xml:space="preserve"> </w:t>
      </w:r>
      <w:r>
        <w:rPr>
          <w:rFonts w:hint="eastAsia" w:ascii="宋体" w:hAnsi="宋体" w:cs="宋体"/>
          <w:color w:val="auto"/>
          <w:spacing w:val="8"/>
          <w:sz w:val="22"/>
          <w:szCs w:val="22"/>
          <w:highlight w:val="none"/>
        </w:rPr>
        <w:t>如果投标文件通过邮寄递交,供应商应将投标文件用内外两层信封密封</w:t>
      </w:r>
      <w:r>
        <w:rPr>
          <w:rFonts w:hint="eastAsia" w:ascii="宋体" w:hAnsi="宋体" w:cs="宋体"/>
          <w:color w:val="auto"/>
          <w:spacing w:val="-47"/>
          <w:sz w:val="22"/>
          <w:szCs w:val="22"/>
          <w:highlight w:val="none"/>
        </w:rPr>
        <w:t xml:space="preserve"> </w:t>
      </w:r>
    </w:p>
    <w:p w14:paraId="53BF52DE">
      <w:pPr>
        <w:kinsoku w:val="0"/>
        <w:autoSpaceDE w:val="0"/>
        <w:autoSpaceDN w:val="0"/>
        <w:adjustRightInd w:val="0"/>
        <w:snapToGrid w:val="0"/>
        <w:spacing w:line="360" w:lineRule="auto"/>
        <w:textAlignment w:val="baseline"/>
        <w:rPr>
          <w:rFonts w:hint="eastAsia" w:ascii="宋体" w:hAnsi="宋体" w:cs="宋体"/>
          <w:color w:val="auto"/>
          <w:spacing w:val="3"/>
          <w:sz w:val="22"/>
          <w:szCs w:val="22"/>
          <w:highlight w:val="none"/>
        </w:rPr>
      </w:pPr>
      <w:r>
        <w:rPr>
          <w:rFonts w:hint="eastAsia" w:ascii="宋体" w:hAnsi="宋体" w:cs="宋体"/>
          <w:color w:val="auto"/>
          <w:spacing w:val="3"/>
          <w:sz w:val="22"/>
          <w:szCs w:val="22"/>
          <w:highlight w:val="none"/>
        </w:rPr>
        <w:t>1)</w:t>
      </w:r>
      <w:r>
        <w:rPr>
          <w:rFonts w:hint="eastAsia" w:ascii="宋体" w:hAnsi="宋体" w:cs="宋体"/>
          <w:color w:val="auto"/>
          <w:spacing w:val="55"/>
          <w:sz w:val="22"/>
          <w:szCs w:val="22"/>
          <w:highlight w:val="none"/>
        </w:rPr>
        <w:t xml:space="preserve"> </w:t>
      </w:r>
      <w:r>
        <w:rPr>
          <w:rFonts w:hint="eastAsia" w:ascii="宋体" w:hAnsi="宋体" w:cs="宋体"/>
          <w:color w:val="auto"/>
          <w:spacing w:val="3"/>
          <w:sz w:val="22"/>
          <w:szCs w:val="22"/>
          <w:highlight w:val="none"/>
        </w:rPr>
        <w:t>内层信封的封装与标记同</w:t>
      </w:r>
      <w:r>
        <w:rPr>
          <w:rFonts w:hint="eastAsia" w:ascii="宋体" w:hAnsi="宋体" w:cs="宋体"/>
          <w:color w:val="auto"/>
          <w:spacing w:val="-23"/>
          <w:sz w:val="22"/>
          <w:szCs w:val="22"/>
          <w:highlight w:val="none"/>
        </w:rPr>
        <w:t xml:space="preserve"> </w:t>
      </w:r>
      <w:r>
        <w:rPr>
          <w:rFonts w:hint="eastAsia" w:ascii="宋体" w:hAnsi="宋体" w:cs="宋体"/>
          <w:color w:val="auto"/>
          <w:spacing w:val="3"/>
          <w:sz w:val="22"/>
          <w:szCs w:val="22"/>
          <w:highlight w:val="none"/>
        </w:rPr>
        <w:t>16.1-16.3</w:t>
      </w:r>
      <w:r>
        <w:rPr>
          <w:rFonts w:hint="eastAsia" w:ascii="宋体" w:hAnsi="宋体" w:cs="宋体"/>
          <w:color w:val="auto"/>
          <w:spacing w:val="-40"/>
          <w:sz w:val="22"/>
          <w:szCs w:val="22"/>
          <w:highlight w:val="none"/>
        </w:rPr>
        <w:t xml:space="preserve"> </w:t>
      </w:r>
      <w:r>
        <w:rPr>
          <w:rFonts w:hint="eastAsia" w:ascii="宋体" w:hAnsi="宋体" w:cs="宋体"/>
          <w:color w:val="auto"/>
          <w:spacing w:val="3"/>
          <w:sz w:val="22"/>
          <w:szCs w:val="22"/>
          <w:highlight w:val="none"/>
        </w:rPr>
        <w:t>规定；</w:t>
      </w:r>
    </w:p>
    <w:p w14:paraId="220DFEDC">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9"/>
          <w:sz w:val="22"/>
          <w:szCs w:val="22"/>
          <w:highlight w:val="none"/>
        </w:rPr>
        <w:t>2) 外层信封装入</w:t>
      </w:r>
      <w:r>
        <w:rPr>
          <w:rFonts w:hint="eastAsia" w:ascii="宋体" w:hAnsi="宋体" w:cs="宋体"/>
          <w:color w:val="auto"/>
          <w:spacing w:val="-21"/>
          <w:sz w:val="22"/>
          <w:szCs w:val="22"/>
          <w:highlight w:val="none"/>
        </w:rPr>
        <w:t xml:space="preserve"> </w:t>
      </w:r>
      <w:r>
        <w:rPr>
          <w:rFonts w:hint="eastAsia" w:ascii="宋体" w:hAnsi="宋体" w:cs="宋体"/>
          <w:color w:val="auto"/>
          <w:spacing w:val="9"/>
          <w:sz w:val="22"/>
          <w:szCs w:val="22"/>
          <w:highlight w:val="none"/>
        </w:rPr>
        <w:t>16.1</w:t>
      </w:r>
      <w:r>
        <w:rPr>
          <w:rFonts w:hint="eastAsia" w:ascii="宋体" w:hAnsi="宋体" w:cs="宋体"/>
          <w:color w:val="auto"/>
          <w:spacing w:val="-39"/>
          <w:sz w:val="22"/>
          <w:szCs w:val="22"/>
          <w:highlight w:val="none"/>
        </w:rPr>
        <w:t xml:space="preserve"> </w:t>
      </w:r>
      <w:r>
        <w:rPr>
          <w:rFonts w:hint="eastAsia" w:ascii="宋体" w:hAnsi="宋体" w:cs="宋体"/>
          <w:color w:val="auto"/>
          <w:spacing w:val="9"/>
          <w:sz w:val="22"/>
          <w:szCs w:val="22"/>
          <w:highlight w:val="none"/>
        </w:rPr>
        <w:t>及</w:t>
      </w:r>
      <w:r>
        <w:rPr>
          <w:rFonts w:hint="eastAsia" w:ascii="宋体" w:hAnsi="宋体" w:cs="宋体"/>
          <w:color w:val="auto"/>
          <w:spacing w:val="-19"/>
          <w:sz w:val="22"/>
          <w:szCs w:val="22"/>
          <w:highlight w:val="none"/>
        </w:rPr>
        <w:t xml:space="preserve"> </w:t>
      </w:r>
      <w:r>
        <w:rPr>
          <w:rFonts w:hint="eastAsia" w:ascii="宋体" w:hAnsi="宋体" w:cs="宋体"/>
          <w:color w:val="auto"/>
          <w:spacing w:val="9"/>
          <w:sz w:val="22"/>
          <w:szCs w:val="22"/>
          <w:highlight w:val="none"/>
        </w:rPr>
        <w:t>16.2</w:t>
      </w:r>
      <w:r>
        <w:rPr>
          <w:rFonts w:hint="eastAsia" w:ascii="宋体" w:hAnsi="宋体" w:cs="宋体"/>
          <w:color w:val="auto"/>
          <w:spacing w:val="-35"/>
          <w:sz w:val="22"/>
          <w:szCs w:val="22"/>
          <w:highlight w:val="none"/>
        </w:rPr>
        <w:t xml:space="preserve"> </w:t>
      </w:r>
      <w:r>
        <w:rPr>
          <w:rFonts w:hint="eastAsia" w:ascii="宋体" w:hAnsi="宋体" w:cs="宋体"/>
          <w:color w:val="auto"/>
          <w:spacing w:val="9"/>
          <w:sz w:val="22"/>
          <w:szCs w:val="22"/>
          <w:highlight w:val="none"/>
        </w:rPr>
        <w:t>所述全部内封资料,并注明招标编号、投标项目名称、招</w:t>
      </w:r>
      <w:r>
        <w:rPr>
          <w:rFonts w:hint="eastAsia" w:ascii="宋体" w:hAnsi="宋体" w:cs="宋体"/>
          <w:color w:val="auto"/>
          <w:spacing w:val="8"/>
          <w:sz w:val="22"/>
          <w:szCs w:val="22"/>
          <w:highlight w:val="none"/>
        </w:rPr>
        <w:t>标机构名称、地址。同时应写明供应商的名称、地址，</w:t>
      </w:r>
      <w:r>
        <w:rPr>
          <w:rFonts w:hint="eastAsia" w:ascii="宋体" w:hAnsi="宋体" w:cs="宋体"/>
          <w:color w:val="auto"/>
          <w:spacing w:val="-51"/>
          <w:sz w:val="22"/>
          <w:szCs w:val="22"/>
          <w:highlight w:val="none"/>
        </w:rPr>
        <w:t xml:space="preserve"> </w:t>
      </w:r>
      <w:r>
        <w:rPr>
          <w:rFonts w:hint="eastAsia" w:ascii="宋体" w:hAnsi="宋体" w:cs="宋体"/>
          <w:color w:val="auto"/>
          <w:spacing w:val="8"/>
          <w:sz w:val="22"/>
          <w:szCs w:val="22"/>
          <w:highlight w:val="none"/>
        </w:rPr>
        <w:t>以便将迟交的投标文件原封退还。</w:t>
      </w:r>
    </w:p>
    <w:p w14:paraId="65959C9A">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8"/>
          <w:sz w:val="22"/>
          <w:szCs w:val="22"/>
          <w:highlight w:val="none"/>
        </w:rPr>
        <w:t>16.6</w:t>
      </w:r>
      <w:r>
        <w:rPr>
          <w:rFonts w:hint="eastAsia" w:ascii="宋体" w:hAnsi="宋体" w:cs="宋体"/>
          <w:color w:val="auto"/>
          <w:spacing w:val="-40"/>
          <w:sz w:val="22"/>
          <w:szCs w:val="22"/>
          <w:highlight w:val="none"/>
        </w:rPr>
        <w:t xml:space="preserve"> </w:t>
      </w:r>
      <w:r>
        <w:rPr>
          <w:rFonts w:hint="eastAsia" w:ascii="宋体" w:hAnsi="宋体" w:cs="宋体"/>
          <w:color w:val="auto"/>
          <w:spacing w:val="8"/>
          <w:sz w:val="22"/>
          <w:szCs w:val="22"/>
          <w:highlight w:val="none"/>
        </w:rPr>
        <w:t>招标机构对投标文件的误投或未投标前提前拆</w:t>
      </w:r>
      <w:r>
        <w:rPr>
          <w:rFonts w:hint="eastAsia" w:ascii="宋体" w:hAnsi="宋体" w:cs="宋体"/>
          <w:color w:val="auto"/>
          <w:spacing w:val="7"/>
          <w:sz w:val="22"/>
          <w:szCs w:val="22"/>
          <w:highlight w:val="none"/>
        </w:rPr>
        <w:t>封概不负责。</w:t>
      </w:r>
    </w:p>
    <w:p w14:paraId="3C13E0FB">
      <w:pPr>
        <w:kinsoku w:val="0"/>
        <w:autoSpaceDE w:val="0"/>
        <w:autoSpaceDN w:val="0"/>
        <w:adjustRightInd w:val="0"/>
        <w:snapToGrid w:val="0"/>
        <w:spacing w:line="360" w:lineRule="auto"/>
        <w:textAlignment w:val="baseline"/>
        <w:outlineLvl w:val="2"/>
        <w:rPr>
          <w:rFonts w:hint="eastAsia" w:ascii="宋体" w:hAnsi="宋体" w:cs="宋体"/>
          <w:b/>
          <w:bCs/>
          <w:color w:val="auto"/>
          <w:spacing w:val="5"/>
          <w:sz w:val="22"/>
          <w:szCs w:val="22"/>
          <w:highlight w:val="none"/>
        </w:rPr>
      </w:pPr>
      <w:r>
        <w:rPr>
          <w:rFonts w:hint="eastAsia" w:ascii="宋体" w:hAnsi="宋体" w:cs="宋体"/>
          <w:b/>
          <w:bCs/>
          <w:color w:val="auto"/>
          <w:spacing w:val="5"/>
          <w:sz w:val="22"/>
          <w:szCs w:val="22"/>
          <w:highlight w:val="none"/>
        </w:rPr>
        <w:t>17.递交投标文件的截止时间</w:t>
      </w:r>
      <w:r>
        <w:rPr>
          <w:rFonts w:hint="eastAsia" w:ascii="宋体" w:hAnsi="宋体" w:cs="宋体"/>
          <w:b/>
          <w:bCs/>
          <w:color w:val="auto"/>
          <w:spacing w:val="8"/>
          <w:sz w:val="22"/>
          <w:szCs w:val="22"/>
          <w:highlight w:val="none"/>
        </w:rPr>
        <w:t>（</w:t>
      </w:r>
      <w:r>
        <w:rPr>
          <w:rFonts w:hint="eastAsia" w:ascii="宋体" w:hAnsi="宋体" w:cs="宋体"/>
          <w:b/>
          <w:bCs/>
          <w:color w:val="auto"/>
          <w:spacing w:val="5"/>
          <w:sz w:val="22"/>
          <w:szCs w:val="22"/>
          <w:highlight w:val="none"/>
        </w:rPr>
        <w:t>本项目电子开标评标</w:t>
      </w:r>
      <w:r>
        <w:rPr>
          <w:rFonts w:hint="eastAsia" w:ascii="宋体" w:hAnsi="宋体" w:cs="宋体"/>
          <w:b/>
          <w:bCs/>
          <w:color w:val="auto"/>
          <w:spacing w:val="7"/>
          <w:sz w:val="22"/>
          <w:szCs w:val="22"/>
          <w:highlight w:val="none"/>
        </w:rPr>
        <w:t>）</w:t>
      </w:r>
    </w:p>
    <w:p w14:paraId="540FA40A">
      <w:pPr>
        <w:kinsoku w:val="0"/>
        <w:autoSpaceDE w:val="0"/>
        <w:autoSpaceDN w:val="0"/>
        <w:adjustRightInd w:val="0"/>
        <w:snapToGrid w:val="0"/>
        <w:spacing w:line="360" w:lineRule="auto"/>
        <w:textAlignment w:val="baseline"/>
        <w:outlineLvl w:val="2"/>
        <w:rPr>
          <w:rFonts w:hint="eastAsia" w:ascii="宋体" w:hAnsi="宋体" w:cs="宋体"/>
          <w:color w:val="auto"/>
          <w:sz w:val="22"/>
          <w:szCs w:val="22"/>
          <w:highlight w:val="none"/>
        </w:rPr>
      </w:pPr>
      <w:r>
        <w:rPr>
          <w:rFonts w:hint="eastAsia" w:ascii="宋体" w:hAnsi="宋体" w:cs="宋体"/>
          <w:color w:val="auto"/>
          <w:spacing w:val="9"/>
          <w:sz w:val="22"/>
          <w:szCs w:val="22"/>
          <w:highlight w:val="none"/>
        </w:rPr>
        <w:t>17.1</w:t>
      </w:r>
      <w:r>
        <w:rPr>
          <w:rFonts w:hint="eastAsia" w:ascii="宋体" w:hAnsi="宋体" w:cs="宋体"/>
          <w:color w:val="auto"/>
          <w:spacing w:val="-40"/>
          <w:sz w:val="22"/>
          <w:szCs w:val="22"/>
          <w:highlight w:val="none"/>
        </w:rPr>
        <w:t xml:space="preserve"> </w:t>
      </w:r>
      <w:r>
        <w:rPr>
          <w:rFonts w:hint="eastAsia" w:ascii="宋体" w:hAnsi="宋体" w:cs="宋体"/>
          <w:color w:val="auto"/>
          <w:spacing w:val="9"/>
          <w:sz w:val="22"/>
          <w:szCs w:val="22"/>
          <w:highlight w:val="none"/>
        </w:rPr>
        <w:t>所有投标文件不论是通过专人或邮寄递交</w:t>
      </w:r>
      <w:r>
        <w:rPr>
          <w:rFonts w:hint="eastAsia" w:ascii="宋体" w:hAnsi="宋体" w:cs="宋体"/>
          <w:color w:val="auto"/>
          <w:spacing w:val="8"/>
          <w:sz w:val="22"/>
          <w:szCs w:val="22"/>
          <w:highlight w:val="none"/>
        </w:rPr>
        <w:t>，都必须按照招标机构在招标公告中规定的投标截止</w:t>
      </w:r>
      <w:r>
        <w:rPr>
          <w:rFonts w:hint="eastAsia" w:ascii="宋体" w:hAnsi="宋体" w:cs="宋体"/>
          <w:color w:val="auto"/>
          <w:spacing w:val="7"/>
          <w:sz w:val="22"/>
          <w:szCs w:val="22"/>
          <w:highlight w:val="none"/>
        </w:rPr>
        <w:t>时间之前送至投标地点。</w:t>
      </w:r>
    </w:p>
    <w:p w14:paraId="3B9AE643">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8"/>
          <w:sz w:val="22"/>
          <w:szCs w:val="22"/>
          <w:highlight w:val="none"/>
        </w:rPr>
        <w:t>17.2 招标机构推迟投标截止时间时，应</w:t>
      </w:r>
      <w:r>
        <w:rPr>
          <w:rFonts w:hint="eastAsia" w:ascii="宋体" w:hAnsi="宋体" w:cs="宋体"/>
          <w:color w:val="auto"/>
          <w:spacing w:val="7"/>
          <w:sz w:val="22"/>
          <w:szCs w:val="22"/>
          <w:highlight w:val="none"/>
        </w:rPr>
        <w:t>以书面的形式，通知所有供应商。在这种情况下，招标机构</w:t>
      </w:r>
      <w:r>
        <w:rPr>
          <w:rFonts w:hint="eastAsia" w:ascii="宋体" w:hAnsi="宋体" w:cs="宋体"/>
          <w:color w:val="auto"/>
          <w:spacing w:val="9"/>
          <w:sz w:val="22"/>
          <w:szCs w:val="22"/>
          <w:highlight w:val="none"/>
        </w:rPr>
        <w:t>和供应商的权利和义务将受到新的截止期的约束。</w:t>
      </w:r>
    </w:p>
    <w:p w14:paraId="4561B20E">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8"/>
          <w:sz w:val="22"/>
          <w:szCs w:val="22"/>
          <w:highlight w:val="none"/>
        </w:rPr>
        <w:t>17.3 招标机构对投标文件在邮寄过程中的遗失或损坏不负责任。</w:t>
      </w:r>
    </w:p>
    <w:p w14:paraId="7B31BB88">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8"/>
          <w:sz w:val="22"/>
          <w:szCs w:val="22"/>
          <w:highlight w:val="none"/>
        </w:rPr>
        <w:t>17.4 在投标截止时间以后送达的投标文件，招标机构拒绝接收。</w:t>
      </w:r>
    </w:p>
    <w:p w14:paraId="6BDE3A07">
      <w:pPr>
        <w:kinsoku w:val="0"/>
        <w:autoSpaceDE w:val="0"/>
        <w:autoSpaceDN w:val="0"/>
        <w:adjustRightInd w:val="0"/>
        <w:snapToGrid w:val="0"/>
        <w:spacing w:line="360" w:lineRule="auto"/>
        <w:textAlignment w:val="baseline"/>
        <w:rPr>
          <w:rFonts w:hint="eastAsia" w:ascii="宋体" w:hAnsi="宋体" w:cs="宋体"/>
          <w:b/>
          <w:bCs/>
          <w:color w:val="auto"/>
          <w:spacing w:val="5"/>
          <w:sz w:val="22"/>
          <w:szCs w:val="22"/>
          <w:highlight w:val="none"/>
        </w:rPr>
      </w:pPr>
      <w:r>
        <w:rPr>
          <w:rFonts w:hint="eastAsia" w:ascii="宋体" w:hAnsi="宋体" w:cs="宋体"/>
          <w:b/>
          <w:bCs/>
          <w:color w:val="auto"/>
          <w:spacing w:val="5"/>
          <w:sz w:val="22"/>
          <w:szCs w:val="22"/>
          <w:highlight w:val="none"/>
        </w:rPr>
        <w:t>18.投标文件修改和撤消</w:t>
      </w:r>
      <w:r>
        <w:rPr>
          <w:rFonts w:hint="eastAsia" w:ascii="宋体" w:hAnsi="宋体" w:cs="宋体"/>
          <w:b/>
          <w:bCs/>
          <w:color w:val="auto"/>
          <w:spacing w:val="8"/>
          <w:sz w:val="22"/>
          <w:szCs w:val="22"/>
          <w:highlight w:val="none"/>
        </w:rPr>
        <w:t>（</w:t>
      </w:r>
      <w:r>
        <w:rPr>
          <w:rFonts w:hint="eastAsia" w:ascii="宋体" w:hAnsi="宋体" w:cs="宋体"/>
          <w:b/>
          <w:bCs/>
          <w:color w:val="auto"/>
          <w:spacing w:val="5"/>
          <w:sz w:val="22"/>
          <w:szCs w:val="22"/>
          <w:highlight w:val="none"/>
        </w:rPr>
        <w:t>本项目电子开标评标</w:t>
      </w:r>
      <w:r>
        <w:rPr>
          <w:rFonts w:hint="eastAsia" w:ascii="宋体" w:hAnsi="宋体" w:cs="宋体"/>
          <w:b/>
          <w:bCs/>
          <w:color w:val="auto"/>
          <w:spacing w:val="7"/>
          <w:sz w:val="22"/>
          <w:szCs w:val="22"/>
          <w:highlight w:val="none"/>
        </w:rPr>
        <w:t>）</w:t>
      </w:r>
    </w:p>
    <w:p w14:paraId="483ECC4E">
      <w:pPr>
        <w:kinsoku w:val="0"/>
        <w:autoSpaceDE w:val="0"/>
        <w:autoSpaceDN w:val="0"/>
        <w:adjustRightInd w:val="0"/>
        <w:snapToGrid w:val="0"/>
        <w:spacing w:line="360" w:lineRule="auto"/>
        <w:textAlignment w:val="baseline"/>
        <w:rPr>
          <w:rFonts w:hint="eastAsia" w:ascii="宋体" w:hAnsi="宋体" w:cs="宋体"/>
          <w:color w:val="auto"/>
          <w:spacing w:val="8"/>
          <w:sz w:val="22"/>
          <w:szCs w:val="22"/>
          <w:highlight w:val="none"/>
        </w:rPr>
      </w:pPr>
      <w:r>
        <w:rPr>
          <w:rFonts w:hint="eastAsia" w:ascii="宋体" w:hAnsi="宋体" w:cs="宋体"/>
          <w:color w:val="auto"/>
          <w:spacing w:val="8"/>
          <w:sz w:val="22"/>
          <w:szCs w:val="22"/>
          <w:highlight w:val="none"/>
        </w:rPr>
        <w:t>18.1 投标以后，如果供应商提出书面修改和撤</w:t>
      </w:r>
      <w:r>
        <w:rPr>
          <w:rFonts w:hint="eastAsia" w:ascii="宋体" w:hAnsi="宋体" w:cs="宋体"/>
          <w:color w:val="auto"/>
          <w:spacing w:val="7"/>
          <w:sz w:val="22"/>
          <w:szCs w:val="22"/>
          <w:highlight w:val="none"/>
        </w:rPr>
        <w:t>标要求，在投标截止时间前送达采购代理机构者，采购代理机</w:t>
      </w:r>
      <w:r>
        <w:rPr>
          <w:rFonts w:hint="eastAsia" w:ascii="宋体" w:hAnsi="宋体" w:cs="宋体"/>
          <w:color w:val="auto"/>
          <w:spacing w:val="8"/>
          <w:sz w:val="22"/>
          <w:szCs w:val="22"/>
          <w:highlight w:val="none"/>
        </w:rPr>
        <w:t>构可以予以接受。但不退还投标文件。</w:t>
      </w:r>
    </w:p>
    <w:p w14:paraId="1A1457C3">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8"/>
          <w:sz w:val="22"/>
          <w:szCs w:val="22"/>
          <w:highlight w:val="none"/>
        </w:rPr>
        <w:t>18.2 供应商修改投标文件的书面材料，</w:t>
      </w:r>
      <w:r>
        <w:rPr>
          <w:rFonts w:hint="eastAsia" w:ascii="宋体" w:hAnsi="宋体" w:cs="宋体"/>
          <w:color w:val="auto"/>
          <w:spacing w:val="7"/>
          <w:sz w:val="22"/>
          <w:szCs w:val="22"/>
          <w:highlight w:val="none"/>
        </w:rPr>
        <w:t>须密封送达采购代理机构，同时应在封套上标明“修改投标文件</w:t>
      </w:r>
      <w:r>
        <w:rPr>
          <w:rFonts w:hint="eastAsia" w:ascii="宋体" w:hAnsi="宋体" w:cs="宋体"/>
          <w:color w:val="auto"/>
          <w:sz w:val="22"/>
          <w:szCs w:val="22"/>
          <w:highlight w:val="none"/>
        </w:rPr>
        <w:t xml:space="preserve"> </w:t>
      </w:r>
      <w:r>
        <w:rPr>
          <w:rFonts w:hint="eastAsia" w:ascii="宋体" w:hAnsi="宋体" w:cs="宋体"/>
          <w:color w:val="auto"/>
          <w:spacing w:val="3"/>
          <w:sz w:val="22"/>
          <w:szCs w:val="22"/>
          <w:highlight w:val="none"/>
        </w:rPr>
        <w:t>(并注明项目编号)</w:t>
      </w:r>
      <w:r>
        <w:rPr>
          <w:rFonts w:hint="eastAsia" w:ascii="宋体" w:hAnsi="宋体" w:cs="宋体"/>
          <w:color w:val="auto"/>
          <w:spacing w:val="-53"/>
          <w:sz w:val="22"/>
          <w:szCs w:val="22"/>
          <w:highlight w:val="none"/>
        </w:rPr>
        <w:t xml:space="preserve"> </w:t>
      </w:r>
      <w:r>
        <w:rPr>
          <w:rFonts w:hint="eastAsia" w:ascii="宋体" w:hAnsi="宋体" w:cs="宋体"/>
          <w:color w:val="auto"/>
          <w:spacing w:val="3"/>
          <w:sz w:val="22"/>
          <w:szCs w:val="22"/>
          <w:highlight w:val="none"/>
        </w:rPr>
        <w:t>”和“开标时启封</w:t>
      </w:r>
      <w:r>
        <w:rPr>
          <w:rFonts w:hint="eastAsia" w:ascii="宋体" w:hAnsi="宋体" w:cs="宋体"/>
          <w:color w:val="auto"/>
          <w:spacing w:val="-70"/>
          <w:sz w:val="22"/>
          <w:szCs w:val="22"/>
          <w:highlight w:val="none"/>
        </w:rPr>
        <w:t xml:space="preserve"> </w:t>
      </w:r>
      <w:r>
        <w:rPr>
          <w:rFonts w:hint="eastAsia" w:ascii="宋体" w:hAnsi="宋体" w:cs="宋体"/>
          <w:color w:val="auto"/>
          <w:spacing w:val="3"/>
          <w:sz w:val="22"/>
          <w:szCs w:val="22"/>
          <w:highlight w:val="none"/>
        </w:rPr>
        <w:t>”字样。</w:t>
      </w:r>
    </w:p>
    <w:p w14:paraId="11F2F515">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8"/>
          <w:sz w:val="22"/>
          <w:szCs w:val="22"/>
          <w:highlight w:val="none"/>
        </w:rPr>
        <w:t>18.3 撤消投标应以书面的形式通知采购代理机构。</w:t>
      </w:r>
      <w:r>
        <w:rPr>
          <w:rFonts w:hint="eastAsia" w:ascii="宋体" w:hAnsi="宋体" w:cs="宋体"/>
          <w:color w:val="auto"/>
          <w:spacing w:val="7"/>
          <w:sz w:val="22"/>
          <w:szCs w:val="22"/>
          <w:highlight w:val="none"/>
        </w:rPr>
        <w:t>如采取传真形式撤回投标，随后必须补充有法人代表</w:t>
      </w:r>
      <w:r>
        <w:rPr>
          <w:rFonts w:hint="eastAsia" w:ascii="宋体" w:hAnsi="宋体" w:cs="宋体"/>
          <w:color w:val="auto"/>
          <w:spacing w:val="10"/>
          <w:sz w:val="22"/>
          <w:szCs w:val="22"/>
          <w:highlight w:val="none"/>
        </w:rPr>
        <w:t>或授权代表签署的要求撤消投标的正式文件。撤消投标的时间以</w:t>
      </w:r>
      <w:r>
        <w:rPr>
          <w:rFonts w:hint="eastAsia" w:ascii="宋体" w:hAnsi="宋体" w:cs="宋体"/>
          <w:color w:val="auto"/>
          <w:spacing w:val="9"/>
          <w:sz w:val="22"/>
          <w:szCs w:val="22"/>
          <w:highlight w:val="none"/>
        </w:rPr>
        <w:t>送达采购代理机构或邮电到达日戳</w:t>
      </w:r>
      <w:r>
        <w:rPr>
          <w:rFonts w:hint="eastAsia" w:ascii="宋体" w:hAnsi="宋体" w:cs="宋体"/>
          <w:color w:val="auto"/>
          <w:spacing w:val="2"/>
          <w:sz w:val="22"/>
          <w:szCs w:val="22"/>
          <w:highlight w:val="none"/>
        </w:rPr>
        <w:t>为准。</w:t>
      </w:r>
    </w:p>
    <w:p w14:paraId="6B67CEE9">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6"/>
          <w:sz w:val="22"/>
          <w:szCs w:val="22"/>
          <w:highlight w:val="none"/>
        </w:rPr>
        <w:t>18.4</w:t>
      </w:r>
      <w:r>
        <w:rPr>
          <w:rFonts w:hint="eastAsia" w:ascii="宋体" w:hAnsi="宋体" w:cs="宋体"/>
          <w:color w:val="auto"/>
          <w:spacing w:val="-23"/>
          <w:sz w:val="22"/>
          <w:szCs w:val="22"/>
          <w:highlight w:val="none"/>
        </w:rPr>
        <w:t xml:space="preserve"> </w:t>
      </w:r>
      <w:r>
        <w:rPr>
          <w:rFonts w:hint="eastAsia" w:ascii="宋体" w:hAnsi="宋体" w:cs="宋体"/>
          <w:color w:val="auto"/>
          <w:spacing w:val="6"/>
          <w:sz w:val="22"/>
          <w:szCs w:val="22"/>
          <w:highlight w:val="none"/>
        </w:rPr>
        <w:t>投标截止时间以后不得修改投标文件；</w:t>
      </w:r>
    </w:p>
    <w:p w14:paraId="03401B5C">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6"/>
          <w:sz w:val="22"/>
          <w:szCs w:val="22"/>
          <w:highlight w:val="none"/>
        </w:rPr>
        <w:t>18.5</w:t>
      </w:r>
      <w:r>
        <w:rPr>
          <w:rFonts w:hint="eastAsia" w:ascii="宋体" w:hAnsi="宋体" w:cs="宋体"/>
          <w:color w:val="auto"/>
          <w:spacing w:val="-39"/>
          <w:sz w:val="22"/>
          <w:szCs w:val="22"/>
          <w:highlight w:val="none"/>
        </w:rPr>
        <w:t xml:space="preserve"> </w:t>
      </w:r>
      <w:r>
        <w:rPr>
          <w:rFonts w:hint="eastAsia" w:ascii="宋体" w:hAnsi="宋体" w:cs="宋体"/>
          <w:color w:val="auto"/>
          <w:spacing w:val="6"/>
          <w:sz w:val="22"/>
          <w:szCs w:val="22"/>
          <w:highlight w:val="none"/>
        </w:rPr>
        <w:t>开标后供应商不得撤回投标。</w:t>
      </w:r>
    </w:p>
    <w:p w14:paraId="7F3A9FDA">
      <w:pPr>
        <w:kinsoku w:val="0"/>
        <w:autoSpaceDE w:val="0"/>
        <w:autoSpaceDN w:val="0"/>
        <w:adjustRightInd w:val="0"/>
        <w:snapToGrid w:val="0"/>
        <w:spacing w:line="360" w:lineRule="auto"/>
        <w:jc w:val="center"/>
        <w:textAlignment w:val="baseline"/>
        <w:outlineLvl w:val="1"/>
        <w:rPr>
          <w:rFonts w:hint="eastAsia" w:ascii="宋体" w:hAnsi="宋体" w:cs="宋体"/>
          <w:color w:val="auto"/>
          <w:sz w:val="22"/>
          <w:szCs w:val="22"/>
          <w:highlight w:val="none"/>
        </w:rPr>
      </w:pPr>
      <w:r>
        <w:rPr>
          <w:rFonts w:hint="eastAsia" w:ascii="宋体" w:hAnsi="宋体" w:cs="宋体"/>
          <w:b/>
          <w:bCs/>
          <w:color w:val="auto"/>
          <w:spacing w:val="4"/>
          <w:sz w:val="22"/>
          <w:szCs w:val="22"/>
          <w:highlight w:val="none"/>
        </w:rPr>
        <w:t>E</w:t>
      </w:r>
      <w:r>
        <w:rPr>
          <w:rFonts w:hint="eastAsia" w:ascii="宋体" w:hAnsi="宋体" w:cs="宋体"/>
          <w:color w:val="auto"/>
          <w:spacing w:val="-34"/>
          <w:sz w:val="22"/>
          <w:szCs w:val="22"/>
          <w:highlight w:val="none"/>
        </w:rPr>
        <w:t xml:space="preserve"> </w:t>
      </w:r>
      <w:r>
        <w:rPr>
          <w:rFonts w:hint="eastAsia" w:ascii="宋体" w:hAnsi="宋体" w:cs="宋体"/>
          <w:b/>
          <w:bCs/>
          <w:color w:val="auto"/>
          <w:spacing w:val="4"/>
          <w:sz w:val="22"/>
          <w:szCs w:val="22"/>
          <w:highlight w:val="none"/>
        </w:rPr>
        <w:t>开标及评标</w:t>
      </w:r>
    </w:p>
    <w:p w14:paraId="167B9B4C">
      <w:pPr>
        <w:kinsoku w:val="0"/>
        <w:autoSpaceDE w:val="0"/>
        <w:autoSpaceDN w:val="0"/>
        <w:adjustRightInd w:val="0"/>
        <w:snapToGrid w:val="0"/>
        <w:spacing w:line="360" w:lineRule="auto"/>
        <w:textAlignment w:val="baseline"/>
        <w:outlineLvl w:val="2"/>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19.开标</w:t>
      </w:r>
    </w:p>
    <w:p w14:paraId="2B88E0D1">
      <w:pPr>
        <w:kinsoku w:val="0"/>
        <w:autoSpaceDE w:val="0"/>
        <w:autoSpaceDN w:val="0"/>
        <w:adjustRightInd w:val="0"/>
        <w:snapToGrid w:val="0"/>
        <w:spacing w:line="360" w:lineRule="auto"/>
        <w:textAlignment w:val="baseline"/>
        <w:outlineLvl w:val="2"/>
        <w:rPr>
          <w:rFonts w:hint="eastAsia" w:ascii="宋体" w:hAnsi="宋体" w:cs="宋体"/>
          <w:color w:val="auto"/>
          <w:sz w:val="22"/>
          <w:szCs w:val="22"/>
          <w:highlight w:val="none"/>
        </w:rPr>
      </w:pPr>
      <w:r>
        <w:rPr>
          <w:rFonts w:hint="eastAsia" w:ascii="宋体" w:hAnsi="宋体" w:cs="宋体"/>
          <w:color w:val="auto"/>
          <w:spacing w:val="8"/>
          <w:sz w:val="22"/>
          <w:szCs w:val="22"/>
          <w:highlight w:val="none"/>
        </w:rPr>
        <w:t>19.1 采购代理机构按招标文件规定的时间、地</w:t>
      </w:r>
      <w:r>
        <w:rPr>
          <w:rFonts w:hint="eastAsia" w:ascii="宋体" w:hAnsi="宋体" w:cs="宋体"/>
          <w:color w:val="auto"/>
          <w:spacing w:val="7"/>
          <w:sz w:val="22"/>
          <w:szCs w:val="22"/>
          <w:highlight w:val="none"/>
        </w:rPr>
        <w:t>点主持公开开标。开标仪式由采购代理机构主持，采</w:t>
      </w:r>
      <w:r>
        <w:rPr>
          <w:rFonts w:hint="eastAsia" w:ascii="宋体" w:hAnsi="宋体" w:cs="宋体"/>
          <w:color w:val="auto"/>
          <w:spacing w:val="8"/>
          <w:sz w:val="22"/>
          <w:szCs w:val="22"/>
          <w:highlight w:val="none"/>
        </w:rPr>
        <w:t>购人代表及有关工作人员参加。</w:t>
      </w:r>
    </w:p>
    <w:p w14:paraId="7E919950">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6"/>
          <w:sz w:val="22"/>
          <w:szCs w:val="22"/>
          <w:highlight w:val="none"/>
        </w:rPr>
        <w:t>19.2 供应商派代表参加线上开标仪式。</w:t>
      </w:r>
    </w:p>
    <w:p w14:paraId="5C375464">
      <w:pPr>
        <w:kinsoku w:val="0"/>
        <w:autoSpaceDE w:val="0"/>
        <w:autoSpaceDN w:val="0"/>
        <w:adjustRightInd w:val="0"/>
        <w:snapToGrid w:val="0"/>
        <w:spacing w:line="360" w:lineRule="auto"/>
        <w:textAlignment w:val="baseline"/>
        <w:rPr>
          <w:rFonts w:hint="eastAsia" w:ascii="宋体" w:hAnsi="宋体" w:cs="宋体"/>
          <w:color w:val="auto"/>
          <w:spacing w:val="8"/>
          <w:sz w:val="22"/>
          <w:szCs w:val="22"/>
          <w:highlight w:val="none"/>
        </w:rPr>
      </w:pPr>
      <w:r>
        <w:rPr>
          <w:rFonts w:hint="eastAsia" w:ascii="宋体" w:hAnsi="宋体" w:cs="宋体"/>
          <w:color w:val="auto"/>
          <w:spacing w:val="8"/>
          <w:sz w:val="22"/>
          <w:szCs w:val="22"/>
          <w:highlight w:val="none"/>
        </w:rPr>
        <w:t>19.3 开标时由供应商查验投标文件密封情况，确认无误后拆封唱标。</w:t>
      </w:r>
    </w:p>
    <w:p w14:paraId="349172F0">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7"/>
          <w:sz w:val="22"/>
          <w:szCs w:val="22"/>
          <w:highlight w:val="none"/>
        </w:rPr>
        <w:t>19.4 采购代理机构在开标仪式上，将公开唱出所有供应商的“开标一览表</w:t>
      </w:r>
      <w:r>
        <w:rPr>
          <w:rFonts w:hint="eastAsia" w:ascii="宋体" w:hAnsi="宋体" w:cs="宋体"/>
          <w:color w:val="auto"/>
          <w:spacing w:val="-73"/>
          <w:sz w:val="22"/>
          <w:szCs w:val="22"/>
          <w:highlight w:val="none"/>
        </w:rPr>
        <w:t xml:space="preserve"> </w:t>
      </w:r>
      <w:r>
        <w:rPr>
          <w:rFonts w:hint="eastAsia" w:ascii="宋体" w:hAnsi="宋体" w:cs="宋体"/>
          <w:color w:val="auto"/>
          <w:spacing w:val="7"/>
          <w:sz w:val="22"/>
          <w:szCs w:val="22"/>
          <w:highlight w:val="none"/>
        </w:rPr>
        <w:t>”内容及</w:t>
      </w:r>
      <w:r>
        <w:rPr>
          <w:rFonts w:hint="eastAsia" w:ascii="宋体" w:hAnsi="宋体" w:cs="宋体"/>
          <w:color w:val="auto"/>
          <w:spacing w:val="6"/>
          <w:sz w:val="22"/>
          <w:szCs w:val="22"/>
          <w:highlight w:val="none"/>
        </w:rPr>
        <w:t>投标声明，以及</w:t>
      </w:r>
      <w:r>
        <w:rPr>
          <w:rFonts w:hint="eastAsia" w:ascii="宋体" w:hAnsi="宋体" w:cs="宋体"/>
          <w:color w:val="auto"/>
          <w:sz w:val="22"/>
          <w:szCs w:val="22"/>
          <w:highlight w:val="none"/>
        </w:rPr>
        <w:t xml:space="preserve"> </w:t>
      </w:r>
      <w:r>
        <w:rPr>
          <w:rFonts w:hint="eastAsia" w:ascii="宋体" w:hAnsi="宋体" w:cs="宋体"/>
          <w:color w:val="auto"/>
          <w:spacing w:val="8"/>
          <w:sz w:val="22"/>
          <w:szCs w:val="22"/>
          <w:highlight w:val="none"/>
        </w:rPr>
        <w:t>采购机构认为合适的其它内容并记录。</w:t>
      </w:r>
    </w:p>
    <w:p w14:paraId="7BF1F1E6">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7"/>
          <w:sz w:val="22"/>
          <w:szCs w:val="22"/>
          <w:highlight w:val="none"/>
        </w:rPr>
        <w:t>19.5</w:t>
      </w:r>
      <w:r>
        <w:rPr>
          <w:rFonts w:hint="eastAsia" w:ascii="宋体" w:hAnsi="宋体" w:cs="宋体"/>
          <w:color w:val="auto"/>
          <w:spacing w:val="-22"/>
          <w:sz w:val="22"/>
          <w:szCs w:val="22"/>
          <w:highlight w:val="none"/>
        </w:rPr>
        <w:t xml:space="preserve"> </w:t>
      </w:r>
      <w:r>
        <w:rPr>
          <w:rFonts w:hint="eastAsia" w:ascii="宋体" w:hAnsi="宋体" w:cs="宋体"/>
          <w:color w:val="auto"/>
          <w:spacing w:val="7"/>
          <w:sz w:val="22"/>
          <w:szCs w:val="22"/>
          <w:highlight w:val="none"/>
        </w:rPr>
        <w:t>开标前，投标文件有下列情况之一的供应商不予受理：</w:t>
      </w:r>
    </w:p>
    <w:p w14:paraId="7EBF2FE8">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6"/>
          <w:sz w:val="22"/>
          <w:szCs w:val="22"/>
          <w:highlight w:val="none"/>
        </w:rPr>
        <w:t>19.5.1</w:t>
      </w:r>
      <w:r>
        <w:rPr>
          <w:rFonts w:hint="eastAsia" w:ascii="宋体" w:hAnsi="宋体" w:cs="宋体"/>
          <w:color w:val="auto"/>
          <w:spacing w:val="-35"/>
          <w:sz w:val="22"/>
          <w:szCs w:val="22"/>
          <w:highlight w:val="none"/>
        </w:rPr>
        <w:t xml:space="preserve"> </w:t>
      </w:r>
      <w:r>
        <w:rPr>
          <w:rFonts w:hint="eastAsia" w:ascii="宋体" w:hAnsi="宋体" w:cs="宋体"/>
          <w:color w:val="auto"/>
          <w:spacing w:val="6"/>
          <w:sz w:val="22"/>
          <w:szCs w:val="22"/>
          <w:highlight w:val="none"/>
        </w:rPr>
        <w:t>逾期送达或未送达指定地点的；</w:t>
      </w:r>
    </w:p>
    <w:p w14:paraId="3438B94B">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5"/>
          <w:sz w:val="22"/>
          <w:szCs w:val="22"/>
          <w:highlight w:val="none"/>
        </w:rPr>
        <w:t>19.5.2</w:t>
      </w:r>
      <w:r>
        <w:rPr>
          <w:rFonts w:hint="eastAsia" w:ascii="宋体" w:hAnsi="宋体" w:cs="宋体"/>
          <w:color w:val="auto"/>
          <w:spacing w:val="-25"/>
          <w:sz w:val="22"/>
          <w:szCs w:val="22"/>
          <w:highlight w:val="none"/>
        </w:rPr>
        <w:t xml:space="preserve"> </w:t>
      </w:r>
      <w:r>
        <w:rPr>
          <w:rFonts w:hint="eastAsia" w:ascii="宋体" w:hAnsi="宋体" w:cs="宋体"/>
          <w:color w:val="auto"/>
          <w:spacing w:val="5"/>
          <w:sz w:val="22"/>
          <w:szCs w:val="22"/>
          <w:highlight w:val="none"/>
        </w:rPr>
        <w:t>未按招标文件要求密封的。</w:t>
      </w:r>
    </w:p>
    <w:p w14:paraId="7DAC6F6E">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9"/>
          <w:sz w:val="22"/>
          <w:szCs w:val="22"/>
          <w:highlight w:val="none"/>
        </w:rPr>
        <w:t>19.6</w:t>
      </w:r>
      <w:r>
        <w:rPr>
          <w:rFonts w:hint="eastAsia" w:ascii="宋体" w:hAnsi="宋体" w:cs="宋体"/>
          <w:color w:val="auto"/>
          <w:spacing w:val="-40"/>
          <w:sz w:val="22"/>
          <w:szCs w:val="22"/>
          <w:highlight w:val="none"/>
        </w:rPr>
        <w:t xml:space="preserve"> </w:t>
      </w:r>
      <w:r>
        <w:rPr>
          <w:rFonts w:hint="eastAsia" w:ascii="宋体" w:hAnsi="宋体" w:cs="宋体"/>
          <w:color w:val="auto"/>
          <w:spacing w:val="9"/>
          <w:sz w:val="22"/>
          <w:szCs w:val="22"/>
          <w:highlight w:val="none"/>
        </w:rPr>
        <w:t>开标后,直到宣布授予中标单位合同为止,</w:t>
      </w:r>
      <w:r>
        <w:rPr>
          <w:rFonts w:hint="eastAsia" w:ascii="宋体" w:hAnsi="宋体" w:cs="宋体"/>
          <w:color w:val="auto"/>
          <w:spacing w:val="8"/>
          <w:sz w:val="22"/>
          <w:szCs w:val="22"/>
          <w:highlight w:val="none"/>
        </w:rPr>
        <w:t>凡属于审查、澄清、评价和比较投标的所有质料,有</w:t>
      </w:r>
      <w:r>
        <w:rPr>
          <w:rFonts w:hint="eastAsia" w:ascii="宋体" w:hAnsi="宋体" w:cs="宋体"/>
          <w:color w:val="auto"/>
          <w:spacing w:val="9"/>
          <w:sz w:val="22"/>
          <w:szCs w:val="22"/>
          <w:highlight w:val="none"/>
        </w:rPr>
        <w:t>关授予合同的信息,都不应该向投标无关的其他人</w:t>
      </w:r>
      <w:r>
        <w:rPr>
          <w:rFonts w:hint="eastAsia" w:ascii="宋体" w:hAnsi="宋体" w:cs="宋体"/>
          <w:color w:val="auto"/>
          <w:spacing w:val="8"/>
          <w:sz w:val="22"/>
          <w:szCs w:val="22"/>
          <w:highlight w:val="none"/>
        </w:rPr>
        <w:t>泄露。</w:t>
      </w:r>
    </w:p>
    <w:p w14:paraId="19825080">
      <w:pPr>
        <w:kinsoku w:val="0"/>
        <w:autoSpaceDE w:val="0"/>
        <w:autoSpaceDN w:val="0"/>
        <w:adjustRightInd w:val="0"/>
        <w:snapToGrid w:val="0"/>
        <w:spacing w:line="360" w:lineRule="auto"/>
        <w:textAlignment w:val="baseline"/>
        <w:outlineLvl w:val="2"/>
        <w:rPr>
          <w:rFonts w:hint="eastAsia" w:ascii="宋体" w:hAnsi="宋体" w:cs="宋体"/>
          <w:color w:val="auto"/>
          <w:sz w:val="22"/>
          <w:szCs w:val="22"/>
          <w:highlight w:val="none"/>
        </w:rPr>
      </w:pPr>
      <w:r>
        <w:rPr>
          <w:rFonts w:hint="eastAsia" w:ascii="宋体" w:hAnsi="宋体" w:cs="宋体"/>
          <w:b/>
          <w:bCs/>
          <w:color w:val="auto"/>
          <w:spacing w:val="6"/>
          <w:sz w:val="22"/>
          <w:szCs w:val="22"/>
          <w:highlight w:val="none"/>
        </w:rPr>
        <w:t>20.对投标文件的初审</w:t>
      </w:r>
    </w:p>
    <w:p w14:paraId="15A9ED40">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7"/>
          <w:sz w:val="22"/>
          <w:szCs w:val="22"/>
          <w:highlight w:val="none"/>
        </w:rPr>
        <w:t>20.1 采购人根据招标项目特点组建评标委员会，技术经济及其他有关方面的专家组成。评标委员会对投标文件进行初审，初审内容为投标文件是否符合招标文件的要求、内容是否完整、价格构成有无计算错误、文件签署是否齐全及验证保证金以及投标文件是否具有实质响应性。</w:t>
      </w:r>
    </w:p>
    <w:p w14:paraId="76E1DB97">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8"/>
          <w:sz w:val="22"/>
          <w:szCs w:val="22"/>
          <w:highlight w:val="none"/>
        </w:rPr>
        <w:t>20.2 初审中，对价格的计算错误按下述原则修正：</w:t>
      </w:r>
    </w:p>
    <w:p w14:paraId="624B8712">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7"/>
          <w:sz w:val="22"/>
          <w:szCs w:val="22"/>
          <w:highlight w:val="none"/>
        </w:rPr>
        <w:t>(1) 如果单价乘数量不等于总价，应以单价为准修正总价。</w:t>
      </w:r>
    </w:p>
    <w:p w14:paraId="42A063DA">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8"/>
          <w:sz w:val="22"/>
          <w:szCs w:val="22"/>
          <w:highlight w:val="none"/>
        </w:rPr>
        <w:t>(2) 如果以文字表示的数据与数字表示的有差别，应以</w:t>
      </w:r>
      <w:r>
        <w:rPr>
          <w:rFonts w:hint="eastAsia" w:ascii="宋体" w:hAnsi="宋体" w:cs="宋体"/>
          <w:color w:val="auto"/>
          <w:spacing w:val="7"/>
          <w:sz w:val="22"/>
          <w:szCs w:val="22"/>
          <w:highlight w:val="none"/>
        </w:rPr>
        <w:t>文字为准修正数字。</w:t>
      </w:r>
    </w:p>
    <w:p w14:paraId="69B2C45C">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6"/>
          <w:sz w:val="22"/>
          <w:szCs w:val="22"/>
          <w:highlight w:val="none"/>
        </w:rPr>
        <w:t>(3) 供应商不同意以上修正，则其投标将被拒绝。</w:t>
      </w:r>
    </w:p>
    <w:p w14:paraId="16E7197A">
      <w:pPr>
        <w:kinsoku w:val="0"/>
        <w:autoSpaceDE w:val="0"/>
        <w:autoSpaceDN w:val="0"/>
        <w:adjustRightInd w:val="0"/>
        <w:snapToGrid w:val="0"/>
        <w:spacing w:line="360" w:lineRule="auto"/>
        <w:textAlignment w:val="baseline"/>
        <w:rPr>
          <w:rFonts w:hint="eastAsia" w:ascii="宋体" w:hAnsi="宋体" w:cs="宋体"/>
          <w:color w:val="auto"/>
          <w:spacing w:val="7"/>
          <w:sz w:val="22"/>
          <w:szCs w:val="22"/>
          <w:highlight w:val="none"/>
        </w:rPr>
      </w:pPr>
      <w:r>
        <w:rPr>
          <w:rFonts w:hint="eastAsia" w:ascii="宋体" w:hAnsi="宋体" w:cs="宋体"/>
          <w:color w:val="auto"/>
          <w:spacing w:val="9"/>
          <w:sz w:val="22"/>
          <w:szCs w:val="22"/>
          <w:highlight w:val="none"/>
        </w:rPr>
        <w:t xml:space="preserve">20.3 </w:t>
      </w:r>
      <w:r>
        <w:rPr>
          <w:rFonts w:hint="eastAsia" w:ascii="宋体" w:hAnsi="宋体" w:cs="宋体"/>
          <w:color w:val="auto"/>
          <w:spacing w:val="7"/>
          <w:sz w:val="22"/>
          <w:szCs w:val="22"/>
          <w:highlight w:val="none"/>
        </w:rPr>
        <w:t>与招标文件有重大偏离的投标文件将被视为具有非实质响应性的投标文件而被拒绝。</w:t>
      </w:r>
    </w:p>
    <w:p w14:paraId="1714E795">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7"/>
          <w:sz w:val="22"/>
          <w:szCs w:val="22"/>
          <w:highlight w:val="none"/>
        </w:rPr>
        <w:t>重大偏离系指投标项目的服务范围、质量、数量及交货期明显不能满足招标文件的要求，或限制了采购人的权力和供应商的义务的规定，而纠正这些偏离将影响到其它提交实质性响应投标的供应商的公平竞争地位。这些偏离不允许在开标后修正。但招标机构将允许修改投标中不构成重大偏离的、微小的、非正规的、不一致或不规则的地方。评委会对投标文件的判定，只依据投标内容本身，不依据开标后的任何外来证明。</w:t>
      </w:r>
    </w:p>
    <w:p w14:paraId="48DF1914">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8"/>
          <w:sz w:val="22"/>
          <w:szCs w:val="22"/>
          <w:highlight w:val="none"/>
        </w:rPr>
        <w:t>20.4 投标有下列情况之一者，</w:t>
      </w:r>
      <w:r>
        <w:rPr>
          <w:rFonts w:hint="eastAsia" w:ascii="宋体" w:hAnsi="宋体" w:cs="宋体"/>
          <w:b/>
          <w:bCs/>
          <w:color w:val="auto"/>
          <w:spacing w:val="8"/>
          <w:sz w:val="22"/>
          <w:szCs w:val="22"/>
          <w:highlight w:val="none"/>
        </w:rPr>
        <w:t>将被视为非实质性响应的</w:t>
      </w:r>
      <w:r>
        <w:rPr>
          <w:rFonts w:hint="eastAsia" w:ascii="宋体" w:hAnsi="宋体" w:cs="宋体"/>
          <w:b/>
          <w:bCs/>
          <w:color w:val="auto"/>
          <w:spacing w:val="7"/>
          <w:sz w:val="22"/>
          <w:szCs w:val="22"/>
          <w:highlight w:val="none"/>
        </w:rPr>
        <w:t>投标而被拒绝：</w:t>
      </w:r>
    </w:p>
    <w:p w14:paraId="7D0ED0E7">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7"/>
          <w:sz w:val="22"/>
          <w:szCs w:val="22"/>
          <w:highlight w:val="none"/>
        </w:rPr>
        <w:t>（1）资格条件及证明文件不符合招标文件要求的；</w:t>
      </w:r>
    </w:p>
    <w:p w14:paraId="0ACDBEFE">
      <w:pPr>
        <w:kinsoku w:val="0"/>
        <w:autoSpaceDE w:val="0"/>
        <w:autoSpaceDN w:val="0"/>
        <w:adjustRightInd w:val="0"/>
        <w:snapToGrid w:val="0"/>
        <w:spacing w:line="360" w:lineRule="auto"/>
        <w:ind w:firstLine="9"/>
        <w:textAlignment w:val="baseline"/>
        <w:rPr>
          <w:rFonts w:hint="eastAsia" w:ascii="宋体" w:hAnsi="宋体" w:cs="宋体"/>
          <w:color w:val="auto"/>
          <w:sz w:val="22"/>
          <w:szCs w:val="22"/>
          <w:highlight w:val="none"/>
        </w:rPr>
      </w:pPr>
      <w:r>
        <w:rPr>
          <w:rFonts w:hint="eastAsia" w:ascii="宋体" w:hAnsi="宋体" w:cs="宋体"/>
          <w:color w:val="auto"/>
          <w:spacing w:val="9"/>
          <w:sz w:val="22"/>
          <w:szCs w:val="22"/>
          <w:highlight w:val="none"/>
        </w:rPr>
        <w:t>（2）投标文件无公章或无法定代表人签字，或签</w:t>
      </w:r>
      <w:r>
        <w:rPr>
          <w:rFonts w:hint="eastAsia" w:ascii="宋体" w:hAnsi="宋体" w:cs="宋体"/>
          <w:color w:val="auto"/>
          <w:spacing w:val="8"/>
          <w:sz w:val="22"/>
          <w:szCs w:val="22"/>
          <w:highlight w:val="none"/>
        </w:rPr>
        <w:t>字人无法定代表人有效授权书的，或未按要求签</w:t>
      </w:r>
      <w:r>
        <w:rPr>
          <w:rFonts w:hint="eastAsia" w:ascii="宋体" w:hAnsi="宋体" w:cs="宋体"/>
          <w:color w:val="auto"/>
          <w:spacing w:val="6"/>
          <w:sz w:val="22"/>
          <w:szCs w:val="22"/>
          <w:highlight w:val="none"/>
        </w:rPr>
        <w:t>字、盖公章的；</w:t>
      </w:r>
    </w:p>
    <w:p w14:paraId="0CADDF5E">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5"/>
          <w:sz w:val="22"/>
          <w:szCs w:val="22"/>
          <w:highlight w:val="none"/>
        </w:rPr>
        <w:t>（3）不能满足投标有效期的；</w:t>
      </w:r>
    </w:p>
    <w:p w14:paraId="56A51D50">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7"/>
          <w:sz w:val="22"/>
          <w:szCs w:val="22"/>
          <w:highlight w:val="none"/>
        </w:rPr>
        <w:t>（4）投标明显不符合技术规格、技术标准的要求；</w:t>
      </w:r>
    </w:p>
    <w:p w14:paraId="086B78FB">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6"/>
          <w:sz w:val="22"/>
          <w:szCs w:val="22"/>
          <w:highlight w:val="none"/>
        </w:rPr>
        <w:t>（5）投标文件附有买方不能接受的条件；</w:t>
      </w:r>
    </w:p>
    <w:p w14:paraId="5883040C">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6"/>
          <w:sz w:val="22"/>
          <w:szCs w:val="22"/>
          <w:highlight w:val="none"/>
        </w:rPr>
        <w:t>（6）投标报价超过采购预算的；</w:t>
      </w:r>
    </w:p>
    <w:p w14:paraId="3FFE9E6B">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7"/>
          <w:sz w:val="22"/>
          <w:szCs w:val="22"/>
          <w:highlight w:val="none"/>
        </w:rPr>
        <w:t>（7）未响应招标文件规定的其它实质性条款。</w:t>
      </w:r>
    </w:p>
    <w:p w14:paraId="49C1D13E">
      <w:pPr>
        <w:kinsoku w:val="0"/>
        <w:autoSpaceDE w:val="0"/>
        <w:autoSpaceDN w:val="0"/>
        <w:adjustRightInd w:val="0"/>
        <w:snapToGrid w:val="0"/>
        <w:spacing w:line="360" w:lineRule="auto"/>
        <w:textAlignment w:val="baseline"/>
        <w:outlineLvl w:val="2"/>
        <w:rPr>
          <w:rFonts w:hint="eastAsia" w:ascii="宋体" w:hAnsi="宋体" w:cs="宋体"/>
          <w:color w:val="auto"/>
          <w:sz w:val="22"/>
          <w:szCs w:val="22"/>
          <w:highlight w:val="none"/>
        </w:rPr>
      </w:pPr>
      <w:r>
        <w:rPr>
          <w:rFonts w:hint="eastAsia" w:ascii="宋体" w:hAnsi="宋体" w:cs="宋体"/>
          <w:b/>
          <w:bCs/>
          <w:color w:val="auto"/>
          <w:spacing w:val="5"/>
          <w:sz w:val="22"/>
          <w:szCs w:val="22"/>
          <w:highlight w:val="none"/>
        </w:rPr>
        <w:t>21.投标的澄清</w:t>
      </w:r>
    </w:p>
    <w:p w14:paraId="7EE2EE04">
      <w:pPr>
        <w:kinsoku w:val="0"/>
        <w:autoSpaceDE w:val="0"/>
        <w:autoSpaceDN w:val="0"/>
        <w:adjustRightInd w:val="0"/>
        <w:snapToGrid w:val="0"/>
        <w:spacing w:line="360" w:lineRule="auto"/>
        <w:ind w:firstLine="2"/>
        <w:textAlignment w:val="baseline"/>
        <w:rPr>
          <w:rFonts w:hint="eastAsia" w:ascii="宋体" w:hAnsi="宋体" w:cs="宋体"/>
          <w:color w:val="auto"/>
          <w:sz w:val="22"/>
          <w:szCs w:val="22"/>
          <w:highlight w:val="none"/>
        </w:rPr>
      </w:pPr>
      <w:r>
        <w:rPr>
          <w:rFonts w:hint="eastAsia" w:ascii="宋体" w:hAnsi="宋体" w:cs="宋体"/>
          <w:color w:val="auto"/>
          <w:spacing w:val="8"/>
          <w:sz w:val="22"/>
          <w:szCs w:val="22"/>
          <w:highlight w:val="none"/>
        </w:rPr>
        <w:t>21.1 采购代理机构有权就投标文件中含混之处向供应商提出询问或澄清要求，或要求其补充某些材料。</w:t>
      </w:r>
      <w:r>
        <w:rPr>
          <w:rFonts w:hint="eastAsia" w:ascii="宋体" w:hAnsi="宋体" w:cs="宋体"/>
          <w:color w:val="auto"/>
          <w:spacing w:val="9"/>
          <w:sz w:val="22"/>
          <w:szCs w:val="22"/>
          <w:highlight w:val="none"/>
        </w:rPr>
        <w:t>供应商必须按照采购代理机构通知的时间、地点派技术和商务人员进行答疑和澄清。</w:t>
      </w:r>
    </w:p>
    <w:p w14:paraId="38DC0C35">
      <w:pPr>
        <w:kinsoku w:val="0"/>
        <w:autoSpaceDE w:val="0"/>
        <w:autoSpaceDN w:val="0"/>
        <w:adjustRightInd w:val="0"/>
        <w:snapToGrid w:val="0"/>
        <w:spacing w:line="360" w:lineRule="auto"/>
        <w:ind w:hanging="2"/>
        <w:textAlignment w:val="baseline"/>
        <w:rPr>
          <w:rFonts w:hint="eastAsia" w:ascii="宋体" w:hAnsi="宋体" w:cs="宋体"/>
          <w:color w:val="auto"/>
          <w:sz w:val="22"/>
          <w:szCs w:val="22"/>
          <w:highlight w:val="none"/>
        </w:rPr>
      </w:pPr>
      <w:r>
        <w:rPr>
          <w:rFonts w:hint="eastAsia" w:ascii="宋体" w:hAnsi="宋体" w:cs="宋体"/>
          <w:color w:val="auto"/>
          <w:spacing w:val="7"/>
          <w:sz w:val="22"/>
          <w:szCs w:val="22"/>
          <w:highlight w:val="none"/>
        </w:rPr>
        <w:t>21.2 必要时采购代理机构可要求供应商就澄清的问题作书面回答，该书面</w:t>
      </w:r>
      <w:r>
        <w:rPr>
          <w:rFonts w:hint="eastAsia" w:ascii="宋体" w:hAnsi="宋体" w:cs="宋体"/>
          <w:color w:val="auto"/>
          <w:spacing w:val="6"/>
          <w:sz w:val="22"/>
          <w:szCs w:val="22"/>
          <w:highlight w:val="none"/>
        </w:rPr>
        <w:t>回答应有投标全权代表的签章，</w:t>
      </w:r>
      <w:r>
        <w:rPr>
          <w:rFonts w:hint="eastAsia" w:ascii="宋体" w:hAnsi="宋体" w:cs="宋体"/>
          <w:color w:val="auto"/>
          <w:spacing w:val="8"/>
          <w:sz w:val="22"/>
          <w:szCs w:val="22"/>
          <w:highlight w:val="none"/>
        </w:rPr>
        <w:t>并将作为投标内容的一部分。</w:t>
      </w:r>
    </w:p>
    <w:p w14:paraId="48FE344A">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8"/>
          <w:sz w:val="22"/>
          <w:szCs w:val="22"/>
          <w:highlight w:val="none"/>
        </w:rPr>
        <w:t>21.3 供应商对投标文件的澄清不得改变投标价格及实质内容。</w:t>
      </w:r>
    </w:p>
    <w:p w14:paraId="64B1E3C7">
      <w:pPr>
        <w:kinsoku w:val="0"/>
        <w:autoSpaceDE w:val="0"/>
        <w:autoSpaceDN w:val="0"/>
        <w:adjustRightInd w:val="0"/>
        <w:snapToGrid w:val="0"/>
        <w:spacing w:line="360" w:lineRule="auto"/>
        <w:textAlignment w:val="baseline"/>
        <w:outlineLvl w:val="2"/>
        <w:rPr>
          <w:rFonts w:hint="eastAsia" w:ascii="宋体" w:hAnsi="宋体" w:cs="宋体"/>
          <w:color w:val="auto"/>
          <w:sz w:val="22"/>
          <w:szCs w:val="22"/>
          <w:highlight w:val="none"/>
        </w:rPr>
      </w:pPr>
      <w:r>
        <w:rPr>
          <w:rFonts w:hint="eastAsia" w:ascii="宋体" w:hAnsi="宋体" w:cs="宋体"/>
          <w:b/>
          <w:bCs/>
          <w:color w:val="auto"/>
          <w:spacing w:val="3"/>
          <w:sz w:val="22"/>
          <w:szCs w:val="22"/>
          <w:highlight w:val="none"/>
        </w:rPr>
        <w:t>22.评标</w:t>
      </w:r>
    </w:p>
    <w:p w14:paraId="341A7491">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8"/>
          <w:sz w:val="22"/>
          <w:szCs w:val="22"/>
          <w:highlight w:val="none"/>
        </w:rPr>
        <w:t>22.1 原则：对所有供应商的投标评估，都采用相同的程序和标准。</w:t>
      </w:r>
    </w:p>
    <w:p w14:paraId="07986BFA">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8"/>
          <w:sz w:val="22"/>
          <w:szCs w:val="22"/>
          <w:highlight w:val="none"/>
        </w:rPr>
        <w:t>22.2 标准：评标严格按照招标文件的要求和条件进行。</w:t>
      </w:r>
    </w:p>
    <w:p w14:paraId="3EBD524B">
      <w:pPr>
        <w:kinsoku w:val="0"/>
        <w:autoSpaceDE w:val="0"/>
        <w:autoSpaceDN w:val="0"/>
        <w:adjustRightInd w:val="0"/>
        <w:snapToGrid w:val="0"/>
        <w:spacing w:line="360" w:lineRule="auto"/>
        <w:textAlignment w:val="baseline"/>
        <w:outlineLvl w:val="2"/>
        <w:rPr>
          <w:rFonts w:hint="eastAsia" w:ascii="宋体" w:hAnsi="宋体" w:cs="宋体"/>
          <w:color w:val="auto"/>
          <w:sz w:val="22"/>
          <w:szCs w:val="22"/>
          <w:highlight w:val="none"/>
        </w:rPr>
      </w:pPr>
      <w:r>
        <w:rPr>
          <w:rFonts w:hint="eastAsia" w:ascii="宋体" w:hAnsi="宋体" w:cs="宋体"/>
          <w:b/>
          <w:bCs/>
          <w:color w:val="auto"/>
          <w:spacing w:val="5"/>
          <w:sz w:val="22"/>
          <w:szCs w:val="22"/>
          <w:highlight w:val="none"/>
        </w:rPr>
        <w:t>23.评标过程保密</w:t>
      </w:r>
    </w:p>
    <w:p w14:paraId="048B767C">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9"/>
          <w:sz w:val="22"/>
          <w:szCs w:val="22"/>
          <w:highlight w:val="none"/>
        </w:rPr>
        <w:t>23.1</w:t>
      </w:r>
      <w:r>
        <w:rPr>
          <w:rFonts w:hint="eastAsia" w:ascii="宋体" w:hAnsi="宋体" w:cs="宋体"/>
          <w:color w:val="auto"/>
          <w:spacing w:val="-40"/>
          <w:sz w:val="22"/>
          <w:szCs w:val="22"/>
          <w:highlight w:val="none"/>
        </w:rPr>
        <w:t xml:space="preserve"> </w:t>
      </w:r>
      <w:r>
        <w:rPr>
          <w:rFonts w:hint="eastAsia" w:ascii="宋体" w:hAnsi="宋体" w:cs="宋体"/>
          <w:color w:val="auto"/>
          <w:spacing w:val="9"/>
          <w:sz w:val="22"/>
          <w:szCs w:val="22"/>
          <w:highlight w:val="none"/>
        </w:rPr>
        <w:t>有关投标文件的审查、澄清、评估和比较以及有关授予合同意向的一切</w:t>
      </w:r>
      <w:r>
        <w:rPr>
          <w:rFonts w:hint="eastAsia" w:ascii="宋体" w:hAnsi="宋体" w:cs="宋体"/>
          <w:color w:val="auto"/>
          <w:spacing w:val="8"/>
          <w:sz w:val="22"/>
          <w:szCs w:val="22"/>
          <w:highlight w:val="none"/>
        </w:rPr>
        <w:t>情况均不得透露给任一供应商或与上述评标工作无关的人员；</w:t>
      </w:r>
    </w:p>
    <w:p w14:paraId="6B358221">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6"/>
          <w:sz w:val="22"/>
          <w:szCs w:val="22"/>
          <w:highlight w:val="none"/>
        </w:rPr>
        <w:t>23.2</w:t>
      </w:r>
      <w:r>
        <w:rPr>
          <w:rFonts w:hint="eastAsia" w:ascii="宋体" w:hAnsi="宋体" w:cs="宋体"/>
          <w:color w:val="auto"/>
          <w:spacing w:val="-41"/>
          <w:sz w:val="22"/>
          <w:szCs w:val="22"/>
          <w:highlight w:val="none"/>
        </w:rPr>
        <w:t xml:space="preserve"> </w:t>
      </w:r>
      <w:r>
        <w:rPr>
          <w:rFonts w:hint="eastAsia" w:ascii="宋体" w:hAnsi="宋体" w:cs="宋体"/>
          <w:color w:val="auto"/>
          <w:spacing w:val="6"/>
          <w:sz w:val="22"/>
          <w:szCs w:val="22"/>
          <w:highlight w:val="none"/>
        </w:rPr>
        <w:t>在评标期间，供应商企图影响采购人的任何活动，将导致投标被拒绝，并承</w:t>
      </w:r>
      <w:r>
        <w:rPr>
          <w:rFonts w:hint="eastAsia" w:ascii="宋体" w:hAnsi="宋体" w:cs="宋体"/>
          <w:color w:val="auto"/>
          <w:spacing w:val="5"/>
          <w:sz w:val="22"/>
          <w:szCs w:val="22"/>
          <w:highlight w:val="none"/>
        </w:rPr>
        <w:t>担相应的法律责任。</w:t>
      </w:r>
    </w:p>
    <w:p w14:paraId="15722AA8">
      <w:pPr>
        <w:kinsoku w:val="0"/>
        <w:autoSpaceDE w:val="0"/>
        <w:autoSpaceDN w:val="0"/>
        <w:adjustRightInd w:val="0"/>
        <w:snapToGrid w:val="0"/>
        <w:spacing w:line="360" w:lineRule="auto"/>
        <w:jc w:val="center"/>
        <w:textAlignment w:val="baseline"/>
        <w:rPr>
          <w:rFonts w:hint="eastAsia" w:ascii="宋体" w:hAnsi="宋体" w:cs="宋体"/>
          <w:color w:val="auto"/>
          <w:sz w:val="22"/>
          <w:szCs w:val="22"/>
          <w:highlight w:val="none"/>
        </w:rPr>
      </w:pPr>
      <w:r>
        <w:rPr>
          <w:rFonts w:hint="eastAsia" w:ascii="宋体" w:hAnsi="宋体" w:cs="宋体"/>
          <w:b/>
          <w:bCs/>
          <w:color w:val="auto"/>
          <w:spacing w:val="4"/>
          <w:sz w:val="22"/>
          <w:szCs w:val="22"/>
          <w:highlight w:val="none"/>
        </w:rPr>
        <w:t>F</w:t>
      </w:r>
      <w:r>
        <w:rPr>
          <w:rFonts w:hint="eastAsia" w:ascii="宋体" w:hAnsi="宋体" w:cs="宋体"/>
          <w:color w:val="auto"/>
          <w:spacing w:val="10"/>
          <w:sz w:val="22"/>
          <w:szCs w:val="22"/>
          <w:highlight w:val="none"/>
        </w:rPr>
        <w:t xml:space="preserve">  </w:t>
      </w:r>
      <w:r>
        <w:rPr>
          <w:rFonts w:hint="eastAsia" w:ascii="宋体" w:hAnsi="宋体" w:cs="宋体"/>
          <w:b/>
          <w:bCs/>
          <w:color w:val="auto"/>
          <w:spacing w:val="4"/>
          <w:sz w:val="22"/>
          <w:szCs w:val="22"/>
          <w:highlight w:val="none"/>
        </w:rPr>
        <w:t>确定中标</w:t>
      </w:r>
    </w:p>
    <w:p w14:paraId="1C4B50B4">
      <w:pPr>
        <w:kinsoku w:val="0"/>
        <w:autoSpaceDE w:val="0"/>
        <w:autoSpaceDN w:val="0"/>
        <w:adjustRightInd w:val="0"/>
        <w:snapToGrid w:val="0"/>
        <w:spacing w:line="360" w:lineRule="auto"/>
        <w:textAlignment w:val="baseline"/>
        <w:outlineLvl w:val="2"/>
        <w:rPr>
          <w:rFonts w:hint="eastAsia" w:ascii="宋体" w:hAnsi="宋体" w:cs="宋体"/>
          <w:color w:val="auto"/>
          <w:sz w:val="22"/>
          <w:szCs w:val="22"/>
          <w:highlight w:val="none"/>
        </w:rPr>
      </w:pPr>
      <w:r>
        <w:rPr>
          <w:rFonts w:hint="eastAsia" w:ascii="宋体" w:hAnsi="宋体" w:cs="宋体"/>
          <w:b/>
          <w:bCs/>
          <w:color w:val="auto"/>
          <w:spacing w:val="4"/>
          <w:sz w:val="22"/>
          <w:szCs w:val="22"/>
          <w:highlight w:val="none"/>
        </w:rPr>
        <w:t>24.最终审查</w:t>
      </w:r>
    </w:p>
    <w:p w14:paraId="7D030047">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5"/>
          <w:sz w:val="22"/>
          <w:szCs w:val="22"/>
          <w:highlight w:val="none"/>
        </w:rPr>
        <w:t>24.1</w:t>
      </w:r>
      <w:r>
        <w:rPr>
          <w:rFonts w:hint="eastAsia" w:ascii="宋体" w:hAnsi="宋体" w:cs="宋体"/>
          <w:color w:val="auto"/>
          <w:spacing w:val="-42"/>
          <w:sz w:val="22"/>
          <w:szCs w:val="22"/>
          <w:highlight w:val="none"/>
        </w:rPr>
        <w:t xml:space="preserve"> </w:t>
      </w:r>
      <w:r>
        <w:rPr>
          <w:rFonts w:hint="eastAsia" w:ascii="宋体" w:hAnsi="宋体" w:cs="宋体"/>
          <w:color w:val="auto"/>
          <w:spacing w:val="5"/>
          <w:sz w:val="22"/>
          <w:szCs w:val="22"/>
          <w:highlight w:val="none"/>
        </w:rPr>
        <w:t>评标委员会按照招标文件确定的评标标准和方法，对投标文件进行评审，并提出书面</w:t>
      </w:r>
      <w:r>
        <w:rPr>
          <w:rFonts w:hint="eastAsia" w:ascii="宋体" w:hAnsi="宋体" w:cs="宋体"/>
          <w:color w:val="auto"/>
          <w:spacing w:val="4"/>
          <w:sz w:val="22"/>
          <w:szCs w:val="22"/>
          <w:highlight w:val="none"/>
        </w:rPr>
        <w:t>评标报告，</w:t>
      </w:r>
      <w:r>
        <w:rPr>
          <w:rFonts w:hint="eastAsia" w:ascii="宋体" w:hAnsi="宋体" w:cs="宋体"/>
          <w:color w:val="auto"/>
          <w:spacing w:val="9"/>
          <w:sz w:val="22"/>
          <w:szCs w:val="22"/>
          <w:highlight w:val="none"/>
        </w:rPr>
        <w:t>推荐中标候选人。最终审查的对象是招标项目的合格的供应商。</w:t>
      </w:r>
    </w:p>
    <w:p w14:paraId="169DE2FE">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8"/>
          <w:sz w:val="22"/>
          <w:szCs w:val="22"/>
          <w:highlight w:val="none"/>
        </w:rPr>
        <w:t>24.2 最终审查的内容是对合格的供应商的产品进行产品性能、技术状况、生</w:t>
      </w:r>
      <w:r>
        <w:rPr>
          <w:rFonts w:hint="eastAsia" w:ascii="宋体" w:hAnsi="宋体" w:cs="宋体"/>
          <w:color w:val="auto"/>
          <w:spacing w:val="7"/>
          <w:sz w:val="22"/>
          <w:szCs w:val="22"/>
          <w:highlight w:val="none"/>
        </w:rPr>
        <w:t>产条件、产品质量、财</w:t>
      </w:r>
      <w:r>
        <w:rPr>
          <w:rFonts w:hint="eastAsia" w:ascii="宋体" w:hAnsi="宋体" w:cs="宋体"/>
          <w:color w:val="auto"/>
          <w:spacing w:val="9"/>
          <w:sz w:val="22"/>
          <w:szCs w:val="22"/>
          <w:highlight w:val="none"/>
        </w:rPr>
        <w:t>务状况、资格、信誉以及采购人认为有必要了解的其他问题作进一步的审查。</w:t>
      </w:r>
    </w:p>
    <w:p w14:paraId="37D076B7">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8"/>
          <w:sz w:val="22"/>
          <w:szCs w:val="22"/>
          <w:highlight w:val="none"/>
        </w:rPr>
        <w:t>24.3 接受最终审查的合格的供应商，必须如实回答和受理采购人的询</w:t>
      </w:r>
      <w:r>
        <w:rPr>
          <w:rFonts w:hint="eastAsia" w:ascii="宋体" w:hAnsi="宋体" w:cs="宋体"/>
          <w:color w:val="auto"/>
          <w:spacing w:val="7"/>
          <w:sz w:val="22"/>
          <w:szCs w:val="22"/>
          <w:highlight w:val="none"/>
        </w:rPr>
        <w:t>问或考查，并提供所需的有关</w:t>
      </w:r>
      <w:r>
        <w:rPr>
          <w:rFonts w:hint="eastAsia" w:ascii="宋体" w:hAnsi="宋体" w:cs="宋体"/>
          <w:color w:val="auto"/>
          <w:sz w:val="22"/>
          <w:szCs w:val="22"/>
          <w:highlight w:val="none"/>
        </w:rPr>
        <w:t>资料。</w:t>
      </w:r>
    </w:p>
    <w:p w14:paraId="65A3E6DD">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8"/>
          <w:sz w:val="22"/>
          <w:szCs w:val="22"/>
          <w:highlight w:val="none"/>
        </w:rPr>
        <w:t>24.4</w:t>
      </w:r>
      <w:r>
        <w:rPr>
          <w:rFonts w:hint="eastAsia" w:ascii="宋体" w:hAnsi="宋体" w:cs="宋体"/>
          <w:color w:val="auto"/>
          <w:spacing w:val="-25"/>
          <w:sz w:val="22"/>
          <w:szCs w:val="22"/>
          <w:highlight w:val="none"/>
        </w:rPr>
        <w:t xml:space="preserve"> </w:t>
      </w:r>
      <w:r>
        <w:rPr>
          <w:rFonts w:hint="eastAsia" w:ascii="宋体" w:hAnsi="宋体" w:cs="宋体"/>
          <w:color w:val="auto"/>
          <w:spacing w:val="8"/>
          <w:sz w:val="22"/>
          <w:szCs w:val="22"/>
          <w:highlight w:val="none"/>
        </w:rPr>
        <w:t>评标委员会从合格的供应商中推荐中标候选人，并写出完整的评标报告。</w:t>
      </w:r>
    </w:p>
    <w:p w14:paraId="253A0594">
      <w:pPr>
        <w:kinsoku w:val="0"/>
        <w:autoSpaceDE w:val="0"/>
        <w:autoSpaceDN w:val="0"/>
        <w:adjustRightInd w:val="0"/>
        <w:snapToGrid w:val="0"/>
        <w:spacing w:line="360" w:lineRule="auto"/>
        <w:textAlignment w:val="baseline"/>
        <w:outlineLvl w:val="2"/>
        <w:rPr>
          <w:rFonts w:hint="eastAsia" w:ascii="宋体" w:hAnsi="宋体" w:cs="宋体"/>
          <w:color w:val="auto"/>
          <w:sz w:val="22"/>
          <w:szCs w:val="22"/>
          <w:highlight w:val="none"/>
        </w:rPr>
      </w:pPr>
      <w:r>
        <w:rPr>
          <w:rFonts w:hint="eastAsia" w:ascii="宋体" w:hAnsi="宋体" w:cs="宋体"/>
          <w:b/>
          <w:bCs/>
          <w:color w:val="auto"/>
          <w:spacing w:val="4"/>
          <w:sz w:val="22"/>
          <w:szCs w:val="22"/>
          <w:highlight w:val="none"/>
        </w:rPr>
        <w:t>25.中标通知</w:t>
      </w:r>
    </w:p>
    <w:p w14:paraId="2C01E01E">
      <w:pPr>
        <w:kinsoku w:val="0"/>
        <w:autoSpaceDE w:val="0"/>
        <w:autoSpaceDN w:val="0"/>
        <w:adjustRightInd w:val="0"/>
        <w:snapToGrid w:val="0"/>
        <w:spacing w:line="360" w:lineRule="auto"/>
        <w:textAlignment w:val="baseline"/>
        <w:rPr>
          <w:rFonts w:hint="eastAsia" w:ascii="宋体" w:hAnsi="宋体" w:cs="宋体"/>
          <w:color w:val="auto"/>
          <w:spacing w:val="7"/>
          <w:sz w:val="22"/>
          <w:szCs w:val="22"/>
          <w:highlight w:val="none"/>
        </w:rPr>
      </w:pPr>
      <w:r>
        <w:rPr>
          <w:rFonts w:hint="eastAsia" w:ascii="宋体" w:hAnsi="宋体" w:cs="宋体"/>
          <w:color w:val="auto"/>
          <w:spacing w:val="8"/>
          <w:sz w:val="22"/>
          <w:szCs w:val="22"/>
          <w:highlight w:val="none"/>
        </w:rPr>
        <w:t>25.1</w:t>
      </w:r>
      <w:r>
        <w:rPr>
          <w:rFonts w:hint="eastAsia" w:ascii="宋体" w:hAnsi="宋体" w:cs="宋体"/>
          <w:color w:val="auto"/>
          <w:spacing w:val="-30"/>
          <w:sz w:val="22"/>
          <w:szCs w:val="22"/>
          <w:highlight w:val="none"/>
        </w:rPr>
        <w:t xml:space="preserve"> </w:t>
      </w:r>
      <w:r>
        <w:rPr>
          <w:rFonts w:hint="eastAsia" w:ascii="宋体" w:hAnsi="宋体" w:cs="宋体"/>
          <w:color w:val="auto"/>
          <w:spacing w:val="8"/>
          <w:sz w:val="22"/>
          <w:szCs w:val="22"/>
          <w:highlight w:val="none"/>
        </w:rPr>
        <w:t>采购代理机构在中标供应商确定后</w:t>
      </w:r>
      <w:r>
        <w:rPr>
          <w:rFonts w:hint="eastAsia" w:ascii="宋体" w:hAnsi="宋体" w:cs="宋体"/>
          <w:color w:val="auto"/>
          <w:spacing w:val="-34"/>
          <w:sz w:val="22"/>
          <w:szCs w:val="22"/>
          <w:highlight w:val="none"/>
        </w:rPr>
        <w:t xml:space="preserve"> </w:t>
      </w:r>
      <w:r>
        <w:rPr>
          <w:rFonts w:hint="eastAsia" w:ascii="宋体" w:hAnsi="宋体" w:cs="宋体"/>
          <w:color w:val="auto"/>
          <w:spacing w:val="8"/>
          <w:sz w:val="22"/>
          <w:szCs w:val="22"/>
          <w:highlight w:val="none"/>
        </w:rPr>
        <w:t>2</w:t>
      </w:r>
      <w:r>
        <w:rPr>
          <w:rFonts w:hint="eastAsia" w:ascii="宋体" w:hAnsi="宋体" w:cs="宋体"/>
          <w:color w:val="auto"/>
          <w:spacing w:val="-41"/>
          <w:sz w:val="22"/>
          <w:szCs w:val="22"/>
          <w:highlight w:val="none"/>
        </w:rPr>
        <w:t xml:space="preserve"> </w:t>
      </w:r>
      <w:r>
        <w:rPr>
          <w:rFonts w:hint="eastAsia" w:ascii="宋体" w:hAnsi="宋体" w:cs="宋体"/>
          <w:color w:val="auto"/>
          <w:spacing w:val="8"/>
          <w:sz w:val="22"/>
          <w:szCs w:val="22"/>
          <w:highlight w:val="none"/>
        </w:rPr>
        <w:t>个工作日内，在发布招标公告媒体上公告中标结果，同时</w:t>
      </w:r>
      <w:r>
        <w:rPr>
          <w:rFonts w:hint="eastAsia" w:ascii="宋体" w:hAnsi="宋体" w:cs="宋体"/>
          <w:color w:val="auto"/>
          <w:spacing w:val="10"/>
          <w:sz w:val="22"/>
          <w:szCs w:val="22"/>
          <w:highlight w:val="none"/>
        </w:rPr>
        <w:t>向中标供应商发出中标通知书，向未中标供应商发出未中</w:t>
      </w:r>
      <w:r>
        <w:rPr>
          <w:rFonts w:hint="eastAsia" w:ascii="宋体" w:hAnsi="宋体" w:cs="宋体"/>
          <w:color w:val="auto"/>
          <w:spacing w:val="9"/>
          <w:sz w:val="22"/>
          <w:szCs w:val="22"/>
          <w:highlight w:val="none"/>
        </w:rPr>
        <w:t>标结果通知书，同时将中标结果通知</w:t>
      </w:r>
      <w:r>
        <w:rPr>
          <w:rFonts w:hint="eastAsia" w:ascii="宋体" w:hAnsi="宋体" w:cs="宋体"/>
          <w:color w:val="auto"/>
          <w:spacing w:val="7"/>
          <w:sz w:val="22"/>
          <w:szCs w:val="22"/>
          <w:highlight w:val="none"/>
        </w:rPr>
        <w:t>未中标的供应商。</w:t>
      </w:r>
    </w:p>
    <w:p w14:paraId="24F9327A">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6"/>
          <w:sz w:val="22"/>
          <w:szCs w:val="22"/>
          <w:highlight w:val="none"/>
        </w:rPr>
        <w:t>25.2</w:t>
      </w:r>
      <w:r>
        <w:rPr>
          <w:rFonts w:hint="eastAsia" w:ascii="宋体" w:hAnsi="宋体" w:cs="宋体"/>
          <w:color w:val="auto"/>
          <w:spacing w:val="-16"/>
          <w:sz w:val="22"/>
          <w:szCs w:val="22"/>
          <w:highlight w:val="none"/>
        </w:rPr>
        <w:t xml:space="preserve"> </w:t>
      </w:r>
      <w:r>
        <w:rPr>
          <w:rFonts w:hint="eastAsia" w:ascii="宋体" w:hAnsi="宋体" w:cs="宋体"/>
          <w:color w:val="auto"/>
          <w:spacing w:val="9"/>
          <w:sz w:val="22"/>
          <w:szCs w:val="22"/>
          <w:highlight w:val="none"/>
        </w:rPr>
        <w:t>当中标人按第 26 条规定与买方签定合同后，采购人将向其他供应商发出招标结果通知，并在 5个工作日内退还投标保证金。采购人对未中标的供应商不作落标原因的解释。</w:t>
      </w:r>
    </w:p>
    <w:p w14:paraId="2484A027">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b/>
          <w:bCs/>
          <w:color w:val="auto"/>
          <w:spacing w:val="4"/>
          <w:sz w:val="22"/>
          <w:szCs w:val="22"/>
          <w:highlight w:val="none"/>
        </w:rPr>
        <w:t>26.签定合同</w:t>
      </w:r>
    </w:p>
    <w:p w14:paraId="05DC98F7">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9"/>
          <w:sz w:val="22"/>
          <w:szCs w:val="22"/>
          <w:highlight w:val="none"/>
        </w:rPr>
        <w:t>中标人应按中标通知书中规定的时间、地点与买方签定合同，否则按开标后撤回投标处理。供货合同采用工商管理部门制定的标准格式合同。招标文件、中标人的投标文件及评标过程中</w:t>
      </w:r>
      <w:r>
        <w:rPr>
          <w:rFonts w:hint="eastAsia" w:ascii="宋体" w:hAnsi="宋体" w:cs="宋体"/>
          <w:color w:val="auto"/>
          <w:spacing w:val="8"/>
          <w:sz w:val="22"/>
          <w:szCs w:val="22"/>
          <w:highlight w:val="none"/>
        </w:rPr>
        <w:t>有关澄清文件均应作为合同组成部分。</w:t>
      </w:r>
    </w:p>
    <w:p w14:paraId="7B1547AD">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b/>
          <w:bCs/>
          <w:color w:val="auto"/>
          <w:spacing w:val="4"/>
          <w:sz w:val="22"/>
          <w:szCs w:val="22"/>
          <w:highlight w:val="none"/>
        </w:rPr>
        <w:t>27.数量变更</w:t>
      </w:r>
    </w:p>
    <w:p w14:paraId="6ADA94E8">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9"/>
          <w:sz w:val="22"/>
          <w:szCs w:val="22"/>
          <w:highlight w:val="none"/>
        </w:rPr>
        <w:t>采购人有权根据项目实际需要部分变更数量和服务的内容。</w:t>
      </w:r>
    </w:p>
    <w:p w14:paraId="3D25E883">
      <w:pPr>
        <w:kinsoku w:val="0"/>
        <w:autoSpaceDE w:val="0"/>
        <w:autoSpaceDN w:val="0"/>
        <w:adjustRightInd w:val="0"/>
        <w:snapToGrid w:val="0"/>
        <w:spacing w:line="360" w:lineRule="auto"/>
        <w:jc w:val="center"/>
        <w:textAlignment w:val="baseline"/>
        <w:outlineLvl w:val="1"/>
        <w:rPr>
          <w:rFonts w:hint="eastAsia" w:ascii="宋体" w:hAnsi="宋体" w:cs="宋体"/>
          <w:color w:val="auto"/>
          <w:sz w:val="22"/>
          <w:szCs w:val="22"/>
          <w:highlight w:val="none"/>
        </w:rPr>
      </w:pPr>
      <w:r>
        <w:rPr>
          <w:rFonts w:hint="eastAsia" w:ascii="宋体" w:hAnsi="宋体" w:cs="宋体"/>
          <w:b/>
          <w:bCs/>
          <w:color w:val="auto"/>
          <w:spacing w:val="1"/>
          <w:sz w:val="22"/>
          <w:szCs w:val="22"/>
          <w:highlight w:val="none"/>
        </w:rPr>
        <w:t>G</w:t>
      </w:r>
      <w:r>
        <w:rPr>
          <w:rFonts w:hint="eastAsia" w:ascii="宋体" w:hAnsi="宋体" w:cs="宋体"/>
          <w:color w:val="auto"/>
          <w:spacing w:val="-16"/>
          <w:sz w:val="22"/>
          <w:szCs w:val="22"/>
          <w:highlight w:val="none"/>
        </w:rPr>
        <w:t xml:space="preserve"> </w:t>
      </w:r>
      <w:r>
        <w:rPr>
          <w:rFonts w:hint="eastAsia" w:ascii="宋体" w:hAnsi="宋体" w:cs="宋体"/>
          <w:b/>
          <w:bCs/>
          <w:color w:val="auto"/>
          <w:spacing w:val="1"/>
          <w:sz w:val="22"/>
          <w:szCs w:val="22"/>
          <w:highlight w:val="none"/>
        </w:rPr>
        <w:t>中标服务费</w:t>
      </w:r>
    </w:p>
    <w:p w14:paraId="68202EA9">
      <w:pPr>
        <w:kinsoku w:val="0"/>
        <w:autoSpaceDE w:val="0"/>
        <w:autoSpaceDN w:val="0"/>
        <w:adjustRightInd w:val="0"/>
        <w:snapToGrid w:val="0"/>
        <w:spacing w:line="360" w:lineRule="auto"/>
        <w:textAlignment w:val="baseline"/>
        <w:outlineLvl w:val="2"/>
        <w:rPr>
          <w:rFonts w:hint="eastAsia" w:ascii="宋体" w:hAnsi="宋体" w:cs="宋体"/>
          <w:color w:val="auto"/>
          <w:sz w:val="22"/>
          <w:szCs w:val="22"/>
          <w:highlight w:val="none"/>
        </w:rPr>
      </w:pPr>
      <w:r>
        <w:rPr>
          <w:rFonts w:hint="eastAsia" w:ascii="宋体" w:hAnsi="宋体" w:cs="宋体"/>
          <w:b/>
          <w:bCs/>
          <w:color w:val="auto"/>
          <w:spacing w:val="5"/>
          <w:sz w:val="22"/>
          <w:szCs w:val="22"/>
          <w:highlight w:val="none"/>
        </w:rPr>
        <w:t>28.中标服务费</w:t>
      </w:r>
    </w:p>
    <w:p w14:paraId="01610CAC">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8"/>
          <w:sz w:val="22"/>
          <w:szCs w:val="22"/>
          <w:highlight w:val="none"/>
        </w:rPr>
        <w:t>28.1</w:t>
      </w:r>
      <w:r>
        <w:rPr>
          <w:rFonts w:hint="eastAsia" w:ascii="宋体" w:hAnsi="宋体" w:cs="宋体"/>
          <w:color w:val="auto"/>
          <w:spacing w:val="-17"/>
          <w:sz w:val="22"/>
          <w:szCs w:val="22"/>
          <w:highlight w:val="none"/>
        </w:rPr>
        <w:t xml:space="preserve"> </w:t>
      </w:r>
      <w:r>
        <w:rPr>
          <w:rFonts w:hint="eastAsia" w:ascii="宋体" w:hAnsi="宋体" w:cs="宋体"/>
          <w:color w:val="auto"/>
          <w:spacing w:val="8"/>
          <w:sz w:val="22"/>
          <w:szCs w:val="22"/>
          <w:highlight w:val="none"/>
        </w:rPr>
        <w:t>中标人须按招标文件中标服务费收取规定的标准向采购代理机构缴纳中标服务费。</w:t>
      </w:r>
    </w:p>
    <w:p w14:paraId="5E0012EC">
      <w:pPr>
        <w:kinsoku w:val="0"/>
        <w:autoSpaceDE w:val="0"/>
        <w:autoSpaceDN w:val="0"/>
        <w:adjustRightInd w:val="0"/>
        <w:snapToGrid w:val="0"/>
        <w:spacing w:line="360" w:lineRule="auto"/>
        <w:textAlignment w:val="baseline"/>
        <w:rPr>
          <w:rFonts w:hint="eastAsia" w:ascii="宋体" w:hAnsi="宋体" w:cs="宋体"/>
          <w:color w:val="auto"/>
          <w:sz w:val="22"/>
          <w:szCs w:val="22"/>
          <w:highlight w:val="none"/>
        </w:rPr>
      </w:pPr>
      <w:r>
        <w:rPr>
          <w:rFonts w:hint="eastAsia" w:ascii="宋体" w:hAnsi="宋体" w:cs="宋体"/>
          <w:color w:val="auto"/>
          <w:spacing w:val="8"/>
          <w:sz w:val="22"/>
          <w:szCs w:val="22"/>
          <w:highlight w:val="none"/>
        </w:rPr>
        <w:t>28.2</w:t>
      </w:r>
      <w:r>
        <w:rPr>
          <w:rFonts w:hint="eastAsia" w:ascii="宋体" w:hAnsi="宋体" w:cs="宋体"/>
          <w:color w:val="auto"/>
          <w:spacing w:val="-21"/>
          <w:sz w:val="22"/>
          <w:szCs w:val="22"/>
          <w:highlight w:val="none"/>
        </w:rPr>
        <w:t xml:space="preserve"> </w:t>
      </w:r>
      <w:r>
        <w:rPr>
          <w:rFonts w:hint="eastAsia" w:ascii="宋体" w:hAnsi="宋体" w:cs="宋体"/>
          <w:color w:val="auto"/>
          <w:spacing w:val="8"/>
          <w:sz w:val="22"/>
          <w:szCs w:val="22"/>
          <w:highlight w:val="none"/>
        </w:rPr>
        <w:t>中标人在收到《中标通知书》后向采购代理机构一次性缴纳中标服务</w:t>
      </w:r>
      <w:r>
        <w:rPr>
          <w:rFonts w:hint="eastAsia" w:ascii="宋体" w:hAnsi="宋体" w:cs="宋体"/>
          <w:color w:val="auto"/>
          <w:spacing w:val="7"/>
          <w:sz w:val="22"/>
          <w:szCs w:val="22"/>
          <w:highlight w:val="none"/>
        </w:rPr>
        <w:t>费。</w:t>
      </w:r>
    </w:p>
    <w:p w14:paraId="5FFD7817">
      <w:pPr>
        <w:spacing w:line="360" w:lineRule="auto"/>
        <w:rPr>
          <w:rFonts w:hint="eastAsia" w:asciiTheme="minorEastAsia" w:hAnsiTheme="minorEastAsia" w:cstheme="minorEastAsia"/>
          <w:color w:val="auto"/>
          <w:spacing w:val="-6"/>
          <w:sz w:val="21"/>
          <w:szCs w:val="21"/>
          <w:highlight w:val="none"/>
        </w:rPr>
      </w:pPr>
      <w:r>
        <w:rPr>
          <w:rFonts w:hint="eastAsia" w:ascii="宋体" w:hAnsi="宋体" w:cs="宋体"/>
          <w:color w:val="auto"/>
          <w:spacing w:val="8"/>
          <w:sz w:val="22"/>
          <w:szCs w:val="22"/>
          <w:highlight w:val="none"/>
        </w:rPr>
        <w:t>28.3 其他费用遵照国家、地方有关规</w:t>
      </w:r>
      <w:r>
        <w:rPr>
          <w:rFonts w:hint="eastAsia" w:ascii="宋体" w:hAnsi="宋体" w:cs="宋体"/>
          <w:color w:val="auto"/>
          <w:spacing w:val="7"/>
          <w:sz w:val="22"/>
          <w:szCs w:val="22"/>
          <w:highlight w:val="none"/>
        </w:rPr>
        <w:t>定执行。</w:t>
      </w:r>
    </w:p>
    <w:p w14:paraId="279C7F82">
      <w:pPr>
        <w:pStyle w:val="16"/>
        <w:rPr>
          <w:rFonts w:hint="eastAsia" w:asciiTheme="minorEastAsia" w:hAnsiTheme="minorEastAsia" w:eastAsiaTheme="minorEastAsia" w:cstheme="minorEastAsia"/>
          <w:color w:val="auto"/>
          <w:spacing w:val="-6"/>
          <w:sz w:val="21"/>
          <w:szCs w:val="21"/>
          <w:highlight w:val="none"/>
        </w:rPr>
      </w:pPr>
    </w:p>
    <w:bookmarkEnd w:id="7"/>
    <w:bookmarkEnd w:id="8"/>
    <w:bookmarkEnd w:id="9"/>
    <w:bookmarkEnd w:id="10"/>
    <w:bookmarkEnd w:id="11"/>
    <w:p w14:paraId="393AC643">
      <w:pPr>
        <w:autoSpaceDE w:val="0"/>
        <w:autoSpaceDN w:val="0"/>
        <w:adjustRightInd w:val="0"/>
        <w:jc w:val="center"/>
        <w:rPr>
          <w:rFonts w:ascii="宋体" w:cs="宋体"/>
          <w:b/>
          <w:bCs/>
          <w:color w:val="auto"/>
          <w:sz w:val="24"/>
          <w:highlight w:val="none"/>
          <w:lang w:val="zh-CN"/>
        </w:rPr>
        <w:sectPr>
          <w:pgSz w:w="11906" w:h="16838"/>
          <w:pgMar w:top="1418" w:right="1134" w:bottom="1418" w:left="1417" w:header="720" w:footer="720" w:gutter="0"/>
          <w:cols w:space="720" w:num="1"/>
          <w:docGrid w:linePitch="312" w:charSpace="0"/>
        </w:sectPr>
      </w:pPr>
      <w:bookmarkStart w:id="20" w:name="_Toc445838428"/>
      <w:bookmarkStart w:id="21" w:name="_Toc445837911"/>
      <w:bookmarkStart w:id="22" w:name="_Toc445901290"/>
      <w:bookmarkStart w:id="23" w:name="_Toc445838122"/>
    </w:p>
    <w:p w14:paraId="1D7000F3">
      <w:pPr>
        <w:autoSpaceDE w:val="0"/>
        <w:autoSpaceDN w:val="0"/>
        <w:adjustRightInd w:val="0"/>
        <w:jc w:val="center"/>
        <w:outlineLvl w:val="0"/>
        <w:rPr>
          <w:rFonts w:hint="eastAsia" w:asciiTheme="minorEastAsia" w:hAnsiTheme="minorEastAsia" w:eastAsiaTheme="minorEastAsia" w:cstheme="minorEastAsia"/>
          <w:b/>
          <w:bCs/>
          <w:color w:val="auto"/>
          <w:sz w:val="36"/>
          <w:szCs w:val="36"/>
          <w:highlight w:val="none"/>
        </w:rPr>
      </w:pPr>
      <w:bookmarkStart w:id="24" w:name="_Toc27025"/>
      <w:r>
        <w:rPr>
          <w:rFonts w:hint="eastAsia" w:asciiTheme="minorEastAsia" w:hAnsiTheme="minorEastAsia" w:eastAsiaTheme="minorEastAsia" w:cstheme="minorEastAsia"/>
          <w:b/>
          <w:bCs/>
          <w:color w:val="auto"/>
          <w:sz w:val="36"/>
          <w:szCs w:val="36"/>
          <w:highlight w:val="none"/>
        </w:rPr>
        <w:t>第四章</w:t>
      </w:r>
      <w:r>
        <w:rPr>
          <w:rFonts w:hint="eastAsia" w:ascii="宋体" w:cs="宋体"/>
          <w:b/>
          <w:bCs/>
          <w:color w:val="auto"/>
          <w:sz w:val="36"/>
          <w:szCs w:val="36"/>
          <w:highlight w:val="none"/>
        </w:rPr>
        <w:t xml:space="preserve"> </w:t>
      </w:r>
      <w:bookmarkEnd w:id="24"/>
      <w:r>
        <w:rPr>
          <w:rFonts w:hint="eastAsia" w:asciiTheme="minorEastAsia" w:hAnsiTheme="minorEastAsia" w:eastAsiaTheme="minorEastAsia" w:cstheme="minorEastAsia"/>
          <w:b/>
          <w:bCs/>
          <w:color w:val="auto"/>
          <w:sz w:val="36"/>
          <w:szCs w:val="36"/>
          <w:highlight w:val="none"/>
          <w:lang w:val="zh-CN"/>
        </w:rPr>
        <w:t>采购需求</w:t>
      </w: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565"/>
        <w:gridCol w:w="565"/>
        <w:gridCol w:w="7614"/>
        <w:gridCol w:w="472"/>
      </w:tblGrid>
      <w:tr w14:paraId="25F3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14:paraId="05D37C0E">
            <w:pPr>
              <w:jc w:val="center"/>
              <w:rPr>
                <w:rFonts w:hint="eastAsia" w:ascii="仿宋" w:hAnsi="仿宋" w:eastAsia="仿宋"/>
                <w:color w:val="auto"/>
                <w:sz w:val="28"/>
                <w:szCs w:val="28"/>
                <w:highlight w:val="none"/>
              </w:rPr>
            </w:pPr>
            <w:bookmarkStart w:id="25" w:name="_Hlk194400500"/>
            <w:r>
              <w:rPr>
                <w:rFonts w:hint="eastAsia" w:ascii="仿宋" w:hAnsi="仿宋" w:eastAsia="仿宋"/>
                <w:color w:val="auto"/>
                <w:sz w:val="28"/>
                <w:szCs w:val="28"/>
                <w:highlight w:val="none"/>
              </w:rPr>
              <w:t>序号</w:t>
            </w:r>
          </w:p>
        </w:tc>
        <w:tc>
          <w:tcPr>
            <w:tcW w:w="291" w:type="pct"/>
          </w:tcPr>
          <w:p w14:paraId="311D6551">
            <w:pPr>
              <w:jc w:val="center"/>
              <w:rPr>
                <w:rFonts w:hint="eastAsia" w:ascii="仿宋" w:hAnsi="仿宋" w:eastAsia="仿宋"/>
                <w:color w:val="auto"/>
                <w:sz w:val="28"/>
                <w:szCs w:val="28"/>
                <w:highlight w:val="none"/>
              </w:rPr>
            </w:pPr>
          </w:p>
        </w:tc>
        <w:tc>
          <w:tcPr>
            <w:tcW w:w="291" w:type="pct"/>
            <w:vAlign w:val="center"/>
          </w:tcPr>
          <w:p w14:paraId="1D4ACD66">
            <w:pPr>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品类名称</w:t>
            </w:r>
          </w:p>
        </w:tc>
        <w:tc>
          <w:tcPr>
            <w:tcW w:w="3920" w:type="pct"/>
            <w:vAlign w:val="center"/>
          </w:tcPr>
          <w:p w14:paraId="59B69141">
            <w:pPr>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技术指标及规格（参数需求）</w:t>
            </w:r>
          </w:p>
        </w:tc>
        <w:tc>
          <w:tcPr>
            <w:tcW w:w="243" w:type="pct"/>
            <w:vAlign w:val="center"/>
          </w:tcPr>
          <w:p w14:paraId="4BEF443A">
            <w:pPr>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数量单位</w:t>
            </w:r>
          </w:p>
        </w:tc>
      </w:tr>
      <w:tr w14:paraId="0ECA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14:paraId="110B4143">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w:t>
            </w:r>
          </w:p>
        </w:tc>
        <w:tc>
          <w:tcPr>
            <w:tcW w:w="291" w:type="pct"/>
          </w:tcPr>
          <w:p w14:paraId="43D1E13E">
            <w:pPr>
              <w:rPr>
                <w:rFonts w:hint="eastAsia" w:ascii="仿宋" w:hAnsi="仿宋" w:eastAsia="仿宋"/>
                <w:color w:val="auto"/>
                <w:sz w:val="24"/>
                <w:szCs w:val="24"/>
                <w:highlight w:val="none"/>
              </w:rPr>
            </w:pPr>
          </w:p>
        </w:tc>
        <w:tc>
          <w:tcPr>
            <w:tcW w:w="291" w:type="pct"/>
            <w:vAlign w:val="center"/>
          </w:tcPr>
          <w:p w14:paraId="77D3574A">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模式动物运动行为捕获成像工作站（进口）</w:t>
            </w:r>
          </w:p>
        </w:tc>
        <w:tc>
          <w:tcPr>
            <w:tcW w:w="3920" w:type="pct"/>
            <w:vAlign w:val="center"/>
          </w:tcPr>
          <w:p w14:paraId="0367A7C7">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 双模态变倍成像模块</w:t>
            </w:r>
          </w:p>
          <w:p w14:paraId="1F7EDD24">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1.1光学系统：无限远校正光学系统</w:t>
            </w:r>
          </w:p>
          <w:p w14:paraId="2E05D147">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*1.2齐焦距离≤50mm；</w:t>
            </w:r>
          </w:p>
          <w:p w14:paraId="47AAD93C">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1.3放大倍数范围：不低于6.3X-1000X；备有内装式孔径光阑。</w:t>
            </w:r>
          </w:p>
          <w:p w14:paraId="337E275E">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*1.4 镜筒倾角调节范围不低于0°—22°，视野数≥25</w:t>
            </w:r>
          </w:p>
          <w:p w14:paraId="129700CA">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1.5光路选择:不少于 3档（目镜/拍照: 100/0 、20%/80%、 0/100）</w:t>
            </w:r>
          </w:p>
          <w:p w14:paraId="5D9BEF3B">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1.6 3D效果通过出瞳拆分（pupil separation）机制实现正像</w:t>
            </w:r>
          </w:p>
          <w:p w14:paraId="2490C96E">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1.7物镜</w:t>
            </w:r>
          </w:p>
          <w:p w14:paraId="02A80618">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1.7.1 1X复消色差物镜：(N.A.≥0.25；W.D.≥65mm)</w:t>
            </w:r>
          </w:p>
          <w:p w14:paraId="56E58FBA">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1.7.2 2X复消色差物镜：(N.A≥0.50；W.D.≥20mm)</w:t>
            </w:r>
          </w:p>
          <w:p w14:paraId="24D25AAC">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1.7.3  4X万能平场半复消色差物镜(N.A.≥0.13，W.D.≥17mm)</w:t>
            </w:r>
          </w:p>
          <w:p w14:paraId="57BB56C5">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1.7.4  10X万能平场半复消色差物镜（N.A.≥0.30, W.D.≥10mm）</w:t>
            </w:r>
          </w:p>
          <w:p w14:paraId="44B68A6A">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1.7.5  20X长工作距离半复消色差水镜（NA≥1.00,  W.D.≥2.0mm）</w:t>
            </w:r>
          </w:p>
          <w:p w14:paraId="082ACFEE">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1.7.6  40X万能平场半复消色差物镜（N.A.≥0.75, W.D.≥0.51带保护弹簧）</w:t>
            </w:r>
          </w:p>
          <w:p w14:paraId="1460E3AC">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1.7.7  60X万能平场复消色差水镜,（ NA≥1.20, W.D.≥0.28mm）</w:t>
            </w:r>
          </w:p>
          <w:p w14:paraId="5799B4CF">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1.7.8  100X万能平场半复消色差物镜（N.A.≥1.30 W.D.≥0.20mm带保护弹簧,油镜）</w:t>
            </w:r>
          </w:p>
          <w:p w14:paraId="052DA28F">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1.8 载物台：人机工程学、右手、低位置同轴驱动选钮的高抗磨损性陶瓷覆盖层载物台。手动五轴操作器，XYZ 最大行程不低于13mm, 微调步进不低于10微米；R最大行程不小于90°，R轴步进精度不低于10′；T轴最大行程不小于100mm</w:t>
            </w:r>
          </w:p>
          <w:p w14:paraId="455DF0A9">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1.9透射和反射光明场照明装置：</w:t>
            </w:r>
          </w:p>
          <w:p w14:paraId="1B6F7E29">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1.9.1透射光柯勒照明器，具有光强预设按钮、第二代光强管理按钮，高亮度。功率不低于14W高性能LED (≥5万小时寿命，需提供厂家彩页资料证明)配有专用色温调整滤光片</w:t>
            </w:r>
          </w:p>
          <w:p w14:paraId="4DF230DC">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1.9.2多种透射光源照明方式：标准反差和高级反差倾斜照明、明场照明、暗场照明</w:t>
            </w:r>
          </w:p>
          <w:p w14:paraId="0282F1B7">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1.9.3反射光源：长寿命LED双分支任意角度照明</w:t>
            </w:r>
          </w:p>
          <w:p w14:paraId="36A0E87A">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1.10荧光系统</w:t>
            </w:r>
          </w:p>
          <w:p w14:paraId="2A1537A1">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*1.10.1照明技术荧光装置系统：单层≥6孔位激发块镜组转换器</w:t>
            </w:r>
          </w:p>
          <w:p w14:paraId="7B768DF3">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1.10.2四通道带通激发块：GFP/YFP/CFP/RFP</w:t>
            </w:r>
          </w:p>
          <w:p w14:paraId="3531CC93">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1.10.3光源 ：长寿命光源，光谱范围涵盖紫外到可见光范围</w:t>
            </w:r>
          </w:p>
          <w:p w14:paraId="4562B742">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1.11聚光镜：不低于8孔微分干涉聚光镜,可适用物镜1.25X–100X,对应物镜的干涉附件；起偏器及检偏器；</w:t>
            </w:r>
          </w:p>
          <w:p w14:paraId="2A267293">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1.12超高速超分辨双模式成像系统：</w:t>
            </w:r>
          </w:p>
          <w:p w14:paraId="7AF22761">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*1.12.1超分辨模式：像素≥4900万像素；</w:t>
            </w:r>
          </w:p>
          <w:p w14:paraId="6CFB5745">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*1.12.2超高速模式：帧率：≥99fps</w:t>
            </w:r>
          </w:p>
          <w:p w14:paraId="3C855E06">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1.12.3像素尺寸：不小于6.5μm x 6.5μm </w:t>
            </w:r>
          </w:p>
          <w:p w14:paraId="674DDD36">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1.12.4 制冷系统：半导体制冷，低于环境温度45°</w:t>
            </w:r>
          </w:p>
          <w:p w14:paraId="51EE396C">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*1.12.5 科研相机半导体制冷芯片，非单反相机芯片：≥1英寸</w:t>
            </w:r>
          </w:p>
          <w:p w14:paraId="04D9965C">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1.12.6分辨率：超分辨模式可实现不低于8192x6000；超高速模式可实现不低于2048x2048</w:t>
            </w:r>
          </w:p>
          <w:p w14:paraId="0C8438D5">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1.12.7 最小曝光时间超分辨模式≤28微妙，超高速模式≤10 微秒</w:t>
            </w:r>
          </w:p>
          <w:p w14:paraId="6CC413FC">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*1.12.8 超高速模式下峰值量子效率：不低于90% </w:t>
            </w:r>
          </w:p>
          <w:p w14:paraId="1D486B16">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1.13 显微图像控制及分析软件</w:t>
            </w:r>
          </w:p>
          <w:p w14:paraId="7BCDD05A">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1.13.1 相机类型：彩色CMOS相机，全局快门</w:t>
            </w:r>
          </w:p>
          <w:p w14:paraId="360A5A2F">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*1.13.2 可采集的波长范围：不低于410-1000nm</w:t>
            </w:r>
          </w:p>
          <w:p w14:paraId="06FD8D77">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1.13.3 支持IR截止滤镜手动切换进出光路</w:t>
            </w:r>
          </w:p>
          <w:p w14:paraId="0E693E7B">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1.13.4 可以合成透射光和荧光通道及单荧光通道图片，显示荧光在细胞上的定位图像</w:t>
            </w:r>
          </w:p>
          <w:p w14:paraId="50950027">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1.13.5 可以实时进行图像拼接和景深扩展，实现完整立体图像的拍摄</w:t>
            </w:r>
          </w:p>
          <w:p w14:paraId="0AB16263">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1.13.6 可提供多种模式动物多种生理相关的读数，包括收缩期和舒张期间隔、心率，以及心跳节律失常的定性和定量测量</w:t>
            </w:r>
          </w:p>
          <w:p w14:paraId="772AE6E4">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1.13.7可计算模式动物心脏在舒张期和收缩期期间的直径测量，从而计算出分数缩短和分数面积的变化</w:t>
            </w:r>
          </w:p>
          <w:p w14:paraId="6CA1965F">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1.13.8 位置导航：可低倍扫描组织全景图，并针对感兴趣区域采集高倍高分率显微图像，并将低倍全景图和高倍高分率图像保存在一起</w:t>
            </w:r>
          </w:p>
          <w:p w14:paraId="6D25AA20">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1.13.9支持AI自动识别显微观察方法（明场、荧光、相差、微分干涉和偏光），自动获取最佳拍摄条件参数</w:t>
            </w:r>
          </w:p>
          <w:p w14:paraId="6F3380CA">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2.果蝇复眼显微成像模块</w:t>
            </w:r>
          </w:p>
          <w:p w14:paraId="3BB17DDA">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2.1光学系统：远心光学系统</w:t>
            </w:r>
          </w:p>
          <w:p w14:paraId="5D1B44C5">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2.2 可倾斜支架：可左右±90度倾斜</w:t>
            </w:r>
          </w:p>
          <w:p w14:paraId="18B014F0">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2.2.1显微镜倾斜时，同心光学设计能始终保持良好的视野，使您可以从多角度观察样品。</w:t>
            </w:r>
          </w:p>
          <w:p w14:paraId="1D18F617">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2.3放大倍数：范围≥25—25600倍</w:t>
            </w:r>
          </w:p>
          <w:p w14:paraId="218F38E7">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2.4观察方式：包含反射明场观察、反射偏斜观察、反射暗场观察、反射偏光观察、反射MIX明场暗场叠加观察、透射明场观察共不少于6种观察方式</w:t>
            </w:r>
          </w:p>
          <w:p w14:paraId="38F1C37C">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2.4.1多种观察方式以适用于不同类型样品的观察需求，所有观察方式均电动一键切换。</w:t>
            </w:r>
          </w:p>
          <w:p w14:paraId="4F101223">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2.5 Z轴：Z轴自动扫描行程≥100mm</w:t>
            </w:r>
          </w:p>
          <w:p w14:paraId="59A57426">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2.5.1可实现Z轴一键自动聚焦</w:t>
            </w:r>
          </w:p>
          <w:p w14:paraId="0996ED72">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2.6光源类型：透射LED平板光源/反射LED 光源四分区环形照明；使用寿命≥6万小时。</w:t>
            </w:r>
          </w:p>
          <w:p w14:paraId="77AC0219">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2.7载物台：XY两轴≥100X100mm电动台,可以实现通过操作手杆和软件控制XY方向移动。</w:t>
            </w:r>
          </w:p>
          <w:p w14:paraId="326A2F86">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2.8可观察试样高度：≥0-115mm</w:t>
            </w:r>
          </w:p>
          <w:p w14:paraId="0E7595E9">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2.9物镜：配备不少于3颗物镜，分别为1倍(N.A.≥0.03；W.D.≥51mm)、5倍(N.A.≥0.15；≥W.D.12mm)、20倍（N.A.≥0.3；W.D.≥3mm)。编码型镜头、自动识别、自动更新放大倍率和视野信息</w:t>
            </w:r>
          </w:p>
          <w:p w14:paraId="6471D7F3">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2.10半导体冷专用相机：高清彩色CMOS数字摄像头</w:t>
            </w:r>
          </w:p>
          <w:p w14:paraId="33A89B27">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2.10.1芯片尺寸≥1英寸，帧速率不低于60 fps</w:t>
            </w:r>
          </w:p>
          <w:p w14:paraId="66E3CC66">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2.11分析软件</w:t>
            </w:r>
          </w:p>
          <w:p w14:paraId="70EBACED">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2.11.1二维图像拍摄，三维图像拍摄、二维全景拼图 ，三维多视场拼图</w:t>
            </w:r>
          </w:p>
          <w:p w14:paraId="5FD8C71F">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2.11.2二维多种工具辅助线测量（包含圆度，长度，等高线等全部二维平面测量工具），三维测量，高度测量，体积测量，粗糙度测量</w:t>
            </w:r>
          </w:p>
          <w:p w14:paraId="06000295">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2.11.3附带离线版软件可以后期处理数据，不限下载人数</w:t>
            </w:r>
          </w:p>
          <w:p w14:paraId="4B1A7DE7">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3.配置</w:t>
            </w:r>
          </w:p>
          <w:p w14:paraId="4778B370">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3.1  多模态变倍成像主机 1套                            </w:t>
            </w:r>
          </w:p>
          <w:p w14:paraId="4B401B87">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3.2  果蝇复眼成像主机 1套                                      </w:t>
            </w:r>
          </w:p>
          <w:p w14:paraId="39AB831E">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3.3  双模态成像物镜（1X、2X、4X、5X、10X、20X、40X、60X、100X） 1套</w:t>
            </w:r>
          </w:p>
          <w:p w14:paraId="1979FB45">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3.4  果蝇复眼专用物镜（1X、5X、20X）1套                         </w:t>
            </w:r>
          </w:p>
          <w:p w14:paraId="06CCC584">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3.5  超高速超分辨成像系统 1套                                   </w:t>
            </w:r>
          </w:p>
          <w:p w14:paraId="141FE84C">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3.6  高速捕获成像分析软件 1套                                     </w:t>
            </w:r>
          </w:p>
          <w:p w14:paraId="3CFB1CEC">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3.7  电脑（国内采购。CPU：Intel i5及以上， 操作系统：Windows 10专业版64位，硬盘≥1 TGB，显示器：27寸）3台</w:t>
            </w:r>
          </w:p>
        </w:tc>
        <w:tc>
          <w:tcPr>
            <w:tcW w:w="243" w:type="pct"/>
            <w:vAlign w:val="center"/>
          </w:tcPr>
          <w:p w14:paraId="0CD4B730">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1台</w:t>
            </w:r>
          </w:p>
        </w:tc>
      </w:tr>
      <w:tr w14:paraId="182F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14:paraId="09BEA862">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w:t>
            </w:r>
          </w:p>
        </w:tc>
        <w:tc>
          <w:tcPr>
            <w:tcW w:w="291" w:type="pct"/>
          </w:tcPr>
          <w:p w14:paraId="4D02C2DB">
            <w:pPr>
              <w:rPr>
                <w:rFonts w:hint="eastAsia" w:ascii="仿宋" w:hAnsi="仿宋" w:eastAsia="仿宋"/>
                <w:color w:val="auto"/>
                <w:sz w:val="24"/>
                <w:szCs w:val="24"/>
                <w:highlight w:val="none"/>
              </w:rPr>
            </w:pPr>
          </w:p>
        </w:tc>
        <w:tc>
          <w:tcPr>
            <w:tcW w:w="291" w:type="pct"/>
            <w:vAlign w:val="center"/>
          </w:tcPr>
          <w:p w14:paraId="724E6202">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纳米粒度及电位分析仪</w:t>
            </w:r>
          </w:p>
        </w:tc>
        <w:tc>
          <w:tcPr>
            <w:tcW w:w="3920" w:type="pct"/>
            <w:vAlign w:val="center"/>
          </w:tcPr>
          <w:p w14:paraId="78B4D3A2">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*1.激光光源：高稳定氦氖（He-Ne）激光器，波长≤632.8nm，功率≤4mW</w:t>
            </w:r>
          </w:p>
          <w:p w14:paraId="3210F5E5">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2.检测器：雪崩式光电二极管（APD）检测器</w:t>
            </w:r>
          </w:p>
          <w:p w14:paraId="44427AD8">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*3.相关器：硬件相关器配置，采样时间间隔范围25ns – 8000s，≥4000通道</w:t>
            </w:r>
          </w:p>
          <w:p w14:paraId="7D7C9496">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4.粒径测量范围：0.3nm – 10μm（取决于样品）</w:t>
            </w:r>
          </w:p>
          <w:p w14:paraId="18EE6E9C">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5.粒径检测角度：≤90°</w:t>
            </w:r>
          </w:p>
          <w:p w14:paraId="65513A3F">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6.Zeta 电位范围：无实际限制</w:t>
            </w:r>
          </w:p>
          <w:p w14:paraId="1A0161FE">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7.Zeta电位试用测试的粒径上限：不小于100μm（取决于样品）</w:t>
            </w:r>
          </w:p>
          <w:p w14:paraId="637DB1B5">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8.Zeta电位检测角度：≥13°</w:t>
            </w:r>
          </w:p>
          <w:p w14:paraId="0329F8F9">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9.测量原理：动态光散射法、电泳光散射</w:t>
            </w:r>
          </w:p>
          <w:p w14:paraId="09DEF2AB">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10.粒径重复性误差：≤1%（NIST可追溯胶乳标样）</w:t>
            </w:r>
          </w:p>
          <w:p w14:paraId="049BA5F6">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11.最小样品容积：20µL</w:t>
            </w:r>
          </w:p>
          <w:p w14:paraId="5D2CE4B7">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12.最小样品浓度：≤1mg/mL（以样品为准）</w:t>
            </w:r>
          </w:p>
          <w:p w14:paraId="700C9C5C">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13.最小子测试时间≤1.68S</w:t>
            </w:r>
          </w:p>
          <w:p w14:paraId="6CC2E645">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14.可选微毛细管样品池测量范围上限至15μm，最小样品容积3µL</w:t>
            </w:r>
          </w:p>
          <w:p w14:paraId="7426C4E0">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15.试用测试的粒径上限：≥100μm（取决于样品）</w:t>
            </w:r>
          </w:p>
          <w:p w14:paraId="7E6ED582">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16.电泳速度范围：＞+20μ.cm/V.s/＜-20μ.cm/V.s</w:t>
            </w:r>
          </w:p>
          <w:p w14:paraId="22F98594">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17.最高样品浓度：40% w/v (取决于样品)</w:t>
            </w:r>
          </w:p>
          <w:p w14:paraId="7B2E3EAE">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18.最小样品容积：20μL</w:t>
            </w:r>
          </w:p>
          <w:p w14:paraId="5CC4BACB">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19.最高电导率：260mS/cm</w:t>
            </w:r>
          </w:p>
          <w:p w14:paraId="0DEDCA07">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20.Zeta电位检测技术：快慢场混合模式相位综合分析，恒流模式</w:t>
            </w:r>
          </w:p>
          <w:p w14:paraId="0332D72C">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21.冷凝控制方式：干燥空气吹扫（需外接气源）</w:t>
            </w:r>
          </w:p>
          <w:p w14:paraId="664212DE">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22.温度控制范围：0– 120℃ </w:t>
            </w:r>
          </w:p>
          <w:p w14:paraId="36190DBE">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23.温度控制精度：± 0.1℃ </w:t>
            </w:r>
          </w:p>
          <w:p w14:paraId="40534C2B">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24.配置：</w:t>
            </w:r>
          </w:p>
          <w:p w14:paraId="3D4FBF60">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24.1纳米粒度及电位分析仪主机一台。</w:t>
            </w:r>
          </w:p>
          <w:p w14:paraId="49CAFA40">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24.2纳米粒度及电位分析仪安装配件一套。</w:t>
            </w:r>
          </w:p>
          <w:p w14:paraId="42AF8146">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24.3纳米粒度及电位分析仪专用软件一套。</w:t>
            </w:r>
          </w:p>
          <w:p w14:paraId="2EBE41E7">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24.4滤膜20包。</w:t>
            </w:r>
          </w:p>
          <w:p w14:paraId="735948DD">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24.5电位转移注射器两个。</w:t>
            </w:r>
          </w:p>
          <w:p w14:paraId="060EFCD1">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24.6普通样品池（100个）一盒。</w:t>
            </w:r>
          </w:p>
          <w:p w14:paraId="1D059205">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24.7电位样品池（10个）一盒。</w:t>
            </w:r>
          </w:p>
          <w:p w14:paraId="4412DF96">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24.8电脑1台（I5处理器，512存储，win10及以上正版软件，20寸以上电脑显示器）</w:t>
            </w:r>
          </w:p>
        </w:tc>
        <w:tc>
          <w:tcPr>
            <w:tcW w:w="243" w:type="pct"/>
            <w:vAlign w:val="center"/>
          </w:tcPr>
          <w:p w14:paraId="231856E2">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1台</w:t>
            </w:r>
          </w:p>
        </w:tc>
      </w:tr>
      <w:tr w14:paraId="5CAE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14:paraId="6D26771E">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w:t>
            </w:r>
          </w:p>
        </w:tc>
        <w:tc>
          <w:tcPr>
            <w:tcW w:w="291" w:type="pct"/>
          </w:tcPr>
          <w:p w14:paraId="7E68A385">
            <w:pPr>
              <w:rPr>
                <w:rFonts w:hint="eastAsia" w:ascii="仿宋" w:hAnsi="仿宋" w:eastAsia="仿宋"/>
                <w:color w:val="auto"/>
                <w:sz w:val="24"/>
                <w:szCs w:val="24"/>
                <w:highlight w:val="none"/>
              </w:rPr>
            </w:pPr>
          </w:p>
        </w:tc>
        <w:tc>
          <w:tcPr>
            <w:tcW w:w="291" w:type="pct"/>
            <w:vAlign w:val="center"/>
          </w:tcPr>
          <w:p w14:paraId="77B4A1BF">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果蝇T迷宫学习记忆系统</w:t>
            </w:r>
          </w:p>
        </w:tc>
        <w:tc>
          <w:tcPr>
            <w:tcW w:w="3920" w:type="pct"/>
            <w:vAlign w:val="center"/>
          </w:tcPr>
          <w:p w14:paraId="70DB962A">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 系统包含果蝇学习记忆测试实验，嗅觉实验，气味-电击实验；</w:t>
            </w:r>
          </w:p>
          <w:p w14:paraId="17759DC0">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 一体化透明操作平台，规格：不小于60x45x35cm</w:t>
            </w:r>
          </w:p>
          <w:p w14:paraId="4D6DC455">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 扶手式设计，易于摆放和移动；</w:t>
            </w:r>
          </w:p>
          <w:p w14:paraId="42AACE3D">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 透明材质，简单便携，易于实验观察操作；</w:t>
            </w:r>
          </w:p>
          <w:p w14:paraId="2A0F8ADE">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 设计精细，气道密封性好，气流稳定；</w:t>
            </w:r>
          </w:p>
          <w:p w14:paraId="32754C0C">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6. 精密果蝇T迷宫装置，规格：不小于10x20x8cm;</w:t>
            </w:r>
          </w:p>
          <w:p w14:paraId="576725FA">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7. 果蝇气味训练管，规格：不小于内径22mm,长95mm；</w:t>
            </w:r>
          </w:p>
          <w:p w14:paraId="5A0A7349">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8. 果蝇电击管，规格：不小于内径22mm,长95mm;</w:t>
            </w:r>
          </w:p>
          <w:p w14:paraId="622E1AE7">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9. 灵活装取的气味瓶，规格：不小于直径3.5cm,长度12cm；</w:t>
            </w:r>
          </w:p>
          <w:p w14:paraId="2E3F998C">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10. 精密果蝇电刺激器；</w:t>
            </w:r>
          </w:p>
          <w:p w14:paraId="040E63FE">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11. 静音气味泵；</w:t>
            </w:r>
          </w:p>
          <w:p w14:paraId="068989CF">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12. 防静电果蝇实验垫，便于清洁维护；</w:t>
            </w:r>
          </w:p>
          <w:p w14:paraId="67AE134C">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13. 配置：果蝇 T 迷宫主控模块，果蝇电击管 1个，果蝇气味测试管 2个， 气味瓶 50个，电刺激器，微型泵组件，操控平台，连接气管。</w:t>
            </w:r>
          </w:p>
        </w:tc>
        <w:tc>
          <w:tcPr>
            <w:tcW w:w="243" w:type="pct"/>
            <w:vAlign w:val="center"/>
          </w:tcPr>
          <w:p w14:paraId="1C272EA4">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1台</w:t>
            </w:r>
          </w:p>
        </w:tc>
      </w:tr>
      <w:tr w14:paraId="0BC17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14:paraId="308552FE">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w:t>
            </w:r>
          </w:p>
        </w:tc>
        <w:tc>
          <w:tcPr>
            <w:tcW w:w="291" w:type="pct"/>
          </w:tcPr>
          <w:p w14:paraId="7585C119">
            <w:pPr>
              <w:rPr>
                <w:rFonts w:hint="eastAsia" w:ascii="仿宋" w:hAnsi="仿宋" w:eastAsia="仿宋"/>
                <w:color w:val="auto"/>
                <w:sz w:val="24"/>
                <w:szCs w:val="24"/>
                <w:highlight w:val="none"/>
              </w:rPr>
            </w:pPr>
          </w:p>
        </w:tc>
        <w:tc>
          <w:tcPr>
            <w:tcW w:w="291" w:type="pct"/>
            <w:vAlign w:val="center"/>
          </w:tcPr>
          <w:p w14:paraId="67BD0BF2">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果蝇攀爬行为监测系统（进口）</w:t>
            </w:r>
          </w:p>
        </w:tc>
        <w:tc>
          <w:tcPr>
            <w:tcW w:w="3920" w:type="pct"/>
            <w:vAlign w:val="center"/>
          </w:tcPr>
          <w:p w14:paraId="6376EE5B">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1.可以追踪数量小于50的果蝇群体，并保持个体果蝇数据的独立。</w:t>
            </w:r>
          </w:p>
          <w:p w14:paraId="37595A4C">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2.高通量：1D行为测试环境，通量不少于120（6*20）；2D行为测试环境，通量不少于63（7*9）。</w:t>
            </w:r>
          </w:p>
          <w:p w14:paraId="6C998C76">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3.软件支持详尽的运动，睡眠，社交互动等指标的获取和分析。</w:t>
            </w:r>
          </w:p>
          <w:p w14:paraId="2E40F6E0">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4.通过果蝇机械震动刺激后运动行为分析，探测唤醒阈值和睡眠强度。</w:t>
            </w:r>
          </w:p>
          <w:p w14:paraId="1EEEEF80">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5.机械震动刺激的行为反应分析可以替代传统的果蝇攀爬试验。测试结果可重复性和稳定性，排除人为操作导致的误差。</w:t>
            </w:r>
          </w:p>
          <w:p w14:paraId="5D76F04A">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6.软件持续更新，可提供更多果蝇行为学指标，视频记录果蝇的运动行为，追踪果蝇运动轨迹，给出位置坐标。</w:t>
            </w:r>
          </w:p>
          <w:p w14:paraId="5CA01CA2">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7.数据格式：CSV 和matlab格式，数据可用于第三方软件分析。</w:t>
            </w:r>
          </w:p>
          <w:p w14:paraId="3A0839C2">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8.软件功能（群体）：群体活动指标，按比例活动总量，运动位移数据统计，睡眠间歇统计，群体运动速度，各种睡眠指标，活动时间比例，唤醒指标</w:t>
            </w:r>
          </w:p>
          <w:p w14:paraId="32687AB7">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9.软件功能（个体）:二维位置图，活动栅格图，个体运动速度，整体性能（诊断）</w:t>
            </w:r>
          </w:p>
          <w:p w14:paraId="3DBCDB76">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10.配置：</w:t>
            </w:r>
          </w:p>
          <w:p w14:paraId="4EBAC529">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10.1高通量测试平台: 程序控制震动马达，远红外光源；尺寸：40cm×35cm×40cm（L*W*H）</w:t>
            </w:r>
          </w:p>
          <w:p w14:paraId="6848D73C">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10.2记录设备：500W像素；帧率30fps；USB3 Gbps</w:t>
            </w:r>
          </w:p>
          <w:p w14:paraId="08F5CE5C">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10.3行为测试环境：1D (监控管)， 2D (圆形开放环境，直径3.6cm）</w:t>
            </w:r>
          </w:p>
          <w:p w14:paraId="6D3A259D">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10.4记录分析软件</w:t>
            </w:r>
          </w:p>
          <w:p w14:paraId="03720974">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10.5电脑1台（I5处理器，512存储，win10及以上正版软件，20寸以上电脑显示器）</w:t>
            </w:r>
          </w:p>
        </w:tc>
        <w:tc>
          <w:tcPr>
            <w:tcW w:w="243" w:type="pct"/>
            <w:vAlign w:val="center"/>
          </w:tcPr>
          <w:p w14:paraId="2C95C4DC">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1台</w:t>
            </w:r>
          </w:p>
        </w:tc>
      </w:tr>
      <w:tr w14:paraId="18874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14:paraId="0E8E37F5">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w:t>
            </w:r>
          </w:p>
        </w:tc>
        <w:tc>
          <w:tcPr>
            <w:tcW w:w="291" w:type="pct"/>
          </w:tcPr>
          <w:p w14:paraId="6E1A7018">
            <w:pPr>
              <w:rPr>
                <w:rFonts w:hint="eastAsia" w:ascii="仿宋" w:hAnsi="仿宋" w:eastAsia="仿宋"/>
                <w:color w:val="auto"/>
                <w:sz w:val="24"/>
                <w:szCs w:val="24"/>
                <w:highlight w:val="none"/>
              </w:rPr>
            </w:pPr>
          </w:p>
        </w:tc>
        <w:tc>
          <w:tcPr>
            <w:tcW w:w="291" w:type="pct"/>
            <w:vAlign w:val="center"/>
          </w:tcPr>
          <w:p w14:paraId="1D362AE0">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便携式数字病理切片显微扫描成像系统（进口）</w:t>
            </w:r>
          </w:p>
        </w:tc>
        <w:tc>
          <w:tcPr>
            <w:tcW w:w="3920" w:type="pct"/>
            <w:vAlign w:val="center"/>
          </w:tcPr>
          <w:p w14:paraId="2E558655">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1.基本功能：实现全玻片的快速、高清扫描和数字化保存</w:t>
            </w:r>
          </w:p>
          <w:p w14:paraId="3A37DC6B">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2.一体机结构设计，实现全玻片的数字化扫描和调阅</w:t>
            </w:r>
          </w:p>
          <w:p w14:paraId="6AA24349">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3.双镜头：两个独立镜头独立成像，一个 1倍预览镜头；一个 40倍高分辨率扫描物镜</w:t>
            </w:r>
          </w:p>
          <w:p w14:paraId="792F6FB4">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*4.全自动载物台：一层底座加双层可移动载物台</w:t>
            </w:r>
          </w:p>
          <w:p w14:paraId="3FFE2EA5">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*5.双层可移动载物台，实现样本在同一时间在X轴平面快速移动，又在Y轴平面快速运动 </w:t>
            </w:r>
          </w:p>
          <w:p w14:paraId="7C898CB7">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*6.图片质量：相机像素 ≥1100万</w:t>
            </w:r>
          </w:p>
          <w:p w14:paraId="0C0D20F5">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*7.扫描分辨率：图像分辨率≤0.27微米/像素</w:t>
            </w:r>
          </w:p>
          <w:p w14:paraId="29E06E25">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8.光源：LED光源，整个视野光照均匀</w:t>
            </w:r>
          </w:p>
          <w:p w14:paraId="4AE73C10">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9.RGB三色成像：每一张图片成像时使用红、绿、蓝三色光分别成像，然后拼接成一张彩色图片</w:t>
            </w:r>
          </w:p>
          <w:p w14:paraId="7ED6DCBC">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10.扫描模式：连续运动的扫描过程中，每个视野独立自动对焦 </w:t>
            </w:r>
          </w:p>
          <w:p w14:paraId="0F27E086">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11.扫描区域：自动识别和人工圈选两种模式，可设置多扫描区域，可任意调整扫描区域形状</w:t>
            </w:r>
          </w:p>
          <w:p w14:paraId="4496F77B">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12.可生成图片数据下载通道，供远程数据下载。</w:t>
            </w:r>
          </w:p>
          <w:p w14:paraId="3B7C5F23">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13.图片导出格式：SVS、TIFF，兼容多个品牌的病理切片分析软件，方便进行图片分析</w:t>
            </w:r>
          </w:p>
          <w:p w14:paraId="1D3371E3">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14.支持对整张切片进行Z-Stack多层扫描，扫描层数和间隔支持自定义≥4层；最大间隔范围≥15um.</w:t>
            </w:r>
          </w:p>
          <w:p w14:paraId="631DFF4B">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15.多语言选择，有中文、英文操作界面</w:t>
            </w:r>
          </w:p>
          <w:p w14:paraId="43704E3C">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16.主机内置的内嵌式CPU和GPU处理器 </w:t>
            </w:r>
          </w:p>
          <w:p w14:paraId="27A2E8E4">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17.采用先进的网页浏览器操控模式，无需安装特定的APP或软件。</w:t>
            </w:r>
          </w:p>
          <w:p w14:paraId="284BE0FA">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18.仪器内置自发热点</w:t>
            </w:r>
          </w:p>
          <w:p w14:paraId="53F70D41">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19.配置清单：</w:t>
            </w:r>
          </w:p>
          <w:p w14:paraId="5C630A1E">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19.1.扫描仪主机            1台                   </w:t>
            </w:r>
          </w:p>
          <w:p w14:paraId="5797BAA2">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19.2.防水手提箱            1 个              </w:t>
            </w:r>
          </w:p>
          <w:p w14:paraId="5D0F6DB4">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19.3.显示和操控终端（平板电脑或笔记本电脑或台式机）    1 台  </w:t>
            </w:r>
          </w:p>
        </w:tc>
        <w:tc>
          <w:tcPr>
            <w:tcW w:w="243" w:type="pct"/>
            <w:vAlign w:val="center"/>
          </w:tcPr>
          <w:p w14:paraId="7E6544CA">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1台</w:t>
            </w:r>
          </w:p>
        </w:tc>
      </w:tr>
      <w:tr w14:paraId="3D194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14:paraId="66BB7AA9">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6</w:t>
            </w:r>
          </w:p>
        </w:tc>
        <w:tc>
          <w:tcPr>
            <w:tcW w:w="291" w:type="pct"/>
          </w:tcPr>
          <w:p w14:paraId="6AB5A008">
            <w:pPr>
              <w:rPr>
                <w:rFonts w:hint="eastAsia" w:ascii="仿宋" w:hAnsi="仿宋" w:eastAsia="仿宋"/>
                <w:color w:val="auto"/>
                <w:sz w:val="24"/>
                <w:szCs w:val="24"/>
                <w:highlight w:val="none"/>
              </w:rPr>
            </w:pPr>
          </w:p>
        </w:tc>
        <w:tc>
          <w:tcPr>
            <w:tcW w:w="291" w:type="pct"/>
            <w:vAlign w:val="center"/>
          </w:tcPr>
          <w:p w14:paraId="415D818E">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斑马鱼行为学分析仪（进口）</w:t>
            </w:r>
          </w:p>
        </w:tc>
        <w:tc>
          <w:tcPr>
            <w:tcW w:w="3920" w:type="pct"/>
            <w:vAlign w:val="center"/>
          </w:tcPr>
          <w:p w14:paraId="3B400E76">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参数说明：</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1.自动化鱼类高通量行为分析软件</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1.1.可以用来监测斑马鱼胚胎、幼鱼和成鱼的高通量行为追踪分析；</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1.2.可同时分析多组动物，实现多通道分析；</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1.3.可进行实时或者离线分析；</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1.4.具有实验的定时起止功能；</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1.5.可对实验的原始数据进行回放和导出；</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1.6.可做实验视频采集并用新的用户自定义协议进行分析；</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1.7.给出的数据包括轨迹图，运动速度，运动距离，运动时间，高速和低速运动之间的转换次数，还有活跃度等；</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1.8.可以实现模拟昼夜节律，模拟日出和日落的效果。实现强光刺激或渐强渐弱光，自定义光刺激模式；</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1.9.用户界面友好，兼容多种数据输出格式；</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1.10.图像采集面板和视频采集面板；</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1.11.配备工作站：不小于24‘LCD平板显示器，不小于8GB内存，不小于1TB硬盘</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1.12.提供由厂家工作人员进行的现场安装、调试和培训服务</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2.斑马鱼高通量观察箱(胚胎/幼鱼)</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2.1.观察箱和分析软件结合使用，可观测和分析斑马鱼胚胎和幼鱼的行为轨迹及活跃度；每台观察箱可同时分析大于等于500个胚胎和大于等于96条幼鱼;</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2.2.可以放置6、12、24、48、96孔板或者实验皿等；</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2.3.光照使用可调白光源，使用红外背光灯更好的监测鱼体的运动，光源可定时开关；</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2.4.用软件触发光源控制，从而模拟昼夜循环、触发闪光刺激，光刺激强度不小于范围为：0 - 8000 lux；</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2.5.可以避振、避光（外界光源）以及隔音效果良好；</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2.6.带专业高速数码摄像头，帧率≥30帧/秒，高分辨率≥1288 x 964，光学红外过滤镜；适宜的镜头能够采集快速移动的图像；</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2.7.在实验全程用户可以很容易的对观察箱中的观察对象进行直接的观察和试剂的注入，没有例如透镜或者其它物体遮挡微孔板或培养皿；</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2.8.观察箱使用冷光源系统，避免箱体温度过高造成的孔板内水蒸发过快。</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3.斑马鱼成鱼观察柜</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3.1.观察柜和分析软件结合使用，一个软件系统可以同时连接多达4个观察柜，并在每个观察柜中分析多达24只动物；</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3.2.光照使用可调白光源，使用红外背光灯更好的监测鱼体的运动，光源可定时开关；</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3.3.用软件触发光源控制，从而模拟昼夜循环、触发闪光刺激，光刺激强度范围不小于0-4500lux， 不小于4000Kelvins；</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3.4.可以避振、避光（外界光源）以及隔音效果良好；</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3.5.带专业高速数码摄像头，帧率≥30帧/秒，高分辨率≥1288 x 964，光学红外过滤镜；适宜的镜头能够采集快速移动的图像；</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3.6.斑马鱼成鱼的行为观察柜的尺寸≥60cm x 50cm x 120cm (长x宽x高)</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4.分析软件的附加模块-智能视频采集</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4.1.可将事件的标示信息添加到视频中；</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4.2.视频录制和分析时的速率≥30帧/秒</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5.分析软件的附加模块–社交行为</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5.1.计算两条鱼之间的距离</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5.2.两条鱼之间的接触计数</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5.3.两条鱼之间的接触时间</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6.三维运动轨迹跟踪系统</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6.1.实时重建鱼的(X;Y;Z)位置</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6.2.自动化运动轨迹监测和计算</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6.3.可进行实时数据分析</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6.4.可自动终止实验</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6.5.可对实验的原始数据进行回放和导出</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 xml:space="preserve">6.6.斑马鱼在鱼缸中的3D运动轨迹监测: (X;Y;Z)位置和轨迹 </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6.7.两个红外照明系统 :</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 xml:space="preserve">－摄像头对红外光源敏感 </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－红外线光源</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－使用专业支架，承重性能佳</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－尺寸≥50 cm X 50 cm</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 xml:space="preserve">6.8.图像处理和采集: </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－配备不少于2台高灵敏度红外数码摄像机</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－2个适合摄像机的镜头，调焦功能可以提高图像质量</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－光学红外过滤器</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－高质量镜头能够采集快速移动物体的图像</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－两个采集板，两个摄像头支架</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6.9.提供由厂家人员进行的现场安装、调试和培训服务</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7.斑马鱼心率和血流分析系统</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7.1.可实现视野范围内的多个粒子的跟踪；</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7.2.可以进行实时视频捕获；</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7.3.可以进行高速视频分析；</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7.4.分析用户定义区域内的血流；</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7.5.高精度量化血流，结果均为真实值（血流速单位为μm/s, 血流量单位为nL/s）；</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7.6.可监测心室心房区内的心跳次数；</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7.7.可结果导出心率和心博图；</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7.8.配备Flir高速摄像头，≥120帧/秒；</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7.9.配数码CCD摄像头C-mount, IEEE1394b接口或者同类型接口；</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7.10.配备USB3.0接口、三目C接口显微镜；</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7.11.可以自定义静脉/毛细管位置的用户界面；</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7.12.提供软件界面截图（心率和血流分析）。</w:t>
            </w:r>
          </w:p>
        </w:tc>
        <w:tc>
          <w:tcPr>
            <w:tcW w:w="243" w:type="pct"/>
            <w:vAlign w:val="center"/>
          </w:tcPr>
          <w:p w14:paraId="23779199">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1台</w:t>
            </w:r>
          </w:p>
        </w:tc>
      </w:tr>
      <w:tr w14:paraId="4C9F0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14:paraId="6F2AE3DA">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7</w:t>
            </w:r>
          </w:p>
        </w:tc>
        <w:tc>
          <w:tcPr>
            <w:tcW w:w="291" w:type="pct"/>
          </w:tcPr>
          <w:p w14:paraId="4A60CC86">
            <w:pPr>
              <w:rPr>
                <w:rFonts w:hint="eastAsia" w:ascii="仿宋" w:hAnsi="仿宋" w:eastAsia="仿宋"/>
                <w:color w:val="auto"/>
                <w:sz w:val="24"/>
                <w:szCs w:val="24"/>
                <w:highlight w:val="none"/>
              </w:rPr>
            </w:pPr>
          </w:p>
        </w:tc>
        <w:tc>
          <w:tcPr>
            <w:tcW w:w="291" w:type="pct"/>
            <w:vAlign w:val="center"/>
          </w:tcPr>
          <w:p w14:paraId="75DFACB4">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全光谱细胞流式仪（</w:t>
            </w:r>
            <w:r>
              <w:rPr>
                <w:rFonts w:hint="eastAsia" w:ascii="仿宋" w:hAnsi="仿宋" w:eastAsia="仿宋"/>
                <w:b/>
                <w:bCs/>
                <w:color w:val="auto"/>
                <w:sz w:val="24"/>
                <w:szCs w:val="24"/>
                <w:highlight w:val="none"/>
              </w:rPr>
              <w:t>核心产品</w:t>
            </w:r>
            <w:r>
              <w:rPr>
                <w:rFonts w:hint="eastAsia" w:ascii="仿宋" w:hAnsi="仿宋" w:eastAsia="仿宋"/>
                <w:color w:val="auto"/>
                <w:sz w:val="24"/>
                <w:szCs w:val="24"/>
                <w:highlight w:val="none"/>
              </w:rPr>
              <w:t>）</w:t>
            </w:r>
          </w:p>
        </w:tc>
        <w:tc>
          <w:tcPr>
            <w:tcW w:w="3920" w:type="pct"/>
            <w:vAlign w:val="center"/>
          </w:tcPr>
          <w:p w14:paraId="73DF88C3">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1、光路系统</w:t>
            </w:r>
          </w:p>
          <w:p w14:paraId="567DDA3F">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1.1激光器配置：配备不少于三根固态高功率激光器，分别为：405nm 紫色激光器，488nm 蓝色激光器，638nm 正负5nm红色激光器；</w:t>
            </w:r>
          </w:p>
          <w:p w14:paraId="1FABAEDB">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1.2激光器温控：带温度及功率监控和控制功能，保证输出功率稳定；</w:t>
            </w:r>
          </w:p>
          <w:p w14:paraId="77C3339C">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1.3激光器：固态激光器，大幅提升实验稳定性和准确性</w:t>
            </w:r>
          </w:p>
          <w:p w14:paraId="79EB4F60">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*1.4 散射光检测通道：≥4个</w:t>
            </w:r>
          </w:p>
          <w:p w14:paraId="6C28C548">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（1个488nm前向角检测通道；不少于3个侧向角检测通道：405nm、488nm、638nm的侧向角检测通道）</w:t>
            </w:r>
          </w:p>
          <w:p w14:paraId="0F45C038">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*1.5 荧光检测通道：≥38个</w:t>
            </w:r>
          </w:p>
          <w:p w14:paraId="7F007ADD">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（405nm 激光器检测模块配置≥16个通道；488nm 激光器检测模块≥14个通道；638nm 激光检测器模块配置≥8个通道；3激光配置可升级至少39色）</w:t>
            </w:r>
          </w:p>
          <w:p w14:paraId="3EE1236F">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*1.6 荧光检测器：高灵敏硅光电倍增管</w:t>
            </w:r>
          </w:p>
          <w:p w14:paraId="38A81072">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2、信号系统</w:t>
            </w:r>
          </w:p>
          <w:p w14:paraId="14883BAE">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2.1散射光分辨率： FSC：不高于0.5μm，SSC: 不高于0.2μm：</w:t>
            </w:r>
          </w:p>
          <w:p w14:paraId="2575B63E">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2.2荧光检测灵敏度：FITC≤60MESF、PE≤30MESF</w:t>
            </w:r>
          </w:p>
          <w:p w14:paraId="7FC9BA77">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2.3仪器分辨率：FITC，PE，APC，Pacific Blue全峰宽CV ≤ 2%</w:t>
            </w:r>
          </w:p>
          <w:p w14:paraId="4D1F26BA">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2.4电压及增益调节：支持免调电压、可调电压双重模式可选，所有参数增益可调</w:t>
            </w:r>
          </w:p>
          <w:p w14:paraId="60FB093D">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2.5信号处理：≥24位动态范围（无需增益电压调节），≥107.2 动态范围，32位浮点解析，可显示信号高度、宽度、面积参数</w:t>
            </w:r>
          </w:p>
          <w:p w14:paraId="1275CF15">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*2.6 颗粒分析速度：≥40000 细胞/秒</w:t>
            </w:r>
          </w:p>
          <w:p w14:paraId="572157E4">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3、液路系统</w:t>
            </w:r>
          </w:p>
          <w:p w14:paraId="1171200D">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3.1上样方式： 可以连续上样，无每次上样体积限制，无耗材更换；</w:t>
            </w:r>
          </w:p>
          <w:p w14:paraId="3DF954A3">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3.2上样泵：使用真空泵，没有每次上样体积限制，提高了实验的适用性和速度；不需要定期更换泵管路，减少了使用成本；同时机器有流量计，可以实时检测样本体积。</w:t>
            </w:r>
          </w:p>
          <w:p w14:paraId="0228D667">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3.3样本流速：具备高中低三档的选调设置</w:t>
            </w:r>
          </w:p>
          <w:p w14:paraId="16074A45">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3.4交叉污染率：样本间的交叉污染率＜0.1%</w:t>
            </w:r>
          </w:p>
          <w:p w14:paraId="269431D5">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3.5绝对计数：兼容体积法和微球法绝对计数；体积法时无需内参照绝对计数微球，误差&lt;5%</w:t>
            </w:r>
          </w:p>
          <w:p w14:paraId="38F10DBD">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3.6一键开关机功能：无需人为参与和准备耗材，开关机及样本检测结束自动触发清洗消毒流程，免除人工清洗流程。使用中也可一键启动全自动清洗消毒，方便维护；</w:t>
            </w:r>
          </w:p>
          <w:p w14:paraId="27719309">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3.7自动上样器：可选自动上样器，兼容40管、48/96/384孔板。</w:t>
            </w:r>
          </w:p>
          <w:p w14:paraId="3845C0DB">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3.8全自动样本间清洗液: 内部管路自动清洗;进样位置配有冲洗拭子，全自动清洗进样针的内外壁，降低交叉污染率</w:t>
            </w:r>
          </w:p>
          <w:p w14:paraId="2B5B4B51">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3.9 除气泡装置：仪器自带鞘液除气泡装置，脱气膜，去除实验时鞘液携带气泡的问题。</w:t>
            </w:r>
          </w:p>
          <w:p w14:paraId="7F105791">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4、软件操作</w:t>
            </w:r>
          </w:p>
          <w:p w14:paraId="6CAC081E">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4.1自发荧光检测功能：可检测样本细胞自发荧光光谱，将其作为独立的参数进行解析，混染时可去除自发荧光对结果干扰。</w:t>
            </w:r>
          </w:p>
          <w:p w14:paraId="1B97F949">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*4.2双解析功能：支持传统解析和光谱解析，一键切换</w:t>
            </w:r>
          </w:p>
          <w:p w14:paraId="729D4B61">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4.3图形化的操作工具：可在结果图上直接补偿</w:t>
            </w:r>
          </w:p>
          <w:p w14:paraId="4AD64D04">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4.4全光谱解混：快速数据采集，全光谱解混，精准补偿功能，原始格式和解析文件为FCS</w:t>
            </w:r>
          </w:p>
          <w:p w14:paraId="0954E05A">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4.5数据库支持：格式单染样本数据入库，可反复使用单标数据导入实验解混</w:t>
            </w:r>
          </w:p>
          <w:p w14:paraId="296BC73F">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4.6 质控功能：运行QC微球自动生成QC报告，可自动生成Levey-Jenings曲线追踪仪器状态。</w:t>
            </w:r>
          </w:p>
          <w:p w14:paraId="0FEE9728">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4.7报警功能：实时仪器状态提醒和错误报警功能</w:t>
            </w:r>
          </w:p>
          <w:p w14:paraId="6458F8CE">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*4.8需提供制造厂商3年质保函原件的扫描件。</w:t>
            </w:r>
          </w:p>
          <w:p w14:paraId="67B56CBD">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 配置清单：</w:t>
            </w:r>
          </w:p>
          <w:p w14:paraId="700580C5">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5.1全光谱多参数细胞分析仪主机 1台；</w:t>
            </w:r>
          </w:p>
          <w:p w14:paraId="3BBEEA56">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5.2光源 1套：405nm 固态激光器、488nm 固态激光器，638正负5nm固态激光器；</w:t>
            </w:r>
          </w:p>
          <w:p w14:paraId="5AAC689B">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5.3检测器 1套：高灵敏度硅PMT检测器或APD检测器</w:t>
            </w:r>
          </w:p>
          <w:p w14:paraId="4CDBA8BC">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5.4采集和数据分析：Unmixing光谱解析：自动自发荧光去除模块；自动 QC 模块；QC beads 质控微球 1 个；</w:t>
            </w:r>
          </w:p>
          <w:p w14:paraId="4F938EC4">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5.5电脑工作站 1 台：处理器≥3.0 GHZ，内存≥32GB，硬盘≥1 TGB，27寸以上电脑显示器；</w:t>
            </w:r>
          </w:p>
        </w:tc>
        <w:tc>
          <w:tcPr>
            <w:tcW w:w="243" w:type="pct"/>
            <w:vAlign w:val="center"/>
          </w:tcPr>
          <w:p w14:paraId="5823B769">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1台</w:t>
            </w:r>
          </w:p>
        </w:tc>
      </w:tr>
      <w:tr w14:paraId="13C49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14:paraId="2820DB79">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8</w:t>
            </w:r>
          </w:p>
        </w:tc>
        <w:tc>
          <w:tcPr>
            <w:tcW w:w="291" w:type="pct"/>
          </w:tcPr>
          <w:p w14:paraId="6C3DA882">
            <w:pPr>
              <w:rPr>
                <w:rFonts w:hint="eastAsia" w:ascii="仿宋" w:hAnsi="仿宋" w:eastAsia="仿宋"/>
                <w:color w:val="auto"/>
                <w:sz w:val="24"/>
                <w:szCs w:val="24"/>
                <w:highlight w:val="none"/>
              </w:rPr>
            </w:pPr>
          </w:p>
        </w:tc>
        <w:tc>
          <w:tcPr>
            <w:tcW w:w="291" w:type="pct"/>
            <w:vAlign w:val="center"/>
          </w:tcPr>
          <w:p w14:paraId="0F908B19">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冷冻干燥机（进口）</w:t>
            </w:r>
          </w:p>
        </w:tc>
        <w:tc>
          <w:tcPr>
            <w:tcW w:w="3920" w:type="pct"/>
            <w:vAlign w:val="center"/>
          </w:tcPr>
          <w:p w14:paraId="07F98F1B">
            <w:pPr>
              <w:widowControl w:val="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用途：用于实验室生物样品、环境分析样品、医学组织、药用材料等的冷冻干燥保存。</w:t>
            </w:r>
          </w:p>
          <w:p w14:paraId="0BF3BEA7">
            <w:pPr>
              <w:widowControl w:val="0"/>
              <w:numPr>
                <w:ilvl w:val="0"/>
                <w:numId w:val="4"/>
              </w:numPr>
              <w:jc w:val="both"/>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工作条件</w:t>
            </w:r>
          </w:p>
          <w:p w14:paraId="20E5B6DB">
            <w:pPr>
              <w:widowControl w:val="0"/>
              <w:numPr>
                <w:ilvl w:val="1"/>
                <w:numId w:val="5"/>
              </w:num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工作温度：室温＋10 ℃～室温＋25 ℃ </w:t>
            </w:r>
          </w:p>
          <w:p w14:paraId="27A4AD27">
            <w:pPr>
              <w:widowControl w:val="0"/>
              <w:numPr>
                <w:ilvl w:val="1"/>
                <w:numId w:val="5"/>
              </w:numPr>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电源要求：230 V，50 Hz</w:t>
            </w:r>
          </w:p>
          <w:p w14:paraId="7393707B">
            <w:pPr>
              <w:widowControl w:val="0"/>
              <w:numPr>
                <w:ilvl w:val="0"/>
                <w:numId w:val="4"/>
              </w:numPr>
              <w:jc w:val="both"/>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技术要求</w:t>
            </w:r>
          </w:p>
          <w:p w14:paraId="7A4F0B2D">
            <w:pPr>
              <w:widowControl w:val="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2.1主机：</w:t>
            </w:r>
          </w:p>
          <w:p w14:paraId="456CBE26">
            <w:pPr>
              <w:widowControl w:val="0"/>
              <w:tabs>
                <w:tab w:val="left" w:pos="851"/>
              </w:tabs>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2.1.1彩色触摸屏操作面板≥5.7英寸，清楚显示主要过程参数，如冷阱温度、冻干时间、分段时间和腔体真空度；将冻干过程分为预冻，预热泵，主干燥，二次干燥，待机等几个阶段，并能实现连续阶段的自动跳转；</w:t>
            </w:r>
          </w:p>
          <w:p w14:paraId="77C79AEF">
            <w:pPr>
              <w:widowControl w:val="0"/>
              <w:tabs>
                <w:tab w:val="left" w:pos="851"/>
              </w:tabs>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2.1.2操作及监视界面信息应包括但不限于：设备工艺流程图、阀门及设备的开启和关闭、各部件的运行状态、报警和警告；</w:t>
            </w:r>
          </w:p>
          <w:p w14:paraId="3F8FA894">
            <w:pPr>
              <w:widowControl w:val="0"/>
              <w:tabs>
                <w:tab w:val="left" w:pos="851"/>
              </w:tabs>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2.1.3设备控制器应能够定时提醒泵油更换和维护保养，并且能够记录报错故障，同时显示冻干机各部件实际运行总时间，以便于维修故障判断；</w:t>
            </w:r>
          </w:p>
          <w:p w14:paraId="05430305">
            <w:pPr>
              <w:widowControl w:val="0"/>
              <w:tabs>
                <w:tab w:val="left" w:pos="851"/>
              </w:tabs>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2.1.4★设备控制器应内置性能测试和泄露率测试程序，用于定期检查设备性能状态；</w:t>
            </w:r>
          </w:p>
          <w:p w14:paraId="76D794B4">
            <w:pPr>
              <w:widowControl w:val="0"/>
              <w:tabs>
                <w:tab w:val="left" w:pos="851"/>
              </w:tabs>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2.1.5设备控制器具备三级密码保护，每个级别具备不同的权限，负责不同的事宜；</w:t>
            </w:r>
          </w:p>
          <w:p w14:paraId="4770BEF1">
            <w:pPr>
              <w:widowControl w:val="0"/>
              <w:tabs>
                <w:tab w:val="left" w:pos="851"/>
              </w:tabs>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2.1.6真空度显示范围0.001-1000mbar，显示精度为0.001mbar，真空传感器为派纳尼真空传感器；</w:t>
            </w:r>
          </w:p>
          <w:p w14:paraId="4B59FFA3">
            <w:pPr>
              <w:widowControl w:val="0"/>
              <w:tabs>
                <w:tab w:val="left" w:pos="851"/>
              </w:tabs>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2.1.7★配备真空电磁阀，实现真空度的自动控制；</w:t>
            </w:r>
          </w:p>
          <w:p w14:paraId="56B0F31E">
            <w:pPr>
              <w:widowControl w:val="0"/>
              <w:tabs>
                <w:tab w:val="left" w:pos="851"/>
              </w:tabs>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2.1.8★内置冰水饱和蒸汽压曲线，实现真空度和温度偶联对比查阅；</w:t>
            </w:r>
          </w:p>
          <w:p w14:paraId="5D6BBD1C">
            <w:pPr>
              <w:widowControl w:val="0"/>
              <w:tabs>
                <w:tab w:val="left" w:pos="851"/>
              </w:tabs>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2.1.9★冷阱最大凝冰量≥8 kg，冷阱容积≥11 L；</w:t>
            </w:r>
          </w:p>
          <w:p w14:paraId="0942B4A4">
            <w:pPr>
              <w:widowControl w:val="0"/>
              <w:tabs>
                <w:tab w:val="left" w:pos="851"/>
              </w:tabs>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2.1.10冷阱凝冰效率：≥4 kg/24 h；</w:t>
            </w:r>
          </w:p>
          <w:p w14:paraId="5F18A668">
            <w:pPr>
              <w:widowControl w:val="0"/>
              <w:tabs>
                <w:tab w:val="left" w:pos="851"/>
              </w:tabs>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2.1.11冷阱温度：≤-85 ℃；</w:t>
            </w:r>
          </w:p>
          <w:p w14:paraId="4FB4D1C6">
            <w:pPr>
              <w:widowControl w:val="0"/>
              <w:tabs>
                <w:tab w:val="left" w:pos="851"/>
              </w:tabs>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2.1.12★制冷功率：≥2 x 0.51 kW；</w:t>
            </w:r>
          </w:p>
          <w:p w14:paraId="66E08BA5">
            <w:pPr>
              <w:widowControl w:val="0"/>
              <w:tabs>
                <w:tab w:val="left" w:pos="851"/>
              </w:tabs>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2.13冷阱大开口设计，直径≥300 mm，便于水蒸汽的快速输送；</w:t>
            </w:r>
          </w:p>
          <w:p w14:paraId="4F5A164D">
            <w:pPr>
              <w:widowControl w:val="0"/>
              <w:tabs>
                <w:tab w:val="left" w:pos="851"/>
              </w:tabs>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2.14★冷阱和冷凝盘管均由316 L不锈钢制成，防腐蚀抗变形，电解抛光处理，易于清洗，冷凝盘管暴露于冷阱内，具有冷阱预冻功能；</w:t>
            </w:r>
          </w:p>
          <w:p w14:paraId="4E166E40">
            <w:pPr>
              <w:widowControl w:val="0"/>
              <w:tabs>
                <w:tab w:val="left" w:pos="851"/>
              </w:tabs>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2.15冷阱应具备自动热气除霜功能，可设置除霜时间，缩短冻干批次时间间隔；</w:t>
            </w:r>
          </w:p>
          <w:p w14:paraId="4D9064C4">
            <w:pPr>
              <w:widowControl w:val="0"/>
              <w:tabs>
                <w:tab w:val="left" w:pos="851"/>
              </w:tabs>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2.16操作语言设置≥10种，其中包括中文选项；</w:t>
            </w:r>
          </w:p>
          <w:p w14:paraId="3776930A">
            <w:pPr>
              <w:widowControl w:val="0"/>
              <w:tabs>
                <w:tab w:val="left" w:pos="851"/>
              </w:tabs>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2.17采用碳氢类环保制冷剂，GWP（全球变暖潜能值）≤10；</w:t>
            </w:r>
          </w:p>
          <w:p w14:paraId="5AF3A652">
            <w:pPr>
              <w:widowControl w:val="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2.2真空系统：</w:t>
            </w:r>
          </w:p>
          <w:p w14:paraId="504080C3">
            <w:pPr>
              <w:widowControl w:val="0"/>
              <w:tabs>
                <w:tab w:val="left" w:pos="851"/>
              </w:tabs>
              <w:autoSpaceDE w:val="0"/>
              <w:autoSpaceDN w:val="0"/>
              <w:adjustRightInd w:val="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2.2.1★配备杂交真空泵，具备优秀的耐腐蚀能力；</w:t>
            </w:r>
          </w:p>
          <w:p w14:paraId="5598A509">
            <w:pPr>
              <w:widowControl w:val="0"/>
              <w:tabs>
                <w:tab w:val="left" w:pos="851"/>
              </w:tabs>
              <w:autoSpaceDE w:val="0"/>
              <w:autoSpaceDN w:val="0"/>
              <w:adjustRightInd w:val="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2.2.2真空泵抽气速率：≥98 L/min；</w:t>
            </w:r>
          </w:p>
          <w:p w14:paraId="5C002F32">
            <w:pPr>
              <w:widowControl w:val="0"/>
              <w:tabs>
                <w:tab w:val="left" w:pos="851"/>
              </w:tabs>
              <w:autoSpaceDE w:val="0"/>
              <w:autoSpaceDN w:val="0"/>
              <w:adjustRightInd w:val="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2.2.3真空泵极限真空：≤2 x 10</w:t>
            </w:r>
            <w:r>
              <w:rPr>
                <w:rFonts w:hint="eastAsia" w:ascii="仿宋" w:hAnsi="仿宋" w:eastAsia="仿宋" w:cs="仿宋"/>
                <w:color w:val="auto"/>
                <w:kern w:val="2"/>
                <w:sz w:val="24"/>
                <w:szCs w:val="24"/>
                <w:highlight w:val="none"/>
                <w:vertAlign w:val="superscript"/>
              </w:rPr>
              <w:t>-3</w:t>
            </w:r>
            <w:r>
              <w:rPr>
                <w:rFonts w:hint="eastAsia" w:ascii="仿宋" w:hAnsi="仿宋" w:eastAsia="仿宋" w:cs="仿宋"/>
                <w:color w:val="auto"/>
                <w:kern w:val="2"/>
                <w:sz w:val="24"/>
                <w:szCs w:val="24"/>
                <w:highlight w:val="none"/>
              </w:rPr>
              <w:t xml:space="preserve"> mbar；</w:t>
            </w:r>
          </w:p>
          <w:p w14:paraId="0E1F84B5">
            <w:pPr>
              <w:widowControl w:val="0"/>
              <w:tabs>
                <w:tab w:val="left" w:pos="851"/>
              </w:tabs>
              <w:autoSpaceDE w:val="0"/>
              <w:autoSpaceDN w:val="0"/>
              <w:adjustRightInd w:val="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2.2.4真空泵标配油雾过滤器，减少对实验室环境的污染；</w:t>
            </w:r>
          </w:p>
          <w:p w14:paraId="6A32CAAD">
            <w:pPr>
              <w:widowControl w:val="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2.3冷冻样品干燥腔:</w:t>
            </w:r>
          </w:p>
          <w:p w14:paraId="39962E28">
            <w:pPr>
              <w:widowControl w:val="0"/>
              <w:autoSpaceDE w:val="0"/>
              <w:autoSpaceDN w:val="0"/>
              <w:adjustRightInd w:val="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2.3.1干燥腔为透明有机玻璃材质，直径≥457 mm，配备自动升降装置接口；</w:t>
            </w:r>
          </w:p>
          <w:p w14:paraId="5175902B">
            <w:pPr>
              <w:widowControl w:val="0"/>
              <w:autoSpaceDE w:val="0"/>
              <w:autoSpaceDN w:val="0"/>
              <w:adjustRightInd w:val="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2.3.2★不锈钢搁板，总面积≥0.5 m</w:t>
            </w:r>
            <w:r>
              <w:rPr>
                <w:rFonts w:hint="eastAsia" w:ascii="仿宋" w:hAnsi="仿宋" w:eastAsia="仿宋" w:cs="仿宋"/>
                <w:color w:val="auto"/>
                <w:kern w:val="2"/>
                <w:sz w:val="24"/>
                <w:szCs w:val="24"/>
                <w:highlight w:val="none"/>
                <w:vertAlign w:val="superscript"/>
              </w:rPr>
              <w:t>2</w:t>
            </w:r>
            <w:r>
              <w:rPr>
                <w:rFonts w:hint="eastAsia" w:ascii="仿宋" w:hAnsi="仿宋" w:eastAsia="仿宋" w:cs="仿宋"/>
                <w:color w:val="auto"/>
                <w:kern w:val="2"/>
                <w:sz w:val="24"/>
                <w:szCs w:val="24"/>
                <w:highlight w:val="none"/>
              </w:rPr>
              <w:t>；</w:t>
            </w:r>
          </w:p>
          <w:p w14:paraId="2628A115">
            <w:pPr>
              <w:widowControl w:val="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2.4★运行噪音≤54 dB(A)；</w:t>
            </w:r>
          </w:p>
          <w:p w14:paraId="7FB865D6">
            <w:pPr>
              <w:widowControl w:val="0"/>
              <w:numPr>
                <w:ilvl w:val="0"/>
                <w:numId w:val="4"/>
              </w:numPr>
              <w:jc w:val="both"/>
              <w:rPr>
                <w:rFonts w:hint="eastAsia" w:ascii="仿宋" w:hAnsi="仿宋" w:eastAsia="仿宋" w:cs="仿宋"/>
                <w:color w:val="auto"/>
                <w:kern w:val="2"/>
                <w:sz w:val="24"/>
                <w:szCs w:val="24"/>
                <w:highlight w:val="none"/>
              </w:rPr>
            </w:pPr>
            <w:r>
              <w:rPr>
                <w:rFonts w:hint="eastAsia" w:ascii="仿宋" w:hAnsi="仿宋" w:eastAsia="仿宋" w:cs="仿宋"/>
                <w:b/>
                <w:color w:val="auto"/>
                <w:kern w:val="2"/>
                <w:sz w:val="24"/>
                <w:szCs w:val="24"/>
                <w:highlight w:val="none"/>
              </w:rPr>
              <w:t>配置</w:t>
            </w:r>
          </w:p>
          <w:p w14:paraId="6027C052">
            <w:pPr>
              <w:widowControl w:val="0"/>
              <w:numPr>
                <w:ilvl w:val="1"/>
                <w:numId w:val="6"/>
              </w:numPr>
              <w:autoSpaceDE w:val="0"/>
              <w:autoSpaceDN w:val="0"/>
              <w:adjustRightInd w:val="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冻干机主机（冷阱温度≤-85℃），1台</w:t>
            </w:r>
          </w:p>
          <w:p w14:paraId="7009F41C">
            <w:pPr>
              <w:widowControl w:val="0"/>
              <w:numPr>
                <w:ilvl w:val="1"/>
                <w:numId w:val="6"/>
              </w:numPr>
              <w:autoSpaceDE w:val="0"/>
              <w:autoSpaceDN w:val="0"/>
              <w:adjustRightInd w:val="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化学杂交泵（配油雾过滤器，泵管等），1套</w:t>
            </w:r>
          </w:p>
          <w:p w14:paraId="48E6CCB5">
            <w:pPr>
              <w:widowControl w:val="0"/>
              <w:numPr>
                <w:ilvl w:val="1"/>
                <w:numId w:val="6"/>
              </w:numPr>
              <w:autoSpaceDE w:val="0"/>
              <w:autoSpaceDN w:val="0"/>
              <w:adjustRightInd w:val="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真空传感器，1个</w:t>
            </w:r>
          </w:p>
          <w:p w14:paraId="59482361">
            <w:pPr>
              <w:widowControl w:val="0"/>
              <w:numPr>
                <w:ilvl w:val="1"/>
                <w:numId w:val="6"/>
              </w:numPr>
              <w:autoSpaceDE w:val="0"/>
              <w:autoSpaceDN w:val="0"/>
              <w:adjustRightInd w:val="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电磁控制阀，1个</w:t>
            </w:r>
          </w:p>
          <w:p w14:paraId="3F822218">
            <w:pPr>
              <w:widowControl w:val="0"/>
              <w:numPr>
                <w:ilvl w:val="1"/>
                <w:numId w:val="6"/>
              </w:numPr>
              <w:autoSpaceDE w:val="0"/>
              <w:autoSpaceDN w:val="0"/>
              <w:adjustRightInd w:val="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通用底板，1个</w:t>
            </w:r>
          </w:p>
          <w:p w14:paraId="7E62D519">
            <w:pPr>
              <w:widowControl w:val="0"/>
              <w:numPr>
                <w:ilvl w:val="1"/>
                <w:numId w:val="6"/>
              </w:numPr>
              <w:autoSpaceDE w:val="0"/>
              <w:autoSpaceDN w:val="0"/>
              <w:adjustRightInd w:val="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干燥腔带外接口不少于18个，1个</w:t>
            </w:r>
          </w:p>
          <w:p w14:paraId="30960CE1">
            <w:pPr>
              <w:widowControl w:val="0"/>
              <w:numPr>
                <w:ilvl w:val="1"/>
                <w:numId w:val="6"/>
              </w:numPr>
              <w:autoSpaceDE w:val="0"/>
              <w:autoSpaceDN w:val="0"/>
              <w:adjustRightInd w:val="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★五层不锈钢搁板（直径≥360mm），1套</w:t>
            </w:r>
          </w:p>
          <w:p w14:paraId="37350544">
            <w:pPr>
              <w:rPr>
                <w:rFonts w:hint="eastAsia" w:ascii="仿宋" w:hAnsi="仿宋" w:eastAsia="仿宋"/>
                <w:color w:val="auto"/>
                <w:sz w:val="24"/>
                <w:szCs w:val="24"/>
                <w:highlight w:val="none"/>
              </w:rPr>
            </w:pPr>
            <w:r>
              <w:rPr>
                <w:rFonts w:hint="eastAsia" w:ascii="仿宋" w:hAnsi="仿宋" w:eastAsia="仿宋" w:cs="仿宋"/>
                <w:color w:val="auto"/>
                <w:sz w:val="24"/>
                <w:szCs w:val="24"/>
                <w:highlight w:val="none"/>
              </w:rPr>
              <w:t>7.交货时间：合同签订后的90天内</w:t>
            </w:r>
          </w:p>
        </w:tc>
        <w:tc>
          <w:tcPr>
            <w:tcW w:w="243" w:type="pct"/>
            <w:vAlign w:val="center"/>
          </w:tcPr>
          <w:p w14:paraId="0817CA9D">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1台</w:t>
            </w:r>
          </w:p>
        </w:tc>
      </w:tr>
      <w:tr w14:paraId="00929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14:paraId="53FF6371">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9</w:t>
            </w:r>
          </w:p>
        </w:tc>
        <w:tc>
          <w:tcPr>
            <w:tcW w:w="291" w:type="pct"/>
          </w:tcPr>
          <w:p w14:paraId="209FF017">
            <w:pPr>
              <w:rPr>
                <w:rFonts w:hint="eastAsia" w:ascii="仿宋" w:hAnsi="仿宋" w:eastAsia="仿宋"/>
                <w:color w:val="auto"/>
                <w:sz w:val="24"/>
                <w:szCs w:val="24"/>
                <w:highlight w:val="none"/>
              </w:rPr>
            </w:pPr>
          </w:p>
        </w:tc>
        <w:tc>
          <w:tcPr>
            <w:tcW w:w="291" w:type="pct"/>
            <w:vAlign w:val="center"/>
          </w:tcPr>
          <w:p w14:paraId="0796BF4B">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液相色谱仪（进口）</w:t>
            </w:r>
          </w:p>
        </w:tc>
        <w:tc>
          <w:tcPr>
            <w:tcW w:w="3920" w:type="pct"/>
            <w:vAlign w:val="center"/>
          </w:tcPr>
          <w:p w14:paraId="3D356089">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一 主要技术参数</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1四元梯度混合泵</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1.1串联双柱塞往复泵，通过齿轮和滚珠螺杆传输动力，浮动柱塞。</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1.2可设置的流速范围：≥0.001~10mL/min, 增量为≤0.001mL/min。</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1.3流速精密度：≤0.05%RSD。</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1.4流速准确度：±1%或15uL/min。</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1.5压力范围：不低于400bar。</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1.6压力脉动：&lt; 2%。</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1.7传动方式：高精度齿轮传动。</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1.8梯度形成：四元梯度混合。</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1.9梯度延迟体积：不高于600ul。</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1.10梯度组成比例范围：0-100%(以≤1%为增量) 。</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1.11混合准确度：&lt;0.15%RSD。</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1.12集成的脱气元件：通道个数：4通道。</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2自动进样器</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2.1进样体积：0.1-100μL, 增量为≤0.1μL。</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2.2进样准确度：&lt;0.15 % RSD or SD&lt;10 nl。</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2.3 进样进度：&lt; 0.6 % RSD。</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2.4 进样循环时：≤11s。</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2.5 交叉污染：&lt;0.0009 % (9 ppm) 。</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2.6操作压力：不低于600bar。</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2.7采用计量泵控制进样体积，自动洗针程序，柱前自动衍生程序，取样及进样速率可调,采用高压进样模式，无需脱气。</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2.8样品位数：不低于131位2ml标准样品瓶位。</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2.9 自动进样器可以进行编程，可通过编程设置柱前自动衍生程序。</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3智能化柱温箱</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3.1控温范围：≥4℃ - 80℃。</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3.2温度稳定性：±0.1℃。</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3.3控温准确度：±0.5℃。</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3.4控温精度：≤0.05℃。</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3.5柱容量：最大4根300mm长色谱柱或8根150mm长色谱柱。</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3.6半导体温控，流动相柱前预加热，有效防止流动相在色谱柱内的热交换，有利于色谱柱内快速温度平衡，及两相间的物质分配平衡,两个独立帕尔帖单元柱温箱。</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4可变波长紫外检测器</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4.1检测器类型：双光束光度计</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4.2光源：氘灯</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4.3最大采集速率：120Hz</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4.4基线噪音：≤0.2510-5AU</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4.5基线漂移：&lt;0.110-3AU/h</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4.6波长范围：≥190～600nm</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4.7狭缝宽度：6.5nm</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4.8波长准确度：≤1nm，氘灯自动校准，用氧化钬滤光片验证</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4.9标配服务器功能，可实现智能化操作以及仪器的本地化控制。</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4.10可提供5个不同的用户角色登录，并具备不同操作权限</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4.11可设定不少于50个任务程序且可根据分析项目名称命名（非method 1, method 2命名），每个任务程序中包含至少3项不同工作，如：purge, 预冲洗，平衡，后冲洗等</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4.12至少2种判定仪器Purge和色谱柱平衡终点的方式</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4.13至少3种以上任务开启模式：实时开启，定时开启，循环定时开启，并能在面板显示未来开启的具体日期和时间</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4.14锁屏界面提供不少于8种仪器状态显示供使用人员监控仪器</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4.15操作系统支持至少2种语言且必须支持中文</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4.16面板操作不会干扰样品分析过程</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5 化学工作站</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5.1符合FDA 21CFR标准，可以处理如GC、LC、LC/MS、CE 和CE/MS等各种分离技术，基于局域网（LAN）仪器的尖端5级控制和监测保证实现快速而灵活的数据采集，并配以最高效率的数据分析和报告功能。可根据用户要求选择中文和英文色谱原版工作站，并提供中文/英文操作手册。</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5.2可控制液相色谱仪所有参数和运行，可实施编辑功能，自动进行序列样品分析；实时在线显示色谱图，积分并报告出分析结果，绘制标准曲线。</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5.3提供了复杂数据集的多维“气泡图”视图，保留时间偏移、积分问题、异常值或伪峰。</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二 配置</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1.要求模块化设计非一体机，四元梯度泵 1个，可编程自动进样器 1个，独立柱温箱1个，紫外检测器1个，仪器控制工作站1套，电脑及打印机一套，色谱柱1根，备用氘灯1个，液相安装工具包1套。</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三 售后服务</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1供应商提供仪器的现场安装调试并达到投标书指标要求的技术性能，并同时在现场对用户进行操作培训。</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2 供应商在国内必须设有分析仪器教育中心为用户提供仪器的基本原理、操作、日常维护及基础分析仪器理论课程，并为用户提供培训。</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 供应商在国内应设有专业的维修站，有专职的维修工程师及应用工程师有效保证售后维修的及时、快捷，并负责提供技术支持，保证仪器的正常操作，并协助用户进行方法开发。</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4 北京/上海/成都培训中心培训名额1个。</w:t>
            </w:r>
          </w:p>
        </w:tc>
        <w:tc>
          <w:tcPr>
            <w:tcW w:w="243" w:type="pct"/>
            <w:vAlign w:val="center"/>
          </w:tcPr>
          <w:p w14:paraId="43C53BC4">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1台</w:t>
            </w:r>
          </w:p>
        </w:tc>
      </w:tr>
      <w:tr w14:paraId="57BCD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14:paraId="2B0543F5">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10</w:t>
            </w:r>
          </w:p>
        </w:tc>
        <w:tc>
          <w:tcPr>
            <w:tcW w:w="291" w:type="pct"/>
          </w:tcPr>
          <w:p w14:paraId="1AE094CC">
            <w:pPr>
              <w:rPr>
                <w:rFonts w:hint="eastAsia" w:ascii="仿宋" w:hAnsi="仿宋" w:eastAsia="仿宋"/>
                <w:color w:val="auto"/>
                <w:sz w:val="24"/>
                <w:szCs w:val="24"/>
                <w:highlight w:val="none"/>
              </w:rPr>
            </w:pPr>
          </w:p>
        </w:tc>
        <w:tc>
          <w:tcPr>
            <w:tcW w:w="291" w:type="pct"/>
            <w:vAlign w:val="center"/>
          </w:tcPr>
          <w:p w14:paraId="040CDA0F">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高效液相色谱仪（进口）</w:t>
            </w:r>
          </w:p>
        </w:tc>
        <w:tc>
          <w:tcPr>
            <w:tcW w:w="3920" w:type="pct"/>
            <w:vAlign w:val="center"/>
          </w:tcPr>
          <w:p w14:paraId="7C1632EF">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1．数量：1台</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2．应用范围：广泛用于制药、食品、环保、化工行业的研发及各种常规分析</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3．技术要求</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3.1液相色谱系统，包流动相瓶、二元梯度泵（内置6通道脱气系统）、柱温箱、紫外检测器。</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3.2流路须采用原厂UHPLC专用连接体系，镀金接口工艺，耐高压、耐磨损。手旋拆卸，零死体积。</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3.3二元泵</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3.3.1 工作原理：串联双柱塞</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3.3.2 通道数量：6个</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3.3.3 流量范围：0.001~8.000 mL/min，步进0.001 mL/min</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3.3.4 最大压力：100Mpa</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3.3.5 压力波动：&lt;0.2 MPa or &lt;1%</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3.3.6 流量准确度：±0.1%</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3.3.7 流量精密度：&lt;0.05% RSD or &lt;0.01 min SD</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3.3.8 梯度准确度：±0.5%（全流域范围内）</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3.3.9 梯度精密度：&lt; 0.15%SD</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3.3.10 泵清洗系统：主动式单独流路清洗柱塞</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3.3.11 液滴计数器：自动监控泵漏液情况和泵清洗液情况</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3.3.12 溶剂脱气：内置6通道脱气机</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 xml:space="preserve">3.3.13  压缩性补偿 全自动，与流动相组成无关 </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3.3.14 混合器体积：标配≥400μL</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3.4  自动进样器：</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 xml:space="preserve">3.4.1 样品瓶位：大于210位 </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3.4.2 进样方式：流经针环模式，无样品损失，无残留</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3.4.3 进样体积：0.01~25μL</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3.4.4 进样准确度：± 0.5%</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1.2.5 进样量精度：&lt;0.25% RSD</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 xml:space="preserve">3.4.6 交叉污染：≤0.0004% </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 xml:space="preserve">3.4.7 最大耐压：100Mpa </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 xml:space="preserve">3.4.8 进样周期：&lt; 8s </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3.4.9 UDP用户自定义进样，可实现去溶剂效应，在线稀释和在线衍生功能</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3.4.10 进样线性 r&gt;0.99999（咖啡因水溶液）</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3.4.11 自动化特点 条码读取托盘：空段检测，样品拖盘/孔板识别，库存管理</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3.5  柱温箱</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3.5.1 安全性能：防止误开门功能，内置温度、湿度、气体传感器，在线监测漏液情况。</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3.5.2 控温原理：帕尔贴结合空气循环模式、直热模式，即双模式温控。</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3.5.3 温控范围：≥5~85℃</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3.5.4 温度准确度：±0.5℃</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3.5.5 温度稳定性：±0.05℃</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3.5.6 容量：最多2支色谱柱，最长30cm</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3.5.7 升温速率：≥典型值5 min 从 25°C 升温至40°C</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3.5.8 降温速率：≥典型值15 min 从 50°C 降温至20°C</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3.5.9 预留额外的两个六通阀或七通阀位置，可用于在线样品前处理等应用</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3.5.10 管线接头：不锈钢或MP35N材质，耐压700bar以上，零死体积接口，无需工具手旋拧紧方式，接头与任意主流厂商色谱柱完全匹配不漏液。</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3.5.11  温度精度：≤0.1℃</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3.6  紫外检测器检测器：</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3.6.1 原理：双波长，可变波长</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3.6.2 光源：氘灯、（可选配钨灯）</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3.6.3 频带宽度：6 nm 在254 nm</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3.6.4 通道数量：2个</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3.6.5 波长范围：190-750 nm</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3.6.6 波长准确度：± 1 nm</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3.6.7 波长精确度：± 0.1 nm</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 xml:space="preserve">3.6.8 线性范围：&lt; 5% RSD 在2.5 AU时； </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3.6.9 数据采集频率：125HZ</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3.6.10 自动校正：D-alpha线法自校正，氧化钬滤光器验证</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3.6.11 噪声： &lt;± 2.5 μAU</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3.6.12 漂移：&lt;0.1 mAU/h 在254nm下</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3.6.13 停泵扫描：支持</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4软件:</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4.1操作系统:可兼容Windows 7和windows 10</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4.2色谱控制分析数据库:通过高性能USB方式和电脑进行数字信号传输,可编制分析方式和顺序，兼容Oracle、Microsoft SQL Server多种数据库平台。</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4.3可自动进行快速数据采集和后处理.</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4.4可提供适时分析条件参数和分析结果，在线监测和采集泵压力变化数据。</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4.5具有仪器相关数据与运行状况溯源功能，方便故障排查。</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4.6 可通过升级兼容第三方仪器，操控包括气相色谱，离子色谱等第三方仪器公司仪器</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4.7 可使用PDF、EXCEL等格式输出实验结果。实验数据编辑相关操作为EXCEL式操作，运算灵活，修改方便。</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5、配置要求：</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5.1 液相色谱基座  1台</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5.2 二元泵（内置6通道脱气系统） 1个</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5.3自动进样器     1台</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5.4 紫外检测器 1个</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5.5 紫外流通池 1个</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5.6 软件 1套</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5.7 柱温箱 1个</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5.8 色谱柱 1个</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5.9 标准品 1瓶</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5.10 备用氘灯 1个</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5.11 流动相瓶及样品瓶 1套</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5.12 激光打印机 1台</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5.13 品牌台式电脑 1台</w:t>
            </w:r>
          </w:p>
        </w:tc>
        <w:tc>
          <w:tcPr>
            <w:tcW w:w="243" w:type="pct"/>
            <w:vAlign w:val="center"/>
          </w:tcPr>
          <w:p w14:paraId="7AACF195">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1台</w:t>
            </w:r>
          </w:p>
        </w:tc>
      </w:tr>
      <w:tr w14:paraId="26AF3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14:paraId="37638B39">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11</w:t>
            </w:r>
          </w:p>
        </w:tc>
        <w:tc>
          <w:tcPr>
            <w:tcW w:w="291" w:type="pct"/>
          </w:tcPr>
          <w:p w14:paraId="3DD64171">
            <w:pPr>
              <w:rPr>
                <w:rFonts w:hint="eastAsia" w:ascii="仿宋" w:hAnsi="仿宋" w:eastAsia="仿宋"/>
                <w:color w:val="auto"/>
                <w:sz w:val="24"/>
                <w:szCs w:val="24"/>
                <w:highlight w:val="none"/>
              </w:rPr>
            </w:pPr>
          </w:p>
        </w:tc>
        <w:tc>
          <w:tcPr>
            <w:tcW w:w="291" w:type="pct"/>
            <w:vAlign w:val="center"/>
          </w:tcPr>
          <w:p w14:paraId="00E0E952">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紫外可见分光光度计</w:t>
            </w:r>
          </w:p>
        </w:tc>
        <w:tc>
          <w:tcPr>
            <w:tcW w:w="3920" w:type="pct"/>
            <w:vAlign w:val="center"/>
          </w:tcPr>
          <w:p w14:paraId="4F639993">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 工作条件：</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 xml:space="preserve">1.1湿度: ≤90% </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1.2温度: 15 - 35℃</w:t>
            </w:r>
            <w:r>
              <w:rPr>
                <w:rFonts w:ascii="仿宋" w:hAnsi="仿宋" w:eastAsia="仿宋"/>
                <w:color w:val="auto"/>
                <w:sz w:val="24"/>
                <w:szCs w:val="24"/>
                <w:highlight w:val="none"/>
              </w:rPr>
              <w:br w:type="textWrapping"/>
            </w:r>
            <w:r>
              <w:rPr>
                <w:rFonts w:ascii="仿宋" w:hAnsi="仿宋" w:eastAsia="仿宋"/>
                <w:color w:val="auto"/>
                <w:sz w:val="24"/>
                <w:szCs w:val="24"/>
                <w:highlight w:val="none"/>
              </w:rPr>
              <w:t xml:space="preserve">1.3电源: 100－240V; 50－60 Hz </w:t>
            </w:r>
            <w:r>
              <w:rPr>
                <w:rFonts w:ascii="仿宋" w:hAnsi="仿宋" w:eastAsia="仿宋"/>
                <w:color w:val="auto"/>
                <w:sz w:val="24"/>
                <w:szCs w:val="24"/>
                <w:highlight w:val="none"/>
              </w:rPr>
              <w:br w:type="textWrapping"/>
            </w:r>
            <w:r>
              <w:rPr>
                <w:rFonts w:ascii="仿宋" w:hAnsi="仿宋" w:eastAsia="仿宋"/>
                <w:color w:val="auto"/>
                <w:sz w:val="24"/>
                <w:szCs w:val="24"/>
                <w:highlight w:val="none"/>
              </w:rPr>
              <w:t>2主机详细技术参数：</w:t>
            </w:r>
            <w:r>
              <w:rPr>
                <w:rFonts w:ascii="仿宋" w:hAnsi="仿宋" w:eastAsia="仿宋"/>
                <w:color w:val="auto"/>
                <w:sz w:val="24"/>
                <w:szCs w:val="24"/>
                <w:highlight w:val="none"/>
              </w:rPr>
              <w:br w:type="textWrapping"/>
            </w:r>
            <w:r>
              <w:rPr>
                <w:rFonts w:ascii="仿宋" w:hAnsi="仿宋" w:eastAsia="仿宋"/>
                <w:color w:val="auto"/>
                <w:sz w:val="24"/>
                <w:szCs w:val="24"/>
                <w:highlight w:val="none"/>
              </w:rPr>
              <w:t>2.1光学系统：双光束，全息切尔尼－特纳光栅，具有样品池和参比池，可以实时扣背景。</w:t>
            </w:r>
            <w:r>
              <w:rPr>
                <w:rFonts w:ascii="仿宋" w:hAnsi="仿宋" w:eastAsia="仿宋"/>
                <w:color w:val="auto"/>
                <w:sz w:val="24"/>
                <w:szCs w:val="24"/>
                <w:highlight w:val="none"/>
              </w:rPr>
              <w:br w:type="textWrapping"/>
            </w:r>
            <w:r>
              <w:rPr>
                <w:rFonts w:ascii="仿宋" w:hAnsi="仿宋" w:eastAsia="仿宋"/>
                <w:color w:val="auto"/>
                <w:sz w:val="24"/>
                <w:szCs w:val="24"/>
                <w:highlight w:val="none"/>
              </w:rPr>
              <w:t>2.2光源：氙灯光源，无需预热，开机即可测定样品，一个光源可以覆盖</w:t>
            </w:r>
            <w:r>
              <w:rPr>
                <w:rFonts w:hint="eastAsia" w:ascii="仿宋" w:hAnsi="仿宋" w:eastAsia="仿宋"/>
                <w:color w:val="auto"/>
                <w:sz w:val="24"/>
                <w:szCs w:val="24"/>
                <w:highlight w:val="none"/>
              </w:rPr>
              <w:t>不低于</w:t>
            </w:r>
            <w:r>
              <w:rPr>
                <w:rFonts w:ascii="仿宋" w:hAnsi="仿宋" w:eastAsia="仿宋"/>
                <w:color w:val="auto"/>
                <w:sz w:val="24"/>
                <w:szCs w:val="24"/>
                <w:highlight w:val="none"/>
              </w:rPr>
              <w:t>190-1100nm</w:t>
            </w:r>
            <w:r>
              <w:rPr>
                <w:rFonts w:hint="eastAsia" w:ascii="仿宋" w:hAnsi="仿宋" w:eastAsia="仿宋"/>
                <w:color w:val="auto"/>
                <w:sz w:val="24"/>
                <w:szCs w:val="24"/>
                <w:highlight w:val="none"/>
              </w:rPr>
              <w:t>波段</w:t>
            </w:r>
            <w:r>
              <w:rPr>
                <w:rFonts w:ascii="仿宋" w:hAnsi="仿宋" w:eastAsia="仿宋"/>
                <w:color w:val="auto"/>
                <w:sz w:val="24"/>
                <w:szCs w:val="24"/>
                <w:highlight w:val="none"/>
              </w:rPr>
              <w:t>，无需转换光源。</w:t>
            </w:r>
            <w:r>
              <w:rPr>
                <w:rFonts w:ascii="仿宋" w:hAnsi="仿宋" w:eastAsia="仿宋"/>
                <w:color w:val="auto"/>
                <w:sz w:val="24"/>
                <w:szCs w:val="24"/>
                <w:highlight w:val="none"/>
              </w:rPr>
              <w:br w:type="textWrapping"/>
            </w:r>
            <w:r>
              <w:rPr>
                <w:rFonts w:ascii="仿宋" w:hAnsi="仿宋" w:eastAsia="仿宋"/>
                <w:color w:val="auto"/>
                <w:sz w:val="24"/>
                <w:szCs w:val="24"/>
                <w:highlight w:val="none"/>
              </w:rPr>
              <w:t>2.3带宽：≥1nm</w:t>
            </w:r>
            <w:r>
              <w:rPr>
                <w:rFonts w:ascii="仿宋" w:hAnsi="仿宋" w:eastAsia="仿宋"/>
                <w:color w:val="auto"/>
                <w:sz w:val="24"/>
                <w:szCs w:val="24"/>
                <w:highlight w:val="none"/>
              </w:rPr>
              <w:br w:type="textWrapping"/>
            </w:r>
            <w:r>
              <w:rPr>
                <w:rFonts w:ascii="仿宋" w:hAnsi="仿宋" w:eastAsia="仿宋"/>
                <w:color w:val="auto"/>
                <w:sz w:val="24"/>
                <w:szCs w:val="24"/>
                <w:highlight w:val="none"/>
              </w:rPr>
              <w:t>2.4波长范围：≥190nm－1100nm</w:t>
            </w:r>
            <w:r>
              <w:rPr>
                <w:rFonts w:ascii="仿宋" w:hAnsi="仿宋" w:eastAsia="仿宋"/>
                <w:color w:val="auto"/>
                <w:sz w:val="24"/>
                <w:szCs w:val="24"/>
                <w:highlight w:val="none"/>
              </w:rPr>
              <w:br w:type="textWrapping"/>
            </w:r>
            <w:r>
              <w:rPr>
                <w:rFonts w:ascii="仿宋" w:hAnsi="仿宋" w:eastAsia="仿宋"/>
                <w:color w:val="auto"/>
                <w:sz w:val="24"/>
                <w:szCs w:val="24"/>
                <w:highlight w:val="none"/>
              </w:rPr>
              <w:t>2.5波长准确度：≤±0.5 nm</w:t>
            </w:r>
            <w:r>
              <w:rPr>
                <w:rFonts w:ascii="仿宋" w:hAnsi="仿宋" w:eastAsia="仿宋"/>
                <w:color w:val="auto"/>
                <w:sz w:val="24"/>
                <w:szCs w:val="24"/>
                <w:highlight w:val="none"/>
              </w:rPr>
              <w:br w:type="textWrapping"/>
            </w:r>
            <w:r>
              <w:rPr>
                <w:rFonts w:ascii="仿宋" w:hAnsi="仿宋" w:eastAsia="仿宋"/>
                <w:color w:val="auto"/>
                <w:sz w:val="24"/>
                <w:szCs w:val="24"/>
                <w:highlight w:val="none"/>
              </w:rPr>
              <w:t>2.6波长重复性：≤±0.05 nm</w:t>
            </w:r>
            <w:r>
              <w:rPr>
                <w:rFonts w:ascii="仿宋" w:hAnsi="仿宋" w:eastAsia="仿宋"/>
                <w:color w:val="auto"/>
                <w:sz w:val="24"/>
                <w:szCs w:val="24"/>
                <w:highlight w:val="none"/>
              </w:rPr>
              <w:br w:type="textWrapping"/>
            </w:r>
            <w:r>
              <w:rPr>
                <w:rFonts w:ascii="仿宋" w:hAnsi="仿宋" w:eastAsia="仿宋"/>
                <w:color w:val="auto"/>
                <w:sz w:val="24"/>
                <w:szCs w:val="24"/>
                <w:highlight w:val="none"/>
              </w:rPr>
              <w:t>2.7波长扫描速度：≥1～6000nm/min自动可调</w:t>
            </w:r>
            <w:r>
              <w:rPr>
                <w:rFonts w:ascii="仿宋" w:hAnsi="仿宋" w:eastAsia="仿宋"/>
                <w:color w:val="auto"/>
                <w:sz w:val="24"/>
                <w:szCs w:val="24"/>
                <w:highlight w:val="none"/>
              </w:rPr>
              <w:br w:type="textWrapping"/>
            </w:r>
            <w:r>
              <w:rPr>
                <w:rFonts w:ascii="仿宋" w:hAnsi="仿宋" w:eastAsia="仿宋"/>
                <w:color w:val="auto"/>
                <w:sz w:val="24"/>
                <w:szCs w:val="24"/>
                <w:highlight w:val="none"/>
              </w:rPr>
              <w:t>2.8光栅转动速度：≥31,000 nm/min</w:t>
            </w:r>
            <w:r>
              <w:rPr>
                <w:rFonts w:ascii="仿宋" w:hAnsi="仿宋" w:eastAsia="仿宋"/>
                <w:color w:val="auto"/>
                <w:sz w:val="24"/>
                <w:szCs w:val="24"/>
                <w:highlight w:val="none"/>
              </w:rPr>
              <w:br w:type="textWrapping"/>
            </w:r>
            <w:r>
              <w:rPr>
                <w:rFonts w:ascii="仿宋" w:hAnsi="仿宋" w:eastAsia="仿宋"/>
                <w:color w:val="auto"/>
                <w:sz w:val="24"/>
                <w:szCs w:val="24"/>
                <w:highlight w:val="none"/>
              </w:rPr>
              <w:t>2.9数据点分辨率：0.1、0.2、0.5、1.0、2.0、5.0、10nm</w:t>
            </w:r>
            <w:r>
              <w:rPr>
                <w:rFonts w:ascii="仿宋" w:hAnsi="仿宋" w:eastAsia="仿宋"/>
                <w:color w:val="auto"/>
                <w:sz w:val="24"/>
                <w:szCs w:val="24"/>
                <w:highlight w:val="none"/>
              </w:rPr>
              <w:br w:type="textWrapping"/>
            </w:r>
            <w:r>
              <w:rPr>
                <w:rFonts w:ascii="仿宋" w:hAnsi="仿宋" w:eastAsia="仿宋"/>
                <w:color w:val="auto"/>
                <w:sz w:val="24"/>
                <w:szCs w:val="24"/>
                <w:highlight w:val="none"/>
              </w:rPr>
              <w:t>2.10吸光度范围：≥-0.3 to 4.0 A</w:t>
            </w:r>
            <w:r>
              <w:rPr>
                <w:rFonts w:ascii="仿宋" w:hAnsi="仿宋" w:eastAsia="仿宋"/>
                <w:color w:val="auto"/>
                <w:sz w:val="24"/>
                <w:szCs w:val="24"/>
                <w:highlight w:val="none"/>
              </w:rPr>
              <w:br w:type="textWrapping"/>
            </w:r>
            <w:r>
              <w:rPr>
                <w:rFonts w:ascii="仿宋" w:hAnsi="仿宋" w:eastAsia="仿宋"/>
                <w:color w:val="auto"/>
                <w:sz w:val="24"/>
                <w:szCs w:val="24"/>
                <w:highlight w:val="none"/>
              </w:rPr>
              <w:t>2.11吸光度准确度：≤±0.004A(1Abs)</w:t>
            </w:r>
            <w:r>
              <w:rPr>
                <w:rFonts w:ascii="仿宋" w:hAnsi="仿宋" w:eastAsia="仿宋"/>
                <w:color w:val="auto"/>
                <w:sz w:val="24"/>
                <w:szCs w:val="24"/>
                <w:highlight w:val="none"/>
              </w:rPr>
              <w:br w:type="textWrapping"/>
            </w:r>
            <w:r>
              <w:rPr>
                <w:rFonts w:ascii="仿宋" w:hAnsi="仿宋" w:eastAsia="仿宋"/>
                <w:color w:val="auto"/>
                <w:sz w:val="24"/>
                <w:szCs w:val="24"/>
                <w:highlight w:val="none"/>
              </w:rPr>
              <w:t>2.12吸光度重复性：≤±0.0002A</w:t>
            </w:r>
            <w:r>
              <w:rPr>
                <w:rFonts w:ascii="仿宋" w:hAnsi="仿宋" w:eastAsia="仿宋"/>
                <w:color w:val="auto"/>
                <w:sz w:val="24"/>
                <w:szCs w:val="24"/>
                <w:highlight w:val="none"/>
              </w:rPr>
              <w:br w:type="textWrapping"/>
            </w:r>
            <w:r>
              <w:rPr>
                <w:rFonts w:ascii="仿宋" w:hAnsi="仿宋" w:eastAsia="仿宋"/>
                <w:color w:val="auto"/>
                <w:sz w:val="24"/>
                <w:szCs w:val="24"/>
                <w:highlight w:val="none"/>
              </w:rPr>
              <w:t>2.13杂散光：&lt;0.05％（220nm&amp;340nm）</w:t>
            </w:r>
            <w:r>
              <w:rPr>
                <w:rFonts w:ascii="仿宋" w:hAnsi="仿宋" w:eastAsia="仿宋"/>
                <w:color w:val="auto"/>
                <w:sz w:val="24"/>
                <w:szCs w:val="24"/>
                <w:highlight w:val="none"/>
              </w:rPr>
              <w:br w:type="textWrapping"/>
            </w:r>
            <w:r>
              <w:rPr>
                <w:rFonts w:ascii="仿宋" w:hAnsi="仿宋" w:eastAsia="仿宋"/>
                <w:color w:val="auto"/>
                <w:sz w:val="24"/>
                <w:szCs w:val="24"/>
                <w:highlight w:val="none"/>
              </w:rPr>
              <w:t>2.14噪音：&lt;0.00015A  500 nm, 1.0 nm SBW, RMS @ 0A</w:t>
            </w:r>
            <w:r>
              <w:rPr>
                <w:rFonts w:ascii="仿宋" w:hAnsi="仿宋" w:eastAsia="仿宋"/>
                <w:color w:val="auto"/>
                <w:sz w:val="24"/>
                <w:szCs w:val="24"/>
                <w:highlight w:val="none"/>
              </w:rPr>
              <w:br w:type="textWrapping"/>
            </w:r>
            <w:r>
              <w:rPr>
                <w:rFonts w:ascii="仿宋" w:hAnsi="仿宋" w:eastAsia="仿宋"/>
                <w:color w:val="auto"/>
                <w:sz w:val="24"/>
                <w:szCs w:val="24"/>
                <w:highlight w:val="none"/>
              </w:rPr>
              <w:t>2.15稳定性：&lt;0.0005A/hr</w:t>
            </w:r>
            <w:r>
              <w:rPr>
                <w:rFonts w:ascii="仿宋" w:hAnsi="仿宋" w:eastAsia="仿宋"/>
                <w:color w:val="auto"/>
                <w:sz w:val="24"/>
                <w:szCs w:val="24"/>
                <w:highlight w:val="none"/>
              </w:rPr>
              <w:br w:type="textWrapping"/>
            </w:r>
            <w:r>
              <w:rPr>
                <w:rFonts w:ascii="仿宋" w:hAnsi="仿宋" w:eastAsia="仿宋"/>
                <w:color w:val="auto"/>
                <w:sz w:val="24"/>
                <w:szCs w:val="24"/>
                <w:highlight w:val="none"/>
              </w:rPr>
              <w:t>2.16基线平直度：±0.001 A（200–800 nm, 1.0 nm带宽）</w:t>
            </w:r>
            <w:r>
              <w:rPr>
                <w:rFonts w:ascii="仿宋" w:hAnsi="仿宋" w:eastAsia="仿宋"/>
                <w:color w:val="auto"/>
                <w:sz w:val="24"/>
                <w:szCs w:val="24"/>
                <w:highlight w:val="none"/>
              </w:rPr>
              <w:br w:type="textWrapping"/>
            </w:r>
            <w:r>
              <w:rPr>
                <w:rFonts w:ascii="仿宋" w:hAnsi="仿宋" w:eastAsia="仿宋"/>
                <w:color w:val="auto"/>
                <w:sz w:val="24"/>
                <w:szCs w:val="24"/>
                <w:highlight w:val="none"/>
              </w:rPr>
              <w:t>2.17检测器：双硅光二极管</w:t>
            </w:r>
            <w:r>
              <w:rPr>
                <w:rFonts w:ascii="仿宋" w:hAnsi="仿宋" w:eastAsia="仿宋"/>
                <w:color w:val="auto"/>
                <w:sz w:val="24"/>
                <w:szCs w:val="24"/>
                <w:highlight w:val="none"/>
              </w:rPr>
              <w:br w:type="textWrapping"/>
            </w:r>
            <w:r>
              <w:rPr>
                <w:rFonts w:ascii="仿宋" w:hAnsi="仿宋" w:eastAsia="仿宋"/>
                <w:color w:val="auto"/>
                <w:sz w:val="24"/>
                <w:szCs w:val="24"/>
                <w:highlight w:val="none"/>
              </w:rPr>
              <w:t>2.18</w:t>
            </w:r>
            <w:r>
              <w:rPr>
                <w:rFonts w:hint="eastAsia" w:ascii="仿宋" w:hAnsi="仿宋" w:eastAsia="仿宋"/>
                <w:color w:val="auto"/>
                <w:sz w:val="24"/>
                <w:szCs w:val="24"/>
                <w:highlight w:val="none"/>
              </w:rPr>
              <w:t>不低于</w:t>
            </w:r>
            <w:r>
              <w:rPr>
                <w:rFonts w:ascii="仿宋" w:hAnsi="仿宋" w:eastAsia="仿宋"/>
                <w:color w:val="auto"/>
                <w:sz w:val="24"/>
                <w:szCs w:val="24"/>
                <w:highlight w:val="none"/>
              </w:rPr>
              <w:t xml:space="preserve"> 4个USB接口，可接U盘，打印机或电脑。</w:t>
            </w:r>
            <w:r>
              <w:rPr>
                <w:rFonts w:ascii="仿宋" w:hAnsi="仿宋" w:eastAsia="仿宋"/>
                <w:color w:val="auto"/>
                <w:sz w:val="24"/>
                <w:szCs w:val="24"/>
                <w:highlight w:val="none"/>
              </w:rPr>
              <w:br w:type="textWrapping"/>
            </w:r>
            <w:r>
              <w:rPr>
                <w:rFonts w:ascii="仿宋" w:hAnsi="仿宋" w:eastAsia="仿宋"/>
                <w:color w:val="auto"/>
                <w:sz w:val="24"/>
                <w:szCs w:val="24"/>
                <w:highlight w:val="none"/>
              </w:rPr>
              <w:t>2.19软件功能：中英文可任意选择，全波段扫描，定量，动力学，单波长、多波长测定，多组份分析，客户定制环境编辑程序CUE软件，可将复杂的分析方法编辑成简单的人性化操作流程。</w:t>
            </w:r>
            <w:r>
              <w:rPr>
                <w:rFonts w:ascii="仿宋" w:hAnsi="仿宋" w:eastAsia="仿宋"/>
                <w:color w:val="auto"/>
                <w:sz w:val="24"/>
                <w:szCs w:val="24"/>
                <w:highlight w:val="none"/>
              </w:rPr>
              <w:br w:type="textWrapping"/>
            </w:r>
            <w:r>
              <w:rPr>
                <w:rFonts w:ascii="仿宋" w:hAnsi="仿宋" w:eastAsia="仿宋"/>
                <w:color w:val="auto"/>
                <w:sz w:val="24"/>
                <w:szCs w:val="24"/>
                <w:highlight w:val="none"/>
              </w:rPr>
              <w:t>2.20参比光路和样品光路为垂直设计，非平行设计</w:t>
            </w:r>
            <w:r>
              <w:rPr>
                <w:rFonts w:ascii="仿宋" w:hAnsi="仿宋" w:eastAsia="仿宋"/>
                <w:color w:val="auto"/>
                <w:sz w:val="24"/>
                <w:szCs w:val="24"/>
                <w:highlight w:val="none"/>
              </w:rPr>
              <w:br w:type="textWrapping"/>
            </w:r>
            <w:r>
              <w:rPr>
                <w:rFonts w:ascii="仿宋" w:hAnsi="仿宋" w:eastAsia="仿宋"/>
                <w:color w:val="auto"/>
                <w:sz w:val="24"/>
                <w:szCs w:val="24"/>
                <w:highlight w:val="none"/>
              </w:rPr>
              <w:t>3.支架：样品位配置线性≥14联池支架，支架全部采用金属制作，无裸露塑料件，坚固耐用，且可通过紫外软件控制样品位的移动，≤36秒完成14个样品自动测试，一次设定、≥69 份样品的自动测量显示，错位叠加式比色皿结构，结构紧凑。</w:t>
            </w:r>
            <w:r>
              <w:rPr>
                <w:rFonts w:ascii="仿宋" w:hAnsi="仿宋" w:eastAsia="仿宋"/>
                <w:color w:val="auto"/>
                <w:sz w:val="24"/>
                <w:szCs w:val="24"/>
                <w:highlight w:val="none"/>
              </w:rPr>
              <w:br w:type="textWrapping"/>
            </w:r>
            <w:r>
              <w:rPr>
                <w:rFonts w:ascii="仿宋" w:hAnsi="仿宋" w:eastAsia="仿宋"/>
                <w:color w:val="auto"/>
                <w:sz w:val="24"/>
                <w:szCs w:val="24"/>
                <w:highlight w:val="none"/>
              </w:rPr>
              <w:t>4 技术服务：</w:t>
            </w:r>
            <w:r>
              <w:rPr>
                <w:rFonts w:ascii="仿宋" w:hAnsi="仿宋" w:eastAsia="仿宋"/>
                <w:color w:val="auto"/>
                <w:sz w:val="24"/>
                <w:szCs w:val="24"/>
                <w:highlight w:val="none"/>
              </w:rPr>
              <w:br w:type="textWrapping"/>
            </w:r>
            <w:r>
              <w:rPr>
                <w:rFonts w:ascii="仿宋" w:hAnsi="仿宋" w:eastAsia="仿宋"/>
                <w:color w:val="auto"/>
                <w:sz w:val="24"/>
                <w:szCs w:val="24"/>
                <w:highlight w:val="none"/>
              </w:rPr>
              <w:t>4.1 仪器安装、验收：</w:t>
            </w:r>
            <w:r>
              <w:rPr>
                <w:rFonts w:ascii="仿宋" w:hAnsi="仿宋" w:eastAsia="仿宋"/>
                <w:color w:val="auto"/>
                <w:sz w:val="24"/>
                <w:szCs w:val="24"/>
                <w:highlight w:val="none"/>
              </w:rPr>
              <w:br w:type="textWrapping"/>
            </w:r>
            <w:r>
              <w:rPr>
                <w:rFonts w:ascii="仿宋" w:hAnsi="仿宋" w:eastAsia="仿宋"/>
                <w:color w:val="auto"/>
                <w:sz w:val="24"/>
                <w:szCs w:val="24"/>
                <w:highlight w:val="none"/>
              </w:rPr>
              <w:t>必须由仪器制造厂技术人员到现场安装仪器，并在用户实验室人员在场的情况下完成仪器设备性能的证明文件。</w:t>
            </w:r>
            <w:r>
              <w:rPr>
                <w:rFonts w:ascii="仿宋" w:hAnsi="仿宋" w:eastAsia="仿宋"/>
                <w:color w:val="auto"/>
                <w:sz w:val="24"/>
                <w:szCs w:val="24"/>
                <w:highlight w:val="none"/>
              </w:rPr>
              <w:br w:type="textWrapping"/>
            </w:r>
            <w:r>
              <w:rPr>
                <w:rFonts w:ascii="仿宋" w:hAnsi="仿宋" w:eastAsia="仿宋"/>
                <w:color w:val="auto"/>
                <w:sz w:val="24"/>
                <w:szCs w:val="24"/>
                <w:highlight w:val="none"/>
              </w:rPr>
              <w:t>4.2用户培训：</w:t>
            </w:r>
            <w:r>
              <w:rPr>
                <w:rFonts w:ascii="仿宋" w:hAnsi="仿宋" w:eastAsia="仿宋"/>
                <w:color w:val="auto"/>
                <w:sz w:val="24"/>
                <w:szCs w:val="24"/>
                <w:highlight w:val="none"/>
              </w:rPr>
              <w:br w:type="textWrapping"/>
            </w:r>
            <w:r>
              <w:rPr>
                <w:rFonts w:ascii="仿宋" w:hAnsi="仿宋" w:eastAsia="仿宋"/>
                <w:color w:val="auto"/>
                <w:sz w:val="24"/>
                <w:szCs w:val="24"/>
                <w:highlight w:val="none"/>
              </w:rPr>
              <w:t xml:space="preserve"> 4.2.1卖方提供现场培训；</w:t>
            </w:r>
            <w:r>
              <w:rPr>
                <w:rFonts w:ascii="仿宋" w:hAnsi="仿宋" w:eastAsia="仿宋"/>
                <w:color w:val="auto"/>
                <w:sz w:val="24"/>
                <w:szCs w:val="24"/>
                <w:highlight w:val="none"/>
              </w:rPr>
              <w:br w:type="textWrapping"/>
            </w:r>
            <w:r>
              <w:rPr>
                <w:rFonts w:ascii="仿宋" w:hAnsi="仿宋" w:eastAsia="仿宋"/>
                <w:color w:val="auto"/>
                <w:sz w:val="24"/>
                <w:szCs w:val="24"/>
                <w:highlight w:val="none"/>
              </w:rPr>
              <w:t xml:space="preserve"> 4.2.2卖方提供快速响应的维修服务体系。</w:t>
            </w:r>
            <w:r>
              <w:rPr>
                <w:rFonts w:ascii="仿宋" w:hAnsi="仿宋" w:eastAsia="仿宋"/>
                <w:color w:val="auto"/>
                <w:sz w:val="24"/>
                <w:szCs w:val="24"/>
                <w:highlight w:val="none"/>
              </w:rPr>
              <w:br w:type="textWrapping"/>
            </w:r>
            <w:r>
              <w:rPr>
                <w:rFonts w:ascii="仿宋" w:hAnsi="仿宋" w:eastAsia="仿宋"/>
                <w:color w:val="auto"/>
                <w:sz w:val="24"/>
                <w:szCs w:val="24"/>
                <w:highlight w:val="none"/>
              </w:rPr>
              <w:t>5.配置清单：</w:t>
            </w:r>
            <w:r>
              <w:rPr>
                <w:rFonts w:ascii="仿宋" w:hAnsi="仿宋" w:eastAsia="仿宋"/>
                <w:color w:val="auto"/>
                <w:sz w:val="24"/>
                <w:szCs w:val="24"/>
                <w:highlight w:val="none"/>
              </w:rPr>
              <w:br w:type="textWrapping"/>
            </w:r>
            <w:r>
              <w:rPr>
                <w:rFonts w:ascii="仿宋" w:hAnsi="仿宋" w:eastAsia="仿宋"/>
                <w:color w:val="auto"/>
                <w:sz w:val="24"/>
                <w:szCs w:val="24"/>
                <w:highlight w:val="none"/>
              </w:rPr>
              <w:t>5.1紫外可见分光光度计主机1台、</w:t>
            </w:r>
            <w:r>
              <w:rPr>
                <w:rFonts w:ascii="仿宋" w:hAnsi="仿宋" w:eastAsia="仿宋"/>
                <w:color w:val="auto"/>
                <w:sz w:val="24"/>
                <w:szCs w:val="24"/>
                <w:highlight w:val="none"/>
              </w:rPr>
              <w:br w:type="textWrapping"/>
            </w:r>
            <w:r>
              <w:rPr>
                <w:rFonts w:ascii="仿宋" w:hAnsi="仿宋" w:eastAsia="仿宋"/>
                <w:color w:val="auto"/>
                <w:sz w:val="24"/>
                <w:szCs w:val="24"/>
                <w:highlight w:val="none"/>
              </w:rPr>
              <w:t>5.2  10mm光程样品支架1个、</w:t>
            </w:r>
            <w:r>
              <w:rPr>
                <w:rFonts w:ascii="仿宋" w:hAnsi="仿宋" w:eastAsia="仿宋"/>
                <w:color w:val="auto"/>
                <w:sz w:val="24"/>
                <w:szCs w:val="24"/>
                <w:highlight w:val="none"/>
              </w:rPr>
              <w:br w:type="textWrapping"/>
            </w:r>
            <w:r>
              <w:rPr>
                <w:rFonts w:ascii="仿宋" w:hAnsi="仿宋" w:eastAsia="仿宋"/>
                <w:color w:val="auto"/>
                <w:sz w:val="24"/>
                <w:szCs w:val="24"/>
                <w:highlight w:val="none"/>
              </w:rPr>
              <w:t>5.3  10mm光程参比池支架1个、</w:t>
            </w:r>
            <w:r>
              <w:rPr>
                <w:rFonts w:ascii="仿宋" w:hAnsi="仿宋" w:eastAsia="仿宋"/>
                <w:color w:val="auto"/>
                <w:sz w:val="24"/>
                <w:szCs w:val="24"/>
                <w:highlight w:val="none"/>
              </w:rPr>
              <w:br w:type="textWrapping"/>
            </w:r>
            <w:r>
              <w:rPr>
                <w:rFonts w:ascii="仿宋" w:hAnsi="仿宋" w:eastAsia="仿宋"/>
                <w:color w:val="auto"/>
                <w:sz w:val="24"/>
                <w:szCs w:val="24"/>
                <w:highlight w:val="none"/>
              </w:rPr>
              <w:t>5.4 原装进口石英比色皿10个、</w:t>
            </w:r>
            <w:r>
              <w:rPr>
                <w:rFonts w:ascii="仿宋" w:hAnsi="仿宋" w:eastAsia="仿宋"/>
                <w:color w:val="auto"/>
                <w:sz w:val="24"/>
                <w:szCs w:val="24"/>
                <w:highlight w:val="none"/>
              </w:rPr>
              <w:br w:type="textWrapping"/>
            </w:r>
            <w:r>
              <w:rPr>
                <w:rFonts w:ascii="仿宋" w:hAnsi="仿宋" w:eastAsia="仿宋"/>
                <w:color w:val="auto"/>
                <w:sz w:val="24"/>
                <w:szCs w:val="24"/>
                <w:highlight w:val="none"/>
              </w:rPr>
              <w:t>5.5 智能14联池支架1个</w:t>
            </w:r>
          </w:p>
        </w:tc>
        <w:tc>
          <w:tcPr>
            <w:tcW w:w="243" w:type="pct"/>
            <w:vAlign w:val="center"/>
          </w:tcPr>
          <w:p w14:paraId="3B076B61">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1台</w:t>
            </w:r>
          </w:p>
        </w:tc>
      </w:tr>
      <w:tr w14:paraId="428D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14:paraId="12FEA9B3">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12</w:t>
            </w:r>
          </w:p>
        </w:tc>
        <w:tc>
          <w:tcPr>
            <w:tcW w:w="291" w:type="pct"/>
          </w:tcPr>
          <w:p w14:paraId="1CE9365A">
            <w:pPr>
              <w:rPr>
                <w:rFonts w:hint="eastAsia" w:ascii="仿宋" w:hAnsi="仿宋" w:eastAsia="仿宋"/>
                <w:color w:val="auto"/>
                <w:sz w:val="24"/>
                <w:szCs w:val="24"/>
                <w:highlight w:val="none"/>
              </w:rPr>
            </w:pPr>
          </w:p>
        </w:tc>
        <w:tc>
          <w:tcPr>
            <w:tcW w:w="291" w:type="pct"/>
            <w:vAlign w:val="center"/>
          </w:tcPr>
          <w:p w14:paraId="4EC0EB94">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多功能酶标仪</w:t>
            </w:r>
          </w:p>
        </w:tc>
        <w:tc>
          <w:tcPr>
            <w:tcW w:w="3920" w:type="pct"/>
            <w:vAlign w:val="center"/>
          </w:tcPr>
          <w:p w14:paraId="5A1A6568">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一、技术指标</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1、用途：适于酶活性实验，蛋白浓度测定、核酸浓度测定、ELISA、细胞增殖和凋亡、动力学检测、内毒素检测、细菌生长曲线测定</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2、光源：闪烁式氙灯</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3、波长范围：≥200-1000nm，1nm步进</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4、带宽&lt; 2.5nm</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5、读数范围：≥0-4.0Abs</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6、准确性@450nm：≤1.0% + 0.003OD(0–2.0 Abs), 2.0% (2.0–2.5 Abs)</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7、精确性@450nm：SD &lt;0.003 Abs 或 CV &lt;1.0%</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8、具有自动光程校准功能，无需软件，单机可自动输出校准数据</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9、整板测量速度：≤6s，96孔板；≤10s，384孔板</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10、波长扫描速度：≤10s，200-1000nm，≤1nm步进</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11、孵育器功能包括比色杯基座和微孔板，温度范围：室温至45℃</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12、振荡器：线性振荡，三档速度可调，三种振荡模式可选</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13、与自动化系统兼容，可扩展至高通量自动化检测系统，无需人工干预</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14、兼容板类型：不少于6孔板， 48孔板， 96孔板，和384孔板</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15、标准配套软件：</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1）仪器控制和高级分析功能二合一，实时显示运行结果，一键选择列表、板布局等多种直观数据显示方式</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2）中文、英文等多种语言选择设置，Windows 直观界面，图标按钮显示基于 SQL 数据库</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3）检测程序多样化，一键完成浊度法检测</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4）智能化安全监控设置，测量数据自动保存，断电后恢复等</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5）智能化自动填充铺板布局，可自定义测量模板及命名、颜色设置</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6）可自定义Blank subtraction, Curve Fit, Cut-Off 等计算模式；自动孔间光程校准；数据测量及分析过程可包括：扣减本底、定量曲线拟合，动力学计算，临界值分析和质控等；自动保存标准曲线</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7）具有强大的结果报告输出功能，xls/pdf/txt/xml格式，一键输出excel表格，支持报告email 发送。</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二、配置清单全波长酶标仪主机 1台，包括电脑 1台，配套中文软件 1套</w:t>
            </w:r>
          </w:p>
        </w:tc>
        <w:tc>
          <w:tcPr>
            <w:tcW w:w="243" w:type="pct"/>
            <w:vAlign w:val="center"/>
          </w:tcPr>
          <w:p w14:paraId="41B11C0D">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1台</w:t>
            </w:r>
          </w:p>
        </w:tc>
      </w:tr>
      <w:tr w14:paraId="16EA8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14:paraId="4EE3AFBB">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13</w:t>
            </w:r>
          </w:p>
        </w:tc>
        <w:tc>
          <w:tcPr>
            <w:tcW w:w="291" w:type="pct"/>
          </w:tcPr>
          <w:p w14:paraId="050E6D5A">
            <w:pPr>
              <w:rPr>
                <w:rFonts w:hint="eastAsia" w:ascii="仿宋" w:hAnsi="仿宋" w:eastAsia="仿宋"/>
                <w:color w:val="auto"/>
                <w:sz w:val="24"/>
                <w:szCs w:val="24"/>
                <w:highlight w:val="none"/>
              </w:rPr>
            </w:pPr>
          </w:p>
        </w:tc>
        <w:tc>
          <w:tcPr>
            <w:tcW w:w="291" w:type="pct"/>
            <w:vAlign w:val="center"/>
          </w:tcPr>
          <w:p w14:paraId="0FD98548">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电泳系统（进口）</w:t>
            </w:r>
          </w:p>
        </w:tc>
        <w:tc>
          <w:tcPr>
            <w:tcW w:w="3920" w:type="pct"/>
            <w:vAlign w:val="center"/>
          </w:tcPr>
          <w:p w14:paraId="26DAE7A9">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1.1 输出范围：电压5-250 V；电流0.01-3.0 A；功率1-300 W</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1.2 输出类型：恒压、恒流、恒功率，可定时1分钟到99小时59分钟</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1.3具有暂停功能，暂停期间调整不影响电泳仪的控制精度和稳定性</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1.4 有断电后自动恢复功能</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1.5 输出插孔4对并联，可同时对四个同类型的电泳槽进行电泳</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1.6 安全标准：通过EN-61010, CE标准</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1.7具有误操作、故障等智能提示功能</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2.1同一槽内可同时进行4块SDS-PAGE凝胶的电泳实验</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2.2 胶面积≤8.3 x 7.3 cm；短玻璃板≤10.1 x 7.3 cm；长玻璃板≤10.1 x 8.2 cm</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2.3 玻璃板：封边垫条永久性地固定在长玻板上，保证玻板精确对齐，防止漏胶</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2.4灌胶系统：平行排列的设计能同时看到正在灌制的两块凝胶，弹簧杠杆设计使得软橡胶衬垫产生良好的密封性</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1.5上样引导装置：防止泳道的遗漏上样或重复上样</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2.6 电泳梳：特殊的塑料电泳梳不会抑制凝胶聚合反应，制胶过程中，内置的脊可避免在灌胶过程时的空气接触，保证均一的凝胶聚合</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2.7模块化：可换置转印（western blot）等模块</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2.8可提供预制胶PAGE和SDS-PAGE胶电泳实验</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2.9 基本配置：电泳槽，玻璃板，灌胶系统，上样引导装置，电泳梳</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3.1 标准配置：转印槽，转印夹，海绵垫，冷却芯</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3.2 性能指标：</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3.2.1 参数设置灵活。可以200V电压转移，仅需1个小时，也可以30V过夜转移。</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3.2.2 在低压下也能获得高效、稳定的转移。</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3.2.3 具有超冷却芯和水循环装置，可用于酶(4℃)或高强度转移，即使进行24小时的转移也不存在缓冲液消耗的问题。</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3.2.4 阴极用涂有铂的钛作成，阳极采用不锈钢，能比其它电极产生更高强度的电场。</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3.2.5 电极丝相距≤4cm，以产生强电场保证有效的蛋白转移。</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3.2.6 颜色标记的转印夹和电极，确保转移过程中凝胶的正确定向</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3.2.7 整体大小≤16*12*18 cm；最大胶尺寸≤7.5*10 cm；缓冲液体积≤450 ml；胶容量≥2块小胶</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4.提供货物的制造商或代理商的授权原件的扫描件</w:t>
            </w:r>
          </w:p>
        </w:tc>
        <w:tc>
          <w:tcPr>
            <w:tcW w:w="243" w:type="pct"/>
            <w:vAlign w:val="center"/>
          </w:tcPr>
          <w:p w14:paraId="36F60354">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2台</w:t>
            </w:r>
          </w:p>
        </w:tc>
      </w:tr>
      <w:tr w14:paraId="3377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14:paraId="77F4FB7F">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14</w:t>
            </w:r>
          </w:p>
        </w:tc>
        <w:tc>
          <w:tcPr>
            <w:tcW w:w="291" w:type="pct"/>
          </w:tcPr>
          <w:p w14:paraId="49AB8156">
            <w:pPr>
              <w:rPr>
                <w:rFonts w:hint="eastAsia" w:ascii="仿宋" w:hAnsi="仿宋" w:eastAsia="仿宋"/>
                <w:color w:val="auto"/>
                <w:sz w:val="24"/>
                <w:szCs w:val="24"/>
                <w:highlight w:val="none"/>
              </w:rPr>
            </w:pPr>
          </w:p>
        </w:tc>
        <w:tc>
          <w:tcPr>
            <w:tcW w:w="291" w:type="pct"/>
            <w:vAlign w:val="center"/>
          </w:tcPr>
          <w:p w14:paraId="0C61316C">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台式摇床（进口）</w:t>
            </w:r>
          </w:p>
        </w:tc>
        <w:tc>
          <w:tcPr>
            <w:tcW w:w="3920" w:type="pct"/>
            <w:vAlign w:val="center"/>
          </w:tcPr>
          <w:p w14:paraId="07B1C07F">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一、产品特点： </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1.一机多模，一台设备既可实现回转式和往复式两种振荡模式。</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2.可程序控制振荡模式，在设定时间内按照设定的模式（顺时转/逆时转/停顿/时间）运转，定位停止，无刷直流马达性能稳定使用寿命长</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 xml:space="preserve">3.控制系统自动分析，PID自动调节，无噪音，无振震动，运转稳定，在任何重量下都会保持恒定的运转速度 </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 xml:space="preserve">4.振幅调节范围20mm，30mm，40mm；转速调节范围10~300rpm </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 xml:space="preserve">5.打开箱门，搅拌和鼓风机将自动停止 </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 xml:space="preserve">6.过热发声报警功能，温度过热，主机发出报警音并停止加热 </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 xml:space="preserve">7.自动运转或者自动停止工作模式，防止当出现意外断电后恢复供电时的       </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二、技术参数：</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 xml:space="preserve">1.工作室容量：≥83L  </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2.温度范围： 15～60℃</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 xml:space="preserve">3.精确度：±0.1℃(38℃) </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 xml:space="preserve">4.均匀性： ±1.0℃(38℃) </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 xml:space="preserve">5.控制器：轻触式按键, PID自动调节 </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 xml:space="preserve">6.加热器/功率 ：片式加热器/≥600W </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 xml:space="preserve">7.定时器：定时启动, 定时停止; 定时范围: 10sec--999hr59min59sec </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 xml:space="preserve">8.控制器：PID自动调节 </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 xml:space="preserve">9.动力系统：无碳刷式直流马达 </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 xml:space="preserve">10.振荡模式：方向(顺时，逆时，停顿)；标准模式：往复式 </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 xml:space="preserve">11.振幅：20mm, 30mm, 40mm可选 </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 xml:space="preserve">12.调节范围 ：10～300rpm </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 xml:space="preserve">13.精确度(rpm)：±1 (150rpm) </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 xml:space="preserve">14.平台尺寸(mm)：≥450x450  </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 xml:space="preserve">15.内部尺寸(mm)：≥510x510x320 </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 xml:space="preserve">16.外部尺寸(mm)：≥540x850x625 </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17.净重：≥102kg</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18.最大承重量 ：≥15kg</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19.主要配置：振荡培养箱主机1台，万能振荡托盘1套，说明书1份</w:t>
            </w:r>
          </w:p>
        </w:tc>
        <w:tc>
          <w:tcPr>
            <w:tcW w:w="243" w:type="pct"/>
            <w:vAlign w:val="center"/>
          </w:tcPr>
          <w:p w14:paraId="49328DD2">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1台</w:t>
            </w:r>
          </w:p>
        </w:tc>
      </w:tr>
      <w:tr w14:paraId="3F45B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14:paraId="56CF0326">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15</w:t>
            </w:r>
          </w:p>
        </w:tc>
        <w:tc>
          <w:tcPr>
            <w:tcW w:w="291" w:type="pct"/>
          </w:tcPr>
          <w:p w14:paraId="79ECCE57">
            <w:pPr>
              <w:rPr>
                <w:rFonts w:hint="eastAsia" w:ascii="仿宋" w:hAnsi="仿宋" w:eastAsia="仿宋"/>
                <w:color w:val="auto"/>
                <w:sz w:val="24"/>
                <w:szCs w:val="24"/>
                <w:highlight w:val="none"/>
              </w:rPr>
            </w:pPr>
          </w:p>
        </w:tc>
        <w:tc>
          <w:tcPr>
            <w:tcW w:w="291" w:type="pct"/>
            <w:vAlign w:val="center"/>
          </w:tcPr>
          <w:p w14:paraId="5EB8B154">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二氧化碳培养箱（进口）</w:t>
            </w:r>
          </w:p>
        </w:tc>
        <w:tc>
          <w:tcPr>
            <w:tcW w:w="3920" w:type="pct"/>
            <w:vAlign w:val="center"/>
          </w:tcPr>
          <w:p w14:paraId="6E77CC43">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1．品名、数量及用途</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1.1品名：气套式二氧化碳培养箱</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1.2数量：1台</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1.3用途：用于细胞培养</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2． 工作条件</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2.1 工作环境温度≥18-33℃，室内最大相对湿度 80%，室内通风良好，不能直接暴晒</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2.2 箱体和墙壁应保持100mm，放置在至少 200mm 高的支架或台面上。</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2.3电源: 230V，50 Hz/60Hz。</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3．技术要求</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3.1箱体：</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3.1.1工作体积：≥150升</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3.1.2可选气密内门和抗菌纯铜内壁</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3.1.3标配搁板数目/最多可选装搁板数：3块/10块</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3.1.4 高效腔体内置风扇助力对流，确保温度、CO2浓度和湿度均一性</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3.15可升级配备二氧化碳耐受摇床，平台载重≥6kg，转速≥300rpm</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3.2温湿度控制</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3.2.1温度控制范围：高于室温3℃～55℃</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3.2.2温度控制精度 （时间）：±0.1℃</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3.2.3温度跟踪报警：有</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3.2.4温度显示：触摸屏</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3.2.5 快速湿度恢复：当开门后自动开启底盘加热系统，恢复湿度</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3.3气体控制</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3.3.1二氧化碳控制范围：0～20%</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3.3.2二氧化碳控制精度：小于等于±0.1%</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3.3.3二氧化碳跟踪报警：有</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3.3.4二氧化碳浓度控制：TC 热导传感器</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3.3.5二氧化碳探头在线检测箱体内环境二氧化碳浓度</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3.3.5用户编程上下限可跟踪报警</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3.3.6 可选CO2双气瓶自动转换</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3.3.7 可选红外线CO2气体探测器</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3.4 灭菌消毒</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3.4.1 ContraCon 90℃湿热灭菌，独立认证机构检验证实可有效地针对常见污染物，包括枯草杆菌、嗜热杆菌、肠球菌、大肠杆菌、假单胞菌、葡萄球菌等</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3.4.2 温度探头在位灭菌</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3.4.2 具有Autostart一键式CO2浓度自校准</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3.5智能管理</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3.5.1触摸屏，可中文显示、可显示温度、二氧化碳浓度、可视报警信息、水位提醒</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3.5.2操作日志数据记录的设定范围可在10秒~3600秒之间，如3分钟记录一次的条件下，可自动记录半个月全部操作日志</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3.5.3触摸屏可设置操作界面自定义密码，设置提醒消毒、维修、更换配件</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3.5.4通讯接口为RS232接口，可选配USB接口</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4．配置:</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4.1主机 1台</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5技术服务</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5.1安装、调试及培训</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5.1.1在货物到达使用现场后，卖方按买方通知时间派技术人员到买方的项目现场，在买方技术人员在场的情况下开箱清点货物，组织安装、调试，直至设备正常运行，并承担因此发生的一切费用。</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5.1.2卖方负责对买方技术人员、操作人员进行现场免费培训，培训内容包括设备操作、设备维护及简单的设备维修等，直至技术人员、操作人员能够熟练掌握为止。</w:t>
            </w:r>
          </w:p>
        </w:tc>
        <w:tc>
          <w:tcPr>
            <w:tcW w:w="243" w:type="pct"/>
            <w:vAlign w:val="center"/>
          </w:tcPr>
          <w:p w14:paraId="04E42400">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1台</w:t>
            </w:r>
          </w:p>
        </w:tc>
      </w:tr>
      <w:tr w14:paraId="70438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14:paraId="31948276">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16</w:t>
            </w:r>
          </w:p>
        </w:tc>
        <w:tc>
          <w:tcPr>
            <w:tcW w:w="291" w:type="pct"/>
          </w:tcPr>
          <w:p w14:paraId="13006E41">
            <w:pPr>
              <w:rPr>
                <w:rFonts w:hint="eastAsia" w:ascii="仿宋" w:hAnsi="仿宋" w:eastAsia="仿宋"/>
                <w:color w:val="auto"/>
                <w:sz w:val="24"/>
                <w:szCs w:val="24"/>
                <w:highlight w:val="none"/>
              </w:rPr>
            </w:pPr>
          </w:p>
        </w:tc>
        <w:tc>
          <w:tcPr>
            <w:tcW w:w="291" w:type="pct"/>
            <w:vAlign w:val="center"/>
          </w:tcPr>
          <w:p w14:paraId="295DB49F">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净化工作台</w:t>
            </w:r>
          </w:p>
        </w:tc>
        <w:tc>
          <w:tcPr>
            <w:tcW w:w="3920" w:type="pct"/>
            <w:vAlign w:val="center"/>
          </w:tcPr>
          <w:p w14:paraId="0AE703BE">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外箱体采用优质冷轧钢板配以象牙白的静电粉末喷涂, 抗腐蚀能力强, 能有效地抑制柜体表面细菌滋生。</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采用高效离心式风机，转速稳定，噪音小；</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采用LCD大屏幕液晶显示屏，定量显示风速、累计工作时间、压差、时钟、HEAP运行状态等工作参数；</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配置有高效HEPA空气过滤器，设有预过滤器为中效过滤系统，可有效延长高效过滤器的使用寿命；</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HEPA出现失效、破损能实现声光可视报警提示；</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风速能在0.1-0.6m/s范围内，设定为六段并能实数显示；</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移动门采用配重式移门，可在规定范围内任意定位；</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标准的316不锈钢的台面，用于不同的用途和个人化的工作空间设计。</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超净工作台均按照欧盟EN12469的标准进行了微生物交叉污染和样品保护的严格测试。</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根据欧盟EN12469和国际IEST-RP-CC002.2标准生产检测</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照明灯、杀菌灯联锁装置，确保使用安全；</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配置防溅内置电源插座及气源、水源接口；</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前部5°角倾斜，满足人体工程学原理，操作更舒适；</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机架带有移动脚轮及定位平衡立柱，移动灵活，固定方便可靠。</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显示方式：LCD</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空气流向：垂直流</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工作面：一个</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洁净等极：100级@≥0.5</w:t>
            </w:r>
            <w:r>
              <w:rPr>
                <w:rFonts w:ascii="Calibri" w:hAnsi="Calibri" w:eastAsia="仿宋" w:cs="Calibri"/>
                <w:color w:val="auto"/>
                <w:sz w:val="24"/>
                <w:szCs w:val="24"/>
                <w:highlight w:val="none"/>
              </w:rPr>
              <w:t>µ</w:t>
            </w:r>
            <w:r>
              <w:rPr>
                <w:rFonts w:ascii="仿宋" w:hAnsi="仿宋" w:eastAsia="仿宋"/>
                <w:color w:val="auto"/>
                <w:sz w:val="24"/>
                <w:szCs w:val="24"/>
                <w:highlight w:val="none"/>
              </w:rPr>
              <w:t>m（美联邦209E）</w:t>
            </w:r>
            <w:r>
              <w:rPr>
                <w:rFonts w:ascii="仿宋" w:hAnsi="仿宋" w:eastAsia="仿宋"/>
                <w:color w:val="auto"/>
                <w:sz w:val="24"/>
                <w:szCs w:val="24"/>
                <w:highlight w:val="none"/>
              </w:rPr>
              <w:br w:type="textWrapping"/>
            </w:r>
            <w:r>
              <w:rPr>
                <w:rFonts w:ascii="仿宋" w:hAnsi="仿宋" w:eastAsia="仿宋"/>
                <w:color w:val="auto"/>
                <w:sz w:val="24"/>
                <w:szCs w:val="24"/>
                <w:highlight w:val="none"/>
              </w:rPr>
              <w:t>工作区风速范围：≥0.1-0.6m/s（可调）</w:t>
            </w:r>
            <w:r>
              <w:rPr>
                <w:rFonts w:ascii="仿宋" w:hAnsi="仿宋" w:eastAsia="仿宋"/>
                <w:color w:val="auto"/>
                <w:sz w:val="24"/>
                <w:szCs w:val="24"/>
                <w:highlight w:val="none"/>
              </w:rPr>
              <w:br w:type="textWrapping"/>
            </w:r>
            <w:r>
              <w:rPr>
                <w:rFonts w:ascii="仿宋" w:hAnsi="仿宋" w:eastAsia="仿宋"/>
                <w:color w:val="auto"/>
                <w:sz w:val="24"/>
                <w:szCs w:val="24"/>
                <w:highlight w:val="none"/>
              </w:rPr>
              <w:t>噪音：≤62dB</w:t>
            </w:r>
            <w:r>
              <w:rPr>
                <w:rFonts w:ascii="仿宋" w:hAnsi="仿宋" w:eastAsia="仿宋"/>
                <w:color w:val="auto"/>
                <w:sz w:val="24"/>
                <w:szCs w:val="24"/>
                <w:highlight w:val="none"/>
              </w:rPr>
              <w:br w:type="textWrapping"/>
            </w:r>
            <w:r>
              <w:rPr>
                <w:rFonts w:ascii="仿宋" w:hAnsi="仿宋" w:eastAsia="仿宋"/>
                <w:color w:val="auto"/>
                <w:sz w:val="24"/>
                <w:szCs w:val="24"/>
                <w:highlight w:val="none"/>
              </w:rPr>
              <w:t>振动半峰值：≤3</w:t>
            </w:r>
            <w:r>
              <w:rPr>
                <w:rFonts w:ascii="Calibri" w:hAnsi="Calibri" w:eastAsia="仿宋" w:cs="Calibri"/>
                <w:color w:val="auto"/>
                <w:sz w:val="24"/>
                <w:szCs w:val="24"/>
                <w:highlight w:val="none"/>
              </w:rPr>
              <w:t>µ</w:t>
            </w:r>
            <w:r>
              <w:rPr>
                <w:rFonts w:ascii="仿宋" w:hAnsi="仿宋" w:eastAsia="仿宋"/>
                <w:color w:val="auto"/>
                <w:sz w:val="24"/>
                <w:szCs w:val="24"/>
                <w:highlight w:val="none"/>
              </w:rPr>
              <w:t>m（X、Y、Z方向）</w:t>
            </w:r>
            <w:r>
              <w:rPr>
                <w:rFonts w:ascii="仿宋" w:hAnsi="仿宋" w:eastAsia="仿宋"/>
                <w:color w:val="auto"/>
                <w:sz w:val="24"/>
                <w:szCs w:val="24"/>
                <w:highlight w:val="none"/>
              </w:rPr>
              <w:br w:type="textWrapping"/>
            </w:r>
            <w:r>
              <w:rPr>
                <w:rFonts w:ascii="仿宋" w:hAnsi="仿宋" w:eastAsia="仿宋"/>
                <w:color w:val="auto"/>
                <w:sz w:val="24"/>
                <w:szCs w:val="24"/>
                <w:highlight w:val="none"/>
              </w:rPr>
              <w:t>照度：≥300LX</w:t>
            </w:r>
            <w:r>
              <w:rPr>
                <w:rFonts w:ascii="仿宋" w:hAnsi="仿宋" w:eastAsia="仿宋"/>
                <w:color w:val="auto"/>
                <w:sz w:val="24"/>
                <w:szCs w:val="24"/>
                <w:highlight w:val="none"/>
              </w:rPr>
              <w:br w:type="textWrapping"/>
            </w:r>
            <w:r>
              <w:rPr>
                <w:rFonts w:ascii="仿宋" w:hAnsi="仿宋" w:eastAsia="仿宋"/>
                <w:color w:val="auto"/>
                <w:sz w:val="24"/>
                <w:szCs w:val="24"/>
                <w:highlight w:val="none"/>
              </w:rPr>
              <w:t>工作区尺寸(mm)：≤1300×700×495</w:t>
            </w:r>
            <w:r>
              <w:rPr>
                <w:rFonts w:ascii="仿宋" w:hAnsi="仿宋" w:eastAsia="仿宋"/>
                <w:color w:val="auto"/>
                <w:sz w:val="24"/>
                <w:szCs w:val="24"/>
                <w:highlight w:val="none"/>
              </w:rPr>
              <w:br w:type="textWrapping"/>
            </w:r>
            <w:r>
              <w:rPr>
                <w:rFonts w:ascii="仿宋" w:hAnsi="仿宋" w:eastAsia="仿宋"/>
                <w:color w:val="auto"/>
                <w:sz w:val="24"/>
                <w:szCs w:val="24"/>
                <w:highlight w:val="none"/>
              </w:rPr>
              <w:t>外型尺寸(mm)：≤1460×744×1580</w:t>
            </w:r>
            <w:r>
              <w:rPr>
                <w:rFonts w:ascii="仿宋" w:hAnsi="仿宋" w:eastAsia="仿宋"/>
                <w:color w:val="auto"/>
                <w:sz w:val="24"/>
                <w:szCs w:val="24"/>
                <w:highlight w:val="none"/>
              </w:rPr>
              <w:br w:type="textWrapping"/>
            </w:r>
            <w:r>
              <w:rPr>
                <w:rFonts w:ascii="仿宋" w:hAnsi="仿宋" w:eastAsia="仿宋"/>
                <w:color w:val="auto"/>
                <w:sz w:val="24"/>
                <w:szCs w:val="24"/>
                <w:highlight w:val="none"/>
              </w:rPr>
              <w:t>高效过滤器规格及数量(mm)：≥1236×549×50×①</w:t>
            </w:r>
            <w:r>
              <w:rPr>
                <w:rFonts w:ascii="仿宋" w:hAnsi="仿宋" w:eastAsia="仿宋"/>
                <w:color w:val="auto"/>
                <w:sz w:val="24"/>
                <w:szCs w:val="24"/>
                <w:highlight w:val="none"/>
              </w:rPr>
              <w:br w:type="textWrapping"/>
            </w:r>
            <w:r>
              <w:rPr>
                <w:rFonts w:ascii="仿宋" w:hAnsi="仿宋" w:eastAsia="仿宋"/>
                <w:color w:val="auto"/>
                <w:sz w:val="24"/>
                <w:szCs w:val="24"/>
                <w:highlight w:val="none"/>
              </w:rPr>
              <w:t>荧光灯/紫外线规格及数量：≥40W×①/30W×①</w:t>
            </w:r>
            <w:r>
              <w:rPr>
                <w:rFonts w:ascii="仿宋" w:hAnsi="仿宋" w:eastAsia="仿宋"/>
                <w:color w:val="auto"/>
                <w:sz w:val="24"/>
                <w:szCs w:val="24"/>
                <w:highlight w:val="none"/>
              </w:rPr>
              <w:br w:type="textWrapping"/>
            </w:r>
            <w:r>
              <w:rPr>
                <w:rFonts w:ascii="仿宋" w:hAnsi="仿宋" w:eastAsia="仿宋"/>
                <w:color w:val="auto"/>
                <w:sz w:val="24"/>
                <w:szCs w:val="24"/>
                <w:highlight w:val="none"/>
              </w:rPr>
              <w:t>重量(kg)：≤205</w:t>
            </w:r>
            <w:r>
              <w:rPr>
                <w:rFonts w:ascii="仿宋" w:hAnsi="仿宋" w:eastAsia="仿宋"/>
                <w:color w:val="auto"/>
                <w:sz w:val="24"/>
                <w:szCs w:val="24"/>
                <w:highlight w:val="none"/>
              </w:rPr>
              <w:br w:type="textWrapping"/>
            </w:r>
            <w:r>
              <w:rPr>
                <w:rFonts w:ascii="仿宋" w:hAnsi="仿宋" w:eastAsia="仿宋"/>
                <w:color w:val="auto"/>
                <w:sz w:val="24"/>
                <w:szCs w:val="24"/>
                <w:highlight w:val="none"/>
              </w:rPr>
              <w:t>功率(kw)：≥0.37</w:t>
            </w:r>
            <w:r>
              <w:rPr>
                <w:rFonts w:ascii="仿宋" w:hAnsi="仿宋" w:eastAsia="仿宋"/>
                <w:color w:val="auto"/>
                <w:sz w:val="24"/>
                <w:szCs w:val="24"/>
                <w:highlight w:val="none"/>
              </w:rPr>
              <w:br w:type="textWrapping"/>
            </w:r>
            <w:r>
              <w:rPr>
                <w:rFonts w:ascii="仿宋" w:hAnsi="仿宋" w:eastAsia="仿宋"/>
                <w:color w:val="auto"/>
                <w:sz w:val="24"/>
                <w:szCs w:val="24"/>
                <w:highlight w:val="none"/>
              </w:rPr>
              <w:t>电源：AC220±10V  50/60Hz</w:t>
            </w:r>
          </w:p>
        </w:tc>
        <w:tc>
          <w:tcPr>
            <w:tcW w:w="243" w:type="pct"/>
            <w:vAlign w:val="center"/>
          </w:tcPr>
          <w:p w14:paraId="5B874A8B">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2台</w:t>
            </w:r>
          </w:p>
        </w:tc>
      </w:tr>
      <w:tr w14:paraId="5692B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14:paraId="193483F6">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17</w:t>
            </w:r>
          </w:p>
        </w:tc>
        <w:tc>
          <w:tcPr>
            <w:tcW w:w="291" w:type="pct"/>
          </w:tcPr>
          <w:p w14:paraId="18D9A8E1">
            <w:pPr>
              <w:rPr>
                <w:rFonts w:hint="eastAsia" w:ascii="仿宋" w:hAnsi="仿宋" w:eastAsia="仿宋"/>
                <w:color w:val="auto"/>
                <w:sz w:val="24"/>
                <w:szCs w:val="24"/>
                <w:highlight w:val="none"/>
              </w:rPr>
            </w:pPr>
          </w:p>
        </w:tc>
        <w:tc>
          <w:tcPr>
            <w:tcW w:w="291" w:type="pct"/>
            <w:vAlign w:val="center"/>
          </w:tcPr>
          <w:p w14:paraId="0EB73D20">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蛋白转印系统（进口）</w:t>
            </w:r>
          </w:p>
        </w:tc>
        <w:tc>
          <w:tcPr>
            <w:tcW w:w="3920" w:type="pct"/>
            <w:vAlign w:val="center"/>
          </w:tcPr>
          <w:p w14:paraId="26B0B66A">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 工作环境</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1.1 工作温度≥15-31°C</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1.2 工作和存储湿度≥0-95%</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1.3 工作电源   100-240V</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2. 用途</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将蛋白质从聚丙烯酰氨凝胶转移到杂交膜上</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 性能与技术要求</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3.1 转印通量：4块小胶或2块中型胶；2个转印盘设计，可运行2个独立的转印程序。</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3.2 使用便捷：有即用型转印耗材包，无需人工准备缓冲液和膜。</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3.3 转印速度：≤3分钟内完成2块TGX小胶的转印；≤7分钟内完成4块普通小胶或2块中型胶的转印。</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3.4 电源：整合型电源</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3.5 用户界面：显示屏程序化操作，可实现在无人照看下的程序自动运行监控；有预设程序帮助指导实验设计，并可根据实际需要人为修改程序并存储调用（25个程序以上）。</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3.6 电极设计：大于等于6弹簧配合板式电极设计，能确保压力及场强均一。</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3.7 应用性：可兼容传统实验试剂和耗材</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3.8 更快、更高通量的转印：在7分钟内转印标准小型或中型凝胶；高效转印大/小分子量蛋白质；单次运行能够转印1-4块小型凝胶或1-2块中型凝胶；各运行之间无需冷却期</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3.9 无需缓冲液或转印膜制备：即用型转印包，无需缓冲液或薄膜制备；可用于NC膜或PVDF的转印包；转印包中含有专利缓冲液</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3.10 灵活开放系统：可选择快速预设程序，或手动输入转印条件；兼容传统的半干转印耗材，可进行30分钟的半干转印；兼容各种凝胶类型和浓度比例；可由用户自定义并储存程序</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3.11 环境友好：耗材对环境无害，无需废物处理成本；单次使用耗材，减少不必要的浪费</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3.12 坚固耐用：耐用的聚碳酸酯外壳；阳极镀铂和阴极不锈钢能够重复使用，且便于清洗；使用周期试验弹簧确保了可重现性；紧凑型手柄设计，便于移动</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3.13 需要提供货物的制造商或代理商的授权原件的扫描件</w:t>
            </w:r>
          </w:p>
        </w:tc>
        <w:tc>
          <w:tcPr>
            <w:tcW w:w="243" w:type="pct"/>
            <w:vAlign w:val="center"/>
          </w:tcPr>
          <w:p w14:paraId="6452C66A">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1台</w:t>
            </w:r>
          </w:p>
        </w:tc>
      </w:tr>
      <w:tr w14:paraId="52B4F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14:paraId="6D75B280">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18</w:t>
            </w:r>
          </w:p>
        </w:tc>
        <w:tc>
          <w:tcPr>
            <w:tcW w:w="291" w:type="pct"/>
          </w:tcPr>
          <w:p w14:paraId="6C78A2DD">
            <w:pPr>
              <w:rPr>
                <w:rFonts w:hint="eastAsia" w:ascii="仿宋" w:hAnsi="仿宋" w:eastAsia="仿宋"/>
                <w:color w:val="auto"/>
                <w:sz w:val="24"/>
                <w:szCs w:val="24"/>
                <w:highlight w:val="none"/>
              </w:rPr>
            </w:pPr>
          </w:p>
        </w:tc>
        <w:tc>
          <w:tcPr>
            <w:tcW w:w="291" w:type="pct"/>
            <w:vAlign w:val="center"/>
          </w:tcPr>
          <w:p w14:paraId="574DD5B4">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超速离心机（进口）</w:t>
            </w:r>
          </w:p>
        </w:tc>
        <w:tc>
          <w:tcPr>
            <w:tcW w:w="3920" w:type="pct"/>
            <w:vAlign w:val="center"/>
          </w:tcPr>
          <w:p w14:paraId="09F29124">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一、主要配置和技术指标：</w:t>
            </w:r>
          </w:p>
          <w:p w14:paraId="39B6BFDC">
            <w:pPr>
              <w:rPr>
                <w:rFonts w:hint="eastAsia" w:ascii="仿宋" w:hAnsi="仿宋" w:eastAsia="仿宋"/>
                <w:color w:val="auto"/>
                <w:sz w:val="24"/>
                <w:szCs w:val="24"/>
                <w:highlight w:val="none"/>
              </w:rPr>
            </w:pPr>
            <w:r>
              <w:rPr>
                <w:rFonts w:ascii="仿宋" w:hAnsi="仿宋" w:eastAsia="仿宋"/>
                <w:color w:val="auto"/>
                <w:sz w:val="24"/>
                <w:szCs w:val="24"/>
                <w:highlight w:val="none"/>
              </w:rPr>
              <w:t>1.</w:t>
            </w:r>
            <w:r>
              <w:rPr>
                <w:rFonts w:hint="eastAsia" w:ascii="仿宋" w:hAnsi="仿宋" w:eastAsia="仿宋"/>
                <w:color w:val="auto"/>
                <w:sz w:val="24"/>
                <w:szCs w:val="24"/>
                <w:highlight w:val="none"/>
              </w:rPr>
              <w:t xml:space="preserve"> 主机和转头为同一个生产厂家，而非代工，避免不匹配的安全隐患。</w:t>
            </w:r>
            <w:r>
              <w:rPr>
                <w:rFonts w:ascii="仿宋" w:hAnsi="仿宋" w:eastAsia="仿宋"/>
                <w:color w:val="auto"/>
                <w:sz w:val="24"/>
                <w:szCs w:val="24"/>
                <w:highlight w:val="none"/>
              </w:rPr>
              <w:t xml:space="preserve"> </w:t>
            </w:r>
          </w:p>
          <w:p w14:paraId="32EB3416">
            <w:pPr>
              <w:rPr>
                <w:rFonts w:hint="eastAsia" w:ascii="仿宋" w:hAnsi="仿宋" w:eastAsia="仿宋"/>
                <w:color w:val="auto"/>
                <w:sz w:val="24"/>
                <w:szCs w:val="24"/>
                <w:highlight w:val="none"/>
              </w:rPr>
            </w:pPr>
            <w:r>
              <w:rPr>
                <w:rFonts w:ascii="仿宋" w:hAnsi="仿宋" w:eastAsia="仿宋"/>
                <w:color w:val="auto"/>
                <w:sz w:val="24"/>
                <w:szCs w:val="24"/>
                <w:highlight w:val="none"/>
              </w:rPr>
              <w:t>2.</w:t>
            </w:r>
            <w:r>
              <w:rPr>
                <w:rFonts w:hint="eastAsia" w:ascii="仿宋" w:hAnsi="仿宋" w:eastAsia="仿宋"/>
                <w:color w:val="auto"/>
                <w:sz w:val="24"/>
                <w:szCs w:val="24"/>
                <w:highlight w:val="none"/>
              </w:rPr>
              <w:t xml:space="preserve"> 最高转速</w:t>
            </w:r>
            <w:r>
              <w:rPr>
                <w:rFonts w:ascii="仿宋" w:hAnsi="仿宋" w:eastAsia="仿宋"/>
                <w:color w:val="auto"/>
                <w:sz w:val="24"/>
                <w:szCs w:val="24"/>
                <w:highlight w:val="none"/>
              </w:rPr>
              <w:t>≥80,000rpm</w:t>
            </w:r>
            <w:r>
              <w:rPr>
                <w:rFonts w:hint="eastAsia" w:ascii="仿宋" w:hAnsi="仿宋" w:eastAsia="仿宋"/>
                <w:color w:val="auto"/>
                <w:sz w:val="24"/>
                <w:szCs w:val="24"/>
                <w:highlight w:val="none"/>
              </w:rPr>
              <w:t>，最大离心力</w:t>
            </w:r>
            <w:r>
              <w:rPr>
                <w:rFonts w:ascii="仿宋" w:hAnsi="仿宋" w:eastAsia="仿宋"/>
                <w:color w:val="auto"/>
                <w:sz w:val="24"/>
                <w:szCs w:val="24"/>
                <w:highlight w:val="none"/>
              </w:rPr>
              <w:t>≥614980×g</w:t>
            </w:r>
            <w:r>
              <w:rPr>
                <w:rFonts w:hint="eastAsia" w:ascii="仿宋" w:hAnsi="仿宋" w:eastAsia="仿宋"/>
                <w:color w:val="auto"/>
                <w:sz w:val="24"/>
                <w:szCs w:val="24"/>
                <w:highlight w:val="none"/>
              </w:rPr>
              <w:t>；</w:t>
            </w:r>
          </w:p>
          <w:p w14:paraId="043A0FAE">
            <w:pPr>
              <w:rPr>
                <w:rFonts w:hint="eastAsia" w:ascii="仿宋" w:hAnsi="仿宋" w:eastAsia="仿宋"/>
                <w:color w:val="auto"/>
                <w:sz w:val="24"/>
                <w:szCs w:val="24"/>
                <w:highlight w:val="none"/>
              </w:rPr>
            </w:pPr>
            <w:r>
              <w:rPr>
                <w:rFonts w:ascii="仿宋" w:hAnsi="仿宋" w:eastAsia="仿宋"/>
                <w:color w:val="auto"/>
                <w:sz w:val="24"/>
                <w:szCs w:val="24"/>
                <w:highlight w:val="none"/>
              </w:rPr>
              <w:t xml:space="preserve">3. </w:t>
            </w:r>
            <w:r>
              <w:rPr>
                <w:rFonts w:hint="eastAsia" w:ascii="仿宋" w:hAnsi="仿宋" w:eastAsia="仿宋"/>
                <w:color w:val="auto"/>
                <w:sz w:val="24"/>
                <w:szCs w:val="24"/>
                <w:highlight w:val="none"/>
              </w:rPr>
              <w:t>转速精密度：</w:t>
            </w:r>
            <w:r>
              <w:rPr>
                <w:rFonts w:ascii="仿宋" w:hAnsi="仿宋" w:eastAsia="仿宋"/>
                <w:color w:val="auto"/>
                <w:sz w:val="24"/>
                <w:szCs w:val="24"/>
                <w:highlight w:val="none"/>
              </w:rPr>
              <w:t>≤±2rpm</w:t>
            </w:r>
            <w:r>
              <w:rPr>
                <w:rFonts w:hint="eastAsia" w:ascii="仿宋" w:hAnsi="仿宋" w:eastAsia="仿宋"/>
                <w:color w:val="auto"/>
                <w:sz w:val="24"/>
                <w:szCs w:val="24"/>
                <w:highlight w:val="none"/>
              </w:rPr>
              <w:t>；</w:t>
            </w:r>
          </w:p>
          <w:p w14:paraId="427837F7">
            <w:pPr>
              <w:rPr>
                <w:rFonts w:hint="eastAsia" w:ascii="仿宋" w:hAnsi="仿宋" w:eastAsia="仿宋"/>
                <w:color w:val="auto"/>
                <w:sz w:val="24"/>
                <w:szCs w:val="24"/>
                <w:highlight w:val="none"/>
              </w:rPr>
            </w:pPr>
            <w:r>
              <w:rPr>
                <w:rFonts w:ascii="仿宋" w:hAnsi="仿宋" w:eastAsia="仿宋"/>
                <w:color w:val="auto"/>
                <w:sz w:val="24"/>
                <w:szCs w:val="24"/>
                <w:highlight w:val="none"/>
              </w:rPr>
              <w:t xml:space="preserve">4. </w:t>
            </w:r>
            <w:r>
              <w:rPr>
                <w:rFonts w:hint="eastAsia" w:ascii="仿宋" w:hAnsi="仿宋" w:eastAsia="仿宋"/>
                <w:color w:val="auto"/>
                <w:sz w:val="24"/>
                <w:szCs w:val="24"/>
                <w:highlight w:val="none"/>
              </w:rPr>
              <w:t>*具有非接触式不平衡转子监测功能，样品目视平衡，最大不平衡量为</w:t>
            </w:r>
            <w:r>
              <w:rPr>
                <w:rFonts w:ascii="仿宋" w:hAnsi="仿宋" w:eastAsia="仿宋"/>
                <w:color w:val="auto"/>
                <w:sz w:val="24"/>
                <w:szCs w:val="24"/>
                <w:highlight w:val="none"/>
              </w:rPr>
              <w:t>≤±5mm</w:t>
            </w:r>
            <w:r>
              <w:rPr>
                <w:rFonts w:hint="eastAsia" w:ascii="仿宋" w:hAnsi="仿宋" w:eastAsia="仿宋"/>
                <w:color w:val="auto"/>
                <w:sz w:val="24"/>
                <w:szCs w:val="24"/>
                <w:highlight w:val="none"/>
              </w:rPr>
              <w:t>；</w:t>
            </w:r>
          </w:p>
          <w:p w14:paraId="1907C996">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 噪音：在最高转速时≤51db，（机前1米左右）；</w:t>
            </w:r>
          </w:p>
          <w:p w14:paraId="5ACD4493">
            <w:pPr>
              <w:rPr>
                <w:rFonts w:hint="eastAsia" w:ascii="仿宋" w:hAnsi="仿宋" w:eastAsia="仿宋"/>
                <w:color w:val="auto"/>
                <w:sz w:val="24"/>
                <w:szCs w:val="24"/>
                <w:highlight w:val="none"/>
              </w:rPr>
            </w:pPr>
            <w:r>
              <w:rPr>
                <w:rFonts w:ascii="仿宋" w:hAnsi="仿宋" w:eastAsia="仿宋"/>
                <w:color w:val="auto"/>
                <w:sz w:val="24"/>
                <w:szCs w:val="24"/>
                <w:highlight w:val="none"/>
              </w:rPr>
              <w:t>6</w:t>
            </w:r>
            <w:r>
              <w:rPr>
                <w:rFonts w:hint="eastAsia" w:ascii="仿宋" w:hAnsi="仿宋" w:eastAsia="仿宋"/>
                <w:color w:val="auto"/>
                <w:sz w:val="24"/>
                <w:szCs w:val="24"/>
                <w:highlight w:val="none"/>
              </w:rPr>
              <w:t>．温度设定范围：</w:t>
            </w:r>
            <w:r>
              <w:rPr>
                <w:rFonts w:ascii="仿宋" w:hAnsi="仿宋" w:eastAsia="仿宋"/>
                <w:color w:val="auto"/>
                <w:sz w:val="24"/>
                <w:szCs w:val="24"/>
                <w:highlight w:val="none"/>
              </w:rPr>
              <w:t>0</w:t>
            </w:r>
            <w:r>
              <w:rPr>
                <w:rFonts w:hint="eastAsia" w:ascii="仿宋" w:hAnsi="仿宋" w:eastAsia="仿宋"/>
                <w:color w:val="auto"/>
                <w:sz w:val="24"/>
                <w:szCs w:val="24"/>
                <w:highlight w:val="none"/>
              </w:rPr>
              <w:t>~</w:t>
            </w:r>
            <w:r>
              <w:rPr>
                <w:rFonts w:ascii="仿宋" w:hAnsi="仿宋" w:eastAsia="仿宋"/>
                <w:color w:val="auto"/>
                <w:sz w:val="24"/>
                <w:szCs w:val="24"/>
                <w:highlight w:val="none"/>
              </w:rPr>
              <w:t>40℃</w:t>
            </w:r>
            <w:r>
              <w:rPr>
                <w:rFonts w:hint="eastAsia" w:ascii="仿宋" w:hAnsi="仿宋" w:eastAsia="仿宋"/>
                <w:color w:val="auto"/>
                <w:sz w:val="24"/>
                <w:szCs w:val="24"/>
                <w:highlight w:val="none"/>
              </w:rPr>
              <w:t>，≤0.</w:t>
            </w:r>
            <w:r>
              <w:rPr>
                <w:rFonts w:ascii="仿宋" w:hAnsi="仿宋" w:eastAsia="仿宋"/>
                <w:color w:val="auto"/>
                <w:sz w:val="24"/>
                <w:szCs w:val="24"/>
                <w:highlight w:val="none"/>
              </w:rPr>
              <w:t>1℃</w:t>
            </w:r>
            <w:r>
              <w:rPr>
                <w:rFonts w:hint="eastAsia" w:ascii="仿宋" w:hAnsi="仿宋" w:eastAsia="仿宋"/>
                <w:color w:val="auto"/>
                <w:sz w:val="24"/>
                <w:szCs w:val="24"/>
                <w:highlight w:val="none"/>
              </w:rPr>
              <w:t>步进；</w:t>
            </w:r>
          </w:p>
          <w:p w14:paraId="0FCCA761">
            <w:pPr>
              <w:rPr>
                <w:rFonts w:hint="eastAsia" w:ascii="仿宋" w:hAnsi="仿宋" w:eastAsia="仿宋"/>
                <w:color w:val="auto"/>
                <w:sz w:val="24"/>
                <w:szCs w:val="24"/>
                <w:highlight w:val="none"/>
              </w:rPr>
            </w:pPr>
            <w:r>
              <w:rPr>
                <w:rFonts w:ascii="仿宋" w:hAnsi="仿宋" w:eastAsia="仿宋"/>
                <w:color w:val="auto"/>
                <w:sz w:val="24"/>
                <w:szCs w:val="24"/>
                <w:highlight w:val="none"/>
              </w:rPr>
              <w:t xml:space="preserve">7. </w:t>
            </w:r>
            <w:r>
              <w:rPr>
                <w:rFonts w:hint="eastAsia" w:ascii="仿宋" w:hAnsi="仿宋" w:eastAsia="仿宋"/>
                <w:color w:val="auto"/>
                <w:sz w:val="24"/>
                <w:szCs w:val="24"/>
                <w:highlight w:val="none"/>
              </w:rPr>
              <w:t>转头温度控制精度：</w:t>
            </w:r>
            <w:r>
              <w:rPr>
                <w:rFonts w:ascii="仿宋" w:hAnsi="仿宋" w:eastAsia="仿宋"/>
                <w:color w:val="auto"/>
                <w:sz w:val="24"/>
                <w:szCs w:val="24"/>
                <w:highlight w:val="none"/>
              </w:rPr>
              <w:t>≤±0.5℃</w:t>
            </w:r>
            <w:r>
              <w:rPr>
                <w:rFonts w:hint="eastAsia" w:ascii="仿宋" w:hAnsi="仿宋" w:eastAsia="仿宋"/>
                <w:color w:val="auto"/>
                <w:sz w:val="24"/>
                <w:szCs w:val="24"/>
                <w:highlight w:val="none"/>
              </w:rPr>
              <w:t>，利用红外检测器监测温度；</w:t>
            </w:r>
          </w:p>
          <w:p w14:paraId="393DDDE6">
            <w:pPr>
              <w:rPr>
                <w:rFonts w:hint="eastAsia" w:ascii="仿宋" w:hAnsi="仿宋" w:eastAsia="仿宋"/>
                <w:color w:val="auto"/>
                <w:sz w:val="24"/>
                <w:szCs w:val="24"/>
                <w:highlight w:val="none"/>
              </w:rPr>
            </w:pPr>
            <w:r>
              <w:rPr>
                <w:rFonts w:ascii="仿宋" w:hAnsi="仿宋" w:eastAsia="仿宋"/>
                <w:color w:val="auto"/>
                <w:sz w:val="24"/>
                <w:szCs w:val="24"/>
                <w:highlight w:val="none"/>
              </w:rPr>
              <w:t>8</w:t>
            </w:r>
            <w:r>
              <w:rPr>
                <w:rFonts w:hint="eastAsia" w:ascii="仿宋" w:hAnsi="仿宋" w:eastAsia="仿宋"/>
                <w:color w:val="auto"/>
                <w:sz w:val="24"/>
                <w:szCs w:val="24"/>
                <w:highlight w:val="none"/>
              </w:rPr>
              <w:t>．采用串联加并联方式连接半导体制冷模块，三路独立制冷，互不影响，制冷剂不使用CFC/HCFC/HFC等非环保型制冷剂；</w:t>
            </w:r>
          </w:p>
          <w:p w14:paraId="15769A19">
            <w:pPr>
              <w:rPr>
                <w:rFonts w:hint="eastAsia" w:ascii="仿宋" w:hAnsi="仿宋" w:eastAsia="仿宋"/>
                <w:color w:val="auto"/>
                <w:sz w:val="24"/>
                <w:szCs w:val="24"/>
                <w:highlight w:val="none"/>
              </w:rPr>
            </w:pPr>
            <w:r>
              <w:rPr>
                <w:rFonts w:ascii="仿宋" w:hAnsi="仿宋" w:eastAsia="仿宋"/>
                <w:color w:val="auto"/>
                <w:sz w:val="24"/>
                <w:szCs w:val="24"/>
                <w:highlight w:val="none"/>
              </w:rPr>
              <w:t xml:space="preserve">9. </w:t>
            </w:r>
            <w:r>
              <w:rPr>
                <w:rFonts w:hint="eastAsia" w:ascii="仿宋" w:hAnsi="仿宋" w:eastAsia="仿宋"/>
                <w:color w:val="auto"/>
                <w:sz w:val="24"/>
                <w:szCs w:val="24"/>
                <w:highlight w:val="none"/>
              </w:rPr>
              <w:t>*自动除雾干燥系统，可使离心室在每次离心后保持干燥；</w:t>
            </w:r>
          </w:p>
          <w:p w14:paraId="020266E2">
            <w:pPr>
              <w:rPr>
                <w:rFonts w:hint="eastAsia" w:ascii="仿宋" w:hAnsi="仿宋" w:eastAsia="仿宋"/>
                <w:color w:val="auto"/>
                <w:sz w:val="24"/>
                <w:szCs w:val="24"/>
                <w:highlight w:val="none"/>
              </w:rPr>
            </w:pPr>
            <w:r>
              <w:rPr>
                <w:rFonts w:ascii="仿宋" w:hAnsi="仿宋" w:eastAsia="仿宋"/>
                <w:color w:val="auto"/>
                <w:sz w:val="24"/>
                <w:szCs w:val="24"/>
                <w:highlight w:val="none"/>
              </w:rPr>
              <w:t>10</w:t>
            </w:r>
            <w:r>
              <w:rPr>
                <w:rFonts w:hint="eastAsia" w:ascii="仿宋" w:hAnsi="仿宋" w:eastAsia="仿宋"/>
                <w:color w:val="auto"/>
                <w:sz w:val="24"/>
                <w:szCs w:val="24"/>
                <w:highlight w:val="none"/>
              </w:rPr>
              <w:t>．真空度最小</w:t>
            </w:r>
            <w:r>
              <w:rPr>
                <w:rFonts w:ascii="仿宋" w:hAnsi="仿宋" w:eastAsia="仿宋"/>
                <w:color w:val="auto"/>
                <w:sz w:val="24"/>
                <w:szCs w:val="24"/>
                <w:highlight w:val="none"/>
              </w:rPr>
              <w:t>≤0.6 Pa</w:t>
            </w:r>
            <w:r>
              <w:rPr>
                <w:rFonts w:hint="eastAsia" w:ascii="仿宋" w:hAnsi="仿宋" w:eastAsia="仿宋"/>
                <w:color w:val="auto"/>
                <w:sz w:val="24"/>
                <w:szCs w:val="24"/>
                <w:highlight w:val="none"/>
              </w:rPr>
              <w:t>, 完美运行条件下，最高真空度≤0</w:t>
            </w:r>
            <w:r>
              <w:rPr>
                <w:rFonts w:ascii="仿宋" w:hAnsi="仿宋" w:eastAsia="仿宋"/>
                <w:color w:val="auto"/>
                <w:sz w:val="24"/>
                <w:szCs w:val="24"/>
                <w:highlight w:val="none"/>
              </w:rPr>
              <w:t>.13Pa</w:t>
            </w:r>
            <w:r>
              <w:rPr>
                <w:rFonts w:hint="eastAsia" w:ascii="仿宋" w:hAnsi="仿宋" w:eastAsia="仿宋"/>
                <w:color w:val="auto"/>
                <w:sz w:val="24"/>
                <w:szCs w:val="24"/>
                <w:highlight w:val="none"/>
              </w:rPr>
              <w:t>。控制面板可显示高、中、低真空度，支持溯源运行时的实际真空数值。</w:t>
            </w:r>
          </w:p>
          <w:p w14:paraId="3131AF9D">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w:t>
            </w:r>
            <w:r>
              <w:rPr>
                <w:rFonts w:ascii="仿宋" w:hAnsi="仿宋" w:eastAsia="仿宋"/>
                <w:color w:val="auto"/>
                <w:sz w:val="24"/>
                <w:szCs w:val="24"/>
                <w:highlight w:val="none"/>
              </w:rPr>
              <w:t xml:space="preserve">1. </w:t>
            </w:r>
            <w:r>
              <w:rPr>
                <w:rFonts w:hint="eastAsia" w:ascii="仿宋" w:hAnsi="仿宋" w:eastAsia="仿宋"/>
                <w:color w:val="auto"/>
                <w:sz w:val="24"/>
                <w:szCs w:val="24"/>
                <w:highlight w:val="none"/>
              </w:rPr>
              <w:t>彩色触摸屏：</w:t>
            </w:r>
            <w:r>
              <w:rPr>
                <w:rFonts w:ascii="仿宋" w:hAnsi="仿宋" w:eastAsia="仿宋"/>
                <w:color w:val="auto"/>
                <w:sz w:val="24"/>
                <w:szCs w:val="24"/>
                <w:highlight w:val="none"/>
              </w:rPr>
              <w:t>≥6.5</w:t>
            </w:r>
            <w:r>
              <w:rPr>
                <w:rFonts w:hint="eastAsia" w:ascii="仿宋" w:hAnsi="仿宋" w:eastAsia="仿宋"/>
                <w:color w:val="auto"/>
                <w:sz w:val="24"/>
                <w:szCs w:val="24"/>
                <w:highlight w:val="none"/>
              </w:rPr>
              <w:t>英寸，触摸式操作，具备离心力、离心时间的实时设定功能。可实时显示运行状态，便于追踪整个实验过程，</w:t>
            </w:r>
          </w:p>
          <w:p w14:paraId="5A2AE6C3">
            <w:pPr>
              <w:rPr>
                <w:rFonts w:hint="eastAsia" w:ascii="仿宋" w:hAnsi="仿宋" w:eastAsia="仿宋"/>
                <w:color w:val="auto"/>
                <w:sz w:val="24"/>
                <w:szCs w:val="24"/>
                <w:highlight w:val="none"/>
              </w:rPr>
            </w:pPr>
            <w:r>
              <w:rPr>
                <w:rFonts w:ascii="仿宋" w:hAnsi="仿宋" w:eastAsia="仿宋"/>
                <w:color w:val="auto"/>
                <w:sz w:val="24"/>
                <w:szCs w:val="24"/>
                <w:highlight w:val="none"/>
              </w:rPr>
              <w:t>12</w:t>
            </w:r>
            <w:r>
              <w:rPr>
                <w:rFonts w:hint="eastAsia" w:ascii="仿宋" w:hAnsi="仿宋" w:eastAsia="仿宋"/>
                <w:color w:val="auto"/>
                <w:sz w:val="24"/>
                <w:szCs w:val="24"/>
                <w:highlight w:val="none"/>
              </w:rPr>
              <w:t>.</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触摸屏显示语言含中英文在内的不小于</w:t>
            </w:r>
            <w:r>
              <w:rPr>
                <w:rFonts w:ascii="仿宋" w:hAnsi="仿宋" w:eastAsia="仿宋"/>
                <w:color w:val="auto"/>
                <w:sz w:val="24"/>
                <w:szCs w:val="24"/>
                <w:highlight w:val="none"/>
              </w:rPr>
              <w:t>11</w:t>
            </w:r>
            <w:r>
              <w:rPr>
                <w:rFonts w:hint="eastAsia" w:ascii="仿宋" w:hAnsi="仿宋" w:eastAsia="仿宋"/>
                <w:color w:val="auto"/>
                <w:sz w:val="24"/>
                <w:szCs w:val="24"/>
                <w:highlight w:val="none"/>
              </w:rPr>
              <w:t>种语言；</w:t>
            </w:r>
          </w:p>
          <w:p w14:paraId="3AE3B7AF">
            <w:pPr>
              <w:rPr>
                <w:rFonts w:hint="eastAsia" w:ascii="仿宋" w:hAnsi="仿宋" w:eastAsia="仿宋"/>
                <w:color w:val="auto"/>
                <w:sz w:val="24"/>
                <w:szCs w:val="24"/>
                <w:highlight w:val="none"/>
              </w:rPr>
            </w:pPr>
            <w:r>
              <w:rPr>
                <w:rFonts w:ascii="仿宋" w:hAnsi="仿宋" w:eastAsia="仿宋"/>
                <w:color w:val="auto"/>
                <w:sz w:val="24"/>
                <w:szCs w:val="24"/>
                <w:highlight w:val="none"/>
              </w:rPr>
              <w:t xml:space="preserve">13. </w:t>
            </w:r>
            <w:r>
              <w:rPr>
                <w:rFonts w:hint="eastAsia" w:ascii="仿宋" w:hAnsi="仿宋" w:eastAsia="仿宋"/>
                <w:color w:val="auto"/>
                <w:sz w:val="24"/>
                <w:szCs w:val="24"/>
                <w:highlight w:val="none"/>
              </w:rPr>
              <w:t>具备快速启动功能，通电启动后</w:t>
            </w:r>
            <w:r>
              <w:rPr>
                <w:rFonts w:ascii="仿宋" w:hAnsi="仿宋" w:eastAsia="仿宋"/>
                <w:color w:val="auto"/>
                <w:sz w:val="24"/>
                <w:szCs w:val="24"/>
                <w:highlight w:val="none"/>
              </w:rPr>
              <w:t>≤</w:t>
            </w:r>
            <w:r>
              <w:rPr>
                <w:rFonts w:hint="eastAsia" w:ascii="仿宋" w:hAnsi="仿宋" w:eastAsia="仿宋"/>
                <w:color w:val="auto"/>
                <w:sz w:val="24"/>
                <w:szCs w:val="24"/>
                <w:highlight w:val="none"/>
              </w:rPr>
              <w:t xml:space="preserve"> 6秒，系统即可操作。</w:t>
            </w:r>
            <w:r>
              <w:rPr>
                <w:rFonts w:ascii="仿宋" w:hAnsi="仿宋" w:eastAsia="仿宋"/>
                <w:color w:val="auto"/>
                <w:sz w:val="24"/>
                <w:szCs w:val="24"/>
                <w:highlight w:val="none"/>
              </w:rPr>
              <w:t xml:space="preserve"> </w:t>
            </w:r>
          </w:p>
          <w:p w14:paraId="4D0A7D2E">
            <w:pPr>
              <w:rPr>
                <w:rFonts w:hint="eastAsia" w:ascii="仿宋" w:hAnsi="仿宋" w:eastAsia="仿宋"/>
                <w:color w:val="auto"/>
                <w:sz w:val="24"/>
                <w:szCs w:val="24"/>
                <w:highlight w:val="none"/>
              </w:rPr>
            </w:pPr>
            <w:r>
              <w:rPr>
                <w:rFonts w:ascii="仿宋" w:hAnsi="仿宋" w:eastAsia="仿宋"/>
                <w:color w:val="auto"/>
                <w:sz w:val="24"/>
                <w:szCs w:val="24"/>
                <w:highlight w:val="none"/>
              </w:rPr>
              <w:t>14.</w:t>
            </w:r>
            <w:r>
              <w:rPr>
                <w:rFonts w:hint="eastAsia" w:ascii="仿宋" w:hAnsi="仿宋" w:eastAsia="仿宋"/>
                <w:color w:val="auto"/>
                <w:sz w:val="24"/>
                <w:szCs w:val="24"/>
                <w:highlight w:val="none"/>
              </w:rPr>
              <w:t xml:space="preserve"> *具有实际时间控制功能，提供离心重复性。</w:t>
            </w:r>
          </w:p>
          <w:p w14:paraId="267127ED">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w:t>
            </w:r>
            <w:r>
              <w:rPr>
                <w:rFonts w:ascii="仿宋" w:hAnsi="仿宋" w:eastAsia="仿宋"/>
                <w:color w:val="auto"/>
                <w:sz w:val="24"/>
                <w:szCs w:val="24"/>
                <w:highlight w:val="none"/>
              </w:rPr>
              <w:t xml:space="preserve">5. </w:t>
            </w:r>
            <w:r>
              <w:rPr>
                <w:rFonts w:hint="eastAsia" w:ascii="仿宋" w:hAnsi="仿宋" w:eastAsia="仿宋"/>
                <w:color w:val="auto"/>
                <w:sz w:val="24"/>
                <w:szCs w:val="24"/>
                <w:highlight w:val="none"/>
              </w:rPr>
              <w:t>具有定速计时功能</w:t>
            </w:r>
          </w:p>
          <w:p w14:paraId="5E157D3F">
            <w:pPr>
              <w:rPr>
                <w:rFonts w:hint="eastAsia" w:ascii="仿宋" w:hAnsi="仿宋" w:eastAsia="仿宋"/>
                <w:color w:val="auto"/>
                <w:sz w:val="24"/>
                <w:szCs w:val="24"/>
                <w:highlight w:val="none"/>
              </w:rPr>
            </w:pPr>
            <w:r>
              <w:rPr>
                <w:rFonts w:ascii="仿宋" w:hAnsi="仿宋" w:eastAsia="仿宋"/>
                <w:color w:val="auto"/>
                <w:sz w:val="24"/>
                <w:szCs w:val="24"/>
                <w:highlight w:val="none"/>
              </w:rPr>
              <w:t xml:space="preserve">16. </w:t>
            </w:r>
            <w:r>
              <w:rPr>
                <w:rFonts w:hint="eastAsia" w:ascii="仿宋" w:hAnsi="仿宋" w:eastAsia="仿宋"/>
                <w:color w:val="auto"/>
                <w:sz w:val="24"/>
                <w:szCs w:val="24"/>
                <w:highlight w:val="none"/>
              </w:rPr>
              <w:t>加减速模式：</w:t>
            </w:r>
            <w:r>
              <w:rPr>
                <w:rFonts w:ascii="仿宋" w:hAnsi="仿宋" w:eastAsia="仿宋"/>
                <w:color w:val="auto"/>
                <w:sz w:val="24"/>
                <w:szCs w:val="24"/>
                <w:highlight w:val="none"/>
              </w:rPr>
              <w:t>≥10</w:t>
            </w:r>
            <w:r>
              <w:rPr>
                <w:rFonts w:hint="eastAsia" w:ascii="仿宋" w:hAnsi="仿宋" w:eastAsia="仿宋"/>
                <w:color w:val="auto"/>
                <w:sz w:val="24"/>
                <w:szCs w:val="24"/>
                <w:highlight w:val="none"/>
              </w:rPr>
              <w:t>级加速，</w:t>
            </w:r>
            <w:r>
              <w:rPr>
                <w:rFonts w:ascii="仿宋" w:hAnsi="仿宋" w:eastAsia="仿宋"/>
                <w:color w:val="auto"/>
                <w:sz w:val="24"/>
                <w:szCs w:val="24"/>
                <w:highlight w:val="none"/>
              </w:rPr>
              <w:t>≥11</w:t>
            </w:r>
            <w:r>
              <w:rPr>
                <w:rFonts w:hint="eastAsia" w:ascii="仿宋" w:hAnsi="仿宋" w:eastAsia="仿宋"/>
                <w:color w:val="auto"/>
                <w:sz w:val="24"/>
                <w:szCs w:val="24"/>
                <w:highlight w:val="none"/>
              </w:rPr>
              <w:t>级减速（包括自由滑行）；</w:t>
            </w:r>
          </w:p>
          <w:p w14:paraId="7972C508">
            <w:pPr>
              <w:rPr>
                <w:rFonts w:hint="eastAsia" w:ascii="仿宋" w:hAnsi="仿宋" w:eastAsia="仿宋"/>
                <w:color w:val="auto"/>
                <w:sz w:val="24"/>
                <w:szCs w:val="24"/>
                <w:highlight w:val="none"/>
              </w:rPr>
            </w:pPr>
            <w:r>
              <w:rPr>
                <w:rFonts w:ascii="仿宋" w:hAnsi="仿宋" w:eastAsia="仿宋"/>
                <w:color w:val="auto"/>
                <w:sz w:val="24"/>
                <w:szCs w:val="24"/>
                <w:highlight w:val="none"/>
              </w:rPr>
              <w:t xml:space="preserve">17. </w:t>
            </w:r>
            <w:r>
              <w:rPr>
                <w:rFonts w:hint="eastAsia" w:ascii="仿宋" w:hAnsi="仿宋" w:eastAsia="仿宋"/>
                <w:color w:val="auto"/>
                <w:sz w:val="24"/>
                <w:szCs w:val="24"/>
                <w:highlight w:val="none"/>
              </w:rPr>
              <w:t>程序化操作：可存储</w:t>
            </w:r>
            <w:r>
              <w:rPr>
                <w:rFonts w:ascii="仿宋" w:hAnsi="仿宋" w:eastAsia="仿宋"/>
                <w:color w:val="auto"/>
                <w:sz w:val="24"/>
                <w:szCs w:val="24"/>
                <w:highlight w:val="none"/>
              </w:rPr>
              <w:t>≥1000</w:t>
            </w:r>
            <w:r>
              <w:rPr>
                <w:rFonts w:hint="eastAsia" w:ascii="仿宋" w:hAnsi="仿宋" w:eastAsia="仿宋"/>
                <w:color w:val="auto"/>
                <w:sz w:val="24"/>
                <w:szCs w:val="24"/>
                <w:highlight w:val="none"/>
              </w:rPr>
              <w:t>个程序（不小于</w:t>
            </w:r>
            <w:r>
              <w:rPr>
                <w:rFonts w:ascii="仿宋" w:hAnsi="仿宋" w:eastAsia="仿宋"/>
                <w:color w:val="auto"/>
                <w:sz w:val="24"/>
                <w:szCs w:val="24"/>
                <w:highlight w:val="none"/>
              </w:rPr>
              <w:t>30</w:t>
            </w:r>
            <w:r>
              <w:rPr>
                <w:rFonts w:hint="eastAsia" w:ascii="仿宋" w:hAnsi="仿宋" w:eastAsia="仿宋"/>
                <w:color w:val="auto"/>
                <w:sz w:val="24"/>
                <w:szCs w:val="24"/>
                <w:highlight w:val="none"/>
              </w:rPr>
              <w:t>个步骤的）；</w:t>
            </w:r>
          </w:p>
          <w:p w14:paraId="42FDBA5E">
            <w:pPr>
              <w:rPr>
                <w:rFonts w:hint="eastAsia" w:ascii="仿宋" w:hAnsi="仿宋" w:eastAsia="仿宋"/>
                <w:color w:val="auto"/>
                <w:sz w:val="24"/>
                <w:szCs w:val="24"/>
                <w:highlight w:val="none"/>
              </w:rPr>
            </w:pPr>
            <w:r>
              <w:rPr>
                <w:rFonts w:ascii="仿宋" w:hAnsi="仿宋" w:eastAsia="仿宋"/>
                <w:color w:val="auto"/>
                <w:sz w:val="24"/>
                <w:szCs w:val="24"/>
                <w:highlight w:val="none"/>
              </w:rPr>
              <w:t xml:space="preserve">18. </w:t>
            </w:r>
            <w:r>
              <w:rPr>
                <w:rFonts w:hint="eastAsia" w:ascii="仿宋" w:hAnsi="仿宋" w:eastAsia="仿宋"/>
                <w:color w:val="auto"/>
                <w:sz w:val="24"/>
                <w:szCs w:val="24"/>
                <w:highlight w:val="none"/>
              </w:rPr>
              <w:t>标准接口：标准接口：</w:t>
            </w:r>
            <w:r>
              <w:rPr>
                <w:rFonts w:ascii="仿宋" w:hAnsi="仿宋" w:eastAsia="仿宋"/>
                <w:color w:val="auto"/>
                <w:sz w:val="24"/>
                <w:szCs w:val="24"/>
                <w:highlight w:val="none"/>
              </w:rPr>
              <w:t>USB (≥2</w:t>
            </w:r>
            <w:r>
              <w:rPr>
                <w:rFonts w:hint="eastAsia" w:ascii="仿宋" w:hAnsi="仿宋" w:eastAsia="仿宋"/>
                <w:color w:val="auto"/>
                <w:sz w:val="24"/>
                <w:szCs w:val="24"/>
                <w:highlight w:val="none"/>
              </w:rPr>
              <w:t>个</w:t>
            </w:r>
            <w:r>
              <w:rPr>
                <w:rFonts w:ascii="仿宋" w:hAnsi="仿宋" w:eastAsia="仿宋"/>
                <w:color w:val="auto"/>
                <w:sz w:val="24"/>
                <w:szCs w:val="24"/>
                <w:highlight w:val="none"/>
              </w:rPr>
              <w:t>), LAN (≥1</w:t>
            </w:r>
            <w:r>
              <w:rPr>
                <w:rFonts w:hint="eastAsia" w:ascii="仿宋" w:hAnsi="仿宋" w:eastAsia="仿宋"/>
                <w:color w:val="auto"/>
                <w:sz w:val="24"/>
                <w:szCs w:val="24"/>
                <w:highlight w:val="none"/>
              </w:rPr>
              <w:t>个</w:t>
            </w:r>
            <w:r>
              <w:rPr>
                <w:rFonts w:ascii="仿宋" w:hAnsi="仿宋" w:eastAsia="仿宋"/>
                <w:color w:val="auto"/>
                <w:sz w:val="24"/>
                <w:szCs w:val="24"/>
                <w:highlight w:val="none"/>
              </w:rPr>
              <w:t>)</w:t>
            </w:r>
            <w:r>
              <w:rPr>
                <w:rFonts w:hint="eastAsia" w:ascii="仿宋" w:hAnsi="仿宋" w:eastAsia="仿宋"/>
                <w:color w:val="auto"/>
                <w:sz w:val="24"/>
                <w:szCs w:val="24"/>
                <w:highlight w:val="none"/>
              </w:rPr>
              <w:t>；</w:t>
            </w:r>
          </w:p>
          <w:p w14:paraId="1AE388BC">
            <w:pPr>
              <w:rPr>
                <w:rFonts w:hint="eastAsia" w:ascii="仿宋" w:hAnsi="仿宋" w:eastAsia="仿宋"/>
                <w:color w:val="auto"/>
                <w:sz w:val="24"/>
                <w:szCs w:val="24"/>
                <w:highlight w:val="none"/>
              </w:rPr>
            </w:pPr>
            <w:r>
              <w:rPr>
                <w:rFonts w:ascii="仿宋" w:hAnsi="仿宋" w:eastAsia="仿宋"/>
                <w:color w:val="auto"/>
                <w:sz w:val="24"/>
                <w:szCs w:val="24"/>
                <w:highlight w:val="none"/>
              </w:rPr>
              <w:t xml:space="preserve">19. </w:t>
            </w:r>
            <w:r>
              <w:rPr>
                <w:rFonts w:hint="eastAsia" w:ascii="仿宋" w:hAnsi="仿宋" w:eastAsia="仿宋"/>
                <w:color w:val="auto"/>
                <w:sz w:val="24"/>
                <w:szCs w:val="24"/>
                <w:highlight w:val="none"/>
              </w:rPr>
              <w:t>操作历史：</w:t>
            </w:r>
            <w:r>
              <w:rPr>
                <w:rFonts w:ascii="仿宋" w:hAnsi="仿宋" w:eastAsia="仿宋"/>
                <w:color w:val="auto"/>
                <w:sz w:val="24"/>
                <w:szCs w:val="24"/>
                <w:highlight w:val="none"/>
              </w:rPr>
              <w:t>≥5100</w:t>
            </w:r>
            <w:r>
              <w:rPr>
                <w:rFonts w:hint="eastAsia" w:ascii="仿宋" w:hAnsi="仿宋" w:eastAsia="仿宋"/>
                <w:color w:val="auto"/>
                <w:sz w:val="24"/>
                <w:szCs w:val="24"/>
                <w:highlight w:val="none"/>
              </w:rPr>
              <w:t>个操作历史可通过</w:t>
            </w:r>
            <w:r>
              <w:rPr>
                <w:rFonts w:ascii="仿宋" w:hAnsi="仿宋" w:eastAsia="仿宋"/>
                <w:color w:val="auto"/>
                <w:sz w:val="24"/>
                <w:szCs w:val="24"/>
                <w:highlight w:val="none"/>
              </w:rPr>
              <w:t>USB</w:t>
            </w:r>
            <w:r>
              <w:rPr>
                <w:rFonts w:hint="eastAsia" w:ascii="仿宋" w:hAnsi="仿宋" w:eastAsia="仿宋"/>
                <w:color w:val="auto"/>
                <w:sz w:val="24"/>
                <w:szCs w:val="24"/>
                <w:highlight w:val="none"/>
              </w:rPr>
              <w:t>口，以</w:t>
            </w:r>
            <w:r>
              <w:rPr>
                <w:rFonts w:ascii="仿宋" w:hAnsi="仿宋" w:eastAsia="仿宋"/>
                <w:color w:val="auto"/>
                <w:sz w:val="24"/>
                <w:szCs w:val="24"/>
                <w:highlight w:val="none"/>
              </w:rPr>
              <w:t>CSV</w:t>
            </w:r>
            <w:r>
              <w:rPr>
                <w:rFonts w:hint="eastAsia" w:ascii="仿宋" w:hAnsi="仿宋" w:eastAsia="仿宋"/>
                <w:color w:val="auto"/>
                <w:sz w:val="24"/>
                <w:szCs w:val="24"/>
                <w:highlight w:val="none"/>
              </w:rPr>
              <w:t>的形式输出；</w:t>
            </w:r>
          </w:p>
          <w:p w14:paraId="26014CF2">
            <w:pPr>
              <w:rPr>
                <w:rFonts w:hint="eastAsia" w:ascii="仿宋" w:hAnsi="仿宋" w:eastAsia="仿宋"/>
                <w:color w:val="auto"/>
                <w:sz w:val="24"/>
                <w:szCs w:val="24"/>
                <w:highlight w:val="none"/>
              </w:rPr>
            </w:pPr>
            <w:r>
              <w:rPr>
                <w:rFonts w:ascii="仿宋" w:hAnsi="仿宋" w:eastAsia="仿宋"/>
                <w:color w:val="auto"/>
                <w:sz w:val="24"/>
                <w:szCs w:val="24"/>
                <w:highlight w:val="none"/>
              </w:rPr>
              <w:t xml:space="preserve">20. </w:t>
            </w:r>
            <w:r>
              <w:rPr>
                <w:rFonts w:hint="eastAsia" w:ascii="仿宋" w:hAnsi="仿宋" w:eastAsia="仿宋"/>
                <w:color w:val="auto"/>
                <w:sz w:val="24"/>
                <w:szCs w:val="24"/>
                <w:highlight w:val="none"/>
              </w:rPr>
              <w:t>安全操作符合国际安全标准；</w:t>
            </w:r>
          </w:p>
          <w:p w14:paraId="1AF19FAE">
            <w:pPr>
              <w:rPr>
                <w:rFonts w:hint="eastAsia" w:ascii="仿宋" w:hAnsi="仿宋" w:eastAsia="仿宋"/>
                <w:color w:val="auto"/>
                <w:sz w:val="24"/>
                <w:szCs w:val="24"/>
                <w:highlight w:val="none"/>
              </w:rPr>
            </w:pPr>
            <w:r>
              <w:rPr>
                <w:rFonts w:ascii="仿宋" w:hAnsi="仿宋" w:eastAsia="仿宋"/>
                <w:color w:val="auto"/>
                <w:sz w:val="24"/>
                <w:szCs w:val="24"/>
                <w:highlight w:val="none"/>
              </w:rPr>
              <w:t xml:space="preserve">21. </w:t>
            </w:r>
            <w:r>
              <w:rPr>
                <w:rFonts w:hint="eastAsia" w:ascii="仿宋" w:hAnsi="仿宋" w:eastAsia="仿宋"/>
                <w:color w:val="auto"/>
                <w:sz w:val="24"/>
                <w:szCs w:val="24"/>
                <w:highlight w:val="none"/>
              </w:rPr>
              <w:t>转头转速自动监测，全自动设置最高允许转速，具有双重过速保护功能。</w:t>
            </w:r>
          </w:p>
          <w:p w14:paraId="42879FCA">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w:t>
            </w:r>
            <w:r>
              <w:rPr>
                <w:rFonts w:ascii="仿宋" w:hAnsi="仿宋" w:eastAsia="仿宋"/>
                <w:color w:val="auto"/>
                <w:sz w:val="24"/>
                <w:szCs w:val="24"/>
                <w:highlight w:val="none"/>
              </w:rPr>
              <w:t xml:space="preserve">2. </w:t>
            </w:r>
            <w:r>
              <w:rPr>
                <w:rFonts w:hint="eastAsia" w:ascii="仿宋" w:hAnsi="仿宋" w:eastAsia="仿宋"/>
                <w:color w:val="auto"/>
                <w:sz w:val="24"/>
                <w:szCs w:val="24"/>
                <w:highlight w:val="none"/>
              </w:rPr>
              <w:t>仪器具备动态惯量检测功能，在离心过程中可对转子的转动惯量进行测量，当转子的动能超过承受能力时立即减速，保证安全性。</w:t>
            </w:r>
          </w:p>
          <w:p w14:paraId="6809F075">
            <w:pPr>
              <w:rPr>
                <w:rFonts w:hint="eastAsia" w:ascii="仿宋" w:hAnsi="仿宋" w:eastAsia="仿宋"/>
                <w:color w:val="auto"/>
                <w:sz w:val="24"/>
                <w:szCs w:val="24"/>
                <w:highlight w:val="none"/>
              </w:rPr>
            </w:pPr>
            <w:r>
              <w:rPr>
                <w:rFonts w:ascii="仿宋" w:hAnsi="仿宋" w:eastAsia="仿宋"/>
                <w:color w:val="auto"/>
                <w:sz w:val="24"/>
                <w:szCs w:val="24"/>
                <w:highlight w:val="none"/>
              </w:rPr>
              <w:t>23</w:t>
            </w:r>
            <w:r>
              <w:rPr>
                <w:rFonts w:hint="eastAsia" w:ascii="仿宋" w:hAnsi="仿宋" w:eastAsia="仿宋"/>
                <w:color w:val="auto"/>
                <w:sz w:val="24"/>
                <w:szCs w:val="24"/>
                <w:highlight w:val="none"/>
              </w:rPr>
              <w:t>.</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具有用户锁功能，可注册</w:t>
            </w:r>
            <w:r>
              <w:rPr>
                <w:rFonts w:ascii="仿宋" w:hAnsi="仿宋" w:eastAsia="仿宋"/>
                <w:color w:val="auto"/>
                <w:sz w:val="24"/>
                <w:szCs w:val="24"/>
                <w:highlight w:val="none"/>
              </w:rPr>
              <w:t>≥50</w:t>
            </w:r>
            <w:r>
              <w:rPr>
                <w:rFonts w:hint="eastAsia" w:ascii="仿宋" w:hAnsi="仿宋" w:eastAsia="仿宋"/>
                <w:color w:val="auto"/>
                <w:sz w:val="24"/>
                <w:szCs w:val="24"/>
                <w:highlight w:val="none"/>
              </w:rPr>
              <w:t>个操作者；</w:t>
            </w:r>
          </w:p>
          <w:p w14:paraId="605A9DCE">
            <w:pPr>
              <w:rPr>
                <w:rFonts w:hint="eastAsia" w:ascii="仿宋" w:hAnsi="仿宋" w:eastAsia="仿宋"/>
                <w:color w:val="auto"/>
                <w:sz w:val="24"/>
                <w:szCs w:val="24"/>
                <w:highlight w:val="none"/>
              </w:rPr>
            </w:pPr>
            <w:r>
              <w:rPr>
                <w:rFonts w:ascii="仿宋" w:hAnsi="仿宋" w:eastAsia="仿宋"/>
                <w:color w:val="auto"/>
                <w:sz w:val="24"/>
                <w:szCs w:val="24"/>
                <w:highlight w:val="none"/>
              </w:rPr>
              <w:t xml:space="preserve">24. </w:t>
            </w:r>
            <w:r>
              <w:rPr>
                <w:rFonts w:hint="eastAsia" w:ascii="仿宋" w:hAnsi="仿宋" w:eastAsia="仿宋"/>
                <w:color w:val="auto"/>
                <w:sz w:val="24"/>
                <w:szCs w:val="24"/>
                <w:highlight w:val="none"/>
              </w:rPr>
              <w:t>标配有有模拟软件的</w:t>
            </w:r>
            <w:r>
              <w:rPr>
                <w:rFonts w:ascii="仿宋" w:hAnsi="仿宋" w:eastAsia="仿宋"/>
                <w:color w:val="auto"/>
                <w:sz w:val="24"/>
                <w:szCs w:val="24"/>
                <w:highlight w:val="none"/>
              </w:rPr>
              <w:t>CD</w:t>
            </w:r>
            <w:r>
              <w:rPr>
                <w:rFonts w:hint="eastAsia" w:ascii="仿宋" w:hAnsi="仿宋" w:eastAsia="仿宋"/>
                <w:color w:val="auto"/>
                <w:sz w:val="24"/>
                <w:szCs w:val="24"/>
                <w:highlight w:val="none"/>
              </w:rPr>
              <w:t>盘，能安装在电脑上进行离心条件的模拟，不造成离心机的占用。软件内包含化学试剂耐受性数据库。</w:t>
            </w:r>
          </w:p>
          <w:p w14:paraId="0F64D7DB">
            <w:pPr>
              <w:rPr>
                <w:rFonts w:hint="eastAsia" w:ascii="仿宋" w:hAnsi="仿宋" w:eastAsia="仿宋"/>
                <w:color w:val="auto"/>
                <w:sz w:val="24"/>
                <w:szCs w:val="24"/>
                <w:highlight w:val="none"/>
              </w:rPr>
            </w:pPr>
            <w:r>
              <w:rPr>
                <w:rFonts w:ascii="仿宋" w:hAnsi="仿宋" w:eastAsia="仿宋"/>
                <w:color w:val="auto"/>
                <w:sz w:val="24"/>
                <w:szCs w:val="24"/>
                <w:highlight w:val="none"/>
              </w:rPr>
              <w:t xml:space="preserve">25. </w:t>
            </w:r>
            <w:r>
              <w:rPr>
                <w:rFonts w:hint="eastAsia" w:ascii="仿宋" w:hAnsi="仿宋" w:eastAsia="仿宋"/>
                <w:color w:val="auto"/>
                <w:sz w:val="24"/>
                <w:szCs w:val="24"/>
                <w:highlight w:val="none"/>
              </w:rPr>
              <w:t>*转子寿命自动管理系统，可自动记录转子运行时间，无需手动记录。</w:t>
            </w:r>
          </w:p>
          <w:p w14:paraId="2AB9B53E">
            <w:pPr>
              <w:pStyle w:val="38"/>
              <w:rPr>
                <w:rFonts w:hint="eastAsia" w:ascii="仿宋" w:hAnsi="仿宋" w:eastAsia="仿宋" w:cs="Times New Roman"/>
                <w:color w:val="auto"/>
                <w:highlight w:val="none"/>
              </w:rPr>
            </w:pPr>
            <w:r>
              <w:rPr>
                <w:rFonts w:ascii="仿宋" w:hAnsi="仿宋" w:eastAsia="仿宋" w:cs="Times New Roman"/>
                <w:color w:val="auto"/>
                <w:highlight w:val="none"/>
              </w:rPr>
              <w:t xml:space="preserve">26. </w:t>
            </w:r>
            <w:r>
              <w:rPr>
                <w:rFonts w:hint="eastAsia" w:ascii="仿宋" w:hAnsi="仿宋" w:eastAsia="仿宋" w:cs="Times New Roman"/>
                <w:color w:val="auto"/>
                <w:highlight w:val="none"/>
              </w:rPr>
              <w:t>可选配</w:t>
            </w:r>
            <w:r>
              <w:rPr>
                <w:rFonts w:ascii="仿宋" w:hAnsi="仿宋" w:eastAsia="仿宋" w:cs="Times New Roman"/>
                <w:color w:val="auto"/>
                <w:highlight w:val="none"/>
              </w:rPr>
              <w:t>热封器采用桌面式设计，无需充电，热封过程中无需手持热封管和热封器，通过指示灯的变化自动提示热封程序的开始和结束</w:t>
            </w:r>
          </w:p>
          <w:p w14:paraId="316AC658">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二、配置</w:t>
            </w:r>
          </w:p>
          <w:p w14:paraId="6847E7FF">
            <w:pPr>
              <w:rPr>
                <w:rFonts w:hint="eastAsia" w:ascii="仿宋" w:hAnsi="仿宋" w:eastAsia="仿宋"/>
                <w:color w:val="auto"/>
                <w:sz w:val="24"/>
                <w:szCs w:val="24"/>
                <w:highlight w:val="none"/>
              </w:rPr>
            </w:pPr>
            <w:r>
              <w:rPr>
                <w:rFonts w:ascii="仿宋" w:hAnsi="仿宋" w:eastAsia="仿宋"/>
                <w:color w:val="auto"/>
                <w:sz w:val="24"/>
                <w:szCs w:val="24"/>
                <w:highlight w:val="none"/>
              </w:rPr>
              <w:t>1</w:t>
            </w:r>
            <w:r>
              <w:rPr>
                <w:rFonts w:hint="eastAsia" w:ascii="仿宋" w:hAnsi="仿宋" w:eastAsia="仿宋"/>
                <w:color w:val="auto"/>
                <w:sz w:val="24"/>
                <w:szCs w:val="24"/>
                <w:highlight w:val="none"/>
              </w:rPr>
              <w:t>、超速离心机主机</w:t>
            </w:r>
            <w:r>
              <w:rPr>
                <w:rFonts w:ascii="仿宋" w:hAnsi="仿宋" w:eastAsia="仿宋"/>
                <w:color w:val="auto"/>
                <w:sz w:val="24"/>
                <w:szCs w:val="24"/>
                <w:highlight w:val="none"/>
              </w:rPr>
              <w:t>1</w:t>
            </w:r>
            <w:r>
              <w:rPr>
                <w:rFonts w:hint="eastAsia" w:ascii="仿宋" w:hAnsi="仿宋" w:eastAsia="仿宋"/>
                <w:color w:val="auto"/>
                <w:sz w:val="24"/>
                <w:szCs w:val="24"/>
                <w:highlight w:val="none"/>
              </w:rPr>
              <w:t>台</w:t>
            </w:r>
          </w:p>
          <w:p w14:paraId="299C0D29">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2、*固定角转子一个，最大转速：</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70</w:t>
            </w:r>
            <w:r>
              <w:rPr>
                <w:rFonts w:ascii="仿宋" w:hAnsi="仿宋" w:eastAsia="仿宋"/>
                <w:color w:val="auto"/>
                <w:sz w:val="24"/>
                <w:szCs w:val="24"/>
                <w:highlight w:val="none"/>
              </w:rPr>
              <w:t>000rpm</w:t>
            </w:r>
            <w:r>
              <w:rPr>
                <w:rFonts w:hint="eastAsia" w:ascii="仿宋" w:hAnsi="仿宋" w:eastAsia="仿宋"/>
                <w:color w:val="auto"/>
                <w:sz w:val="24"/>
                <w:szCs w:val="24"/>
                <w:highlight w:val="none"/>
              </w:rPr>
              <w:t>，最大离心力：</w:t>
            </w:r>
            <w:r>
              <w:rPr>
                <w:rFonts w:ascii="仿宋" w:hAnsi="仿宋" w:eastAsia="仿宋"/>
                <w:color w:val="auto"/>
                <w:sz w:val="24"/>
                <w:szCs w:val="24"/>
                <w:highlight w:val="none"/>
              </w:rPr>
              <w:t>≥</w:t>
            </w:r>
            <w:r>
              <w:rPr>
                <w:rFonts w:hint="eastAsia" w:ascii="仿宋" w:hAnsi="仿宋" w:eastAsia="仿宋"/>
                <w:color w:val="auto"/>
                <w:sz w:val="24"/>
                <w:szCs w:val="24"/>
                <w:highlight w:val="none"/>
              </w:rPr>
              <w:t>504000</w:t>
            </w:r>
            <w:r>
              <w:rPr>
                <w:rFonts w:ascii="仿宋" w:hAnsi="仿宋" w:eastAsia="仿宋"/>
                <w:color w:val="auto"/>
                <w:sz w:val="24"/>
                <w:szCs w:val="24"/>
                <w:highlight w:val="none"/>
              </w:rPr>
              <w:t>×g</w:t>
            </w:r>
            <w:r>
              <w:rPr>
                <w:rFonts w:hint="eastAsia" w:ascii="仿宋" w:hAnsi="仿宋" w:eastAsia="仿宋"/>
                <w:color w:val="auto"/>
                <w:sz w:val="24"/>
                <w:szCs w:val="24"/>
                <w:highlight w:val="none"/>
              </w:rPr>
              <w:t>，最大容量</w:t>
            </w:r>
            <w:bookmarkStart w:id="26" w:name="_Hlk117167236"/>
            <w:r>
              <w:rPr>
                <w:rFonts w:ascii="仿宋" w:hAnsi="仿宋" w:eastAsia="仿宋"/>
                <w:color w:val="auto"/>
                <w:sz w:val="24"/>
                <w:szCs w:val="24"/>
                <w:highlight w:val="none"/>
              </w:rPr>
              <w:t>≥</w:t>
            </w:r>
            <w:bookmarkEnd w:id="26"/>
            <w:r>
              <w:rPr>
                <w:rFonts w:hint="eastAsia" w:ascii="仿宋" w:hAnsi="仿宋" w:eastAsia="仿宋"/>
                <w:color w:val="auto"/>
                <w:sz w:val="24"/>
                <w:szCs w:val="24"/>
                <w:highlight w:val="none"/>
              </w:rPr>
              <w:t>8</w:t>
            </w:r>
            <w:r>
              <w:rPr>
                <w:rFonts w:ascii="仿宋" w:hAnsi="仿宋" w:eastAsia="仿宋"/>
                <w:color w:val="auto"/>
                <w:sz w:val="24"/>
                <w:szCs w:val="24"/>
                <w:highlight w:val="none"/>
              </w:rPr>
              <w:t>×</w:t>
            </w:r>
            <w:r>
              <w:rPr>
                <w:rFonts w:hint="eastAsia" w:ascii="仿宋" w:hAnsi="仿宋" w:eastAsia="仿宋"/>
                <w:color w:val="auto"/>
                <w:sz w:val="24"/>
                <w:szCs w:val="24"/>
                <w:highlight w:val="none"/>
              </w:rPr>
              <w:t>39</w:t>
            </w:r>
            <w:r>
              <w:rPr>
                <w:rFonts w:ascii="仿宋" w:hAnsi="仿宋" w:eastAsia="仿宋"/>
                <w:color w:val="auto"/>
                <w:sz w:val="24"/>
                <w:szCs w:val="24"/>
                <w:highlight w:val="none"/>
              </w:rPr>
              <w:t>ml</w:t>
            </w:r>
            <w:r>
              <w:rPr>
                <w:rFonts w:hint="eastAsia" w:ascii="仿宋" w:hAnsi="仿宋" w:eastAsia="仿宋"/>
                <w:color w:val="auto"/>
                <w:sz w:val="24"/>
                <w:szCs w:val="24"/>
                <w:highlight w:val="none"/>
              </w:rPr>
              <w:t xml:space="preserve">，包含100个40PP 离心管,8个离心管管盖。 </w:t>
            </w:r>
          </w:p>
          <w:p w14:paraId="62B1AA78">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 *水平转子一个，最大转速：</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32</w:t>
            </w:r>
            <w:r>
              <w:rPr>
                <w:rFonts w:ascii="仿宋" w:hAnsi="仿宋" w:eastAsia="仿宋"/>
                <w:color w:val="auto"/>
                <w:sz w:val="24"/>
                <w:szCs w:val="24"/>
                <w:highlight w:val="none"/>
              </w:rPr>
              <w:t>000rpm</w:t>
            </w:r>
            <w:r>
              <w:rPr>
                <w:rFonts w:hint="eastAsia" w:ascii="仿宋" w:hAnsi="仿宋" w:eastAsia="仿宋"/>
                <w:color w:val="auto"/>
                <w:sz w:val="24"/>
                <w:szCs w:val="24"/>
                <w:highlight w:val="none"/>
              </w:rPr>
              <w:t>，最大离心力：</w:t>
            </w:r>
            <w:r>
              <w:rPr>
                <w:rFonts w:ascii="仿宋" w:hAnsi="仿宋" w:eastAsia="仿宋"/>
                <w:color w:val="auto"/>
                <w:sz w:val="24"/>
                <w:szCs w:val="24"/>
                <w:highlight w:val="none"/>
              </w:rPr>
              <w:t>≥</w:t>
            </w:r>
            <w:r>
              <w:rPr>
                <w:rFonts w:hint="eastAsia" w:ascii="仿宋" w:hAnsi="仿宋" w:eastAsia="仿宋"/>
                <w:color w:val="auto"/>
                <w:sz w:val="24"/>
                <w:szCs w:val="24"/>
                <w:highlight w:val="none"/>
              </w:rPr>
              <w:t>175000</w:t>
            </w:r>
            <w:r>
              <w:rPr>
                <w:rFonts w:ascii="仿宋" w:hAnsi="仿宋" w:eastAsia="仿宋"/>
                <w:color w:val="auto"/>
                <w:sz w:val="24"/>
                <w:szCs w:val="24"/>
                <w:highlight w:val="none"/>
              </w:rPr>
              <w:t>×g</w:t>
            </w:r>
            <w:r>
              <w:rPr>
                <w:rFonts w:hint="eastAsia" w:ascii="仿宋" w:hAnsi="仿宋" w:eastAsia="仿宋"/>
                <w:color w:val="auto"/>
                <w:sz w:val="24"/>
                <w:szCs w:val="24"/>
                <w:highlight w:val="none"/>
              </w:rPr>
              <w:t>，最大容量</w:t>
            </w:r>
            <w:r>
              <w:rPr>
                <w:rFonts w:ascii="仿宋" w:hAnsi="仿宋" w:eastAsia="仿宋"/>
                <w:color w:val="auto"/>
                <w:sz w:val="24"/>
                <w:szCs w:val="24"/>
                <w:highlight w:val="none"/>
              </w:rPr>
              <w:t>≥</w:t>
            </w:r>
            <w:r>
              <w:rPr>
                <w:rFonts w:hint="eastAsia" w:ascii="仿宋" w:hAnsi="仿宋" w:eastAsia="仿宋"/>
                <w:color w:val="auto"/>
                <w:sz w:val="24"/>
                <w:szCs w:val="24"/>
                <w:highlight w:val="none"/>
              </w:rPr>
              <w:t>6</w:t>
            </w:r>
            <w:r>
              <w:rPr>
                <w:rFonts w:ascii="仿宋" w:hAnsi="仿宋" w:eastAsia="仿宋"/>
                <w:color w:val="auto"/>
                <w:sz w:val="24"/>
                <w:szCs w:val="24"/>
                <w:highlight w:val="none"/>
              </w:rPr>
              <w:t>×</w:t>
            </w:r>
            <w:r>
              <w:rPr>
                <w:rFonts w:hint="eastAsia" w:ascii="仿宋" w:hAnsi="仿宋" w:eastAsia="仿宋"/>
                <w:color w:val="auto"/>
                <w:sz w:val="24"/>
                <w:szCs w:val="24"/>
                <w:highlight w:val="none"/>
              </w:rPr>
              <w:t>38.5</w:t>
            </w:r>
            <w:r>
              <w:rPr>
                <w:rFonts w:ascii="仿宋" w:hAnsi="仿宋" w:eastAsia="仿宋"/>
                <w:color w:val="auto"/>
                <w:sz w:val="24"/>
                <w:szCs w:val="24"/>
                <w:highlight w:val="none"/>
              </w:rPr>
              <w:t>ml</w:t>
            </w:r>
            <w:r>
              <w:rPr>
                <w:rFonts w:hint="eastAsia" w:ascii="仿宋" w:hAnsi="仿宋" w:eastAsia="仿宋"/>
                <w:color w:val="auto"/>
                <w:sz w:val="24"/>
                <w:szCs w:val="24"/>
                <w:highlight w:val="none"/>
              </w:rPr>
              <w:t>，包含40PP 离心管100个。</w:t>
            </w:r>
          </w:p>
          <w:p w14:paraId="600C484F">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 固定角转子一个，最大转速：</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27</w:t>
            </w:r>
            <w:r>
              <w:rPr>
                <w:rFonts w:ascii="仿宋" w:hAnsi="仿宋" w:eastAsia="仿宋"/>
                <w:color w:val="auto"/>
                <w:sz w:val="24"/>
                <w:szCs w:val="24"/>
                <w:highlight w:val="none"/>
              </w:rPr>
              <w:t>000rpm</w:t>
            </w:r>
            <w:r>
              <w:rPr>
                <w:rFonts w:hint="eastAsia" w:ascii="仿宋" w:hAnsi="仿宋" w:eastAsia="仿宋"/>
                <w:color w:val="auto"/>
                <w:sz w:val="24"/>
                <w:szCs w:val="24"/>
                <w:highlight w:val="none"/>
              </w:rPr>
              <w:t>，最大离心力：</w:t>
            </w:r>
            <w:r>
              <w:rPr>
                <w:rFonts w:ascii="仿宋" w:hAnsi="仿宋" w:eastAsia="仿宋"/>
                <w:color w:val="auto"/>
                <w:sz w:val="24"/>
                <w:szCs w:val="24"/>
                <w:highlight w:val="none"/>
              </w:rPr>
              <w:t>≥</w:t>
            </w:r>
            <w:r>
              <w:rPr>
                <w:rFonts w:hint="eastAsia" w:ascii="仿宋" w:hAnsi="仿宋" w:eastAsia="仿宋"/>
                <w:color w:val="auto"/>
                <w:sz w:val="24"/>
                <w:szCs w:val="24"/>
                <w:highlight w:val="none"/>
              </w:rPr>
              <w:t>105000</w:t>
            </w:r>
            <w:r>
              <w:rPr>
                <w:rFonts w:ascii="仿宋" w:hAnsi="仿宋" w:eastAsia="仿宋"/>
                <w:color w:val="auto"/>
                <w:sz w:val="24"/>
                <w:szCs w:val="24"/>
                <w:highlight w:val="none"/>
              </w:rPr>
              <w:t>×g</w:t>
            </w:r>
            <w:r>
              <w:rPr>
                <w:rFonts w:hint="eastAsia" w:ascii="仿宋" w:hAnsi="仿宋" w:eastAsia="仿宋"/>
                <w:color w:val="auto"/>
                <w:sz w:val="24"/>
                <w:szCs w:val="24"/>
                <w:highlight w:val="none"/>
              </w:rPr>
              <w:t>，最大容量</w:t>
            </w:r>
            <w:r>
              <w:rPr>
                <w:rFonts w:ascii="仿宋" w:hAnsi="仿宋" w:eastAsia="仿宋"/>
                <w:color w:val="auto"/>
                <w:sz w:val="24"/>
                <w:szCs w:val="24"/>
                <w:highlight w:val="none"/>
              </w:rPr>
              <w:t>≥</w:t>
            </w:r>
            <w:r>
              <w:rPr>
                <w:rFonts w:hint="eastAsia" w:ascii="仿宋" w:hAnsi="仿宋" w:eastAsia="仿宋"/>
                <w:color w:val="auto"/>
                <w:sz w:val="24"/>
                <w:szCs w:val="24"/>
                <w:highlight w:val="none"/>
              </w:rPr>
              <w:t>6</w:t>
            </w:r>
            <w:r>
              <w:rPr>
                <w:rFonts w:ascii="仿宋" w:hAnsi="仿宋" w:eastAsia="仿宋"/>
                <w:color w:val="auto"/>
                <w:sz w:val="24"/>
                <w:szCs w:val="24"/>
                <w:highlight w:val="none"/>
              </w:rPr>
              <w:t>×</w:t>
            </w:r>
            <w:r>
              <w:rPr>
                <w:rFonts w:hint="eastAsia" w:ascii="仿宋" w:hAnsi="仿宋" w:eastAsia="仿宋"/>
                <w:color w:val="auto"/>
                <w:sz w:val="24"/>
                <w:szCs w:val="24"/>
                <w:highlight w:val="none"/>
              </w:rPr>
              <w:t>16</w:t>
            </w:r>
            <w:r>
              <w:rPr>
                <w:rFonts w:ascii="仿宋" w:hAnsi="仿宋" w:eastAsia="仿宋"/>
                <w:color w:val="auto"/>
                <w:sz w:val="24"/>
                <w:szCs w:val="24"/>
                <w:highlight w:val="none"/>
              </w:rPr>
              <w:t>0ml</w:t>
            </w:r>
            <w:r>
              <w:rPr>
                <w:rFonts w:hint="eastAsia" w:ascii="仿宋" w:hAnsi="仿宋" w:eastAsia="仿宋"/>
                <w:color w:val="auto"/>
                <w:sz w:val="24"/>
                <w:szCs w:val="24"/>
                <w:highlight w:val="none"/>
              </w:rPr>
              <w:t xml:space="preserve"> ，包含160 mL 离心瓶6个。</w:t>
            </w:r>
          </w:p>
        </w:tc>
        <w:tc>
          <w:tcPr>
            <w:tcW w:w="243" w:type="pct"/>
            <w:vAlign w:val="center"/>
          </w:tcPr>
          <w:p w14:paraId="523EEA72">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1台</w:t>
            </w:r>
          </w:p>
        </w:tc>
      </w:tr>
      <w:tr w14:paraId="1B867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14:paraId="07AC8A9C">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19</w:t>
            </w:r>
          </w:p>
        </w:tc>
        <w:tc>
          <w:tcPr>
            <w:tcW w:w="291" w:type="pct"/>
          </w:tcPr>
          <w:p w14:paraId="691642A4">
            <w:pPr>
              <w:rPr>
                <w:rFonts w:hint="eastAsia" w:ascii="仿宋" w:hAnsi="仿宋" w:eastAsia="仿宋"/>
                <w:color w:val="auto"/>
                <w:sz w:val="24"/>
                <w:szCs w:val="24"/>
                <w:highlight w:val="none"/>
              </w:rPr>
            </w:pPr>
          </w:p>
        </w:tc>
        <w:tc>
          <w:tcPr>
            <w:tcW w:w="291" w:type="pct"/>
            <w:vAlign w:val="center"/>
          </w:tcPr>
          <w:p w14:paraId="014E4609">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旋转蒸发仪</w:t>
            </w:r>
          </w:p>
        </w:tc>
        <w:tc>
          <w:tcPr>
            <w:tcW w:w="3920" w:type="pct"/>
            <w:vAlign w:val="center"/>
          </w:tcPr>
          <w:p w14:paraId="32E18610">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技术参数：</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LCD数字显示屏可同时显示温度、转速和定时信息；</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水、油浴两用加热锅，加热温度可达180℃，水、油浴两种加热模式切换方便；</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微处理器精确控制加热锅温度，具有过温保护功能；</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大面积冷凝器，冷凝面积≥1700cm</w:t>
            </w:r>
            <w:r>
              <w:rPr>
                <w:rFonts w:ascii="Calibri" w:hAnsi="Calibri" w:eastAsia="仿宋" w:cs="Calibri"/>
                <w:color w:val="auto"/>
                <w:sz w:val="24"/>
                <w:szCs w:val="24"/>
                <w:highlight w:val="none"/>
              </w:rPr>
              <w:t>²</w:t>
            </w:r>
            <w:r>
              <w:rPr>
                <w:rFonts w:ascii="仿宋" w:hAnsi="仿宋" w:eastAsia="仿宋"/>
                <w:color w:val="auto"/>
                <w:sz w:val="24"/>
                <w:szCs w:val="24"/>
                <w:highlight w:val="none"/>
              </w:rPr>
              <w:t>,回收率高，冷凝效果出色；</w:t>
            </w:r>
            <w:r>
              <w:rPr>
                <w:rFonts w:ascii="仿宋" w:hAnsi="仿宋" w:eastAsia="仿宋"/>
                <w:color w:val="auto"/>
                <w:sz w:val="24"/>
                <w:szCs w:val="24"/>
                <w:highlight w:val="none"/>
              </w:rPr>
              <w:br w:type="textWrapping"/>
            </w:r>
            <w:r>
              <w:rPr>
                <w:rFonts w:ascii="仿宋" w:hAnsi="仿宋" w:eastAsia="仿宋"/>
                <w:color w:val="auto"/>
                <w:sz w:val="24"/>
                <w:szCs w:val="24"/>
                <w:highlight w:val="none"/>
              </w:rPr>
              <w:t>双层改性PTFE高弹性密封圈和压簧设计，超强密封性，耐高温和耐腐蚀、经久耐用；</w:t>
            </w:r>
            <w:r>
              <w:rPr>
                <w:rFonts w:ascii="仿宋" w:hAnsi="仿宋" w:eastAsia="仿宋"/>
                <w:color w:val="auto"/>
                <w:sz w:val="24"/>
                <w:szCs w:val="24"/>
                <w:highlight w:val="none"/>
              </w:rPr>
              <w:br w:type="textWrapping"/>
            </w:r>
            <w:r>
              <w:rPr>
                <w:rFonts w:ascii="仿宋" w:hAnsi="仿宋" w:eastAsia="仿宋"/>
                <w:color w:val="auto"/>
                <w:sz w:val="24"/>
                <w:szCs w:val="24"/>
                <w:highlight w:val="none"/>
              </w:rPr>
              <w:t>马达升降 (行程≥150 mm)， 具有安全停止功能，意外断电时，马达将蒸发瓶自动提升至加热锅以上位置；</w:t>
            </w:r>
            <w:r>
              <w:rPr>
                <w:rFonts w:ascii="仿宋" w:hAnsi="仿宋" w:eastAsia="仿宋"/>
                <w:color w:val="auto"/>
                <w:sz w:val="24"/>
                <w:szCs w:val="24"/>
                <w:highlight w:val="none"/>
              </w:rPr>
              <w:br w:type="textWrapping"/>
            </w:r>
            <w:r>
              <w:rPr>
                <w:rFonts w:ascii="仿宋" w:hAnsi="仿宋" w:eastAsia="仿宋"/>
                <w:color w:val="auto"/>
                <w:sz w:val="24"/>
                <w:szCs w:val="24"/>
                <w:highlight w:val="none"/>
              </w:rPr>
              <w:t>蒸发瓶带推出器，方便拆卸 ；具有定时和正反转功能；</w:t>
            </w:r>
            <w:r>
              <w:rPr>
                <w:rFonts w:ascii="仿宋" w:hAnsi="仿宋" w:eastAsia="仿宋"/>
                <w:color w:val="auto"/>
                <w:sz w:val="24"/>
                <w:szCs w:val="24"/>
                <w:highlight w:val="none"/>
              </w:rPr>
              <w:br w:type="textWrapping"/>
            </w:r>
            <w:r>
              <w:rPr>
                <w:rFonts w:ascii="仿宋" w:hAnsi="仿宋" w:eastAsia="仿宋"/>
                <w:color w:val="auto"/>
                <w:sz w:val="24"/>
                <w:szCs w:val="24"/>
                <w:highlight w:val="none"/>
              </w:rPr>
              <w:t>USB接口，外接电脑控制仪器并记录转速，温度数据。</w:t>
            </w:r>
            <w:r>
              <w:rPr>
                <w:rFonts w:ascii="仿宋" w:hAnsi="仿宋" w:eastAsia="仿宋"/>
                <w:color w:val="auto"/>
                <w:sz w:val="24"/>
                <w:szCs w:val="24"/>
                <w:highlight w:val="none"/>
              </w:rPr>
              <w:br w:type="textWrapping"/>
            </w:r>
            <w:r>
              <w:rPr>
                <w:rFonts w:ascii="仿宋" w:hAnsi="仿宋" w:eastAsia="仿宋"/>
                <w:color w:val="auto"/>
                <w:sz w:val="24"/>
                <w:szCs w:val="24"/>
                <w:highlight w:val="none"/>
              </w:rPr>
              <w:br w:type="textWrapping"/>
            </w:r>
            <w:r>
              <w:rPr>
                <w:rFonts w:ascii="仿宋" w:hAnsi="仿宋" w:eastAsia="仿宋"/>
                <w:color w:val="auto"/>
                <w:sz w:val="24"/>
                <w:szCs w:val="24"/>
                <w:highlight w:val="none"/>
              </w:rPr>
              <w:t>技术参数</w:t>
            </w:r>
            <w:r>
              <w:rPr>
                <w:rFonts w:ascii="仿宋" w:hAnsi="仿宋" w:eastAsia="仿宋"/>
                <w:color w:val="auto"/>
                <w:sz w:val="24"/>
                <w:szCs w:val="24"/>
                <w:highlight w:val="none"/>
              </w:rPr>
              <w:br w:type="textWrapping"/>
            </w:r>
            <w:r>
              <w:rPr>
                <w:rFonts w:ascii="仿宋" w:hAnsi="仿宋" w:eastAsia="仿宋"/>
                <w:color w:val="auto"/>
                <w:sz w:val="24"/>
                <w:szCs w:val="24"/>
                <w:highlight w:val="none"/>
              </w:rPr>
              <w:t>电机类型   直流无刷电机</w:t>
            </w:r>
            <w:r>
              <w:rPr>
                <w:rFonts w:ascii="仿宋" w:hAnsi="仿宋" w:eastAsia="仿宋"/>
                <w:color w:val="auto"/>
                <w:sz w:val="24"/>
                <w:szCs w:val="24"/>
                <w:highlight w:val="none"/>
              </w:rPr>
              <w:br w:type="textWrapping"/>
            </w:r>
            <w:r>
              <w:rPr>
                <w:rFonts w:ascii="仿宋" w:hAnsi="仿宋" w:eastAsia="仿宋"/>
                <w:color w:val="auto"/>
                <w:sz w:val="24"/>
                <w:szCs w:val="24"/>
                <w:highlight w:val="none"/>
              </w:rPr>
              <w:t>转速范围≥20-280rpm</w:t>
            </w:r>
            <w:r>
              <w:rPr>
                <w:rFonts w:ascii="仿宋" w:hAnsi="仿宋" w:eastAsia="仿宋"/>
                <w:color w:val="auto"/>
                <w:sz w:val="24"/>
                <w:szCs w:val="24"/>
                <w:highlight w:val="none"/>
              </w:rPr>
              <w:br w:type="textWrapping"/>
            </w:r>
            <w:r>
              <w:rPr>
                <w:rFonts w:ascii="仿宋" w:hAnsi="仿宋" w:eastAsia="仿宋"/>
                <w:color w:val="auto"/>
                <w:sz w:val="24"/>
                <w:szCs w:val="24"/>
                <w:highlight w:val="none"/>
              </w:rPr>
              <w:t>显示屏LCD（速度/温度/时间）</w:t>
            </w:r>
            <w:r>
              <w:rPr>
                <w:rFonts w:ascii="仿宋" w:hAnsi="仿宋" w:eastAsia="仿宋"/>
                <w:color w:val="auto"/>
                <w:sz w:val="24"/>
                <w:szCs w:val="24"/>
                <w:highlight w:val="none"/>
              </w:rPr>
              <w:br w:type="textWrapping"/>
            </w:r>
            <w:r>
              <w:rPr>
                <w:rFonts w:ascii="仿宋" w:hAnsi="仿宋" w:eastAsia="仿宋"/>
                <w:color w:val="auto"/>
                <w:sz w:val="24"/>
                <w:szCs w:val="24"/>
                <w:highlight w:val="none"/>
              </w:rPr>
              <w:t>正反向旋转  有</w:t>
            </w:r>
            <w:r>
              <w:rPr>
                <w:rFonts w:ascii="仿宋" w:hAnsi="仿宋" w:eastAsia="仿宋"/>
                <w:color w:val="auto"/>
                <w:sz w:val="24"/>
                <w:szCs w:val="24"/>
                <w:highlight w:val="none"/>
              </w:rPr>
              <w:br w:type="textWrapping"/>
            </w:r>
            <w:r>
              <w:rPr>
                <w:rFonts w:ascii="仿宋" w:hAnsi="仿宋" w:eastAsia="仿宋"/>
                <w:color w:val="auto"/>
                <w:sz w:val="24"/>
                <w:szCs w:val="24"/>
                <w:highlight w:val="none"/>
              </w:rPr>
              <w:t>温度范围≥室温~180℃</w:t>
            </w:r>
            <w:r>
              <w:rPr>
                <w:rFonts w:ascii="仿宋" w:hAnsi="仿宋" w:eastAsia="仿宋"/>
                <w:color w:val="auto"/>
                <w:sz w:val="24"/>
                <w:szCs w:val="24"/>
                <w:highlight w:val="none"/>
              </w:rPr>
              <w:br w:type="textWrapping"/>
            </w:r>
            <w:r>
              <w:rPr>
                <w:rFonts w:ascii="仿宋" w:hAnsi="仿宋" w:eastAsia="仿宋"/>
                <w:color w:val="auto"/>
                <w:sz w:val="24"/>
                <w:szCs w:val="24"/>
                <w:highlight w:val="none"/>
              </w:rPr>
              <w:t>温度控制精度  水浴：≤±1℃ 油浴：≤±3℃</w:t>
            </w:r>
            <w:r>
              <w:rPr>
                <w:rFonts w:ascii="仿宋" w:hAnsi="仿宋" w:eastAsia="仿宋"/>
                <w:color w:val="auto"/>
                <w:sz w:val="24"/>
                <w:szCs w:val="24"/>
                <w:highlight w:val="none"/>
              </w:rPr>
              <w:br w:type="textWrapping"/>
            </w:r>
            <w:r>
              <w:rPr>
                <w:rFonts w:ascii="仿宋" w:hAnsi="仿宋" w:eastAsia="仿宋"/>
                <w:color w:val="auto"/>
                <w:sz w:val="24"/>
                <w:szCs w:val="24"/>
                <w:highlight w:val="none"/>
              </w:rPr>
              <w:t>加热功率≥1300 W</w:t>
            </w:r>
            <w:r>
              <w:rPr>
                <w:rFonts w:ascii="仿宋" w:hAnsi="仿宋" w:eastAsia="仿宋"/>
                <w:color w:val="auto"/>
                <w:sz w:val="24"/>
                <w:szCs w:val="24"/>
                <w:highlight w:val="none"/>
              </w:rPr>
              <w:br w:type="textWrapping"/>
            </w:r>
            <w:r>
              <w:rPr>
                <w:rFonts w:ascii="仿宋" w:hAnsi="仿宋" w:eastAsia="仿宋"/>
                <w:color w:val="auto"/>
                <w:sz w:val="24"/>
                <w:szCs w:val="24"/>
                <w:highlight w:val="none"/>
              </w:rPr>
              <w:t>升降行程  自动（≥150 mm）</w:t>
            </w:r>
            <w:r>
              <w:rPr>
                <w:rFonts w:ascii="仿宋" w:hAnsi="仿宋" w:eastAsia="仿宋"/>
                <w:color w:val="auto"/>
                <w:sz w:val="24"/>
                <w:szCs w:val="24"/>
                <w:highlight w:val="none"/>
              </w:rPr>
              <w:br w:type="textWrapping"/>
            </w:r>
            <w:r>
              <w:rPr>
                <w:rFonts w:ascii="仿宋" w:hAnsi="仿宋" w:eastAsia="仿宋"/>
                <w:color w:val="auto"/>
                <w:sz w:val="24"/>
                <w:szCs w:val="24"/>
                <w:highlight w:val="none"/>
              </w:rPr>
              <w:t>定时 有   时间设置范围≥1~999 分</w:t>
            </w:r>
            <w:r>
              <w:rPr>
                <w:rFonts w:ascii="仿宋" w:hAnsi="仿宋" w:eastAsia="仿宋"/>
                <w:color w:val="auto"/>
                <w:sz w:val="24"/>
                <w:szCs w:val="24"/>
                <w:highlight w:val="none"/>
              </w:rPr>
              <w:br w:type="textWrapping"/>
            </w:r>
            <w:r>
              <w:rPr>
                <w:rFonts w:ascii="仿宋" w:hAnsi="仿宋" w:eastAsia="仿宋"/>
                <w:color w:val="auto"/>
                <w:sz w:val="24"/>
                <w:szCs w:val="24"/>
                <w:highlight w:val="none"/>
              </w:rPr>
              <w:t>尺寸（长x宽x高）≤465×457×583 mm</w:t>
            </w:r>
            <w:r>
              <w:rPr>
                <w:rFonts w:ascii="仿宋" w:hAnsi="仿宋" w:eastAsia="仿宋"/>
                <w:color w:val="auto"/>
                <w:sz w:val="24"/>
                <w:szCs w:val="24"/>
                <w:highlight w:val="none"/>
              </w:rPr>
              <w:br w:type="textWrapping"/>
            </w:r>
            <w:r>
              <w:rPr>
                <w:rFonts w:ascii="仿宋" w:hAnsi="仿宋" w:eastAsia="仿宋"/>
                <w:color w:val="auto"/>
                <w:sz w:val="24"/>
                <w:szCs w:val="24"/>
                <w:highlight w:val="none"/>
              </w:rPr>
              <w:t>USB接口   有    功率≥1400 W</w:t>
            </w:r>
            <w:r>
              <w:rPr>
                <w:rFonts w:ascii="仿宋" w:hAnsi="仿宋" w:eastAsia="仿宋"/>
                <w:color w:val="auto"/>
                <w:sz w:val="24"/>
                <w:szCs w:val="24"/>
                <w:highlight w:val="none"/>
              </w:rPr>
              <w:br w:type="textWrapping"/>
            </w:r>
            <w:r>
              <w:rPr>
                <w:rFonts w:ascii="仿宋" w:hAnsi="仿宋" w:eastAsia="仿宋"/>
                <w:color w:val="auto"/>
                <w:sz w:val="24"/>
                <w:szCs w:val="24"/>
                <w:highlight w:val="none"/>
              </w:rPr>
              <w:t>重量≤15 kg      外壳保护等级≥IP20</w:t>
            </w:r>
          </w:p>
        </w:tc>
        <w:tc>
          <w:tcPr>
            <w:tcW w:w="243" w:type="pct"/>
            <w:vAlign w:val="center"/>
          </w:tcPr>
          <w:p w14:paraId="10E0CF89">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2台</w:t>
            </w:r>
          </w:p>
        </w:tc>
      </w:tr>
      <w:tr w14:paraId="5C8E2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14:paraId="7134A1E7">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20</w:t>
            </w:r>
          </w:p>
        </w:tc>
        <w:tc>
          <w:tcPr>
            <w:tcW w:w="291" w:type="pct"/>
          </w:tcPr>
          <w:p w14:paraId="38E89993">
            <w:pPr>
              <w:rPr>
                <w:rFonts w:hint="eastAsia" w:ascii="仿宋" w:hAnsi="仿宋" w:eastAsia="仿宋"/>
                <w:color w:val="auto"/>
                <w:sz w:val="24"/>
                <w:szCs w:val="24"/>
                <w:highlight w:val="none"/>
              </w:rPr>
            </w:pPr>
          </w:p>
        </w:tc>
        <w:tc>
          <w:tcPr>
            <w:tcW w:w="291" w:type="pct"/>
            <w:vAlign w:val="center"/>
          </w:tcPr>
          <w:p w14:paraId="0B341D39">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5L LCD数控旋转蒸发仪</w:t>
            </w:r>
          </w:p>
        </w:tc>
        <w:tc>
          <w:tcPr>
            <w:tcW w:w="3920" w:type="pct"/>
            <w:vAlign w:val="center"/>
          </w:tcPr>
          <w:p w14:paraId="6951C263">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技术参数：液晶显示器，操作界面简单易懂，便于观察与操作，可直接设置旋转方向、自动反转、旋转时间、温度、转速等参数。</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PID控制器，参数设定简便快捷。</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具有正反转功能，适合粉体及含有固体样品的浓缩</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专业密封系统设计，高弹性 PTFE 密封圈，具有耐高温、耐腐蚀，经久耐用等特点</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特氟龙放料阀，可方便快速放出回收瓶中收到的料，耐腐蚀，无污染。</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可连续续料</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配有调节脚，固定在地上，保证实验过程稳定可靠。</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双层高效冷凝管，冷却面积大</w:t>
            </w:r>
            <w:r>
              <w:rPr>
                <w:rFonts w:ascii="仿宋" w:hAnsi="仿宋" w:eastAsia="仿宋"/>
                <w:color w:val="auto"/>
                <w:sz w:val="24"/>
                <w:szCs w:val="24"/>
                <w:highlight w:val="none"/>
              </w:rPr>
              <w:t xml:space="preserve"> , 蒸发能力强，确保从少量到大量样品均能高效回收，防止蒸发冷凝器倒流设计。</w:t>
            </w:r>
            <w:r>
              <w:rPr>
                <w:rFonts w:ascii="仿宋" w:hAnsi="仿宋" w:eastAsia="仿宋"/>
                <w:color w:val="auto"/>
                <w:sz w:val="24"/>
                <w:szCs w:val="24"/>
                <w:highlight w:val="none"/>
              </w:rPr>
              <w:br w:type="textWrapping"/>
            </w:r>
            <w:r>
              <w:rPr>
                <w:rFonts w:ascii="仿宋" w:hAnsi="仿宋" w:eastAsia="仿宋"/>
                <w:color w:val="auto"/>
                <w:sz w:val="24"/>
                <w:szCs w:val="24"/>
                <w:highlight w:val="none"/>
              </w:rPr>
              <w:t>设有自动切换阀，在不影响系统负压指标和溶剂蒸馏的情况下进行连续收集。</w:t>
            </w:r>
            <w:r>
              <w:rPr>
                <w:rFonts w:ascii="仿宋" w:hAnsi="仿宋" w:eastAsia="仿宋"/>
                <w:color w:val="auto"/>
                <w:sz w:val="24"/>
                <w:szCs w:val="24"/>
                <w:highlight w:val="none"/>
              </w:rPr>
              <w:br w:type="textWrapping"/>
            </w:r>
            <w:r>
              <w:rPr>
                <w:rFonts w:ascii="仿宋" w:hAnsi="仿宋" w:eastAsia="仿宋"/>
                <w:color w:val="auto"/>
                <w:sz w:val="24"/>
                <w:szCs w:val="24"/>
                <w:highlight w:val="none"/>
              </w:rPr>
              <w:t>水浴/油浴双重加热模式，设有防干烧断电功能，锅体由耐高温阻燃材料制成，防止意外发生。（标配水浴）</w:t>
            </w:r>
            <w:r>
              <w:rPr>
                <w:rFonts w:ascii="仿宋" w:hAnsi="仿宋" w:eastAsia="仿宋"/>
                <w:color w:val="auto"/>
                <w:sz w:val="24"/>
                <w:szCs w:val="24"/>
                <w:highlight w:val="none"/>
              </w:rPr>
              <w:br w:type="textWrapping"/>
            </w:r>
            <w:r>
              <w:rPr>
                <w:rFonts w:ascii="仿宋" w:hAnsi="仿宋" w:eastAsia="仿宋"/>
                <w:color w:val="auto"/>
                <w:sz w:val="24"/>
                <w:szCs w:val="24"/>
                <w:highlight w:val="none"/>
              </w:rPr>
              <w:t>自动化控制，可选配真空控制器，对样品的真空度进行控制，实现溶剂分离自动化。</w:t>
            </w:r>
            <w:r>
              <w:rPr>
                <w:rFonts w:ascii="仿宋" w:hAnsi="仿宋" w:eastAsia="仿宋"/>
                <w:color w:val="auto"/>
                <w:sz w:val="24"/>
                <w:szCs w:val="24"/>
                <w:highlight w:val="none"/>
              </w:rPr>
              <w:br w:type="textWrapping"/>
            </w:r>
            <w:r>
              <w:rPr>
                <w:rFonts w:ascii="仿宋" w:hAnsi="仿宋" w:eastAsia="仿宋"/>
                <w:color w:val="auto"/>
                <w:sz w:val="24"/>
                <w:szCs w:val="24"/>
                <w:highlight w:val="none"/>
              </w:rPr>
              <w:t>数显蒸汽温度传感装置，可实时反馈溶剂蒸汽温度，有利于调节合适的真空度</w:t>
            </w:r>
            <w:r>
              <w:rPr>
                <w:rFonts w:ascii="仿宋" w:hAnsi="仿宋" w:eastAsia="仿宋"/>
                <w:color w:val="auto"/>
                <w:sz w:val="24"/>
                <w:szCs w:val="24"/>
                <w:highlight w:val="none"/>
              </w:rPr>
              <w:br w:type="textWrapping"/>
            </w:r>
            <w:r>
              <w:rPr>
                <w:rFonts w:ascii="仿宋" w:hAnsi="仿宋" w:eastAsia="仿宋"/>
                <w:color w:val="auto"/>
                <w:sz w:val="24"/>
                <w:szCs w:val="24"/>
                <w:highlight w:val="none"/>
              </w:rPr>
              <w:t>采用特殊隔热结构设计，使锅外壳表面温度低，避免实验人员使用中不小心烫伤。</w:t>
            </w:r>
            <w:r>
              <w:rPr>
                <w:rFonts w:ascii="仿宋" w:hAnsi="仿宋" w:eastAsia="仿宋"/>
                <w:color w:val="auto"/>
                <w:sz w:val="24"/>
                <w:szCs w:val="24"/>
                <w:highlight w:val="none"/>
              </w:rPr>
              <w:br w:type="textWrapping"/>
            </w:r>
            <w:r>
              <w:rPr>
                <w:rFonts w:ascii="仿宋" w:hAnsi="仿宋" w:eastAsia="仿宋"/>
                <w:color w:val="auto"/>
                <w:sz w:val="24"/>
                <w:szCs w:val="24"/>
                <w:highlight w:val="none"/>
              </w:rPr>
              <w:t>浴锅内层由特氟龙涂层制成，可耐高低温、耐腐蚀，易清洗，避免实验过程产生交叉污染。</w:t>
            </w:r>
            <w:r>
              <w:rPr>
                <w:rFonts w:ascii="仿宋" w:hAnsi="仿宋" w:eastAsia="仿宋"/>
                <w:color w:val="auto"/>
                <w:sz w:val="24"/>
                <w:szCs w:val="24"/>
                <w:highlight w:val="none"/>
              </w:rPr>
              <w:br w:type="textWrapping"/>
            </w:r>
            <w:r>
              <w:rPr>
                <w:rFonts w:ascii="仿宋" w:hAnsi="仿宋" w:eastAsia="仿宋"/>
                <w:color w:val="auto"/>
                <w:sz w:val="24"/>
                <w:szCs w:val="24"/>
                <w:highlight w:val="none"/>
              </w:rPr>
              <w:t>安全等级设计，具有防干烧断电功能。</w:t>
            </w:r>
            <w:r>
              <w:rPr>
                <w:rFonts w:ascii="仿宋" w:hAnsi="仿宋" w:eastAsia="仿宋"/>
                <w:color w:val="auto"/>
                <w:sz w:val="24"/>
                <w:szCs w:val="24"/>
                <w:highlight w:val="none"/>
              </w:rPr>
              <w:br w:type="textWrapping"/>
            </w:r>
            <w:r>
              <w:rPr>
                <w:rFonts w:ascii="仿宋" w:hAnsi="仿宋" w:eastAsia="仿宋"/>
                <w:color w:val="auto"/>
                <w:sz w:val="24"/>
                <w:szCs w:val="24"/>
                <w:highlight w:val="none"/>
              </w:rPr>
              <w:t>锅内设有独立限温报警系统，超过限温温度后自动停止工作，保证试验安全运行不发生意外。</w:t>
            </w:r>
            <w:r>
              <w:rPr>
                <w:rFonts w:ascii="仿宋" w:hAnsi="仿宋" w:eastAsia="仿宋"/>
                <w:color w:val="auto"/>
                <w:sz w:val="24"/>
                <w:szCs w:val="24"/>
                <w:highlight w:val="none"/>
              </w:rPr>
              <w:br w:type="textWrapping"/>
            </w:r>
            <w:r>
              <w:rPr>
                <w:rFonts w:ascii="仿宋" w:hAnsi="仿宋" w:eastAsia="仿宋"/>
                <w:color w:val="auto"/>
                <w:sz w:val="24"/>
                <w:szCs w:val="24"/>
                <w:highlight w:val="none"/>
              </w:rPr>
              <w:t>关键电气部件都装有过流、过温、过载等安全保护，可防止设备意外发生。</w:t>
            </w:r>
            <w:r>
              <w:rPr>
                <w:rFonts w:ascii="仿宋" w:hAnsi="仿宋" w:eastAsia="仿宋"/>
                <w:color w:val="auto"/>
                <w:sz w:val="24"/>
                <w:szCs w:val="24"/>
                <w:highlight w:val="none"/>
              </w:rPr>
              <w:br w:type="textWrapping"/>
            </w:r>
            <w:r>
              <w:rPr>
                <w:rFonts w:ascii="仿宋" w:hAnsi="仿宋" w:eastAsia="仿宋"/>
                <w:color w:val="auto"/>
                <w:sz w:val="24"/>
                <w:szCs w:val="24"/>
                <w:highlight w:val="none"/>
              </w:rPr>
              <w:t>当设备出现故障时，显示屏会出现故障信息，保证故障信息一目了然。</w:t>
            </w:r>
            <w:r>
              <w:rPr>
                <w:rFonts w:ascii="仿宋" w:hAnsi="仿宋" w:eastAsia="仿宋"/>
                <w:color w:val="auto"/>
                <w:sz w:val="24"/>
                <w:szCs w:val="24"/>
                <w:highlight w:val="none"/>
              </w:rPr>
              <w:br w:type="textWrapping"/>
            </w:r>
            <w:r>
              <w:rPr>
                <w:rFonts w:ascii="仿宋" w:hAnsi="仿宋" w:eastAsia="仿宋"/>
                <w:color w:val="auto"/>
                <w:sz w:val="24"/>
                <w:szCs w:val="24"/>
                <w:highlight w:val="none"/>
              </w:rPr>
              <w:t>规格（标准）5L</w:t>
            </w:r>
            <w:r>
              <w:rPr>
                <w:rFonts w:ascii="仿宋" w:hAnsi="仿宋" w:eastAsia="仿宋"/>
                <w:color w:val="auto"/>
                <w:sz w:val="24"/>
                <w:szCs w:val="24"/>
                <w:highlight w:val="none"/>
              </w:rPr>
              <w:br w:type="textWrapping"/>
            </w:r>
            <w:r>
              <w:rPr>
                <w:rFonts w:ascii="仿宋" w:hAnsi="仿宋" w:eastAsia="仿宋"/>
                <w:color w:val="auto"/>
                <w:sz w:val="24"/>
                <w:szCs w:val="24"/>
                <w:highlight w:val="none"/>
              </w:rPr>
              <w:t>速度范围 [rpm]≥30-180</w:t>
            </w:r>
            <w:r>
              <w:rPr>
                <w:rFonts w:ascii="仿宋" w:hAnsi="仿宋" w:eastAsia="仿宋"/>
                <w:color w:val="auto"/>
                <w:sz w:val="24"/>
                <w:szCs w:val="24"/>
                <w:highlight w:val="none"/>
              </w:rPr>
              <w:br w:type="textWrapping"/>
            </w:r>
            <w:r>
              <w:rPr>
                <w:rFonts w:ascii="仿宋" w:hAnsi="仿宋" w:eastAsia="仿宋"/>
                <w:color w:val="auto"/>
                <w:sz w:val="24"/>
                <w:szCs w:val="24"/>
                <w:highlight w:val="none"/>
              </w:rPr>
              <w:t>速度显示LCD</w:t>
            </w:r>
            <w:r>
              <w:rPr>
                <w:rFonts w:ascii="仿宋" w:hAnsi="仿宋" w:eastAsia="仿宋"/>
                <w:color w:val="auto"/>
                <w:sz w:val="24"/>
                <w:szCs w:val="24"/>
                <w:highlight w:val="none"/>
              </w:rPr>
              <w:br w:type="textWrapping"/>
            </w:r>
            <w:r>
              <w:rPr>
                <w:rFonts w:ascii="仿宋" w:hAnsi="仿宋" w:eastAsia="仿宋"/>
                <w:color w:val="auto"/>
                <w:sz w:val="24"/>
                <w:szCs w:val="24"/>
                <w:highlight w:val="none"/>
              </w:rPr>
              <w:t>蒸发能力(Max.L/h)≥75%酒精 2</w:t>
            </w:r>
            <w:r>
              <w:rPr>
                <w:rFonts w:ascii="仿宋" w:hAnsi="仿宋" w:eastAsia="仿宋"/>
                <w:color w:val="auto"/>
                <w:sz w:val="24"/>
                <w:szCs w:val="24"/>
                <w:highlight w:val="none"/>
              </w:rPr>
              <w:br w:type="textWrapping"/>
            </w:r>
            <w:r>
              <w:rPr>
                <w:rFonts w:ascii="仿宋" w:hAnsi="仿宋" w:eastAsia="仿宋"/>
                <w:color w:val="auto"/>
                <w:sz w:val="24"/>
                <w:szCs w:val="24"/>
                <w:highlight w:val="none"/>
              </w:rPr>
              <w:t>极限真空度≤9 mbar</w:t>
            </w:r>
            <w:r>
              <w:rPr>
                <w:rFonts w:ascii="仿宋" w:hAnsi="仿宋" w:eastAsia="仿宋"/>
                <w:color w:val="auto"/>
                <w:sz w:val="24"/>
                <w:szCs w:val="24"/>
                <w:highlight w:val="none"/>
              </w:rPr>
              <w:br w:type="textWrapping"/>
            </w:r>
            <w:r>
              <w:rPr>
                <w:rFonts w:ascii="仿宋" w:hAnsi="仿宋" w:eastAsia="仿宋"/>
                <w:color w:val="auto"/>
                <w:sz w:val="24"/>
                <w:szCs w:val="24"/>
                <w:highlight w:val="none"/>
              </w:rPr>
              <w:t>正反向旋转 有</w:t>
            </w:r>
            <w:r>
              <w:rPr>
                <w:rFonts w:ascii="仿宋" w:hAnsi="仿宋" w:eastAsia="仿宋"/>
                <w:color w:val="auto"/>
                <w:sz w:val="24"/>
                <w:szCs w:val="24"/>
                <w:highlight w:val="none"/>
              </w:rPr>
              <w:br w:type="textWrapping"/>
            </w:r>
            <w:r>
              <w:rPr>
                <w:rFonts w:ascii="仿宋" w:hAnsi="仿宋" w:eastAsia="仿宋"/>
                <w:color w:val="auto"/>
                <w:sz w:val="24"/>
                <w:szCs w:val="24"/>
                <w:highlight w:val="none"/>
              </w:rPr>
              <w:t>温度范围 [℃]≥20-100℃</w:t>
            </w:r>
            <w:r>
              <w:rPr>
                <w:rFonts w:ascii="仿宋" w:hAnsi="仿宋" w:eastAsia="仿宋"/>
                <w:color w:val="auto"/>
                <w:sz w:val="24"/>
                <w:szCs w:val="24"/>
                <w:highlight w:val="none"/>
              </w:rPr>
              <w:br w:type="textWrapping"/>
            </w:r>
            <w:r>
              <w:rPr>
                <w:rFonts w:ascii="仿宋" w:hAnsi="仿宋" w:eastAsia="仿宋"/>
                <w:color w:val="auto"/>
                <w:sz w:val="24"/>
                <w:szCs w:val="24"/>
                <w:highlight w:val="none"/>
              </w:rPr>
              <w:t>温度控制精度 [℃]≤±1</w:t>
            </w:r>
            <w:r>
              <w:rPr>
                <w:rFonts w:ascii="仿宋" w:hAnsi="仿宋" w:eastAsia="仿宋"/>
                <w:color w:val="auto"/>
                <w:sz w:val="24"/>
                <w:szCs w:val="24"/>
                <w:highlight w:val="none"/>
              </w:rPr>
              <w:br w:type="textWrapping"/>
            </w:r>
            <w:r>
              <w:rPr>
                <w:rFonts w:ascii="仿宋" w:hAnsi="仿宋" w:eastAsia="仿宋"/>
                <w:color w:val="auto"/>
                <w:sz w:val="24"/>
                <w:szCs w:val="24"/>
                <w:highlight w:val="none"/>
              </w:rPr>
              <w:t>加热功率 [W]≤2000</w:t>
            </w:r>
            <w:r>
              <w:rPr>
                <w:rFonts w:ascii="仿宋" w:hAnsi="仿宋" w:eastAsia="仿宋"/>
                <w:color w:val="auto"/>
                <w:sz w:val="24"/>
                <w:szCs w:val="24"/>
                <w:highlight w:val="none"/>
              </w:rPr>
              <w:br w:type="textWrapping"/>
            </w:r>
            <w:r>
              <w:rPr>
                <w:rFonts w:ascii="仿宋" w:hAnsi="仿宋" w:eastAsia="仿宋"/>
                <w:color w:val="auto"/>
                <w:sz w:val="24"/>
                <w:szCs w:val="24"/>
                <w:highlight w:val="none"/>
              </w:rPr>
              <w:t>温度显示：LCD</w:t>
            </w:r>
            <w:r>
              <w:rPr>
                <w:rFonts w:ascii="仿宋" w:hAnsi="仿宋" w:eastAsia="仿宋"/>
                <w:color w:val="auto"/>
                <w:sz w:val="24"/>
                <w:szCs w:val="24"/>
                <w:highlight w:val="none"/>
              </w:rPr>
              <w:br w:type="textWrapping"/>
            </w:r>
            <w:r>
              <w:rPr>
                <w:rFonts w:ascii="仿宋" w:hAnsi="仿宋" w:eastAsia="仿宋"/>
                <w:color w:val="auto"/>
                <w:sz w:val="24"/>
                <w:szCs w:val="24"/>
                <w:highlight w:val="none"/>
              </w:rPr>
              <w:t>升降方式可电动升降</w:t>
            </w:r>
            <w:r>
              <w:rPr>
                <w:rFonts w:ascii="仿宋" w:hAnsi="仿宋" w:eastAsia="仿宋"/>
                <w:color w:val="auto"/>
                <w:sz w:val="24"/>
                <w:szCs w:val="24"/>
                <w:highlight w:val="none"/>
              </w:rPr>
              <w:br w:type="textWrapping"/>
            </w:r>
            <w:r>
              <w:rPr>
                <w:rFonts w:ascii="仿宋" w:hAnsi="仿宋" w:eastAsia="仿宋"/>
                <w:color w:val="auto"/>
                <w:sz w:val="24"/>
                <w:szCs w:val="24"/>
                <w:highlight w:val="none"/>
              </w:rPr>
              <w:t>升降行程 [mm]≥130</w:t>
            </w:r>
            <w:r>
              <w:rPr>
                <w:rFonts w:ascii="仿宋" w:hAnsi="仿宋" w:eastAsia="仿宋"/>
                <w:color w:val="auto"/>
                <w:sz w:val="24"/>
                <w:szCs w:val="24"/>
                <w:highlight w:val="none"/>
              </w:rPr>
              <w:br w:type="textWrapping"/>
            </w:r>
            <w:r>
              <w:rPr>
                <w:rFonts w:ascii="仿宋" w:hAnsi="仿宋" w:eastAsia="仿宋"/>
                <w:color w:val="auto"/>
                <w:sz w:val="24"/>
                <w:szCs w:val="24"/>
                <w:highlight w:val="none"/>
              </w:rPr>
              <w:t>定时：有</w:t>
            </w:r>
            <w:r>
              <w:rPr>
                <w:rFonts w:ascii="仿宋" w:hAnsi="仿宋" w:eastAsia="仿宋"/>
                <w:color w:val="auto"/>
                <w:sz w:val="24"/>
                <w:szCs w:val="24"/>
                <w:highlight w:val="none"/>
              </w:rPr>
              <w:br w:type="textWrapping"/>
            </w:r>
            <w:r>
              <w:rPr>
                <w:rFonts w:ascii="仿宋" w:hAnsi="仿宋" w:eastAsia="仿宋"/>
                <w:color w:val="auto"/>
                <w:sz w:val="24"/>
                <w:szCs w:val="24"/>
                <w:highlight w:val="none"/>
              </w:rPr>
              <w:t>时间显示：LCD</w:t>
            </w:r>
            <w:r>
              <w:rPr>
                <w:rFonts w:ascii="仿宋" w:hAnsi="仿宋" w:eastAsia="仿宋"/>
                <w:color w:val="auto"/>
                <w:sz w:val="24"/>
                <w:szCs w:val="24"/>
                <w:highlight w:val="none"/>
              </w:rPr>
              <w:br w:type="textWrapping"/>
            </w:r>
            <w:r>
              <w:rPr>
                <w:rFonts w:ascii="仿宋" w:hAnsi="仿宋" w:eastAsia="仿宋"/>
                <w:color w:val="auto"/>
                <w:sz w:val="24"/>
                <w:szCs w:val="24"/>
                <w:highlight w:val="none"/>
              </w:rPr>
              <w:t>时间设置范围≥[min] 0-999min</w:t>
            </w:r>
            <w:r>
              <w:rPr>
                <w:rFonts w:ascii="仿宋" w:hAnsi="仿宋" w:eastAsia="仿宋"/>
                <w:color w:val="auto"/>
                <w:sz w:val="24"/>
                <w:szCs w:val="24"/>
                <w:highlight w:val="none"/>
              </w:rPr>
              <w:br w:type="textWrapping"/>
            </w:r>
            <w:r>
              <w:rPr>
                <w:rFonts w:ascii="仿宋" w:hAnsi="仿宋" w:eastAsia="仿宋"/>
                <w:color w:val="auto"/>
                <w:sz w:val="24"/>
                <w:szCs w:val="24"/>
                <w:highlight w:val="none"/>
              </w:rPr>
              <w:t>电压≥[VAC] 220V</w:t>
            </w:r>
            <w:r>
              <w:rPr>
                <w:rFonts w:ascii="仿宋" w:hAnsi="仿宋" w:eastAsia="仿宋"/>
                <w:color w:val="auto"/>
                <w:sz w:val="24"/>
                <w:szCs w:val="24"/>
                <w:highlight w:val="none"/>
              </w:rPr>
              <w:br w:type="textWrapping"/>
            </w:r>
            <w:r>
              <w:rPr>
                <w:rFonts w:ascii="仿宋" w:hAnsi="仿宋" w:eastAsia="仿宋"/>
                <w:color w:val="auto"/>
                <w:sz w:val="24"/>
                <w:szCs w:val="24"/>
                <w:highlight w:val="none"/>
              </w:rPr>
              <w:t>频率≥[Hz] 50/60</w:t>
            </w:r>
            <w:r>
              <w:rPr>
                <w:rFonts w:ascii="仿宋" w:hAnsi="仿宋" w:eastAsia="仿宋"/>
                <w:color w:val="auto"/>
                <w:sz w:val="24"/>
                <w:szCs w:val="24"/>
                <w:highlight w:val="none"/>
              </w:rPr>
              <w:br w:type="textWrapping"/>
            </w:r>
            <w:r>
              <w:rPr>
                <w:rFonts w:ascii="仿宋" w:hAnsi="仿宋" w:eastAsia="仿宋"/>
                <w:color w:val="auto"/>
                <w:sz w:val="24"/>
                <w:szCs w:val="24"/>
                <w:highlight w:val="none"/>
              </w:rPr>
              <w:t>电机：升降电机（直流有刷电机）</w:t>
            </w:r>
            <w:r>
              <w:rPr>
                <w:rFonts w:ascii="仿宋" w:hAnsi="仿宋" w:eastAsia="仿宋"/>
                <w:color w:val="auto"/>
                <w:sz w:val="24"/>
                <w:szCs w:val="24"/>
                <w:highlight w:val="none"/>
              </w:rPr>
              <w:br w:type="textWrapping"/>
            </w:r>
            <w:r>
              <w:rPr>
                <w:rFonts w:ascii="仿宋" w:hAnsi="仿宋" w:eastAsia="仿宋"/>
                <w:color w:val="auto"/>
                <w:sz w:val="24"/>
                <w:szCs w:val="24"/>
                <w:highlight w:val="none"/>
              </w:rPr>
              <w:t>旋转电机：高压无刷电机</w:t>
            </w:r>
            <w:r>
              <w:rPr>
                <w:rFonts w:ascii="仿宋" w:hAnsi="仿宋" w:eastAsia="仿宋"/>
                <w:color w:val="auto"/>
                <w:sz w:val="24"/>
                <w:szCs w:val="24"/>
                <w:highlight w:val="none"/>
              </w:rPr>
              <w:br w:type="textWrapping"/>
            </w:r>
            <w:r>
              <w:rPr>
                <w:rFonts w:ascii="仿宋" w:hAnsi="仿宋" w:eastAsia="仿宋"/>
                <w:color w:val="auto"/>
                <w:sz w:val="24"/>
                <w:szCs w:val="24"/>
                <w:highlight w:val="none"/>
              </w:rPr>
              <w:t>加热锅：PTFE特氟龙涂层耐腐蚀密封垫</w:t>
            </w:r>
            <w:r>
              <w:rPr>
                <w:rFonts w:ascii="仿宋" w:hAnsi="仿宋" w:eastAsia="仿宋"/>
                <w:color w:val="auto"/>
                <w:sz w:val="24"/>
                <w:szCs w:val="24"/>
                <w:highlight w:val="none"/>
              </w:rPr>
              <w:br w:type="textWrapping"/>
            </w:r>
            <w:r>
              <w:rPr>
                <w:rFonts w:ascii="仿宋" w:hAnsi="仿宋" w:eastAsia="仿宋"/>
                <w:color w:val="auto"/>
                <w:sz w:val="24"/>
                <w:szCs w:val="24"/>
                <w:highlight w:val="none"/>
              </w:rPr>
              <w:t>DIN EN60529保护级别≥IP20</w:t>
            </w:r>
            <w:r>
              <w:rPr>
                <w:rFonts w:ascii="仿宋" w:hAnsi="仿宋" w:eastAsia="仿宋"/>
                <w:color w:val="auto"/>
                <w:sz w:val="24"/>
                <w:szCs w:val="24"/>
                <w:highlight w:val="none"/>
              </w:rPr>
              <w:br w:type="textWrapping"/>
            </w:r>
            <w:r>
              <w:rPr>
                <w:rFonts w:ascii="仿宋" w:hAnsi="仿宋" w:eastAsia="仿宋"/>
                <w:color w:val="auto"/>
                <w:sz w:val="24"/>
                <w:szCs w:val="24"/>
                <w:highlight w:val="none"/>
              </w:rPr>
              <w:t>尺寸[ D×W×H mm]≤ 600*290*720</w:t>
            </w:r>
            <w:r>
              <w:rPr>
                <w:rFonts w:ascii="仿宋" w:hAnsi="仿宋" w:eastAsia="仿宋"/>
                <w:color w:val="auto"/>
                <w:sz w:val="24"/>
                <w:szCs w:val="24"/>
                <w:highlight w:val="none"/>
              </w:rPr>
              <w:br w:type="textWrapping"/>
            </w:r>
            <w:r>
              <w:rPr>
                <w:rFonts w:ascii="仿宋" w:hAnsi="仿宋" w:eastAsia="仿宋"/>
                <w:color w:val="auto"/>
                <w:sz w:val="24"/>
                <w:szCs w:val="24"/>
                <w:highlight w:val="none"/>
              </w:rPr>
              <w:t>允许环境温度范围≥[℃] 5-40</w:t>
            </w:r>
            <w:r>
              <w:rPr>
                <w:rFonts w:ascii="仿宋" w:hAnsi="仿宋" w:eastAsia="仿宋"/>
                <w:color w:val="auto"/>
                <w:sz w:val="24"/>
                <w:szCs w:val="24"/>
                <w:highlight w:val="none"/>
              </w:rPr>
              <w:br w:type="textWrapping"/>
            </w:r>
            <w:r>
              <w:rPr>
                <w:rFonts w:ascii="仿宋" w:hAnsi="仿宋" w:eastAsia="仿宋"/>
                <w:color w:val="auto"/>
                <w:sz w:val="24"/>
                <w:szCs w:val="24"/>
                <w:highlight w:val="none"/>
              </w:rPr>
              <w:t>允许相对湿度 ≤80%</w:t>
            </w:r>
            <w:r>
              <w:rPr>
                <w:rFonts w:ascii="仿宋" w:hAnsi="仿宋" w:eastAsia="仿宋"/>
                <w:color w:val="auto"/>
                <w:sz w:val="24"/>
                <w:szCs w:val="24"/>
                <w:highlight w:val="none"/>
              </w:rPr>
              <w:br w:type="textWrapping"/>
            </w:r>
            <w:r>
              <w:rPr>
                <w:rFonts w:ascii="仿宋" w:hAnsi="仿宋" w:eastAsia="仿宋"/>
                <w:color w:val="auto"/>
                <w:sz w:val="24"/>
                <w:szCs w:val="24"/>
                <w:highlight w:val="none"/>
              </w:rPr>
              <w:t>安全功能：电机过电流保护、漏电保护器、空烧防止器</w:t>
            </w:r>
          </w:p>
        </w:tc>
        <w:tc>
          <w:tcPr>
            <w:tcW w:w="243" w:type="pct"/>
            <w:vAlign w:val="center"/>
          </w:tcPr>
          <w:p w14:paraId="009B3007">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1台</w:t>
            </w:r>
          </w:p>
        </w:tc>
      </w:tr>
      <w:tr w14:paraId="5E86D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14:paraId="3EDA8C7B">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21</w:t>
            </w:r>
          </w:p>
        </w:tc>
        <w:tc>
          <w:tcPr>
            <w:tcW w:w="291" w:type="pct"/>
          </w:tcPr>
          <w:p w14:paraId="2FA95DA2">
            <w:pPr>
              <w:rPr>
                <w:rFonts w:hint="eastAsia" w:ascii="仿宋" w:hAnsi="仿宋" w:eastAsia="仿宋"/>
                <w:color w:val="auto"/>
                <w:sz w:val="24"/>
                <w:szCs w:val="24"/>
                <w:highlight w:val="none"/>
              </w:rPr>
            </w:pPr>
          </w:p>
        </w:tc>
        <w:tc>
          <w:tcPr>
            <w:tcW w:w="291" w:type="pct"/>
            <w:vAlign w:val="center"/>
          </w:tcPr>
          <w:p w14:paraId="5A9C0998">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电子舌</w:t>
            </w:r>
          </w:p>
        </w:tc>
        <w:tc>
          <w:tcPr>
            <w:tcW w:w="3920" w:type="pct"/>
            <w:vAlign w:val="center"/>
          </w:tcPr>
          <w:p w14:paraId="5ACE867D">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传感器阵列构成：不少于8根感应集成，要求惰性金属传感器；单根传感器直径≥6mm，单根传感器有效工作区域直径≥3mm，有效接触面积（探头和样品发生反应的部分）≥7mm2，传感器可单根拆卸更换，后期可根据测试需要增减传感器数量，传感器构成可扩充到11根；（需提供传感器实物图片资料并加盖制造商公章）。     </w:t>
            </w:r>
          </w:p>
          <w:p w14:paraId="40EBEC84">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2.传感器调理电路设计，可对产品气味信号自行分析，进行调节放大处理。</w:t>
            </w:r>
          </w:p>
          <w:p w14:paraId="27B48231">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3.信号采集：大幅脉冲信号，从+1V至－1V，0.2V/次</w:t>
            </w:r>
          </w:p>
          <w:p w14:paraId="7BDBDD49">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4.脉冲频段：1Hz,10Hz.100Hz.</w:t>
            </w:r>
          </w:p>
          <w:p w14:paraId="3CF14567">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5.脉冲时间间隔：0.01S.                </w:t>
            </w:r>
          </w:p>
          <w:p w14:paraId="1BB1E331">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6.数据放大倍数：至少包含1,3,10,30,100,300,1000,3000倍可选。（需提供软件截图证明材料）         </w:t>
            </w:r>
          </w:p>
          <w:p w14:paraId="6D6F8AE2">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7.信号激发采集系统：采样率20kHz。    </w:t>
            </w:r>
          </w:p>
          <w:p w14:paraId="154261C4">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8.扫描灵敏度: 小于等于10的-6次方摩尔。  </w:t>
            </w:r>
          </w:p>
          <w:p w14:paraId="2E6A41F8">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9.传感器试用范围：可适用于食品、饮料、酒精类产品（包括白酒）、调味品等，样品无需进行稀释可以直接检测；</w:t>
            </w:r>
          </w:p>
          <w:p w14:paraId="612408F6">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10.采集信号描述：采集到的信号为样品的总体响应强度信号，而不是某个特定组分浓度的响应信号  </w:t>
            </w:r>
          </w:p>
          <w:p w14:paraId="54FAF199">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11.硬件要求：传感器性能稳定，重现性好，使用寿命长，检测信息量丰富，采用0v稳定小于等于2.6S，1.2V稳定小于等于2.6S,-1.2V稳定小于等于2.6S,提高样品检测稳定性。</w:t>
            </w:r>
          </w:p>
          <w:p w14:paraId="479CA48B">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12.数据采集和分析软件：仪器自带操作软件为中文，需提供电子舌软件著作权证明；软件具有人机互动功能，可建立标品数据库，能人为对设备赋值，添加标签；包含数据采集功能及不少于31余种算法分析、建立模型、模型预测等快捷操作功能，可通过直接勾选数据一键获取分析结果，无须借用外接其他软件建模，可实现数据结果即时查看；算法分析结果图在分析过程中可全屏查看；需提供满足此项参数软件截图证明文件。</w:t>
            </w:r>
          </w:p>
          <w:p w14:paraId="138F8603">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13.数据算法功能：完整智能模式识别系统以及数据分析系统，包括降维、分类、回归、聚类等四大数据处理方式，具备多种算法模式：ANOVA、PCA、LDA（降维）、LLE、LE、TSNE、ISOMAP、LDA（分类）、PLS-DA、BP、SVM（分类）、KNN、PCA-BP、PCA-SVM、PCA-KNN、LDA-BP、LDA-SVM、LDA-KNN、LLE-BP、LLE-SVM、LLE-KNN、PLSR、BP神经网络、SVM（回归）、欧式距离、闵式距离、马氏距离、K-Means、DBScan、Intensity、Concentration等算法。算法功能需要具备预测功能，在保持训练模型不变的情况下，对于未知样本的预测，进行准确的输出；算法分析结果图在分析过程中可全屏查看；需提供满足此项参数图片证明文件，货物验收现场核实此参数。</w:t>
            </w:r>
          </w:p>
          <w:p w14:paraId="2C2BD4AA">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14. 操作方式多样化：仪器自带不低于7.0英寸触摸屏，主机触摸屏在连接电脑分析软件检测过程中，可以实时显示滋味响应曲线以及滋味指纹图图谱。数据处理能够实现一键操作，能够通过仪器自带大触摸屏对实验直接快速操作；需提供满足此项参数图片证明文件，货物验收现场核实此参数。</w:t>
            </w:r>
          </w:p>
          <w:p w14:paraId="41AD9B89">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15. 溶剂封闭产品成分中无高度有害物质，每项的高度关注物质（铅、汞、镉、六价铬、多溴联苯 (PBBs)、多溴二苯醚(PBDEs)不得超过在物品中的质量百分比0.1%。，需提供第三方检测报告复印件。</w:t>
            </w:r>
          </w:p>
          <w:p w14:paraId="749A55E3">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16. 电子舌软件内置有电子舌操作视频教程、标准操作流程、分析算法简介、使用注意事项等文件，电子舌软件可直接查看；带有设备使用发表文献不少于30篇；需提供满足此项参数图片证明文件，货物验收现场核实此参数。</w:t>
            </w:r>
          </w:p>
          <w:p w14:paraId="584F0AB9">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17. 智能感官仿真软件：电子舌制造商生产的智能感官仿真软件仿真实验室可真实的在线模拟电子舌、电子鼻、质构仪等仪器的实验操作和数据采集处理；软件仿真实验室有仪器的介绍，使用规范，操作和使用说明，数据处理分析，样例分析等介绍，其中详细还原规范的电子舌、电子鼻、质构仪对样品信号收集和分析过程；需提供满足此参数图片证明文件及软件著作权证书，货物验收现场核实此参数。</w:t>
            </w:r>
          </w:p>
          <w:p w14:paraId="45CF7F68">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18.</w:t>
            </w:r>
            <w:r>
              <w:rPr>
                <w:rFonts w:hint="eastAsia"/>
                <w:color w:val="auto"/>
                <w:highlight w:val="none"/>
              </w:rPr>
              <w:t xml:space="preserve"> </w:t>
            </w:r>
            <w:r>
              <w:rPr>
                <w:rFonts w:hint="eastAsia" w:ascii="仿宋" w:hAnsi="仿宋" w:eastAsia="仿宋"/>
                <w:color w:val="auto"/>
                <w:sz w:val="24"/>
                <w:szCs w:val="24"/>
                <w:highlight w:val="none"/>
              </w:rPr>
              <w:t>软件应含风味物质查询库，≥64项风味物质，至少包含风味描述，实物参比及化学参比。（提供软件截图），软件可新增用户并角色管理，在软件中设置不同权限，例如：新建实验，端口设置，采样设置，数据分析等，新增用户支持数量≥10个。</w:t>
            </w:r>
          </w:p>
          <w:p w14:paraId="3FCF62D4">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19.配置清单</w:t>
            </w:r>
          </w:p>
          <w:p w14:paraId="7E0CC5FB">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19.1.电子舌主机系统1台；</w:t>
            </w:r>
          </w:p>
          <w:p w14:paraId="6E897553">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19.2.进样支架一套；</w:t>
            </w:r>
          </w:p>
          <w:p w14:paraId="3C825221">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19.3.进样杯10套。</w:t>
            </w:r>
          </w:p>
          <w:p w14:paraId="019191E0">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19.4.数据采集和智能分析软件一套。中文界面。</w:t>
            </w:r>
          </w:p>
          <w:p w14:paraId="18FB24FF">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19.5.中文操作手册1本。</w:t>
            </w:r>
          </w:p>
        </w:tc>
        <w:tc>
          <w:tcPr>
            <w:tcW w:w="243" w:type="pct"/>
            <w:vAlign w:val="center"/>
          </w:tcPr>
          <w:p w14:paraId="458E1382">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1台</w:t>
            </w:r>
          </w:p>
        </w:tc>
      </w:tr>
      <w:tr w14:paraId="70536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14:paraId="2E2864F6">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22</w:t>
            </w:r>
          </w:p>
        </w:tc>
        <w:tc>
          <w:tcPr>
            <w:tcW w:w="291" w:type="pct"/>
          </w:tcPr>
          <w:p w14:paraId="4FB42341">
            <w:pPr>
              <w:rPr>
                <w:rFonts w:hint="eastAsia" w:ascii="仿宋" w:hAnsi="仿宋" w:eastAsia="仿宋"/>
                <w:color w:val="auto"/>
                <w:sz w:val="24"/>
                <w:szCs w:val="24"/>
                <w:highlight w:val="none"/>
              </w:rPr>
            </w:pPr>
          </w:p>
        </w:tc>
        <w:tc>
          <w:tcPr>
            <w:tcW w:w="291" w:type="pct"/>
            <w:vAlign w:val="center"/>
          </w:tcPr>
          <w:p w14:paraId="5EB60D01">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电热恒温水浴锅</w:t>
            </w:r>
          </w:p>
        </w:tc>
        <w:tc>
          <w:tcPr>
            <w:tcW w:w="3920" w:type="pct"/>
            <w:vAlign w:val="center"/>
          </w:tcPr>
          <w:p w14:paraId="091DBED3">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技术参数：</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本系列产品外壳采用优质钢板制成，表面喷塑，内胆采用不锈钢板；</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温控系统选用高精度传感器和集成元件，电路经过精心设计，使控温精确可靠；</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具有关键电子元器件诊断功能。</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规格：双列六孔</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外形尺寸(mm)：≤510×345×210</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操作室尺寸(mm)：≤470×305×130</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功率(kW)：≥1.2</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 xml:space="preserve">温控范围及温度误差：≥RT+5-100℃ </w:t>
            </w:r>
            <w:r>
              <w:rPr>
                <w:rFonts w:ascii="仿宋" w:hAnsi="仿宋" w:eastAsia="仿宋"/>
                <w:color w:val="auto"/>
                <w:sz w:val="24"/>
                <w:szCs w:val="24"/>
                <w:highlight w:val="none"/>
              </w:rPr>
              <w:t xml:space="preserve"> ±1℃</w:t>
            </w:r>
          </w:p>
        </w:tc>
        <w:tc>
          <w:tcPr>
            <w:tcW w:w="243" w:type="pct"/>
            <w:vAlign w:val="center"/>
          </w:tcPr>
          <w:p w14:paraId="552E67DD">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2台</w:t>
            </w:r>
          </w:p>
        </w:tc>
      </w:tr>
      <w:tr w14:paraId="5EE98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14:paraId="3889C6AC">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23</w:t>
            </w:r>
          </w:p>
        </w:tc>
        <w:tc>
          <w:tcPr>
            <w:tcW w:w="291" w:type="pct"/>
          </w:tcPr>
          <w:p w14:paraId="7AC75809">
            <w:pPr>
              <w:rPr>
                <w:rFonts w:hint="eastAsia" w:ascii="仿宋" w:hAnsi="仿宋" w:eastAsia="仿宋"/>
                <w:color w:val="auto"/>
                <w:sz w:val="24"/>
                <w:szCs w:val="24"/>
                <w:highlight w:val="none"/>
              </w:rPr>
            </w:pPr>
          </w:p>
        </w:tc>
        <w:tc>
          <w:tcPr>
            <w:tcW w:w="291" w:type="pct"/>
            <w:vAlign w:val="center"/>
          </w:tcPr>
          <w:p w14:paraId="18977561">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真空干燥箱</w:t>
            </w:r>
          </w:p>
        </w:tc>
        <w:tc>
          <w:tcPr>
            <w:tcW w:w="3920" w:type="pct"/>
            <w:vAlign w:val="center"/>
          </w:tcPr>
          <w:p w14:paraId="057EB9E6">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技术参数：</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产品类型：液晶显示</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 xml:space="preserve">电源电压：～220V±10V </w:t>
            </w:r>
            <w:r>
              <w:rPr>
                <w:rFonts w:ascii="仿宋" w:hAnsi="仿宋" w:eastAsia="仿宋"/>
                <w:color w:val="auto"/>
                <w:sz w:val="24"/>
                <w:szCs w:val="24"/>
                <w:highlight w:val="none"/>
              </w:rPr>
              <w:t xml:space="preserve">  50/60HZ</w:t>
            </w:r>
            <w:r>
              <w:rPr>
                <w:rFonts w:ascii="仿宋" w:hAnsi="仿宋" w:eastAsia="仿宋"/>
                <w:color w:val="auto"/>
                <w:sz w:val="24"/>
                <w:szCs w:val="24"/>
                <w:highlight w:val="none"/>
              </w:rPr>
              <w:br w:type="textWrapping"/>
            </w:r>
            <w:r>
              <w:rPr>
                <w:rFonts w:ascii="仿宋" w:hAnsi="仿宋" w:eastAsia="仿宋"/>
                <w:color w:val="auto"/>
                <w:sz w:val="24"/>
                <w:szCs w:val="24"/>
                <w:highlight w:val="none"/>
              </w:rPr>
              <w:t>输入功率：900W</w:t>
            </w:r>
            <w:r>
              <w:rPr>
                <w:rFonts w:ascii="仿宋" w:hAnsi="仿宋" w:eastAsia="仿宋"/>
                <w:color w:val="auto"/>
                <w:sz w:val="24"/>
                <w:szCs w:val="24"/>
                <w:highlight w:val="none"/>
              </w:rPr>
              <w:br w:type="textWrapping"/>
            </w:r>
            <w:r>
              <w:rPr>
                <w:rFonts w:ascii="仿宋" w:hAnsi="仿宋" w:eastAsia="仿宋"/>
                <w:color w:val="auto"/>
                <w:sz w:val="24"/>
                <w:szCs w:val="24"/>
                <w:highlight w:val="none"/>
              </w:rPr>
              <w:t>控温范围：室温+2～250℃</w:t>
            </w:r>
            <w:r>
              <w:rPr>
                <w:rFonts w:ascii="仿宋" w:hAnsi="仿宋" w:eastAsia="仿宋"/>
                <w:color w:val="auto"/>
                <w:sz w:val="24"/>
                <w:szCs w:val="24"/>
                <w:highlight w:val="none"/>
              </w:rPr>
              <w:br w:type="textWrapping"/>
            </w:r>
            <w:r>
              <w:rPr>
                <w:rFonts w:ascii="仿宋" w:hAnsi="仿宋" w:eastAsia="仿宋"/>
                <w:color w:val="auto"/>
                <w:sz w:val="24"/>
                <w:szCs w:val="24"/>
                <w:highlight w:val="none"/>
              </w:rPr>
              <w:t>温度波动度：≤±0.5℃</w:t>
            </w:r>
            <w:r>
              <w:rPr>
                <w:rFonts w:ascii="仿宋" w:hAnsi="仿宋" w:eastAsia="仿宋"/>
                <w:color w:val="auto"/>
                <w:sz w:val="24"/>
                <w:szCs w:val="24"/>
                <w:highlight w:val="none"/>
              </w:rPr>
              <w:br w:type="textWrapping"/>
            </w:r>
            <w:r>
              <w:rPr>
                <w:rFonts w:ascii="仿宋" w:hAnsi="仿宋" w:eastAsia="仿宋"/>
                <w:color w:val="auto"/>
                <w:sz w:val="24"/>
                <w:szCs w:val="24"/>
                <w:highlight w:val="none"/>
              </w:rPr>
              <w:t>达到真空度：≥133Pa</w:t>
            </w:r>
            <w:r>
              <w:rPr>
                <w:rFonts w:ascii="仿宋" w:hAnsi="仿宋" w:eastAsia="仿宋"/>
                <w:color w:val="auto"/>
                <w:sz w:val="24"/>
                <w:szCs w:val="24"/>
                <w:highlight w:val="none"/>
              </w:rPr>
              <w:br w:type="textWrapping"/>
            </w:r>
            <w:r>
              <w:rPr>
                <w:rFonts w:ascii="仿宋" w:hAnsi="仿宋" w:eastAsia="仿宋"/>
                <w:color w:val="auto"/>
                <w:sz w:val="24"/>
                <w:szCs w:val="24"/>
                <w:highlight w:val="none"/>
              </w:rPr>
              <w:t>定时范围：≥0～9999分钟</w:t>
            </w:r>
            <w:r>
              <w:rPr>
                <w:color w:val="auto"/>
                <w:highlight w:val="none"/>
              </w:rPr>
              <w:br w:type="textWrapping"/>
            </w:r>
            <w:r>
              <w:rPr>
                <w:rFonts w:ascii="仿宋" w:hAnsi="仿宋" w:eastAsia="仿宋"/>
                <w:color w:val="auto"/>
                <w:sz w:val="24"/>
                <w:szCs w:val="24"/>
                <w:highlight w:val="none"/>
              </w:rPr>
              <w:t>加热方式：隔板加热</w:t>
            </w:r>
            <w:r>
              <w:rPr>
                <w:rFonts w:ascii="仿宋" w:hAnsi="仿宋" w:eastAsia="仿宋"/>
                <w:color w:val="auto"/>
                <w:sz w:val="24"/>
                <w:szCs w:val="24"/>
                <w:highlight w:val="none"/>
              </w:rPr>
              <w:br w:type="textWrapping"/>
            </w:r>
            <w:r>
              <w:rPr>
                <w:rFonts w:ascii="仿宋" w:hAnsi="仿宋" w:eastAsia="仿宋"/>
                <w:color w:val="auto"/>
                <w:sz w:val="24"/>
                <w:szCs w:val="24"/>
                <w:highlight w:val="none"/>
              </w:rPr>
              <w:t>容积：53L</w:t>
            </w:r>
            <w:r>
              <w:rPr>
                <w:rFonts w:ascii="仿宋" w:hAnsi="仿宋" w:eastAsia="仿宋"/>
                <w:color w:val="auto"/>
                <w:sz w:val="24"/>
                <w:szCs w:val="24"/>
                <w:highlight w:val="none"/>
              </w:rPr>
              <w:br w:type="textWrapping"/>
            </w:r>
            <w:r>
              <w:rPr>
                <w:rFonts w:ascii="仿宋" w:hAnsi="仿宋" w:eastAsia="仿宋"/>
                <w:color w:val="auto"/>
                <w:sz w:val="24"/>
                <w:szCs w:val="24"/>
                <w:highlight w:val="none"/>
              </w:rPr>
              <w:t>内胆尺寸≤415×370×345mm</w:t>
            </w:r>
            <w:r>
              <w:rPr>
                <w:rFonts w:ascii="仿宋" w:hAnsi="仿宋" w:eastAsia="仿宋"/>
                <w:color w:val="auto"/>
                <w:sz w:val="24"/>
                <w:szCs w:val="24"/>
                <w:highlight w:val="none"/>
              </w:rPr>
              <w:br w:type="textWrapping"/>
            </w:r>
            <w:r>
              <w:rPr>
                <w:rFonts w:ascii="仿宋" w:hAnsi="仿宋" w:eastAsia="仿宋"/>
                <w:color w:val="auto"/>
                <w:sz w:val="24"/>
                <w:szCs w:val="24"/>
                <w:highlight w:val="none"/>
              </w:rPr>
              <w:t>外形尺寸≤575×550×675mm</w:t>
            </w:r>
            <w:r>
              <w:rPr>
                <w:rFonts w:ascii="仿宋" w:hAnsi="仿宋" w:eastAsia="仿宋"/>
                <w:color w:val="auto"/>
                <w:sz w:val="24"/>
                <w:szCs w:val="24"/>
                <w:highlight w:val="none"/>
              </w:rPr>
              <w:br w:type="textWrapping"/>
            </w:r>
            <w:r>
              <w:rPr>
                <w:rFonts w:ascii="仿宋" w:hAnsi="仿宋" w:eastAsia="仿宋"/>
                <w:color w:val="auto"/>
                <w:sz w:val="24"/>
                <w:szCs w:val="24"/>
                <w:highlight w:val="none"/>
              </w:rPr>
              <w:t>加热方式：隔板加热</w:t>
            </w:r>
            <w:r>
              <w:rPr>
                <w:rFonts w:ascii="仿宋" w:hAnsi="仿宋" w:eastAsia="仿宋"/>
                <w:color w:val="auto"/>
                <w:sz w:val="24"/>
                <w:szCs w:val="24"/>
                <w:highlight w:val="none"/>
              </w:rPr>
              <w:br w:type="textWrapping"/>
            </w:r>
            <w:r>
              <w:rPr>
                <w:rFonts w:ascii="仿宋" w:hAnsi="仿宋" w:eastAsia="仿宋"/>
                <w:color w:val="auto"/>
                <w:sz w:val="24"/>
                <w:szCs w:val="24"/>
                <w:highlight w:val="none"/>
              </w:rPr>
              <w:t>载物托架：2块</w:t>
            </w:r>
            <w:r>
              <w:rPr>
                <w:rFonts w:ascii="仿宋" w:hAnsi="仿宋" w:eastAsia="仿宋"/>
                <w:color w:val="auto"/>
                <w:sz w:val="24"/>
                <w:szCs w:val="24"/>
                <w:highlight w:val="none"/>
              </w:rPr>
              <w:br w:type="textWrapping"/>
            </w:r>
            <w:r>
              <w:rPr>
                <w:rFonts w:ascii="仿宋" w:hAnsi="仿宋" w:eastAsia="仿宋"/>
                <w:color w:val="auto"/>
                <w:sz w:val="24"/>
                <w:szCs w:val="24"/>
                <w:highlight w:val="none"/>
              </w:rPr>
              <w:t>抽气速率 (L/s)≤1</w:t>
            </w:r>
            <w:r>
              <w:rPr>
                <w:rFonts w:ascii="仿宋" w:hAnsi="仿宋" w:eastAsia="仿宋"/>
                <w:color w:val="auto"/>
                <w:sz w:val="24"/>
                <w:szCs w:val="24"/>
                <w:highlight w:val="none"/>
              </w:rPr>
              <w:br w:type="textWrapping"/>
            </w:r>
            <w:r>
              <w:rPr>
                <w:rFonts w:ascii="仿宋" w:hAnsi="仿宋" w:eastAsia="仿宋"/>
                <w:color w:val="auto"/>
                <w:sz w:val="24"/>
                <w:szCs w:val="24"/>
                <w:highlight w:val="none"/>
              </w:rPr>
              <w:t>极限压力 (Pa)分压力≤6×10-2</w:t>
            </w:r>
            <w:r>
              <w:rPr>
                <w:rFonts w:ascii="仿宋" w:hAnsi="仿宋" w:eastAsia="仿宋"/>
                <w:color w:val="auto"/>
                <w:sz w:val="24"/>
                <w:szCs w:val="24"/>
                <w:highlight w:val="none"/>
              </w:rPr>
              <w:br w:type="textWrapping"/>
            </w:r>
            <w:r>
              <w:rPr>
                <w:rFonts w:ascii="仿宋" w:hAnsi="仿宋" w:eastAsia="仿宋"/>
                <w:color w:val="auto"/>
                <w:sz w:val="24"/>
                <w:szCs w:val="24"/>
                <w:highlight w:val="none"/>
              </w:rPr>
              <w:t>极限压力 (Pa)全压力≤1.33</w:t>
            </w:r>
            <w:r>
              <w:rPr>
                <w:rFonts w:ascii="仿宋" w:hAnsi="仿宋" w:eastAsia="仿宋"/>
                <w:color w:val="auto"/>
                <w:sz w:val="24"/>
                <w:szCs w:val="24"/>
                <w:highlight w:val="none"/>
              </w:rPr>
              <w:br w:type="textWrapping"/>
            </w:r>
            <w:r>
              <w:rPr>
                <w:rFonts w:ascii="仿宋" w:hAnsi="仿宋" w:eastAsia="仿宋"/>
                <w:color w:val="auto"/>
                <w:sz w:val="24"/>
                <w:szCs w:val="24"/>
                <w:highlight w:val="none"/>
              </w:rPr>
              <w:t>转速 (rpm)≤1400</w:t>
            </w:r>
            <w:r>
              <w:rPr>
                <w:rFonts w:ascii="仿宋" w:hAnsi="仿宋" w:eastAsia="仿宋"/>
                <w:color w:val="auto"/>
                <w:sz w:val="24"/>
                <w:szCs w:val="24"/>
                <w:highlight w:val="none"/>
              </w:rPr>
              <w:br w:type="textWrapping"/>
            </w:r>
            <w:r>
              <w:rPr>
                <w:rFonts w:ascii="仿宋" w:hAnsi="仿宋" w:eastAsia="仿宋"/>
                <w:color w:val="auto"/>
                <w:sz w:val="24"/>
                <w:szCs w:val="24"/>
                <w:highlight w:val="none"/>
              </w:rPr>
              <w:t>电机功率 (kW)≤0.25</w:t>
            </w:r>
            <w:r>
              <w:rPr>
                <w:rFonts w:ascii="仿宋" w:hAnsi="仿宋" w:eastAsia="仿宋"/>
                <w:color w:val="auto"/>
                <w:sz w:val="24"/>
                <w:szCs w:val="24"/>
                <w:highlight w:val="none"/>
              </w:rPr>
              <w:br w:type="textWrapping"/>
            </w:r>
            <w:r>
              <w:rPr>
                <w:rFonts w:ascii="仿宋" w:hAnsi="仿宋" w:eastAsia="仿宋"/>
                <w:color w:val="auto"/>
                <w:sz w:val="24"/>
                <w:szCs w:val="24"/>
                <w:highlight w:val="none"/>
              </w:rPr>
              <w:t>进气口口径（外径） (mm)≤Φ20</w:t>
            </w:r>
            <w:r>
              <w:rPr>
                <w:rFonts w:ascii="仿宋" w:hAnsi="仿宋" w:eastAsia="仿宋"/>
                <w:color w:val="auto"/>
                <w:sz w:val="24"/>
                <w:szCs w:val="24"/>
                <w:highlight w:val="none"/>
              </w:rPr>
              <w:br w:type="textWrapping"/>
            </w:r>
            <w:r>
              <w:rPr>
                <w:rFonts w:ascii="仿宋" w:hAnsi="仿宋" w:eastAsia="仿宋"/>
                <w:color w:val="auto"/>
                <w:sz w:val="24"/>
                <w:szCs w:val="24"/>
                <w:highlight w:val="none"/>
              </w:rPr>
              <w:t>噪音 (dBA)≤65</w:t>
            </w:r>
            <w:r>
              <w:rPr>
                <w:rFonts w:ascii="仿宋" w:hAnsi="仿宋" w:eastAsia="仿宋"/>
                <w:color w:val="auto"/>
                <w:sz w:val="24"/>
                <w:szCs w:val="24"/>
                <w:highlight w:val="none"/>
              </w:rPr>
              <w:br w:type="textWrapping"/>
            </w:r>
            <w:r>
              <w:rPr>
                <w:rFonts w:ascii="仿宋" w:hAnsi="仿宋" w:eastAsia="仿宋"/>
                <w:color w:val="auto"/>
                <w:sz w:val="24"/>
                <w:szCs w:val="24"/>
                <w:highlight w:val="none"/>
              </w:rPr>
              <w:t>容油量 (L)≤0.7</w:t>
            </w:r>
            <w:r>
              <w:rPr>
                <w:rFonts w:ascii="仿宋" w:hAnsi="仿宋" w:eastAsia="仿宋"/>
                <w:color w:val="auto"/>
                <w:sz w:val="24"/>
                <w:szCs w:val="24"/>
                <w:highlight w:val="none"/>
              </w:rPr>
              <w:br w:type="textWrapping"/>
            </w:r>
            <w:r>
              <w:rPr>
                <w:rFonts w:ascii="仿宋" w:hAnsi="仿宋" w:eastAsia="仿宋"/>
                <w:color w:val="auto"/>
                <w:sz w:val="24"/>
                <w:szCs w:val="24"/>
                <w:highlight w:val="none"/>
              </w:rPr>
              <w:t>外形尺寸 (mm)≤469×168×260</w:t>
            </w:r>
            <w:r>
              <w:rPr>
                <w:rFonts w:ascii="仿宋" w:hAnsi="仿宋" w:eastAsia="仿宋"/>
                <w:color w:val="auto"/>
                <w:sz w:val="24"/>
                <w:szCs w:val="24"/>
                <w:highlight w:val="none"/>
              </w:rPr>
              <w:br w:type="textWrapping"/>
            </w:r>
            <w:r>
              <w:rPr>
                <w:rFonts w:ascii="仿宋" w:hAnsi="仿宋" w:eastAsia="仿宋"/>
                <w:color w:val="auto"/>
                <w:sz w:val="24"/>
                <w:szCs w:val="24"/>
                <w:highlight w:val="none"/>
              </w:rPr>
              <w:t>毛重/净重 (Kg)≤18/17</w:t>
            </w:r>
          </w:p>
        </w:tc>
        <w:tc>
          <w:tcPr>
            <w:tcW w:w="243" w:type="pct"/>
            <w:vAlign w:val="center"/>
          </w:tcPr>
          <w:p w14:paraId="69AE4DBF">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1台</w:t>
            </w:r>
          </w:p>
        </w:tc>
      </w:tr>
      <w:tr w14:paraId="703D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14:paraId="64A29D30">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24</w:t>
            </w:r>
          </w:p>
        </w:tc>
        <w:tc>
          <w:tcPr>
            <w:tcW w:w="291" w:type="pct"/>
          </w:tcPr>
          <w:p w14:paraId="49E7EDA3">
            <w:pPr>
              <w:rPr>
                <w:rFonts w:hint="eastAsia" w:ascii="仿宋" w:hAnsi="仿宋" w:eastAsia="仿宋"/>
                <w:color w:val="auto"/>
                <w:sz w:val="24"/>
                <w:szCs w:val="24"/>
                <w:highlight w:val="none"/>
              </w:rPr>
            </w:pPr>
          </w:p>
        </w:tc>
        <w:tc>
          <w:tcPr>
            <w:tcW w:w="291" w:type="pct"/>
            <w:vAlign w:val="center"/>
          </w:tcPr>
          <w:p w14:paraId="4D7517A6">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电热鼓风干燥箱</w:t>
            </w:r>
          </w:p>
        </w:tc>
        <w:tc>
          <w:tcPr>
            <w:tcW w:w="3920" w:type="pct"/>
            <w:vAlign w:val="center"/>
          </w:tcPr>
          <w:p w14:paraId="201913A6">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技术参数：</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电源电压：AC 220V±10%/50Hz±2%</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控温范围：≥室温+5～300℃</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分辨率：≤0.1℃</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波动度：≤±0.8℃(105℃)</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均匀度：2%</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输入功率≤2150W</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定时范围：≥0～9999min/h</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预约范围：≥0～999min</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编程控制：≥10段100周期</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容积：≥129L</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内胆尺寸≤570×400×570mm</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外形尺寸≤715×616×842mm</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载物搁架≤2/7块（标配/最多）</w:t>
            </w:r>
            <w:r>
              <w:rPr>
                <w:rFonts w:hint="eastAsia" w:ascii="仿宋" w:hAnsi="仿宋" w:eastAsia="仿宋"/>
                <w:color w:val="auto"/>
                <w:sz w:val="24"/>
                <w:szCs w:val="24"/>
                <w:highlight w:val="none"/>
              </w:rPr>
              <w:br w:type="textWrapping"/>
            </w:r>
            <w:r>
              <w:rPr>
                <w:rFonts w:hint="eastAsia" w:ascii="仿宋" w:hAnsi="仿宋" w:eastAsia="仿宋"/>
                <w:color w:val="auto"/>
                <w:sz w:val="24"/>
                <w:szCs w:val="24"/>
                <w:highlight w:val="none"/>
              </w:rPr>
              <w:t>搁架承重≤15Kg</w:t>
            </w:r>
          </w:p>
        </w:tc>
        <w:tc>
          <w:tcPr>
            <w:tcW w:w="243" w:type="pct"/>
            <w:vAlign w:val="center"/>
          </w:tcPr>
          <w:p w14:paraId="7D1380B2">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2台</w:t>
            </w:r>
          </w:p>
        </w:tc>
      </w:tr>
      <w:tr w14:paraId="17EB6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14:paraId="7E32E304">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25</w:t>
            </w:r>
          </w:p>
        </w:tc>
        <w:tc>
          <w:tcPr>
            <w:tcW w:w="291" w:type="pct"/>
          </w:tcPr>
          <w:p w14:paraId="13B47095">
            <w:pPr>
              <w:rPr>
                <w:rFonts w:hint="eastAsia" w:ascii="仿宋" w:hAnsi="仿宋" w:eastAsia="仿宋"/>
                <w:color w:val="auto"/>
                <w:sz w:val="24"/>
                <w:highlight w:val="none"/>
              </w:rPr>
            </w:pPr>
          </w:p>
        </w:tc>
        <w:tc>
          <w:tcPr>
            <w:tcW w:w="291" w:type="pct"/>
            <w:shd w:val="clear" w:color="auto" w:fill="auto"/>
            <w:vAlign w:val="center"/>
          </w:tcPr>
          <w:p w14:paraId="67BBB50D">
            <w:pPr>
              <w:rPr>
                <w:rFonts w:hint="eastAsia" w:ascii="仿宋" w:hAnsi="仿宋" w:eastAsia="仿宋"/>
                <w:color w:val="auto"/>
                <w:sz w:val="32"/>
                <w:szCs w:val="32"/>
                <w:highlight w:val="none"/>
              </w:rPr>
            </w:pPr>
            <w:r>
              <w:rPr>
                <w:rFonts w:hint="eastAsia" w:ascii="仿宋" w:hAnsi="仿宋" w:eastAsia="仿宋"/>
                <w:color w:val="auto"/>
                <w:sz w:val="24"/>
                <w:highlight w:val="none"/>
              </w:rPr>
              <w:t>超敏芯片生物定量系统</w:t>
            </w:r>
          </w:p>
        </w:tc>
        <w:tc>
          <w:tcPr>
            <w:tcW w:w="3920" w:type="pct"/>
            <w:shd w:val="clear" w:color="auto" w:fill="auto"/>
            <w:vAlign w:val="center"/>
          </w:tcPr>
          <w:p w14:paraId="4A03798B">
            <w:pPr>
              <w:rPr>
                <w:rFonts w:hint="eastAsia" w:ascii="仿宋" w:hAnsi="仿宋" w:eastAsia="仿宋"/>
                <w:color w:val="auto"/>
                <w:sz w:val="24"/>
                <w:highlight w:val="none"/>
              </w:rPr>
            </w:pPr>
            <w:r>
              <w:rPr>
                <w:rFonts w:hint="eastAsia" w:ascii="仿宋" w:hAnsi="仿宋" w:eastAsia="仿宋"/>
                <w:color w:val="auto"/>
                <w:sz w:val="24"/>
                <w:highlight w:val="none"/>
              </w:rPr>
              <w:t>一、主机参数</w:t>
            </w:r>
          </w:p>
          <w:p w14:paraId="3C8EACD4">
            <w:pPr>
              <w:rPr>
                <w:rFonts w:hint="eastAsia" w:ascii="仿宋" w:hAnsi="仿宋" w:eastAsia="仿宋"/>
                <w:color w:val="auto"/>
                <w:sz w:val="24"/>
                <w:highlight w:val="none"/>
              </w:rPr>
            </w:pPr>
            <w:r>
              <w:rPr>
                <w:rFonts w:hint="eastAsia" w:ascii="仿宋" w:hAnsi="仿宋" w:eastAsia="仿宋"/>
                <w:color w:val="auto"/>
                <w:sz w:val="24"/>
                <w:highlight w:val="none"/>
              </w:rPr>
              <w:t>*1、超大尺寸感光芯片，尺寸≥172 平方厘米。</w:t>
            </w:r>
          </w:p>
          <w:p w14:paraId="3FAE37D2">
            <w:pPr>
              <w:rPr>
                <w:rFonts w:hint="eastAsia" w:ascii="仿宋" w:hAnsi="仿宋" w:eastAsia="仿宋"/>
                <w:color w:val="auto"/>
                <w:sz w:val="24"/>
                <w:highlight w:val="none"/>
              </w:rPr>
            </w:pPr>
            <w:r>
              <w:rPr>
                <w:rFonts w:hint="eastAsia" w:ascii="仿宋" w:hAnsi="仿宋" w:eastAsia="仿宋"/>
                <w:color w:val="auto"/>
                <w:sz w:val="24"/>
                <w:highlight w:val="none"/>
              </w:rPr>
              <w:t>*2、成像芯片长度≥14.5cm</w:t>
            </w:r>
          </w:p>
          <w:p w14:paraId="7BD23648">
            <w:pPr>
              <w:rPr>
                <w:rFonts w:hint="eastAsia" w:ascii="仿宋" w:hAnsi="仿宋" w:eastAsia="仿宋"/>
                <w:color w:val="auto"/>
                <w:sz w:val="24"/>
                <w:highlight w:val="none"/>
              </w:rPr>
            </w:pPr>
            <w:r>
              <w:rPr>
                <w:rFonts w:hint="eastAsia" w:ascii="仿宋" w:hAnsi="仿宋" w:eastAsia="仿宋"/>
                <w:color w:val="auto"/>
                <w:sz w:val="24"/>
                <w:highlight w:val="none"/>
              </w:rPr>
              <w:t>3、像素尺寸：≥100μm×100μm。</w:t>
            </w:r>
          </w:p>
          <w:p w14:paraId="001D8B6C">
            <w:pPr>
              <w:rPr>
                <w:rFonts w:hint="eastAsia" w:ascii="仿宋" w:hAnsi="仿宋" w:eastAsia="仿宋"/>
                <w:color w:val="auto"/>
                <w:sz w:val="24"/>
                <w:highlight w:val="none"/>
              </w:rPr>
            </w:pPr>
            <w:r>
              <w:rPr>
                <w:rFonts w:hint="eastAsia" w:ascii="仿宋" w:hAnsi="仿宋" w:eastAsia="仿宋"/>
                <w:color w:val="auto"/>
                <w:sz w:val="24"/>
                <w:highlight w:val="none"/>
              </w:rPr>
              <w:t>4、图像分辨率≥300dpi，可直接用于文章发表。也可输出600dpi，1200dpi。</w:t>
            </w:r>
          </w:p>
          <w:p w14:paraId="5F23E87C">
            <w:pPr>
              <w:rPr>
                <w:rFonts w:hint="eastAsia" w:ascii="仿宋" w:hAnsi="仿宋" w:eastAsia="仿宋"/>
                <w:color w:val="auto"/>
                <w:sz w:val="24"/>
                <w:highlight w:val="none"/>
              </w:rPr>
            </w:pPr>
            <w:r>
              <w:rPr>
                <w:rFonts w:hint="eastAsia" w:ascii="仿宋" w:hAnsi="仿宋" w:eastAsia="仿宋"/>
                <w:color w:val="auto"/>
                <w:sz w:val="24"/>
                <w:highlight w:val="none"/>
              </w:rPr>
              <w:t>5、感光芯片分辨率：原始像素所有图片都是1：1，不需要bining168万像素</w:t>
            </w:r>
          </w:p>
          <w:p w14:paraId="17FF4249">
            <w:pPr>
              <w:rPr>
                <w:rFonts w:hint="eastAsia" w:ascii="仿宋" w:hAnsi="仿宋" w:eastAsia="仿宋"/>
                <w:color w:val="auto"/>
                <w:sz w:val="24"/>
                <w:highlight w:val="none"/>
              </w:rPr>
            </w:pPr>
            <w:r>
              <w:rPr>
                <w:rFonts w:hint="eastAsia" w:ascii="仿宋" w:hAnsi="仿宋" w:eastAsia="仿宋"/>
                <w:color w:val="auto"/>
                <w:sz w:val="24"/>
                <w:highlight w:val="none"/>
              </w:rPr>
              <w:t>6、应用方向涵盖，Western blot化学发光成像，Southern blot化学发光成像、Northern blot化学发光成像及同位素成像等。</w:t>
            </w:r>
          </w:p>
          <w:p w14:paraId="3ADECF7C">
            <w:pPr>
              <w:rPr>
                <w:rFonts w:hint="eastAsia" w:ascii="仿宋" w:hAnsi="仿宋" w:eastAsia="仿宋"/>
                <w:color w:val="auto"/>
                <w:sz w:val="24"/>
                <w:highlight w:val="none"/>
              </w:rPr>
            </w:pPr>
            <w:r>
              <w:rPr>
                <w:rFonts w:hint="eastAsia" w:ascii="仿宋" w:hAnsi="仿宋" w:eastAsia="仿宋"/>
                <w:color w:val="auto"/>
                <w:sz w:val="24"/>
                <w:highlight w:val="none"/>
              </w:rPr>
              <w:t>*7、接触式成像：western膜直接贴合在感光芯片上，无需经过镜头转换，信号采集距离（光程）为0mm， 光损失为0。</w:t>
            </w:r>
          </w:p>
          <w:p w14:paraId="284E8807">
            <w:pPr>
              <w:rPr>
                <w:rFonts w:hint="eastAsia" w:ascii="仿宋" w:hAnsi="仿宋" w:eastAsia="仿宋"/>
                <w:color w:val="auto"/>
                <w:sz w:val="24"/>
                <w:highlight w:val="none"/>
              </w:rPr>
            </w:pPr>
            <w:r>
              <w:rPr>
                <w:rFonts w:hint="eastAsia" w:ascii="仿宋" w:hAnsi="仿宋" w:eastAsia="仿宋"/>
                <w:color w:val="auto"/>
                <w:sz w:val="24"/>
                <w:highlight w:val="none"/>
              </w:rPr>
              <w:t>8、无需镜头，消除镜头透镜带来的光损失：直接成像，无需经过镜头转换，光电转换效率更高。</w:t>
            </w:r>
          </w:p>
          <w:p w14:paraId="77FBB832">
            <w:pPr>
              <w:rPr>
                <w:rFonts w:hint="eastAsia" w:ascii="仿宋" w:hAnsi="仿宋" w:eastAsia="仿宋"/>
                <w:color w:val="auto"/>
                <w:sz w:val="24"/>
                <w:highlight w:val="none"/>
              </w:rPr>
            </w:pPr>
            <w:r>
              <w:rPr>
                <w:rFonts w:hint="eastAsia" w:ascii="仿宋" w:hAnsi="仿宋" w:eastAsia="仿宋"/>
                <w:color w:val="auto"/>
                <w:sz w:val="24"/>
                <w:highlight w:val="none"/>
              </w:rPr>
              <w:t>9、开机即用，无需等待时间。</w:t>
            </w:r>
          </w:p>
          <w:p w14:paraId="053AC38B">
            <w:pPr>
              <w:rPr>
                <w:rFonts w:hint="eastAsia" w:ascii="仿宋" w:hAnsi="仿宋" w:eastAsia="仿宋"/>
                <w:color w:val="auto"/>
                <w:sz w:val="24"/>
                <w:highlight w:val="none"/>
              </w:rPr>
            </w:pPr>
            <w:r>
              <w:rPr>
                <w:rFonts w:hint="eastAsia" w:ascii="仿宋" w:hAnsi="仿宋" w:eastAsia="仿宋"/>
                <w:color w:val="auto"/>
                <w:sz w:val="24"/>
                <w:highlight w:val="none"/>
              </w:rPr>
              <w:t>*10、满阱电子数：≥380万 电子数，低敏模式下满阱电子数≥680万。</w:t>
            </w:r>
          </w:p>
          <w:p w14:paraId="419A1E0D">
            <w:pPr>
              <w:rPr>
                <w:rFonts w:hint="eastAsia" w:ascii="仿宋" w:hAnsi="仿宋" w:eastAsia="仿宋"/>
                <w:color w:val="auto"/>
                <w:sz w:val="24"/>
                <w:highlight w:val="none"/>
              </w:rPr>
            </w:pPr>
            <w:r>
              <w:rPr>
                <w:rFonts w:hint="eastAsia" w:ascii="仿宋" w:hAnsi="仿宋" w:eastAsia="仿宋"/>
                <w:color w:val="auto"/>
                <w:sz w:val="24"/>
                <w:highlight w:val="none"/>
              </w:rPr>
              <w:t>11、 成像时间：95%以上的样品成像时间仅需≤1 秒。</w:t>
            </w:r>
          </w:p>
          <w:p w14:paraId="1D1ACD5D">
            <w:pPr>
              <w:rPr>
                <w:rFonts w:hint="eastAsia" w:ascii="仿宋" w:hAnsi="仿宋" w:eastAsia="仿宋"/>
                <w:color w:val="auto"/>
                <w:sz w:val="24"/>
                <w:highlight w:val="none"/>
              </w:rPr>
            </w:pPr>
            <w:r>
              <w:rPr>
                <w:rFonts w:hint="eastAsia" w:ascii="仿宋" w:hAnsi="仿宋" w:eastAsia="仿宋"/>
                <w:color w:val="auto"/>
                <w:sz w:val="24"/>
                <w:highlight w:val="none"/>
              </w:rPr>
              <w:t>12、成像夹角≥180°，样品信号光子完全接收，加快成像速度，提高图像质量。</w:t>
            </w:r>
          </w:p>
          <w:p w14:paraId="2971F379">
            <w:pPr>
              <w:rPr>
                <w:rFonts w:hint="eastAsia" w:ascii="仿宋" w:hAnsi="仿宋" w:eastAsia="仿宋"/>
                <w:color w:val="auto"/>
                <w:sz w:val="24"/>
                <w:highlight w:val="none"/>
              </w:rPr>
            </w:pPr>
            <w:r>
              <w:rPr>
                <w:rFonts w:hint="eastAsia" w:ascii="仿宋" w:hAnsi="仿宋" w:eastAsia="仿宋"/>
                <w:color w:val="auto"/>
                <w:sz w:val="24"/>
                <w:highlight w:val="none"/>
              </w:rPr>
              <w:t>*13、信号传输：USB 3.0高速传输，方便连接，传输速度大于15000Mbps</w:t>
            </w:r>
          </w:p>
          <w:p w14:paraId="26F80AD0">
            <w:pPr>
              <w:rPr>
                <w:rFonts w:hint="eastAsia" w:ascii="仿宋" w:hAnsi="仿宋" w:eastAsia="仿宋"/>
                <w:color w:val="auto"/>
                <w:sz w:val="24"/>
                <w:highlight w:val="none"/>
              </w:rPr>
            </w:pPr>
            <w:r>
              <w:rPr>
                <w:rFonts w:hint="eastAsia" w:ascii="仿宋" w:hAnsi="仿宋" w:eastAsia="仿宋"/>
                <w:color w:val="auto"/>
                <w:sz w:val="24"/>
                <w:highlight w:val="none"/>
              </w:rPr>
              <w:t>14、成像累计暗电流总和&lt; 0.0001e</w:t>
            </w:r>
          </w:p>
          <w:p w14:paraId="2770CCF6">
            <w:pPr>
              <w:rPr>
                <w:rFonts w:hint="eastAsia" w:ascii="仿宋" w:hAnsi="仿宋" w:eastAsia="仿宋"/>
                <w:color w:val="auto"/>
                <w:sz w:val="24"/>
                <w:highlight w:val="none"/>
              </w:rPr>
            </w:pPr>
            <w:r>
              <w:rPr>
                <w:rFonts w:hint="eastAsia" w:ascii="仿宋" w:hAnsi="仿宋" w:eastAsia="仿宋"/>
                <w:color w:val="auto"/>
                <w:sz w:val="24"/>
                <w:highlight w:val="none"/>
              </w:rPr>
              <w:t>*15、检测模式分为超敏，普通，低敏，三种模式切换时不需要再重新校准</w:t>
            </w:r>
          </w:p>
          <w:p w14:paraId="1A78A2DF">
            <w:pPr>
              <w:rPr>
                <w:rFonts w:hint="eastAsia" w:ascii="仿宋" w:hAnsi="仿宋" w:eastAsia="仿宋"/>
                <w:color w:val="auto"/>
                <w:sz w:val="24"/>
                <w:highlight w:val="none"/>
              </w:rPr>
            </w:pPr>
            <w:r>
              <w:rPr>
                <w:rFonts w:hint="eastAsia" w:ascii="仿宋" w:hAnsi="仿宋" w:eastAsia="仿宋"/>
                <w:color w:val="auto"/>
                <w:sz w:val="24"/>
                <w:highlight w:val="none"/>
              </w:rPr>
              <w:t>二、软件参数</w:t>
            </w:r>
          </w:p>
          <w:p w14:paraId="0627E7A5">
            <w:pPr>
              <w:rPr>
                <w:rFonts w:hint="eastAsia" w:ascii="仿宋" w:hAnsi="仿宋" w:eastAsia="仿宋"/>
                <w:color w:val="auto"/>
                <w:sz w:val="24"/>
                <w:highlight w:val="none"/>
              </w:rPr>
            </w:pPr>
            <w:r>
              <w:rPr>
                <w:rFonts w:hint="eastAsia" w:ascii="仿宋" w:hAnsi="仿宋" w:eastAsia="仿宋"/>
                <w:color w:val="auto"/>
                <w:sz w:val="24"/>
                <w:highlight w:val="none"/>
              </w:rPr>
              <w:t>1、 图像采集模式：自动和手动采集图像模式。</w:t>
            </w:r>
          </w:p>
          <w:p w14:paraId="0CBE3E48">
            <w:pPr>
              <w:rPr>
                <w:rFonts w:hint="eastAsia" w:ascii="仿宋" w:hAnsi="仿宋" w:eastAsia="仿宋"/>
                <w:color w:val="auto"/>
                <w:sz w:val="24"/>
                <w:highlight w:val="none"/>
              </w:rPr>
            </w:pPr>
            <w:r>
              <w:rPr>
                <w:rFonts w:hint="eastAsia" w:ascii="仿宋" w:hAnsi="仿宋" w:eastAsia="仿宋"/>
                <w:color w:val="auto"/>
                <w:sz w:val="24"/>
                <w:highlight w:val="none"/>
              </w:rPr>
              <w:t xml:space="preserve">2、一键成像：自动模式一键自动采集≥60张不同时间图像，可以获得客户最佳条件和效果的实验效果。 </w:t>
            </w:r>
          </w:p>
          <w:p w14:paraId="1B11DB24">
            <w:pPr>
              <w:rPr>
                <w:rFonts w:hint="eastAsia" w:ascii="仿宋" w:hAnsi="仿宋" w:eastAsia="仿宋"/>
                <w:color w:val="auto"/>
                <w:sz w:val="24"/>
                <w:highlight w:val="none"/>
              </w:rPr>
            </w:pPr>
            <w:r>
              <w:rPr>
                <w:rFonts w:hint="eastAsia" w:ascii="仿宋" w:hAnsi="仿宋" w:eastAsia="仿宋"/>
                <w:color w:val="auto"/>
                <w:sz w:val="24"/>
                <w:highlight w:val="none"/>
              </w:rPr>
              <w:t>3、支持多用户管理，每个操作人员可以单独建立自己的账户。</w:t>
            </w:r>
          </w:p>
          <w:p w14:paraId="7D7DDE9F">
            <w:pPr>
              <w:rPr>
                <w:rFonts w:hint="eastAsia" w:ascii="仿宋" w:hAnsi="仿宋" w:eastAsia="仿宋"/>
                <w:color w:val="auto"/>
                <w:sz w:val="24"/>
                <w:highlight w:val="none"/>
              </w:rPr>
            </w:pPr>
            <w:r>
              <w:rPr>
                <w:rFonts w:hint="eastAsia" w:ascii="仿宋" w:hAnsi="仿宋" w:eastAsia="仿宋"/>
                <w:color w:val="auto"/>
                <w:sz w:val="24"/>
                <w:highlight w:val="none"/>
              </w:rPr>
              <w:t>4、结果图片自动保存到每个账户单独设置的文件夹中，方便结果查找。</w:t>
            </w:r>
          </w:p>
          <w:p w14:paraId="330C8D8D">
            <w:pPr>
              <w:rPr>
                <w:rFonts w:hint="eastAsia" w:ascii="仿宋" w:hAnsi="仿宋" w:eastAsia="仿宋"/>
                <w:color w:val="auto"/>
                <w:sz w:val="24"/>
                <w:highlight w:val="none"/>
              </w:rPr>
            </w:pPr>
            <w:r>
              <w:rPr>
                <w:rFonts w:hint="eastAsia" w:ascii="仿宋" w:hAnsi="仿宋" w:eastAsia="仿宋"/>
                <w:color w:val="auto"/>
                <w:sz w:val="24"/>
                <w:highlight w:val="none"/>
              </w:rPr>
              <w:t>*5、多图同时分析。软件可以自动输出Excel结果，并自动生成Excel统计的直方图，软件可以查看3D彩色柱状图。</w:t>
            </w:r>
          </w:p>
          <w:p w14:paraId="4FFD38C0">
            <w:pPr>
              <w:rPr>
                <w:rFonts w:hint="eastAsia" w:ascii="仿宋" w:hAnsi="仿宋" w:eastAsia="仿宋"/>
                <w:color w:val="auto"/>
                <w:sz w:val="24"/>
                <w:highlight w:val="none"/>
              </w:rPr>
            </w:pPr>
            <w:r>
              <w:rPr>
                <w:rFonts w:hint="eastAsia" w:ascii="仿宋" w:hAnsi="仿宋" w:eastAsia="仿宋"/>
                <w:color w:val="auto"/>
                <w:sz w:val="24"/>
                <w:highlight w:val="none"/>
              </w:rPr>
              <w:t>6、软件同时包含采集模块和分析模块，分析模块可以直接输出结果直方图和Excel</w:t>
            </w:r>
          </w:p>
          <w:p w14:paraId="5C4203BD">
            <w:pPr>
              <w:rPr>
                <w:rFonts w:hint="eastAsia" w:ascii="仿宋" w:hAnsi="仿宋" w:eastAsia="仿宋"/>
                <w:color w:val="auto"/>
                <w:sz w:val="24"/>
                <w:highlight w:val="none"/>
              </w:rPr>
            </w:pPr>
            <w:r>
              <w:rPr>
                <w:rFonts w:hint="eastAsia" w:ascii="仿宋" w:hAnsi="仿宋" w:eastAsia="仿宋"/>
                <w:color w:val="auto"/>
                <w:sz w:val="24"/>
                <w:highlight w:val="none"/>
              </w:rPr>
              <w:t>7、开机即可使用，软件支持无限免费安装。</w:t>
            </w:r>
          </w:p>
          <w:p w14:paraId="2AA7FEED">
            <w:pPr>
              <w:rPr>
                <w:rFonts w:hint="eastAsia" w:ascii="仿宋" w:hAnsi="仿宋" w:eastAsia="仿宋"/>
                <w:color w:val="auto"/>
                <w:sz w:val="24"/>
                <w:highlight w:val="none"/>
              </w:rPr>
            </w:pPr>
            <w:r>
              <w:rPr>
                <w:rFonts w:hint="eastAsia" w:ascii="仿宋" w:hAnsi="仿宋" w:eastAsia="仿宋"/>
                <w:color w:val="auto"/>
                <w:sz w:val="24"/>
                <w:highlight w:val="none"/>
              </w:rPr>
              <w:t>8、图像位深≥16 bit，图像色阶≥65500</w:t>
            </w:r>
          </w:p>
          <w:p w14:paraId="6B7D1061">
            <w:pPr>
              <w:rPr>
                <w:rFonts w:hint="eastAsia" w:ascii="仿宋" w:hAnsi="仿宋" w:eastAsia="仿宋"/>
                <w:color w:val="auto"/>
                <w:sz w:val="24"/>
                <w:highlight w:val="none"/>
              </w:rPr>
            </w:pPr>
            <w:r>
              <w:rPr>
                <w:rFonts w:hint="eastAsia" w:ascii="仿宋" w:hAnsi="仿宋" w:eastAsia="仿宋"/>
                <w:color w:val="auto"/>
                <w:sz w:val="24"/>
                <w:highlight w:val="none"/>
              </w:rPr>
              <w:t>9、支持像素合并功能，缩短曝光时间</w:t>
            </w:r>
          </w:p>
          <w:p w14:paraId="0891BA71">
            <w:pPr>
              <w:rPr>
                <w:rFonts w:hint="eastAsia" w:ascii="仿宋" w:hAnsi="仿宋" w:eastAsia="仿宋"/>
                <w:color w:val="auto"/>
                <w:sz w:val="24"/>
                <w:highlight w:val="none"/>
              </w:rPr>
            </w:pPr>
            <w:r>
              <w:rPr>
                <w:rFonts w:hint="eastAsia" w:ascii="仿宋" w:hAnsi="仿宋" w:eastAsia="仿宋"/>
                <w:color w:val="auto"/>
                <w:sz w:val="24"/>
                <w:highlight w:val="none"/>
              </w:rPr>
              <w:t>*10.自动生成统计图表：分析样本的灰度值时，软件可以自动归一化，可添加实验中样本各种信息，也可以自动完成统计表格，通过excel输出。</w:t>
            </w:r>
          </w:p>
          <w:p w14:paraId="004BF03D">
            <w:pPr>
              <w:rPr>
                <w:rFonts w:hint="eastAsia" w:ascii="仿宋" w:hAnsi="仿宋" w:eastAsia="仿宋"/>
                <w:color w:val="auto"/>
                <w:sz w:val="24"/>
                <w:highlight w:val="none"/>
              </w:rPr>
            </w:pPr>
            <w:r>
              <w:rPr>
                <w:rFonts w:hint="eastAsia" w:ascii="仿宋" w:hAnsi="仿宋" w:eastAsia="仿宋"/>
                <w:color w:val="auto"/>
                <w:sz w:val="24"/>
                <w:highlight w:val="none"/>
              </w:rPr>
              <w:t>三、配置：</w:t>
            </w:r>
          </w:p>
          <w:p w14:paraId="6C38FE3D">
            <w:pPr>
              <w:rPr>
                <w:rFonts w:hint="eastAsia" w:ascii="仿宋" w:hAnsi="仿宋" w:eastAsia="仿宋"/>
                <w:color w:val="auto"/>
                <w:sz w:val="24"/>
                <w:highlight w:val="none"/>
              </w:rPr>
            </w:pPr>
            <w:r>
              <w:rPr>
                <w:rFonts w:hint="eastAsia" w:ascii="仿宋" w:hAnsi="仿宋" w:eastAsia="仿宋"/>
                <w:color w:val="auto"/>
                <w:sz w:val="24"/>
                <w:highlight w:val="none"/>
              </w:rPr>
              <w:t>1、主机1台</w:t>
            </w:r>
          </w:p>
          <w:p w14:paraId="6E7D7837">
            <w:pPr>
              <w:rPr>
                <w:rFonts w:hint="eastAsia" w:ascii="仿宋" w:hAnsi="仿宋" w:eastAsia="仿宋"/>
                <w:color w:val="auto"/>
                <w:sz w:val="24"/>
                <w:highlight w:val="none"/>
              </w:rPr>
            </w:pPr>
            <w:r>
              <w:rPr>
                <w:rFonts w:hint="eastAsia" w:ascii="仿宋" w:hAnsi="仿宋" w:eastAsia="仿宋"/>
                <w:color w:val="auto"/>
                <w:sz w:val="24"/>
                <w:highlight w:val="none"/>
              </w:rPr>
              <w:t>2、工作站1台；</w:t>
            </w:r>
          </w:p>
          <w:p w14:paraId="13A84D43">
            <w:pPr>
              <w:rPr>
                <w:rFonts w:hint="eastAsia" w:ascii="仿宋" w:hAnsi="仿宋" w:eastAsia="仿宋"/>
                <w:color w:val="auto"/>
                <w:sz w:val="24"/>
                <w:highlight w:val="none"/>
              </w:rPr>
            </w:pPr>
            <w:r>
              <w:rPr>
                <w:rFonts w:hint="eastAsia" w:ascii="仿宋" w:hAnsi="仿宋" w:eastAsia="仿宋"/>
                <w:color w:val="auto"/>
                <w:sz w:val="24"/>
                <w:highlight w:val="none"/>
              </w:rPr>
              <w:t>3、电源适配器和线1套；</w:t>
            </w:r>
          </w:p>
          <w:p w14:paraId="39D66357">
            <w:pPr>
              <w:rPr>
                <w:rFonts w:hint="eastAsia" w:ascii="仿宋" w:hAnsi="仿宋" w:eastAsia="仿宋"/>
                <w:color w:val="auto"/>
                <w:sz w:val="24"/>
                <w:highlight w:val="none"/>
              </w:rPr>
            </w:pPr>
            <w:r>
              <w:rPr>
                <w:rFonts w:hint="eastAsia" w:ascii="仿宋" w:hAnsi="仿宋" w:eastAsia="仿宋"/>
                <w:color w:val="auto"/>
                <w:sz w:val="24"/>
                <w:highlight w:val="none"/>
              </w:rPr>
              <w:t>4、工作站和主机连接线1跟；</w:t>
            </w:r>
          </w:p>
          <w:p w14:paraId="31060992">
            <w:pPr>
              <w:rPr>
                <w:rFonts w:hint="eastAsia" w:ascii="仿宋" w:hAnsi="仿宋" w:eastAsia="仿宋"/>
                <w:color w:val="auto"/>
                <w:sz w:val="24"/>
                <w:highlight w:val="none"/>
              </w:rPr>
            </w:pPr>
            <w:r>
              <w:rPr>
                <w:rFonts w:hint="eastAsia" w:ascii="仿宋" w:hAnsi="仿宋" w:eastAsia="仿宋"/>
                <w:color w:val="auto"/>
                <w:sz w:val="24"/>
                <w:highlight w:val="none"/>
              </w:rPr>
              <w:t>5、镊子5个；</w:t>
            </w:r>
          </w:p>
          <w:p w14:paraId="10146FAE">
            <w:pPr>
              <w:rPr>
                <w:rFonts w:hint="eastAsia" w:ascii="仿宋" w:hAnsi="仿宋" w:eastAsia="仿宋"/>
                <w:color w:val="auto"/>
                <w:sz w:val="24"/>
                <w:highlight w:val="none"/>
              </w:rPr>
            </w:pPr>
            <w:r>
              <w:rPr>
                <w:rFonts w:hint="eastAsia" w:ascii="仿宋" w:hAnsi="仿宋" w:eastAsia="仿宋"/>
                <w:color w:val="auto"/>
                <w:sz w:val="24"/>
                <w:highlight w:val="none"/>
              </w:rPr>
              <w:t>6、芯片擦拭布5个。</w:t>
            </w:r>
          </w:p>
        </w:tc>
        <w:tc>
          <w:tcPr>
            <w:tcW w:w="243" w:type="pct"/>
            <w:shd w:val="clear" w:color="auto" w:fill="auto"/>
            <w:vAlign w:val="center"/>
          </w:tcPr>
          <w:p w14:paraId="7E4178AA">
            <w:pPr>
              <w:rPr>
                <w:rFonts w:hint="eastAsia" w:ascii="仿宋" w:hAnsi="仿宋" w:eastAsia="仿宋"/>
                <w:color w:val="auto"/>
                <w:sz w:val="24"/>
                <w:highlight w:val="none"/>
              </w:rPr>
            </w:pPr>
            <w:r>
              <w:rPr>
                <w:rFonts w:hint="eastAsia" w:ascii="仿宋" w:hAnsi="仿宋" w:eastAsia="仿宋"/>
                <w:color w:val="auto"/>
                <w:sz w:val="24"/>
                <w:highlight w:val="none"/>
              </w:rPr>
              <w:t>1台</w:t>
            </w:r>
          </w:p>
        </w:tc>
      </w:tr>
      <w:tr w14:paraId="203D1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14:paraId="2BC76AFC">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26</w:t>
            </w:r>
          </w:p>
        </w:tc>
        <w:tc>
          <w:tcPr>
            <w:tcW w:w="291" w:type="pct"/>
          </w:tcPr>
          <w:p w14:paraId="683DF2BF">
            <w:pPr>
              <w:rPr>
                <w:rFonts w:hint="eastAsia" w:ascii="仿宋" w:hAnsi="仿宋" w:eastAsia="仿宋"/>
                <w:color w:val="auto"/>
                <w:sz w:val="24"/>
                <w:szCs w:val="24"/>
                <w:highlight w:val="none"/>
              </w:rPr>
            </w:pPr>
          </w:p>
        </w:tc>
        <w:tc>
          <w:tcPr>
            <w:tcW w:w="291" w:type="pct"/>
            <w:shd w:val="clear" w:color="auto" w:fill="auto"/>
            <w:vAlign w:val="center"/>
          </w:tcPr>
          <w:p w14:paraId="2F874229">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高通量长时程活细胞成像分析系统</w:t>
            </w:r>
          </w:p>
        </w:tc>
        <w:tc>
          <w:tcPr>
            <w:tcW w:w="3920" w:type="pct"/>
            <w:shd w:val="clear" w:color="auto" w:fill="auto"/>
            <w:vAlign w:val="center"/>
          </w:tcPr>
          <w:p w14:paraId="38640CE4">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*1.成像模式：明场，相差，荧光，Z-stacking,全孔成像</w:t>
            </w:r>
          </w:p>
          <w:p w14:paraId="67F3E691">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*2.适配物镜：电动四孔转盘，标配：4X，10X，20X。</w:t>
            </w:r>
          </w:p>
          <w:p w14:paraId="175B93BD">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3.荧光通道：标配：红 绿 蓝</w:t>
            </w:r>
          </w:p>
          <w:p w14:paraId="3F2FACEC">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*4.激发光源：365nm LED; 500nm LED;  575nm LED;</w:t>
            </w:r>
          </w:p>
          <w:p w14:paraId="61BFB269">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5.发射波长：455nm，520nm ，595nm，705nm</w:t>
            </w:r>
          </w:p>
          <w:p w14:paraId="65E484E3">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6.明场光源：白光</w:t>
            </w:r>
          </w:p>
          <w:p w14:paraId="34DCF5E4">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*7.相差成像：电动相差切换</w:t>
            </w:r>
          </w:p>
          <w:p w14:paraId="2BB58A87">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8.电动XY载物台：X轴行程≥85mm,Y轴行程≥110mm，最小节距≤ 1um</w:t>
            </w:r>
          </w:p>
          <w:p w14:paraId="742A3DED">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*9.电动Z轴载物台：最小节距 ≤1um</w:t>
            </w:r>
          </w:p>
          <w:p w14:paraId="6509F460">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10.放置容器数量：≥1块</w:t>
            </w:r>
          </w:p>
          <w:p w14:paraId="049C5244">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11.容器规格：6-384孔板，培养皿，培养瓶</w:t>
            </w:r>
          </w:p>
          <w:p w14:paraId="14768D25">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*12.温湿度控制：可放置于CO2培养箱内或自带气体和温湿度控制装置</w:t>
            </w:r>
          </w:p>
          <w:p w14:paraId="3091CE48">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13.相机：≥500万像素科研级相机</w:t>
            </w:r>
          </w:p>
          <w:p w14:paraId="3CD5B0C9">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14.自动聚焦，自动曝光，z轴层扫，整孔或区域拼图，皆采用深度学习AI算法。保证呈现</w:t>
            </w:r>
          </w:p>
          <w:p w14:paraId="3E801ED1">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更完美的效果。</w:t>
            </w:r>
          </w:p>
          <w:p w14:paraId="3A4A1596">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15.界面操作面向客户，客户可以自由选点，选区域，或整孔扫描。</w:t>
            </w:r>
          </w:p>
          <w:p w14:paraId="3E418CDC">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16.支持多色通道同时采集，包含明场，相差，以及RGB三色。</w:t>
            </w:r>
          </w:p>
          <w:p w14:paraId="103CDD98">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17.非侵入式明场，相差，直接进行细胞one by one智能分割：自动生成细胞个数，细胞</w:t>
            </w:r>
          </w:p>
          <w:p w14:paraId="10A78581">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浓度等信息。</w:t>
            </w:r>
          </w:p>
          <w:p w14:paraId="7E7844AF">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18.细胞核计数：借助细胞核染料，进行细胞分割，精确到单细胞。自动生成细胞个数，细</w:t>
            </w:r>
          </w:p>
          <w:p w14:paraId="3B2BC8BB">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胞浓度等。</w:t>
            </w:r>
          </w:p>
          <w:p w14:paraId="410E1A9F">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19.划痕实验：非标记实时记录划痕gap的愈合速度，直接绘制愈合曲线。</w:t>
            </w:r>
          </w:p>
          <w:p w14:paraId="3698796C">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20.转染效率评价实验：长时程记录转染细胞的增殖以及荧光信号的增强或衰弱等。并输出</w:t>
            </w:r>
          </w:p>
          <w:p w14:paraId="14B6405A">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转染效率，以及描绘转染curve图。</w:t>
            </w:r>
          </w:p>
          <w:p w14:paraId="294BAA67">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21.神经元细胞明场，相差，荧光图像采集，深度学习的AI算法，自动计算神经元长度，</w:t>
            </w:r>
          </w:p>
          <w:p w14:paraId="4929E790">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神经元胞体数目，以及树突数目等。</w:t>
            </w:r>
          </w:p>
          <w:p w14:paraId="7E4B5B0C">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22.类器官分析：数量，活率，直径，面积等。</w:t>
            </w:r>
          </w:p>
          <w:p w14:paraId="486A31AC">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23.输出结果包括：延时成像的视频，高清图像，excel，curve图等数据。</w:t>
            </w:r>
          </w:p>
          <w:p w14:paraId="0A926121">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24.支持多孔板：包含6，12，24，48，96，384；各种dish，以及T25，T75，微流芯片等，</w:t>
            </w:r>
          </w:p>
          <w:p w14:paraId="4D75F905">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但不限于上述板材。</w:t>
            </w:r>
          </w:p>
          <w:p w14:paraId="61D749FC">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25.电脑：知名品牌工作站</w:t>
            </w:r>
          </w:p>
          <w:p w14:paraId="0CBA28D3">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25.1内存不低于16MB</w:t>
            </w:r>
          </w:p>
          <w:p w14:paraId="77FDAF9B">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25.2硬盘不低于1T</w:t>
            </w:r>
          </w:p>
          <w:p w14:paraId="1767102E">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26.存储阵列：16T</w:t>
            </w:r>
          </w:p>
          <w:p w14:paraId="33593007">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27.人性化UI界面设计，预置的不同应用的app，一键进入边拍摄边计算，节省用户时间。28.配置：主机一台，分析软件工作站，存储阵列，电源线，操作手册。</w:t>
            </w:r>
          </w:p>
        </w:tc>
        <w:tc>
          <w:tcPr>
            <w:tcW w:w="243" w:type="pct"/>
            <w:shd w:val="clear" w:color="auto" w:fill="auto"/>
            <w:vAlign w:val="center"/>
          </w:tcPr>
          <w:p w14:paraId="2AF79609">
            <w:pPr>
              <w:rPr>
                <w:rFonts w:hint="eastAsia" w:ascii="仿宋" w:hAnsi="仿宋" w:eastAsia="仿宋"/>
                <w:color w:val="auto"/>
                <w:sz w:val="32"/>
                <w:szCs w:val="32"/>
                <w:highlight w:val="none"/>
              </w:rPr>
            </w:pPr>
            <w:r>
              <w:rPr>
                <w:rFonts w:hint="eastAsia" w:ascii="仿宋" w:hAnsi="仿宋" w:eastAsia="仿宋"/>
                <w:color w:val="auto"/>
                <w:sz w:val="24"/>
                <w:highlight w:val="none"/>
              </w:rPr>
              <w:t>1台</w:t>
            </w:r>
          </w:p>
        </w:tc>
      </w:tr>
      <w:tr w14:paraId="66929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14:paraId="432B1A37">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27</w:t>
            </w:r>
          </w:p>
        </w:tc>
        <w:tc>
          <w:tcPr>
            <w:tcW w:w="291" w:type="pct"/>
          </w:tcPr>
          <w:p w14:paraId="47CD672D">
            <w:pPr>
              <w:rPr>
                <w:rFonts w:hint="eastAsia" w:ascii="仿宋" w:hAnsi="仿宋" w:eastAsia="仿宋"/>
                <w:color w:val="auto"/>
                <w:sz w:val="24"/>
                <w:highlight w:val="none"/>
              </w:rPr>
            </w:pPr>
          </w:p>
        </w:tc>
        <w:tc>
          <w:tcPr>
            <w:tcW w:w="291" w:type="pct"/>
            <w:shd w:val="clear" w:color="auto" w:fill="auto"/>
            <w:vAlign w:val="center"/>
          </w:tcPr>
          <w:p w14:paraId="07363A95">
            <w:pPr>
              <w:rPr>
                <w:rFonts w:hint="eastAsia" w:ascii="仿宋" w:hAnsi="仿宋" w:eastAsia="仿宋"/>
                <w:color w:val="auto"/>
                <w:sz w:val="24"/>
                <w:highlight w:val="none"/>
              </w:rPr>
            </w:pPr>
            <w:r>
              <w:rPr>
                <w:rFonts w:hint="eastAsia" w:ascii="仿宋" w:hAnsi="仿宋" w:eastAsia="仿宋"/>
                <w:color w:val="auto"/>
                <w:sz w:val="24"/>
                <w:highlight w:val="none"/>
              </w:rPr>
              <w:t>无耗材高通量全自动细胞计数仪</w:t>
            </w:r>
          </w:p>
        </w:tc>
        <w:tc>
          <w:tcPr>
            <w:tcW w:w="3920" w:type="pct"/>
            <w:shd w:val="clear" w:color="auto" w:fill="auto"/>
            <w:vAlign w:val="center"/>
          </w:tcPr>
          <w:p w14:paraId="029E3E4E">
            <w:pPr>
              <w:rPr>
                <w:rFonts w:hint="eastAsia" w:ascii="仿宋" w:hAnsi="仿宋" w:eastAsia="仿宋"/>
                <w:color w:val="auto"/>
                <w:sz w:val="24"/>
                <w:highlight w:val="none"/>
              </w:rPr>
            </w:pPr>
            <w:r>
              <w:rPr>
                <w:rFonts w:hint="eastAsia" w:ascii="仿宋" w:hAnsi="仿宋" w:eastAsia="仿宋"/>
                <w:color w:val="auto"/>
                <w:sz w:val="24"/>
                <w:highlight w:val="none"/>
              </w:rPr>
              <w:t>*1.直接加样计数，无需一次性细胞计数板。即擦即得。</w:t>
            </w:r>
          </w:p>
          <w:p w14:paraId="0FFB8B6C">
            <w:pPr>
              <w:rPr>
                <w:rFonts w:hint="eastAsia" w:ascii="仿宋" w:hAnsi="仿宋" w:eastAsia="仿宋"/>
                <w:color w:val="auto"/>
                <w:sz w:val="24"/>
                <w:highlight w:val="none"/>
              </w:rPr>
            </w:pPr>
            <w:r>
              <w:rPr>
                <w:rFonts w:hint="eastAsia" w:ascii="仿宋" w:hAnsi="仿宋" w:eastAsia="仿宋"/>
                <w:color w:val="auto"/>
                <w:sz w:val="24"/>
                <w:highlight w:val="none"/>
              </w:rPr>
              <w:t>2.内置审计追踪软件，可激活。符合FDA 21 CFR Part 11要求。多级权限，数据不可篡改，具备电子签名等。</w:t>
            </w:r>
          </w:p>
          <w:p w14:paraId="4934DA6A">
            <w:pPr>
              <w:rPr>
                <w:rFonts w:hint="eastAsia" w:ascii="仿宋" w:hAnsi="仿宋" w:eastAsia="仿宋"/>
                <w:color w:val="auto"/>
                <w:sz w:val="24"/>
                <w:highlight w:val="none"/>
              </w:rPr>
            </w:pPr>
            <w:r>
              <w:rPr>
                <w:rFonts w:hint="eastAsia" w:ascii="仿宋" w:hAnsi="仿宋" w:eastAsia="仿宋"/>
                <w:color w:val="auto"/>
                <w:sz w:val="24"/>
                <w:highlight w:val="none"/>
              </w:rPr>
              <w:t>3.检测浓度范围：1x10</w:t>
            </w:r>
            <w:r>
              <w:rPr>
                <w:rFonts w:hint="eastAsia" w:ascii="仿宋" w:hAnsi="仿宋" w:eastAsia="仿宋"/>
                <w:color w:val="auto"/>
                <w:sz w:val="24"/>
                <w:highlight w:val="none"/>
                <w:vertAlign w:val="superscript"/>
              </w:rPr>
              <w:t>3</w:t>
            </w:r>
            <w:r>
              <w:rPr>
                <w:rFonts w:hint="eastAsia" w:ascii="仿宋" w:hAnsi="仿宋" w:eastAsia="仿宋"/>
                <w:color w:val="auto"/>
                <w:sz w:val="24"/>
                <w:highlight w:val="none"/>
              </w:rPr>
              <w:t>-3x10</w:t>
            </w:r>
            <w:r>
              <w:rPr>
                <w:rFonts w:hint="eastAsia" w:ascii="仿宋" w:hAnsi="仿宋" w:eastAsia="仿宋"/>
                <w:color w:val="auto"/>
                <w:sz w:val="24"/>
                <w:highlight w:val="none"/>
                <w:vertAlign w:val="superscript"/>
              </w:rPr>
              <w:t>7</w:t>
            </w:r>
            <w:r>
              <w:rPr>
                <w:rFonts w:hint="eastAsia" w:ascii="仿宋" w:hAnsi="仿宋" w:eastAsia="仿宋"/>
                <w:color w:val="auto"/>
                <w:sz w:val="24"/>
                <w:highlight w:val="none"/>
              </w:rPr>
              <w:t>个/ml。</w:t>
            </w:r>
          </w:p>
          <w:p w14:paraId="15975AF9">
            <w:pPr>
              <w:rPr>
                <w:rFonts w:hint="eastAsia" w:ascii="仿宋" w:hAnsi="仿宋" w:eastAsia="仿宋"/>
                <w:color w:val="auto"/>
                <w:sz w:val="24"/>
                <w:highlight w:val="none"/>
              </w:rPr>
            </w:pPr>
            <w:r>
              <w:rPr>
                <w:rFonts w:hint="eastAsia" w:ascii="仿宋" w:hAnsi="仿宋" w:eastAsia="仿宋"/>
                <w:color w:val="auto"/>
                <w:sz w:val="24"/>
                <w:highlight w:val="none"/>
              </w:rPr>
              <w:t>*4.细胞直径范围：1-390um。</w:t>
            </w:r>
          </w:p>
          <w:p w14:paraId="0E26E37F">
            <w:pPr>
              <w:rPr>
                <w:rFonts w:hint="eastAsia" w:ascii="仿宋" w:hAnsi="仿宋" w:eastAsia="仿宋"/>
                <w:color w:val="auto"/>
                <w:sz w:val="24"/>
                <w:highlight w:val="none"/>
              </w:rPr>
            </w:pPr>
            <w:r>
              <w:rPr>
                <w:rFonts w:hint="eastAsia" w:ascii="仿宋" w:hAnsi="仿宋" w:eastAsia="仿宋"/>
                <w:color w:val="auto"/>
                <w:sz w:val="24"/>
                <w:highlight w:val="none"/>
              </w:rPr>
              <w:t>*5.样品检测通道：≥3通道</w:t>
            </w:r>
          </w:p>
          <w:p w14:paraId="41581BB1">
            <w:pPr>
              <w:rPr>
                <w:rFonts w:hint="eastAsia" w:ascii="仿宋" w:hAnsi="仿宋" w:eastAsia="仿宋"/>
                <w:color w:val="auto"/>
                <w:sz w:val="24"/>
                <w:highlight w:val="none"/>
              </w:rPr>
            </w:pPr>
            <w:r>
              <w:rPr>
                <w:rFonts w:hint="eastAsia" w:ascii="仿宋" w:hAnsi="仿宋" w:eastAsia="仿宋"/>
                <w:color w:val="auto"/>
                <w:sz w:val="24"/>
                <w:highlight w:val="none"/>
              </w:rPr>
              <w:t>6.物镜倍数：4X和10X物镜，可自动变倍。。</w:t>
            </w:r>
          </w:p>
          <w:p w14:paraId="1DBC7594">
            <w:pPr>
              <w:rPr>
                <w:rFonts w:hint="eastAsia" w:ascii="仿宋" w:hAnsi="仿宋" w:eastAsia="仿宋"/>
                <w:color w:val="auto"/>
                <w:sz w:val="24"/>
                <w:highlight w:val="none"/>
              </w:rPr>
            </w:pPr>
            <w:r>
              <w:rPr>
                <w:rFonts w:hint="eastAsia" w:ascii="仿宋" w:hAnsi="仿宋" w:eastAsia="仿宋"/>
                <w:color w:val="auto"/>
                <w:sz w:val="24"/>
                <w:highlight w:val="none"/>
              </w:rPr>
              <w:t>7.样品体积：5ul(50um高度)，20ul(200um高度)，40ul(400um高度)。</w:t>
            </w:r>
          </w:p>
          <w:p w14:paraId="0B2591BD">
            <w:pPr>
              <w:rPr>
                <w:rFonts w:hint="eastAsia" w:ascii="仿宋" w:hAnsi="仿宋" w:eastAsia="仿宋"/>
                <w:color w:val="auto"/>
                <w:sz w:val="24"/>
                <w:highlight w:val="none"/>
              </w:rPr>
            </w:pPr>
            <w:r>
              <w:rPr>
                <w:rFonts w:hint="eastAsia" w:ascii="仿宋" w:hAnsi="仿宋" w:eastAsia="仿宋"/>
                <w:color w:val="auto"/>
                <w:sz w:val="24"/>
                <w:highlight w:val="none"/>
              </w:rPr>
              <w:t>8.样品种类：原代细胞PBMC活性浓度检测，区分细胞结团率及分布。</w:t>
            </w:r>
          </w:p>
          <w:p w14:paraId="3A0D994E">
            <w:pPr>
              <w:rPr>
                <w:rFonts w:hint="eastAsia" w:ascii="仿宋" w:hAnsi="仿宋" w:eastAsia="仿宋"/>
                <w:color w:val="auto"/>
                <w:sz w:val="24"/>
                <w:highlight w:val="none"/>
              </w:rPr>
            </w:pPr>
            <w:r>
              <w:rPr>
                <w:rFonts w:hint="eastAsia" w:ascii="仿宋" w:hAnsi="仿宋" w:eastAsia="仿宋"/>
                <w:color w:val="auto"/>
                <w:sz w:val="24"/>
                <w:highlight w:val="none"/>
              </w:rPr>
              <w:t>9.检测速度：明场≦3秒，荧光双通道≦5秒；检测视野：默认三个视野，取平均值更稳定，视野≧6mm2，兼容4，5个视野选择。使得总成像面积可达6.9~11.5mm2</w:t>
            </w:r>
          </w:p>
          <w:p w14:paraId="0AF6D093">
            <w:pPr>
              <w:rPr>
                <w:rFonts w:hint="eastAsia" w:ascii="仿宋" w:hAnsi="仿宋" w:eastAsia="仿宋"/>
                <w:color w:val="auto"/>
                <w:sz w:val="24"/>
                <w:highlight w:val="none"/>
              </w:rPr>
            </w:pPr>
            <w:r>
              <w:rPr>
                <w:rFonts w:hint="eastAsia" w:ascii="仿宋" w:hAnsi="仿宋" w:eastAsia="仿宋"/>
                <w:color w:val="auto"/>
                <w:sz w:val="24"/>
                <w:highlight w:val="none"/>
              </w:rPr>
              <w:t>10.荧光激发：488nm和587nm LED.</w:t>
            </w:r>
          </w:p>
          <w:p w14:paraId="3C3A05C6">
            <w:pPr>
              <w:rPr>
                <w:rFonts w:hint="eastAsia" w:ascii="仿宋" w:hAnsi="仿宋" w:eastAsia="仿宋"/>
                <w:color w:val="auto"/>
                <w:sz w:val="24"/>
                <w:highlight w:val="none"/>
              </w:rPr>
            </w:pPr>
            <w:r>
              <w:rPr>
                <w:rFonts w:hint="eastAsia" w:ascii="仿宋" w:hAnsi="仿宋" w:eastAsia="仿宋"/>
                <w:color w:val="auto"/>
                <w:sz w:val="24"/>
                <w:highlight w:val="none"/>
              </w:rPr>
              <w:t>11.发射通道：535nm和600nm LP.</w:t>
            </w:r>
          </w:p>
          <w:p w14:paraId="20A2DE01">
            <w:pPr>
              <w:rPr>
                <w:rFonts w:hint="eastAsia" w:ascii="仿宋" w:hAnsi="仿宋" w:eastAsia="仿宋"/>
                <w:color w:val="auto"/>
                <w:sz w:val="24"/>
                <w:highlight w:val="none"/>
              </w:rPr>
            </w:pPr>
            <w:r>
              <w:rPr>
                <w:rFonts w:hint="eastAsia" w:ascii="仿宋" w:hAnsi="仿宋" w:eastAsia="仿宋"/>
                <w:color w:val="auto"/>
                <w:sz w:val="24"/>
                <w:highlight w:val="none"/>
              </w:rPr>
              <w:t>12.明场照明：白光LED.</w:t>
            </w:r>
          </w:p>
          <w:p w14:paraId="65A2CBFB">
            <w:pPr>
              <w:rPr>
                <w:rFonts w:hint="eastAsia" w:ascii="仿宋" w:hAnsi="仿宋" w:eastAsia="仿宋"/>
                <w:color w:val="auto"/>
                <w:sz w:val="24"/>
                <w:highlight w:val="none"/>
              </w:rPr>
            </w:pPr>
            <w:r>
              <w:rPr>
                <w:rFonts w:hint="eastAsia" w:ascii="仿宋" w:hAnsi="仿宋" w:eastAsia="仿宋"/>
                <w:color w:val="auto"/>
                <w:sz w:val="24"/>
                <w:highlight w:val="none"/>
              </w:rPr>
              <w:t>13.对焦方式：自动聚焦</w:t>
            </w:r>
          </w:p>
          <w:p w14:paraId="185DB6EB">
            <w:pPr>
              <w:rPr>
                <w:rFonts w:hint="eastAsia" w:ascii="仿宋" w:hAnsi="仿宋" w:eastAsia="仿宋"/>
                <w:color w:val="auto"/>
                <w:sz w:val="24"/>
                <w:highlight w:val="none"/>
              </w:rPr>
            </w:pPr>
            <w:r>
              <w:rPr>
                <w:rFonts w:hint="eastAsia" w:ascii="仿宋" w:hAnsi="仿宋" w:eastAsia="仿宋"/>
                <w:color w:val="auto"/>
                <w:sz w:val="24"/>
                <w:highlight w:val="none"/>
              </w:rPr>
              <w:t>14.成像元件：≥600万像素cmos相机。</w:t>
            </w:r>
          </w:p>
          <w:p w14:paraId="15C80ADF">
            <w:pPr>
              <w:rPr>
                <w:rFonts w:hint="eastAsia" w:ascii="仿宋" w:hAnsi="仿宋" w:eastAsia="仿宋"/>
                <w:color w:val="auto"/>
                <w:sz w:val="24"/>
                <w:highlight w:val="none"/>
              </w:rPr>
            </w:pPr>
            <w:r>
              <w:rPr>
                <w:rFonts w:hint="eastAsia" w:ascii="仿宋" w:hAnsi="仿宋" w:eastAsia="仿宋"/>
                <w:color w:val="auto"/>
                <w:sz w:val="24"/>
                <w:highlight w:val="none"/>
              </w:rPr>
              <w:t>*15.导出的结果包含：实验名称，样本ID，活细胞数/ml, 死细胞数/ml，活率，直径分布图，结团细胞数量直方图，结团率，细胞稀释比例，高清细胞图等。导出形式，包括：pdf，高清图，excel。</w:t>
            </w:r>
          </w:p>
          <w:p w14:paraId="6B698772">
            <w:pPr>
              <w:rPr>
                <w:rFonts w:hint="eastAsia" w:ascii="仿宋" w:hAnsi="仿宋" w:eastAsia="仿宋"/>
                <w:color w:val="auto"/>
                <w:sz w:val="24"/>
                <w:highlight w:val="none"/>
              </w:rPr>
            </w:pPr>
            <w:r>
              <w:rPr>
                <w:rFonts w:hint="eastAsia" w:ascii="仿宋" w:hAnsi="仿宋" w:eastAsia="仿宋"/>
                <w:color w:val="auto"/>
                <w:sz w:val="24"/>
                <w:highlight w:val="none"/>
              </w:rPr>
              <w:t>16.内存：≥120G固态存储器。</w:t>
            </w:r>
          </w:p>
          <w:p w14:paraId="7F5BE1F7">
            <w:pPr>
              <w:rPr>
                <w:rFonts w:hint="eastAsia" w:ascii="仿宋" w:hAnsi="仿宋" w:eastAsia="仿宋"/>
                <w:color w:val="auto"/>
                <w:sz w:val="24"/>
                <w:highlight w:val="none"/>
              </w:rPr>
            </w:pPr>
            <w:r>
              <w:rPr>
                <w:rFonts w:hint="eastAsia" w:ascii="仿宋" w:hAnsi="仿宋" w:eastAsia="仿宋"/>
                <w:color w:val="auto"/>
                <w:sz w:val="24"/>
                <w:highlight w:val="none"/>
              </w:rPr>
              <w:t>17.连接：自动WIFI，USB接口。</w:t>
            </w:r>
          </w:p>
          <w:p w14:paraId="3A86535A">
            <w:pPr>
              <w:rPr>
                <w:rFonts w:hint="eastAsia" w:ascii="仿宋" w:hAnsi="仿宋" w:eastAsia="仿宋"/>
                <w:color w:val="auto"/>
                <w:sz w:val="24"/>
                <w:highlight w:val="none"/>
              </w:rPr>
            </w:pPr>
            <w:r>
              <w:rPr>
                <w:rFonts w:hint="eastAsia" w:ascii="仿宋" w:hAnsi="仿宋" w:eastAsia="仿宋"/>
                <w:color w:val="auto"/>
                <w:sz w:val="24"/>
                <w:highlight w:val="none"/>
              </w:rPr>
              <w:t>18.配置：主机一台，电源线，操作手册。</w:t>
            </w:r>
          </w:p>
        </w:tc>
        <w:tc>
          <w:tcPr>
            <w:tcW w:w="243" w:type="pct"/>
            <w:shd w:val="clear" w:color="auto" w:fill="auto"/>
            <w:vAlign w:val="center"/>
          </w:tcPr>
          <w:p w14:paraId="4FEC54FE">
            <w:pPr>
              <w:rPr>
                <w:rFonts w:hint="eastAsia" w:ascii="仿宋" w:hAnsi="仿宋" w:eastAsia="仿宋"/>
                <w:color w:val="auto"/>
                <w:sz w:val="24"/>
                <w:highlight w:val="none"/>
              </w:rPr>
            </w:pPr>
            <w:r>
              <w:rPr>
                <w:rFonts w:hint="eastAsia" w:ascii="仿宋" w:hAnsi="仿宋" w:eastAsia="仿宋"/>
                <w:color w:val="auto"/>
                <w:sz w:val="24"/>
                <w:highlight w:val="none"/>
              </w:rPr>
              <w:t>1台</w:t>
            </w:r>
          </w:p>
        </w:tc>
      </w:tr>
      <w:bookmarkEnd w:id="25"/>
    </w:tbl>
    <w:p w14:paraId="6402F41E">
      <w:pPr>
        <w:rPr>
          <w:rFonts w:hint="eastAsia" w:ascii="宋体" w:hAnsi="宋体" w:cs="宋体"/>
          <w:b/>
          <w:color w:val="auto"/>
          <w:sz w:val="24"/>
          <w:szCs w:val="24"/>
          <w:highlight w:val="none"/>
        </w:rPr>
      </w:pPr>
    </w:p>
    <w:p w14:paraId="493AAE17">
      <w:pPr>
        <w:rPr>
          <w:b/>
          <w:color w:val="auto"/>
          <w:sz w:val="24"/>
          <w:szCs w:val="24"/>
          <w:highlight w:val="none"/>
        </w:rPr>
      </w:pPr>
      <w:r>
        <w:rPr>
          <w:rFonts w:hint="eastAsia"/>
          <w:b/>
          <w:color w:val="auto"/>
          <w:sz w:val="24"/>
          <w:szCs w:val="24"/>
          <w:highlight w:val="none"/>
        </w:rPr>
        <w:t>注：（1）</w:t>
      </w:r>
      <w:r>
        <w:rPr>
          <w:rFonts w:hint="eastAsia" w:ascii="宋体" w:hAnsi="宋体" w:cs="宋体"/>
          <w:b/>
          <w:color w:val="auto"/>
          <w:sz w:val="24"/>
          <w:szCs w:val="24"/>
          <w:highlight w:val="none"/>
        </w:rPr>
        <w:t>本项目核心产品为“全光谱细胞流式仪”</w:t>
      </w:r>
    </w:p>
    <w:p w14:paraId="4737229C">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p w14:paraId="632C10F7">
      <w:pPr>
        <w:spacing w:line="360" w:lineRule="auto"/>
        <w:ind w:firstLine="630" w:firstLineChars="300"/>
        <w:rPr>
          <w:rFonts w:hint="eastAsia" w:ascii="宋体" w:hAnsi="宋体" w:cs="宋体"/>
          <w:color w:val="auto"/>
          <w:sz w:val="21"/>
          <w:szCs w:val="21"/>
          <w:highlight w:val="none"/>
        </w:rPr>
      </w:pPr>
      <w:r>
        <w:rPr>
          <w:rFonts w:hint="eastAsia" w:ascii="宋体" w:hAnsi="宋体" w:cs="宋体"/>
          <w:color w:val="auto"/>
          <w:sz w:val="21"/>
          <w:szCs w:val="21"/>
          <w:highlight w:val="none"/>
        </w:rPr>
        <w:t>核心产品提供相同品牌、相同型号且通过资格审查、符合性审查的不同投标供应商参加同一合同项下投标的，按一家投标供应商计算，评审后得分最高的同品牌同型号投标供应商获得中标人推荐资格；评审得分相同的，参照第五部分评标办法规定确定一个投标供应商获得中标人推荐资格，其他同品牌同型号投标供应商不作为中标人</w:t>
      </w:r>
    </w:p>
    <w:p w14:paraId="29B68E55">
      <w:pPr>
        <w:rPr>
          <w:b/>
          <w:color w:val="auto"/>
          <w:sz w:val="24"/>
          <w:szCs w:val="24"/>
          <w:highlight w:val="none"/>
        </w:rPr>
      </w:pPr>
    </w:p>
    <w:p w14:paraId="2B2B21BD">
      <w:pPr>
        <w:rPr>
          <w:b/>
          <w:color w:val="auto"/>
          <w:sz w:val="24"/>
          <w:szCs w:val="24"/>
          <w:highlight w:val="none"/>
        </w:rPr>
      </w:pPr>
      <w:r>
        <w:rPr>
          <w:rFonts w:hint="eastAsia"/>
          <w:b/>
          <w:color w:val="auto"/>
          <w:sz w:val="24"/>
          <w:szCs w:val="24"/>
          <w:highlight w:val="none"/>
        </w:rPr>
        <w:t>（2）本表中已标注“进口”的设备证明已经过进口论证，允许采购进口产品</w:t>
      </w:r>
    </w:p>
    <w:p w14:paraId="76E24AD7">
      <w:pPr>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p w14:paraId="758930A9">
      <w:pPr>
        <w:spacing w:line="360" w:lineRule="auto"/>
        <w:ind w:firstLine="630" w:firstLineChars="30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政府采购应当采购本国货物。按照财政部《政府采购进口产品管理办法》规定确需采购进口产品的，实行审核管理。经审核允许采购进口产品的，不得排斥符合要求的本国产品。在招标文件中未标明采购进口产品的，均为采购本国产品。供应商必须投标本国产品，投标进口产品的，投标无效。进口产品是指通过中国海关报关验放进入中国境内且产自关境外的产品。</w:t>
      </w:r>
    </w:p>
    <w:p w14:paraId="29ABF0A9">
      <w:pPr>
        <w:jc w:val="both"/>
        <w:rPr>
          <w:rFonts w:hint="eastAsia" w:asciiTheme="minorEastAsia" w:hAnsiTheme="minorEastAsia" w:eastAsiaTheme="minorEastAsia" w:cstheme="minorEastAsia"/>
          <w:b/>
          <w:bCs/>
          <w:color w:val="auto"/>
          <w:szCs w:val="36"/>
          <w:highlight w:val="none"/>
        </w:rPr>
        <w:sectPr>
          <w:pgSz w:w="11906" w:h="16838"/>
          <w:pgMar w:top="1418" w:right="1134" w:bottom="1418" w:left="1276" w:header="720" w:footer="720" w:gutter="0"/>
          <w:cols w:space="720" w:num="1"/>
          <w:docGrid w:linePitch="312" w:charSpace="0"/>
        </w:sectPr>
      </w:pPr>
    </w:p>
    <w:p w14:paraId="46F5E390">
      <w:pPr>
        <w:pStyle w:val="2"/>
        <w:tabs>
          <w:tab w:val="clear" w:pos="432"/>
        </w:tabs>
        <w:ind w:left="0" w:firstLine="0"/>
        <w:rPr>
          <w:rFonts w:hint="eastAsia" w:asciiTheme="minorEastAsia" w:hAnsiTheme="minorEastAsia" w:eastAsiaTheme="minorEastAsia" w:cstheme="minorEastAsia"/>
          <w:b/>
          <w:bCs/>
          <w:color w:val="auto"/>
          <w:sz w:val="36"/>
          <w:szCs w:val="36"/>
          <w:highlight w:val="none"/>
        </w:rPr>
      </w:pPr>
      <w:bookmarkStart w:id="27" w:name="_Toc18573"/>
      <w:r>
        <w:rPr>
          <w:rFonts w:hint="eastAsia" w:asciiTheme="minorEastAsia" w:hAnsiTheme="minorEastAsia" w:eastAsiaTheme="minorEastAsia" w:cstheme="minorEastAsia"/>
          <w:b/>
          <w:bCs/>
          <w:color w:val="auto"/>
          <w:sz w:val="36"/>
          <w:szCs w:val="36"/>
          <w:highlight w:val="none"/>
        </w:rPr>
        <w:t>第五章 评标办法</w:t>
      </w:r>
      <w:bookmarkEnd w:id="20"/>
      <w:bookmarkEnd w:id="21"/>
      <w:bookmarkEnd w:id="22"/>
      <w:bookmarkEnd w:id="23"/>
      <w:bookmarkEnd w:id="27"/>
    </w:p>
    <w:p w14:paraId="1B3661A4">
      <w:pPr>
        <w:rPr>
          <w:rFonts w:hint="eastAsia" w:asciiTheme="minorEastAsia" w:hAnsiTheme="minorEastAsia" w:eastAsiaTheme="minorEastAsia" w:cstheme="minorEastAsia"/>
          <w:color w:val="auto"/>
          <w:highlight w:val="none"/>
        </w:rPr>
      </w:pPr>
    </w:p>
    <w:p w14:paraId="1969AFD1">
      <w:pPr>
        <w:spacing w:line="360" w:lineRule="auto"/>
        <w:jc w:val="center"/>
        <w:rPr>
          <w:rFonts w:hint="eastAsia" w:ascii="宋体" w:hAnsi="宋体" w:cs="宋体"/>
          <w:b/>
          <w:bCs/>
          <w:color w:val="auto"/>
          <w:sz w:val="21"/>
          <w:szCs w:val="21"/>
          <w:highlight w:val="none"/>
        </w:rPr>
      </w:pPr>
      <w:bookmarkStart w:id="28" w:name="_Toc367975917"/>
      <w:bookmarkStart w:id="29" w:name="_Toc444269002"/>
      <w:r>
        <w:rPr>
          <w:rFonts w:hint="eastAsia" w:ascii="宋体" w:hAnsi="宋体" w:cs="宋体"/>
          <w:b/>
          <w:bCs/>
          <w:color w:val="auto"/>
          <w:sz w:val="21"/>
          <w:szCs w:val="21"/>
          <w:highlight w:val="none"/>
        </w:rPr>
        <w:t>一、总  则</w:t>
      </w:r>
      <w:bookmarkEnd w:id="28"/>
      <w:bookmarkEnd w:id="29"/>
    </w:p>
    <w:p w14:paraId="0F205A2B">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第一条  为规范本项目评标工作，根据《中华人民共和国招标投标法》、《中华人民共和国政府采购法》及相关法律、法规的有关规定，并结合本采购项目的实际情况，制订本评标办法。</w:t>
      </w:r>
    </w:p>
    <w:p w14:paraId="18304405">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第二条  评标活动遵循公平、公正、科学、择优的原则。</w:t>
      </w:r>
    </w:p>
    <w:p w14:paraId="36B80591">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第三条  评标活动依法进行，任何单位和个人不得非法干预或者影响评标过程和结果。</w:t>
      </w:r>
    </w:p>
    <w:p w14:paraId="307A2ECF">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第四条  评标活动应在严格保密的情况下进行。评标人员必须严格遵守保密规定，不得和供应商串联，不得泄露与评标活动有关的情况，不得索贿受贿，不得参加可能影响公正评标的任何活动。评标期间供应商不得进入评标现场干扰评标工作，不得采用行贿或其他不正当手段影响公正评标，否则将可能导致被取消中标资格。</w:t>
      </w:r>
    </w:p>
    <w:p w14:paraId="43761ABB">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第五条  本评标办法采用综合打分法</w:t>
      </w:r>
    </w:p>
    <w:p w14:paraId="65B9F674">
      <w:pPr>
        <w:spacing w:line="360" w:lineRule="auto"/>
        <w:jc w:val="center"/>
        <w:rPr>
          <w:rFonts w:hint="eastAsia" w:ascii="宋体" w:hAnsi="宋体" w:cs="宋体"/>
          <w:b/>
          <w:bCs/>
          <w:color w:val="auto"/>
          <w:sz w:val="21"/>
          <w:szCs w:val="21"/>
          <w:highlight w:val="none"/>
        </w:rPr>
      </w:pPr>
      <w:bookmarkStart w:id="30" w:name="_Toc444269003"/>
      <w:bookmarkStart w:id="31" w:name="_Toc367975918"/>
      <w:r>
        <w:rPr>
          <w:rFonts w:hint="eastAsia" w:ascii="宋体" w:hAnsi="宋体" w:cs="宋体"/>
          <w:b/>
          <w:bCs/>
          <w:color w:val="auto"/>
          <w:sz w:val="21"/>
          <w:szCs w:val="21"/>
          <w:highlight w:val="none"/>
        </w:rPr>
        <w:t>二、评标组织及职责</w:t>
      </w:r>
      <w:bookmarkEnd w:id="30"/>
      <w:bookmarkEnd w:id="31"/>
    </w:p>
    <w:p w14:paraId="7F81F74F">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第六条  采购小组成员由评审专家和采购人代表组成，评审专家从政府采购评审专家库内相关专业的专家名单中抽取，采购小组为五人，成员名单在中标结果确定前保密。</w:t>
      </w:r>
    </w:p>
    <w:p w14:paraId="6F417023">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第七条  采购小组开始工作之前，应由采购小组成员推举产生一名评标委员会主任，负责协调、组织采购小组成员开展评标工作。评标委员会开展评标工作要合理分工，对每一份响应文件的评审至少应有两位评委对其交叉审查。</w:t>
      </w:r>
    </w:p>
    <w:p w14:paraId="1296A05E">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第八条  评标委员会主要职责：</w:t>
      </w:r>
    </w:p>
    <w:p w14:paraId="4B36A276">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（一）投标资格审查；</w:t>
      </w:r>
    </w:p>
    <w:p w14:paraId="307E628A">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（二）审查响应文件；</w:t>
      </w:r>
    </w:p>
    <w:p w14:paraId="370A649F">
      <w:pPr>
        <w:spacing w:line="360" w:lineRule="auto"/>
        <w:ind w:firstLine="420" w:firstLineChars="200"/>
        <w:rPr>
          <w:rFonts w:hint="eastAsia" w:asciiTheme="minorEastAsia" w:hAnsiTheme="minorEastAsia" w:eastAsiaTheme="minorEastAsia" w:cstheme="minorEastAsia"/>
          <w:color w:val="auto"/>
          <w:spacing w:val="-6"/>
          <w:szCs w:val="21"/>
          <w:highlight w:val="none"/>
        </w:rPr>
      </w:pPr>
      <w:r>
        <w:rPr>
          <w:rFonts w:hint="eastAsia" w:ascii="宋体" w:hAnsi="宋体" w:cs="宋体"/>
          <w:color w:val="auto"/>
          <w:sz w:val="21"/>
          <w:szCs w:val="21"/>
          <w:highlight w:val="none"/>
        </w:rPr>
        <w:t>（三）界定不合格投标或废标；</w:t>
      </w:r>
      <w:bookmarkStart w:id="32" w:name="_Toc367975919"/>
    </w:p>
    <w:p w14:paraId="15476E78">
      <w:pPr>
        <w:spacing w:line="360" w:lineRule="auto"/>
        <w:jc w:val="center"/>
        <w:rPr>
          <w:rFonts w:hint="eastAsia" w:ascii="宋体" w:hAnsi="宋体" w:cs="宋体"/>
          <w:b/>
          <w:bCs/>
          <w:color w:val="auto"/>
          <w:sz w:val="21"/>
          <w:szCs w:val="21"/>
          <w:highlight w:val="none"/>
        </w:rPr>
      </w:pPr>
      <w:bookmarkStart w:id="33" w:name="_Toc444269004"/>
      <w:r>
        <w:rPr>
          <w:rFonts w:hint="eastAsia" w:ascii="宋体" w:hAnsi="宋体" w:cs="宋体"/>
          <w:b/>
          <w:bCs/>
          <w:color w:val="auto"/>
          <w:sz w:val="21"/>
          <w:szCs w:val="21"/>
          <w:highlight w:val="none"/>
        </w:rPr>
        <w:t>三、评标程序和内容</w:t>
      </w:r>
      <w:bookmarkEnd w:id="32"/>
      <w:bookmarkEnd w:id="33"/>
    </w:p>
    <w:p w14:paraId="07CB9571">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第九条  采购小组开始评标工作之前，采购人向采购小组提供采购文件、评标办法和评标所需的其它重要信息与数据，协助评标委员会了解和熟悉采购项目的如下内容：</w:t>
      </w:r>
    </w:p>
    <w:p w14:paraId="58512A28">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（一）采购文件规定的评标办法；</w:t>
      </w:r>
    </w:p>
    <w:p w14:paraId="1512D2DB">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（二）采购文件规定的其它与评标有关的内容。</w:t>
      </w:r>
    </w:p>
    <w:p w14:paraId="00FE8594">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第十条  评审程序</w:t>
      </w:r>
    </w:p>
    <w:p w14:paraId="5E707DB7">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（一）  形式性评审</w:t>
      </w:r>
    </w:p>
    <w:p w14:paraId="20D96A8A">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（二）  资格性评审</w:t>
      </w:r>
    </w:p>
    <w:p w14:paraId="66681567">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（三）  响应性评审</w:t>
      </w:r>
    </w:p>
    <w:p w14:paraId="545A8AE8">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（四）  详细评审</w:t>
      </w:r>
    </w:p>
    <w:p w14:paraId="4453EF9F">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第十一条  供应商所提供的资格审查资料应满足审查要求。如果在评标时供应商所提交的资格审查资料不能达到资格审查标准，其投标将被拒绝。</w:t>
      </w:r>
    </w:p>
    <w:p w14:paraId="25920B88">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第十二条  为了有助于响应文件的审查、评审，采购人可书面通知供应商澄清其响应文件中存在的问题，或要求补充某些资料，对此供应商不得拒绝。有关澄清的要求和回答均以书面方式进行，但供应商不得因此而提出改变响应文件实质性内容的要求。</w:t>
      </w:r>
    </w:p>
    <w:p w14:paraId="1F39CC51">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第十三条  评标委员会不应向供应商提出不符合采购文件的要求，也不得接受供应商主动提出的澄清。  </w:t>
      </w:r>
    </w:p>
    <w:p w14:paraId="3058341F">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第十四条  若供应商拒不按照采购文件和采购人的要求，对响应文件进行澄清、说明或者补正的，其投标将被拒绝。</w:t>
      </w:r>
    </w:p>
    <w:p w14:paraId="71F403FC">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第十五条  若发现供应商以他人名义投标、串通投标、以行贿手段谋取中标或者以其他弄虚作假手段投标的，则其投标作废标处理。</w:t>
      </w:r>
    </w:p>
    <w:p w14:paraId="4FBB48ED">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第十六条  关于供应商投标设备为（或含有）节能、环保、自主创新产品采用最低评标价法评审的项目，按吉林省财政厅吉财采购（2008）3号文规定执行：</w:t>
      </w:r>
    </w:p>
    <w:p w14:paraId="109020D3">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一）、对于供应商投标纳入财政部、国家发改委发布的《节能产品政府采购清单》的产品，对其投标价格给予3%的价格扣除，并按照扣除后的价格参加排序。采购项目或者分包中既包含节能产品也包含非节能产品的，只对纳入《节能产品政府采购清单》的产品按其在总报价中所占的比例给予价格扣除。</w:t>
      </w:r>
    </w:p>
    <w:p w14:paraId="1A0E1175">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二）、对于供应商投标纳入财政部、国家环保总局发布的《环境标志产品政府采购清单》的产品，对其投标价格给予3%的价格扣除，并按照扣除后的价格参加排序。采购项目或者分包中既包含环境标志产品也包含非环境标志产品的，只对纳入《环境标志产品政府采购清单》的产品按其在总报价中所占的比例给予价格扣除。</w:t>
      </w:r>
    </w:p>
    <w:p w14:paraId="2E7F7488">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三）、对于供应商投标纳入财政部公布的《政府采购自主创新产品目录》的产品，按照《财政部关于印发〈自主创新产品政府采购评审办法〉的通知》（财库[2007]30号）文件规定执行。采购项目中包含自主创新产品的，其投标价格给予5%的价格扣除，采购项目或者分包中既包含自主创新产品也包含非自主创新产品的，只对纳入《政府采购自主创新产品目录》的产品按其在总报价中所占的比例给予价格扣除。</w:t>
      </w:r>
    </w:p>
    <w:p w14:paraId="05A47F87">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（四）、投标产品同时纳入《环境标志产品政府采购清单》、《节能产品政府采购清单》和《政府采购自主创新产品目录》的，将上述规定的价格扣除比例叠加后计算价格扣除。</w:t>
      </w:r>
    </w:p>
    <w:p w14:paraId="131CC014">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注：如符合以上情况的产品均需在响应文件中提供国家颁布相关资质证明。</w:t>
      </w:r>
    </w:p>
    <w:p w14:paraId="69A26943">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第十七条 小型和微型企业产品价格扣除：</w:t>
      </w:r>
    </w:p>
    <w:p w14:paraId="240AB1CF">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一）供应商为小型或微型企业（包括成员均为小型或微型企业的联合体）且投标产品/服务含小型或微型企业产品/服务时，报价给予K1的价格扣除（K1的取值为10%），即：评标价=核实后的投标价-小微企业产品核实价×K1；</w:t>
      </w:r>
    </w:p>
    <w:p w14:paraId="7BAF3DE3">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二）供应商为大中型企业和其他自然人、法人或者其他组织与小型、微型企业组成是联合体，且联合体协议中约定小型、微型企业的协议合同金额（必须为本企业承担的服务）占到联合体协议合同总金额30%以上的，对联合体报价给予K2的价格扣除（K2的取值为4%），即：评标价=核实后的投标价-小微企业产品核实价×K2；</w:t>
      </w:r>
    </w:p>
    <w:p w14:paraId="5EDBD2D2">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三）本条款所称小型或微型企业应当符合以下条件：符合《工业和信息化部、国家统计局、国家发展改革委员会、财政部关于印发中小企业划型标准规定的通知》（工信部联企业【2011】300号）规定的对小型或微型企业的划分标准，并且提供本企业承担的服务；</w:t>
      </w:r>
    </w:p>
    <w:p w14:paraId="1AE59594">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（四）参加政府采购活动的中小微企业应当提供《中小微企业声明函》（见第五章响应文件参考格式）。</w:t>
      </w:r>
    </w:p>
    <w:p w14:paraId="0C066614">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（五）组成联合体的大中型企业和其他自然人、法人或者其他组织，与联合体中的小型、微型企业之间不得存在投资关系；</w:t>
      </w:r>
    </w:p>
    <w:p w14:paraId="634EC476">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（六）本条款中（一）和（二）两种价格扣除规则不得同时适用。</w:t>
      </w:r>
    </w:p>
    <w:p w14:paraId="1BDC4CF5">
      <w:pPr>
        <w:spacing w:line="360" w:lineRule="auto"/>
        <w:ind w:firstLine="422" w:firstLineChars="200"/>
        <w:rPr>
          <w:rFonts w:hint="eastAsia" w:ascii="宋体" w:hAnsi="宋体" w:cs="宋体"/>
          <w:color w:val="auto"/>
          <w:sz w:val="21"/>
          <w:szCs w:val="21"/>
          <w:highlight w:val="none"/>
        </w:rPr>
      </w:pPr>
      <w:r>
        <w:rPr>
          <w:rFonts w:hint="eastAsia" w:ascii="宋体" w:hAnsi="宋体" w:cs="宋体"/>
          <w:b/>
          <w:bCs/>
          <w:color w:val="auto"/>
          <w:sz w:val="21"/>
          <w:szCs w:val="21"/>
          <w:highlight w:val="none"/>
        </w:rPr>
        <w:t>注：专门面向中小企业的项目，不再执行相关优惠政策。</w:t>
      </w:r>
    </w:p>
    <w:p w14:paraId="79FE9792">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第十八条  评定中标标准</w:t>
      </w:r>
    </w:p>
    <w:p w14:paraId="62920A1B">
      <w:pPr>
        <w:spacing w:line="360" w:lineRule="auto"/>
        <w:ind w:firstLine="420" w:firstLineChars="200"/>
        <w:rPr>
          <w:rFonts w:hint="eastAsia" w:ascii="宋体" w:hAnsi="宋体" w:cs="宋体"/>
          <w:color w:val="auto"/>
          <w:sz w:val="21"/>
          <w:szCs w:val="21"/>
          <w:highlight w:val="none"/>
        </w:rPr>
      </w:pPr>
      <w:bookmarkStart w:id="34" w:name="_Toc445838429"/>
      <w:bookmarkEnd w:id="34"/>
      <w:bookmarkStart w:id="35" w:name="_Toc445838123"/>
      <w:bookmarkEnd w:id="35"/>
      <w:bookmarkStart w:id="36" w:name="_Toc445837912"/>
      <w:bookmarkEnd w:id="36"/>
      <w:r>
        <w:rPr>
          <w:rFonts w:hint="eastAsia" w:ascii="宋体" w:hAnsi="宋体" w:cs="宋体"/>
          <w:color w:val="auto"/>
          <w:sz w:val="21"/>
          <w:szCs w:val="21"/>
          <w:highlight w:val="none"/>
        </w:rPr>
        <w:t>评标委员会对满足招标文件实质性要求的投标文件，按照本章第2.2款规定的评分标准进行打分，并按得分由高到低顺序推荐中标候选人，或根据采购人授权直接确定中标人。</w:t>
      </w:r>
    </w:p>
    <w:p w14:paraId="1D346376">
      <w:pPr>
        <w:spacing w:line="360" w:lineRule="auto"/>
        <w:ind w:firstLine="420" w:firstLineChars="200"/>
        <w:rPr>
          <w:rFonts w:hint="eastAsia" w:ascii="宋体" w:hAnsi="宋体" w:cs="宋体"/>
          <w:color w:val="auto"/>
          <w:sz w:val="21"/>
          <w:szCs w:val="21"/>
          <w:highlight w:val="none"/>
        </w:rPr>
      </w:pPr>
      <w:bookmarkStart w:id="37" w:name="_Toc445838124"/>
      <w:bookmarkStart w:id="38" w:name="_Toc445837913"/>
      <w:bookmarkStart w:id="39" w:name="_Toc445838430"/>
      <w:r>
        <w:rPr>
          <w:rFonts w:hint="eastAsia" w:ascii="宋体" w:hAnsi="宋体" w:cs="宋体"/>
          <w:color w:val="auto"/>
          <w:sz w:val="21"/>
          <w:szCs w:val="21"/>
          <w:highlight w:val="none"/>
        </w:rPr>
        <w:t>第十九条 成交人的确定</w:t>
      </w:r>
      <w:bookmarkEnd w:id="37"/>
      <w:bookmarkEnd w:id="38"/>
      <w:bookmarkEnd w:id="39"/>
      <w:bookmarkStart w:id="40" w:name="_Toc445838125"/>
      <w:bookmarkStart w:id="41" w:name="_Toc445837914"/>
      <w:bookmarkStart w:id="42" w:name="_Toc445838431"/>
    </w:p>
    <w:p w14:paraId="40907783">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采购小组从评审报告提交的成交候选人中，确定排名第一的供应商为成交人。</w:t>
      </w:r>
      <w:bookmarkEnd w:id="40"/>
      <w:bookmarkEnd w:id="41"/>
      <w:bookmarkEnd w:id="42"/>
    </w:p>
    <w:p w14:paraId="7C71BBFA">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第二十条  评审报告的编写</w:t>
      </w:r>
    </w:p>
    <w:p w14:paraId="201162B7">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宋体" w:hAnsi="宋体" w:cs="宋体"/>
          <w:color w:val="auto"/>
          <w:sz w:val="21"/>
          <w:szCs w:val="21"/>
          <w:highlight w:val="none"/>
        </w:rPr>
        <w:t>采购小组编写评审报告。评审报告应当由采购小组全体人员签字认可。采购小组成员对评审报告有异议的，采购小组按照少数服从多数的原则推荐成交候选人，采购程序继续进行。对评审报告有异议的采购小组成员，应当在报告上签署不同意见并说明理由，由采购小组书面记录相关情况。采购小组成员拒绝在报告上签字又不书面说明其不同意见和理由的，视为同意评审报告。</w:t>
      </w:r>
    </w:p>
    <w:p w14:paraId="0CA2B28F">
      <w:pPr>
        <w:pStyle w:val="16"/>
        <w:rPr>
          <w:rFonts w:hint="eastAsia" w:asciiTheme="minorEastAsia" w:hAnsiTheme="minorEastAsia" w:eastAsiaTheme="minorEastAsia" w:cstheme="minorEastAsia"/>
          <w:color w:val="auto"/>
          <w:sz w:val="21"/>
          <w:szCs w:val="21"/>
          <w:highlight w:val="none"/>
        </w:rPr>
      </w:pPr>
    </w:p>
    <w:p w14:paraId="7B0FD4A2">
      <w:pPr>
        <w:pStyle w:val="16"/>
        <w:rPr>
          <w:rFonts w:hint="eastAsia" w:asciiTheme="minorEastAsia" w:hAnsiTheme="minorEastAsia" w:eastAsiaTheme="minorEastAsia" w:cstheme="minorEastAsia"/>
          <w:color w:val="auto"/>
          <w:sz w:val="21"/>
          <w:szCs w:val="21"/>
          <w:highlight w:val="none"/>
        </w:rPr>
      </w:pPr>
    </w:p>
    <w:p w14:paraId="73F97006">
      <w:pPr>
        <w:pStyle w:val="16"/>
        <w:rPr>
          <w:rFonts w:hint="eastAsia" w:asciiTheme="minorEastAsia" w:hAnsiTheme="minorEastAsia" w:eastAsiaTheme="minorEastAsia" w:cstheme="minorEastAsia"/>
          <w:color w:val="auto"/>
          <w:sz w:val="21"/>
          <w:szCs w:val="21"/>
          <w:highlight w:val="none"/>
        </w:rPr>
      </w:pPr>
    </w:p>
    <w:p w14:paraId="21133F15">
      <w:pPr>
        <w:pStyle w:val="16"/>
        <w:rPr>
          <w:rFonts w:hint="eastAsia" w:asciiTheme="minorEastAsia" w:hAnsiTheme="minorEastAsia" w:eastAsiaTheme="minorEastAsia" w:cstheme="minorEastAsia"/>
          <w:color w:val="auto"/>
          <w:sz w:val="21"/>
          <w:szCs w:val="21"/>
          <w:highlight w:val="none"/>
        </w:rPr>
      </w:pPr>
    </w:p>
    <w:p w14:paraId="45499B48">
      <w:pPr>
        <w:pStyle w:val="16"/>
        <w:rPr>
          <w:rFonts w:hint="eastAsia" w:asciiTheme="minorEastAsia" w:hAnsiTheme="minorEastAsia" w:eastAsiaTheme="minorEastAsia" w:cstheme="minorEastAsia"/>
          <w:color w:val="auto"/>
          <w:sz w:val="21"/>
          <w:szCs w:val="21"/>
          <w:highlight w:val="none"/>
        </w:rPr>
      </w:pPr>
    </w:p>
    <w:p w14:paraId="590D3B35">
      <w:pPr>
        <w:pStyle w:val="16"/>
        <w:rPr>
          <w:rFonts w:hint="eastAsia" w:asciiTheme="minorEastAsia" w:hAnsiTheme="minorEastAsia" w:eastAsiaTheme="minorEastAsia" w:cstheme="minorEastAsia"/>
          <w:color w:val="auto"/>
          <w:sz w:val="21"/>
          <w:szCs w:val="21"/>
          <w:highlight w:val="none"/>
        </w:rPr>
      </w:pPr>
    </w:p>
    <w:p w14:paraId="769DD25A">
      <w:pPr>
        <w:pStyle w:val="16"/>
        <w:rPr>
          <w:rFonts w:hint="eastAsia" w:asciiTheme="minorEastAsia" w:hAnsiTheme="minorEastAsia" w:eastAsiaTheme="minorEastAsia" w:cstheme="minorEastAsia"/>
          <w:color w:val="auto"/>
          <w:sz w:val="21"/>
          <w:szCs w:val="21"/>
          <w:highlight w:val="none"/>
        </w:rPr>
      </w:pPr>
    </w:p>
    <w:p w14:paraId="6C34108F">
      <w:pPr>
        <w:pStyle w:val="16"/>
        <w:rPr>
          <w:rFonts w:hint="eastAsia" w:asciiTheme="minorEastAsia" w:hAnsiTheme="minorEastAsia" w:eastAsiaTheme="minorEastAsia" w:cstheme="minorEastAsia"/>
          <w:color w:val="auto"/>
          <w:sz w:val="21"/>
          <w:szCs w:val="21"/>
          <w:highlight w:val="none"/>
        </w:rPr>
      </w:pPr>
    </w:p>
    <w:p w14:paraId="29A51C08">
      <w:pPr>
        <w:pStyle w:val="16"/>
        <w:rPr>
          <w:rFonts w:hint="eastAsia" w:asciiTheme="minorEastAsia" w:hAnsiTheme="minorEastAsia" w:eastAsiaTheme="minorEastAsia" w:cstheme="minorEastAsia"/>
          <w:color w:val="auto"/>
          <w:sz w:val="21"/>
          <w:szCs w:val="21"/>
          <w:highlight w:val="none"/>
        </w:rPr>
      </w:pPr>
    </w:p>
    <w:p w14:paraId="79D32AC5">
      <w:pPr>
        <w:pStyle w:val="16"/>
        <w:rPr>
          <w:rFonts w:hint="eastAsia" w:asciiTheme="minorEastAsia" w:hAnsiTheme="minorEastAsia" w:eastAsiaTheme="minorEastAsia" w:cstheme="minorEastAsia"/>
          <w:color w:val="auto"/>
          <w:sz w:val="21"/>
          <w:szCs w:val="21"/>
          <w:highlight w:val="none"/>
        </w:rPr>
      </w:pPr>
    </w:p>
    <w:p w14:paraId="548D2087">
      <w:pPr>
        <w:pStyle w:val="16"/>
        <w:rPr>
          <w:rFonts w:hint="eastAsia" w:asciiTheme="minorEastAsia" w:hAnsiTheme="minorEastAsia" w:eastAsiaTheme="minorEastAsia" w:cstheme="minorEastAsia"/>
          <w:color w:val="auto"/>
          <w:sz w:val="21"/>
          <w:szCs w:val="21"/>
          <w:highlight w:val="none"/>
        </w:rPr>
      </w:pPr>
    </w:p>
    <w:p w14:paraId="55D43B3D">
      <w:pPr>
        <w:spacing w:line="480" w:lineRule="auto"/>
        <w:ind w:firstLine="420"/>
        <w:rPr>
          <w:rFonts w:hint="eastAsia" w:asciiTheme="minorEastAsia" w:hAnsiTheme="minorEastAsia" w:eastAsiaTheme="minorEastAsia" w:cstheme="minorEastAsia"/>
          <w:color w:val="auto"/>
          <w:sz w:val="21"/>
          <w:szCs w:val="21"/>
          <w:highlight w:val="none"/>
        </w:rPr>
        <w:sectPr>
          <w:pgSz w:w="11906" w:h="16838"/>
          <w:pgMar w:top="1418" w:right="1134" w:bottom="1418" w:left="1276" w:header="720" w:footer="720" w:gutter="0"/>
          <w:cols w:space="720" w:num="1"/>
          <w:docGrid w:linePitch="312" w:charSpace="0"/>
        </w:sectPr>
      </w:pPr>
    </w:p>
    <w:p w14:paraId="37743254">
      <w:pPr>
        <w:numPr>
          <w:ilvl w:val="2"/>
          <w:numId w:val="0"/>
        </w:numPr>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32"/>
          <w:szCs w:val="32"/>
          <w:highlight w:val="none"/>
        </w:rPr>
        <w:t>资格评审</w:t>
      </w:r>
    </w:p>
    <w:tbl>
      <w:tblPr>
        <w:tblStyle w:val="45"/>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732"/>
        <w:gridCol w:w="6532"/>
      </w:tblGrid>
      <w:tr w14:paraId="5476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pct"/>
            <w:vAlign w:val="center"/>
          </w:tcPr>
          <w:p w14:paraId="26D03AD2">
            <w:pPr>
              <w:jc w:val="center"/>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条款号</w:t>
            </w:r>
          </w:p>
        </w:tc>
        <w:tc>
          <w:tcPr>
            <w:tcW w:w="893" w:type="pct"/>
            <w:vAlign w:val="center"/>
          </w:tcPr>
          <w:p w14:paraId="7A2368AC">
            <w:pPr>
              <w:jc w:val="center"/>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评审因素</w:t>
            </w:r>
          </w:p>
        </w:tc>
        <w:tc>
          <w:tcPr>
            <w:tcW w:w="3368" w:type="pct"/>
            <w:vAlign w:val="center"/>
          </w:tcPr>
          <w:p w14:paraId="75DABAC8">
            <w:pPr>
              <w:jc w:val="center"/>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评审标准</w:t>
            </w:r>
          </w:p>
        </w:tc>
      </w:tr>
      <w:tr w14:paraId="7BA5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pct"/>
            <w:vMerge w:val="restart"/>
            <w:vAlign w:val="center"/>
          </w:tcPr>
          <w:p w14:paraId="353D1256">
            <w:pPr>
              <w:jc w:val="center"/>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资格评审标准</w:t>
            </w:r>
          </w:p>
        </w:tc>
        <w:tc>
          <w:tcPr>
            <w:tcW w:w="893" w:type="pct"/>
            <w:vAlign w:val="center"/>
          </w:tcPr>
          <w:p w14:paraId="421FA367">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营业执照</w:t>
            </w:r>
          </w:p>
        </w:tc>
        <w:tc>
          <w:tcPr>
            <w:tcW w:w="3368" w:type="pct"/>
            <w:vAlign w:val="center"/>
          </w:tcPr>
          <w:p w14:paraId="4D240092">
            <w:pPr>
              <w:rPr>
                <w:rFonts w:hint="eastAsia" w:ascii="宋体" w:hAnsi="宋体" w:cs="宋体"/>
                <w:color w:val="auto"/>
                <w:sz w:val="22"/>
                <w:szCs w:val="22"/>
                <w:highlight w:val="none"/>
              </w:rPr>
            </w:pPr>
            <w:r>
              <w:rPr>
                <w:rFonts w:hint="eastAsia" w:ascii="宋体" w:hAnsi="宋体" w:cs="宋体"/>
                <w:color w:val="auto"/>
                <w:sz w:val="22"/>
                <w:szCs w:val="22"/>
                <w:highlight w:val="none"/>
              </w:rPr>
              <w:t>提供有效营业执照，具备提供本次采购所需货物的能力（标书内附加盖公章的营业执照复印件）</w:t>
            </w:r>
          </w:p>
        </w:tc>
      </w:tr>
      <w:tr w14:paraId="48610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pct"/>
            <w:vMerge w:val="continue"/>
            <w:vAlign w:val="center"/>
          </w:tcPr>
          <w:p w14:paraId="5D941163">
            <w:pPr>
              <w:jc w:val="center"/>
              <w:rPr>
                <w:rFonts w:hint="eastAsia" w:ascii="宋体" w:hAnsi="宋体" w:cs="宋体"/>
                <w:color w:val="auto"/>
                <w:sz w:val="22"/>
                <w:szCs w:val="22"/>
                <w:highlight w:val="none"/>
                <w:lang w:val="zh-CN"/>
              </w:rPr>
            </w:pPr>
          </w:p>
        </w:tc>
        <w:tc>
          <w:tcPr>
            <w:tcW w:w="893" w:type="pct"/>
            <w:vAlign w:val="center"/>
          </w:tcPr>
          <w:p w14:paraId="4886BA64">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财务要求</w:t>
            </w:r>
          </w:p>
        </w:tc>
        <w:tc>
          <w:tcPr>
            <w:tcW w:w="3368" w:type="pct"/>
            <w:vAlign w:val="center"/>
          </w:tcPr>
          <w:p w14:paraId="00CD5F46">
            <w:pPr>
              <w:rPr>
                <w:rFonts w:hint="eastAsia" w:ascii="宋体" w:hAnsi="宋体" w:cs="宋体"/>
                <w:color w:val="auto"/>
                <w:sz w:val="22"/>
                <w:szCs w:val="22"/>
                <w:highlight w:val="none"/>
              </w:rPr>
            </w:pPr>
            <w:r>
              <w:rPr>
                <w:rFonts w:hint="eastAsia" w:ascii="宋体" w:hAnsi="宋体" w:cs="宋体"/>
                <w:color w:val="auto"/>
                <w:sz w:val="22"/>
                <w:szCs w:val="22"/>
                <w:highlight w:val="none"/>
              </w:rPr>
              <w:t>投标人须提供（2021年、2022年、2023年）的财务报表或经会计师事务所出具的财务审计报告（成立不足三年的企业需提供成立之日起至2023年的财务审计报告，2024年成立的企业提供加盖公章的财务状况良好承诺书）。</w:t>
            </w:r>
            <w:r>
              <w:rPr>
                <w:rFonts w:hint="eastAsia" w:ascii="宋体" w:hAnsi="宋体" w:cs="宋体"/>
                <w:color w:val="auto"/>
                <w:sz w:val="22"/>
                <w:szCs w:val="22"/>
                <w:highlight w:val="none"/>
                <w:lang w:val="zh-CN"/>
              </w:rPr>
              <w:t>（标书内附复印件并加盖公章）</w:t>
            </w:r>
          </w:p>
        </w:tc>
      </w:tr>
      <w:tr w14:paraId="279AD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pct"/>
            <w:vMerge w:val="continue"/>
            <w:vAlign w:val="center"/>
          </w:tcPr>
          <w:p w14:paraId="203B3134">
            <w:pPr>
              <w:jc w:val="center"/>
              <w:rPr>
                <w:rFonts w:hint="eastAsia" w:ascii="宋体" w:hAnsi="宋体" w:cs="宋体"/>
                <w:color w:val="auto"/>
                <w:sz w:val="22"/>
                <w:szCs w:val="22"/>
                <w:highlight w:val="none"/>
                <w:lang w:val="zh-CN"/>
              </w:rPr>
            </w:pPr>
          </w:p>
        </w:tc>
        <w:tc>
          <w:tcPr>
            <w:tcW w:w="893" w:type="pct"/>
            <w:shd w:val="clear" w:color="auto" w:fill="auto"/>
            <w:vAlign w:val="center"/>
          </w:tcPr>
          <w:p w14:paraId="676FCE05">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val="zh-CN"/>
              </w:rPr>
              <w:t>有依法缴纳税收和社会保障资金的良好记录</w:t>
            </w:r>
          </w:p>
        </w:tc>
        <w:tc>
          <w:tcPr>
            <w:tcW w:w="3368" w:type="pct"/>
            <w:shd w:val="clear" w:color="auto" w:fill="auto"/>
            <w:vAlign w:val="center"/>
          </w:tcPr>
          <w:p w14:paraId="41D3CCDF">
            <w:pPr>
              <w:rPr>
                <w:rFonts w:hint="eastAsia" w:ascii="宋体" w:hAnsi="宋体" w:cs="宋体"/>
                <w:color w:val="auto"/>
                <w:sz w:val="22"/>
                <w:szCs w:val="22"/>
                <w:highlight w:val="none"/>
              </w:rPr>
            </w:pPr>
            <w:r>
              <w:rPr>
                <w:rFonts w:hint="eastAsia" w:ascii="宋体" w:hAnsi="宋体" w:cs="宋体"/>
                <w:color w:val="auto"/>
                <w:sz w:val="22"/>
                <w:szCs w:val="22"/>
                <w:highlight w:val="none"/>
              </w:rPr>
              <w:t>投标人须提供近一年任意一个月依法缴纳税收和依法缴纳社会保险（依法免税企业提供免税证明）的证明材料以供查询；</w:t>
            </w:r>
            <w:r>
              <w:rPr>
                <w:rFonts w:hint="eastAsia" w:ascii="宋体" w:hAnsi="宋体" w:cs="宋体"/>
                <w:color w:val="auto"/>
                <w:sz w:val="22"/>
                <w:szCs w:val="22"/>
                <w:highlight w:val="none"/>
                <w:lang w:val="zh-CN"/>
              </w:rPr>
              <w:t>（标书内附复印件加盖公章）</w:t>
            </w:r>
          </w:p>
        </w:tc>
      </w:tr>
      <w:tr w14:paraId="54FAB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pct"/>
            <w:vMerge w:val="continue"/>
            <w:vAlign w:val="center"/>
          </w:tcPr>
          <w:p w14:paraId="2340896F">
            <w:pPr>
              <w:jc w:val="center"/>
              <w:rPr>
                <w:rFonts w:hint="eastAsia" w:ascii="宋体" w:hAnsi="宋体" w:cs="宋体"/>
                <w:color w:val="auto"/>
                <w:sz w:val="22"/>
                <w:szCs w:val="22"/>
                <w:highlight w:val="none"/>
                <w:lang w:val="zh-CN"/>
              </w:rPr>
            </w:pPr>
          </w:p>
        </w:tc>
        <w:tc>
          <w:tcPr>
            <w:tcW w:w="893" w:type="pct"/>
            <w:vAlign w:val="center"/>
          </w:tcPr>
          <w:p w14:paraId="29F8D2E4">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信誉要求</w:t>
            </w:r>
          </w:p>
        </w:tc>
        <w:tc>
          <w:tcPr>
            <w:tcW w:w="3368" w:type="pct"/>
            <w:vAlign w:val="center"/>
          </w:tcPr>
          <w:p w14:paraId="23B19513">
            <w:pPr>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val="zh-CN"/>
              </w:rPr>
              <w:t>拒绝列入政府取消投标资格记录期间的企业或个人投标。（标书内提供承诺书并加盖公章）。</w:t>
            </w:r>
          </w:p>
          <w:p w14:paraId="173F3B36">
            <w:pPr>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zh-CN"/>
              </w:rPr>
              <w:t>供应商</w:t>
            </w:r>
            <w:r>
              <w:rPr>
                <w:rFonts w:hint="eastAsia" w:ascii="宋体" w:hAnsi="宋体" w:cs="宋体"/>
                <w:color w:val="auto"/>
                <w:sz w:val="22"/>
                <w:szCs w:val="22"/>
                <w:highlight w:val="none"/>
              </w:rPr>
              <w:t>不得为“信用中国”网站（www.creditchina.gov.cn）中列入失信被执行人和重大税收违法失信主体的供应商，不得为中国政府采购网（www.ccpg.gov.cn）政府采购严重违法失信行为记录名单中被财政部门禁止参加政府采购活动的供应商（在处罚决定规定的时间和地域范围内）（标书内提供网站截图</w:t>
            </w:r>
            <w:r>
              <w:rPr>
                <w:rFonts w:hint="eastAsia" w:ascii="宋体" w:hAnsi="宋体" w:cs="宋体"/>
                <w:color w:val="auto"/>
                <w:sz w:val="22"/>
                <w:szCs w:val="22"/>
                <w:highlight w:val="none"/>
                <w:lang w:val="zh-CN"/>
              </w:rPr>
              <w:t>并加盖公章</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w:t>
            </w:r>
          </w:p>
        </w:tc>
      </w:tr>
      <w:tr w14:paraId="2F644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pct"/>
            <w:vMerge w:val="continue"/>
            <w:vAlign w:val="center"/>
          </w:tcPr>
          <w:p w14:paraId="3AE4F5CB">
            <w:pPr>
              <w:jc w:val="center"/>
              <w:rPr>
                <w:rFonts w:hint="eastAsia" w:ascii="宋体" w:hAnsi="宋体" w:cs="宋体"/>
                <w:color w:val="auto"/>
                <w:sz w:val="22"/>
                <w:szCs w:val="22"/>
                <w:highlight w:val="none"/>
                <w:lang w:val="zh-CN"/>
              </w:rPr>
            </w:pPr>
          </w:p>
        </w:tc>
        <w:tc>
          <w:tcPr>
            <w:tcW w:w="893" w:type="pct"/>
            <w:shd w:val="clear" w:color="auto" w:fill="auto"/>
            <w:vAlign w:val="center"/>
          </w:tcPr>
          <w:p w14:paraId="5553B746">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不得存在的情形</w:t>
            </w:r>
          </w:p>
        </w:tc>
        <w:tc>
          <w:tcPr>
            <w:tcW w:w="3368" w:type="pct"/>
            <w:shd w:val="clear" w:color="auto" w:fill="auto"/>
            <w:vAlign w:val="center"/>
          </w:tcPr>
          <w:p w14:paraId="5108459F">
            <w:pPr>
              <w:rPr>
                <w:rFonts w:hint="eastAsia" w:ascii="宋体" w:hAnsi="宋体" w:cs="宋体"/>
                <w:color w:val="auto"/>
                <w:sz w:val="22"/>
                <w:szCs w:val="22"/>
                <w:highlight w:val="none"/>
              </w:rPr>
            </w:pPr>
            <w:r>
              <w:rPr>
                <w:rFonts w:hint="eastAsia" w:ascii="宋体" w:hAnsi="宋体" w:cs="宋体"/>
                <w:bCs/>
                <w:color w:val="auto"/>
                <w:sz w:val="22"/>
                <w:szCs w:val="22"/>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本规定的，相关投标均无效</w:t>
            </w:r>
            <w:r>
              <w:rPr>
                <w:rFonts w:hint="eastAsia" w:ascii="宋体" w:hAnsi="宋体" w:cs="宋体"/>
                <w:color w:val="auto"/>
                <w:sz w:val="22"/>
                <w:szCs w:val="22"/>
                <w:highlight w:val="none"/>
              </w:rPr>
              <w:t>（标书内提供承诺书，格式自拟</w:t>
            </w:r>
            <w:r>
              <w:rPr>
                <w:rFonts w:hint="eastAsia" w:ascii="宋体" w:hAnsi="宋体" w:cs="宋体"/>
                <w:color w:val="auto"/>
                <w:sz w:val="22"/>
                <w:szCs w:val="22"/>
                <w:highlight w:val="none"/>
                <w:lang w:val="zh-CN"/>
              </w:rPr>
              <w:t>并加盖公章</w:t>
            </w:r>
            <w:r>
              <w:rPr>
                <w:rFonts w:hint="eastAsia" w:ascii="宋体" w:hAnsi="宋体" w:cs="宋体"/>
                <w:color w:val="auto"/>
                <w:sz w:val="22"/>
                <w:szCs w:val="22"/>
                <w:highlight w:val="none"/>
              </w:rPr>
              <w:t>）</w:t>
            </w:r>
          </w:p>
        </w:tc>
      </w:tr>
    </w:tbl>
    <w:p w14:paraId="2829F1F2">
      <w:pPr>
        <w:jc w:val="center"/>
        <w:rPr>
          <w:rFonts w:hint="eastAsia" w:asciiTheme="minorEastAsia" w:hAnsiTheme="minorEastAsia" w:eastAsiaTheme="minorEastAsia" w:cstheme="minorEastAsia"/>
          <w:b/>
          <w:color w:val="auto"/>
          <w:sz w:val="32"/>
          <w:szCs w:val="32"/>
          <w:highlight w:val="none"/>
        </w:rPr>
      </w:pPr>
      <w:bookmarkStart w:id="43" w:name="_Toc455213247"/>
      <w:bookmarkStart w:id="44" w:name="_Toc455213204"/>
      <w:bookmarkStart w:id="45" w:name="_Toc367975921"/>
      <w:bookmarkStart w:id="46" w:name="_Toc256013810"/>
      <w:r>
        <w:rPr>
          <w:rFonts w:hint="eastAsia" w:asciiTheme="minorEastAsia" w:hAnsiTheme="minorEastAsia" w:eastAsiaTheme="minorEastAsia" w:cstheme="minorEastAsia"/>
          <w:b/>
          <w:color w:val="auto"/>
          <w:sz w:val="32"/>
          <w:szCs w:val="32"/>
          <w:highlight w:val="none"/>
        </w:rPr>
        <w:t>符合性评审</w:t>
      </w:r>
    </w:p>
    <w:tbl>
      <w:tblPr>
        <w:tblStyle w:val="45"/>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732"/>
        <w:gridCol w:w="6532"/>
      </w:tblGrid>
      <w:tr w14:paraId="3A94A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 w:type="pct"/>
            <w:vAlign w:val="center"/>
          </w:tcPr>
          <w:p w14:paraId="3FDDEDB7">
            <w:pPr>
              <w:jc w:val="center"/>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条款号</w:t>
            </w:r>
          </w:p>
        </w:tc>
        <w:tc>
          <w:tcPr>
            <w:tcW w:w="893" w:type="pct"/>
            <w:vAlign w:val="center"/>
          </w:tcPr>
          <w:p w14:paraId="3AE61C3C">
            <w:pPr>
              <w:jc w:val="center"/>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评审因素</w:t>
            </w:r>
          </w:p>
        </w:tc>
        <w:tc>
          <w:tcPr>
            <w:tcW w:w="3367" w:type="pct"/>
            <w:vAlign w:val="center"/>
          </w:tcPr>
          <w:p w14:paraId="532E43FB">
            <w:pPr>
              <w:jc w:val="center"/>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评审标准</w:t>
            </w:r>
          </w:p>
        </w:tc>
      </w:tr>
      <w:tr w14:paraId="2A07E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 w:type="pct"/>
            <w:vMerge w:val="restart"/>
            <w:vAlign w:val="center"/>
          </w:tcPr>
          <w:p w14:paraId="2D02B895">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val="zh-CN"/>
              </w:rPr>
              <w:t>符合性评审</w:t>
            </w:r>
            <w:r>
              <w:rPr>
                <w:rFonts w:hint="eastAsia" w:ascii="宋体" w:hAnsi="宋体" w:cs="宋体"/>
                <w:color w:val="auto"/>
                <w:sz w:val="22"/>
                <w:szCs w:val="22"/>
                <w:highlight w:val="none"/>
              </w:rPr>
              <w:t>标准</w:t>
            </w:r>
          </w:p>
        </w:tc>
        <w:tc>
          <w:tcPr>
            <w:tcW w:w="893" w:type="pct"/>
            <w:shd w:val="clear" w:color="auto" w:fill="auto"/>
            <w:vAlign w:val="center"/>
          </w:tcPr>
          <w:p w14:paraId="0316BBA1">
            <w:pPr>
              <w:jc w:val="center"/>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供应商名称</w:t>
            </w:r>
          </w:p>
        </w:tc>
        <w:tc>
          <w:tcPr>
            <w:tcW w:w="3367" w:type="pct"/>
            <w:shd w:val="clear" w:color="auto" w:fill="auto"/>
            <w:vAlign w:val="center"/>
          </w:tcPr>
          <w:p w14:paraId="31CD0677">
            <w:pPr>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与营业执照一致。</w:t>
            </w:r>
          </w:p>
        </w:tc>
      </w:tr>
      <w:tr w14:paraId="55F42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 w:type="pct"/>
            <w:vMerge w:val="continue"/>
            <w:vAlign w:val="center"/>
          </w:tcPr>
          <w:p w14:paraId="5E3C1FA6">
            <w:pPr>
              <w:jc w:val="center"/>
              <w:rPr>
                <w:rFonts w:hint="eastAsia" w:ascii="宋体" w:hAnsi="宋体" w:cs="宋体"/>
                <w:color w:val="auto"/>
                <w:sz w:val="22"/>
                <w:szCs w:val="22"/>
                <w:highlight w:val="none"/>
                <w:lang w:val="zh-CN"/>
              </w:rPr>
            </w:pPr>
          </w:p>
        </w:tc>
        <w:tc>
          <w:tcPr>
            <w:tcW w:w="893" w:type="pct"/>
            <w:vAlign w:val="center"/>
          </w:tcPr>
          <w:p w14:paraId="04112C0D">
            <w:pPr>
              <w:jc w:val="center"/>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投标函签字盖章</w:t>
            </w:r>
          </w:p>
        </w:tc>
        <w:tc>
          <w:tcPr>
            <w:tcW w:w="3367" w:type="pct"/>
            <w:vAlign w:val="center"/>
          </w:tcPr>
          <w:p w14:paraId="6167DF33">
            <w:pPr>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符合招标文件规定的要求为合格，否则为不合格。</w:t>
            </w:r>
          </w:p>
        </w:tc>
      </w:tr>
      <w:tr w14:paraId="37137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 w:type="pct"/>
            <w:vMerge w:val="continue"/>
            <w:vAlign w:val="center"/>
          </w:tcPr>
          <w:p w14:paraId="3AC0CA20">
            <w:pPr>
              <w:jc w:val="center"/>
              <w:rPr>
                <w:rFonts w:hint="eastAsia" w:ascii="宋体" w:hAnsi="宋体" w:cs="宋体"/>
                <w:color w:val="auto"/>
                <w:sz w:val="22"/>
                <w:szCs w:val="22"/>
                <w:highlight w:val="none"/>
                <w:lang w:val="zh-CN"/>
              </w:rPr>
            </w:pPr>
          </w:p>
        </w:tc>
        <w:tc>
          <w:tcPr>
            <w:tcW w:w="893" w:type="pct"/>
            <w:vAlign w:val="center"/>
          </w:tcPr>
          <w:p w14:paraId="65A5F627">
            <w:pPr>
              <w:jc w:val="center"/>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投标文件格式及签署</w:t>
            </w:r>
          </w:p>
        </w:tc>
        <w:tc>
          <w:tcPr>
            <w:tcW w:w="3367" w:type="pct"/>
            <w:vAlign w:val="center"/>
          </w:tcPr>
          <w:p w14:paraId="3839475A">
            <w:pPr>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按照招标文件规定的要求编制，内容齐全、关键字迹清晰，符合要求为合格；未按招标文件规定的要求编制，内容不全或关键字迹模糊、无法辨认，不符合要求为不合格。</w:t>
            </w:r>
          </w:p>
        </w:tc>
      </w:tr>
      <w:tr w14:paraId="09041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 w:type="pct"/>
            <w:vMerge w:val="continue"/>
            <w:vAlign w:val="center"/>
          </w:tcPr>
          <w:p w14:paraId="460AEBCA">
            <w:pPr>
              <w:jc w:val="center"/>
              <w:rPr>
                <w:rFonts w:hint="eastAsia" w:ascii="宋体" w:hAnsi="宋体" w:cs="宋体"/>
                <w:color w:val="auto"/>
                <w:sz w:val="22"/>
                <w:szCs w:val="22"/>
                <w:highlight w:val="none"/>
                <w:lang w:val="zh-CN"/>
              </w:rPr>
            </w:pPr>
          </w:p>
        </w:tc>
        <w:tc>
          <w:tcPr>
            <w:tcW w:w="893" w:type="pct"/>
            <w:shd w:val="clear" w:color="auto" w:fill="auto"/>
            <w:vAlign w:val="center"/>
          </w:tcPr>
          <w:p w14:paraId="537918E5">
            <w:pPr>
              <w:jc w:val="center"/>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报价唯一</w:t>
            </w:r>
          </w:p>
        </w:tc>
        <w:tc>
          <w:tcPr>
            <w:tcW w:w="3367" w:type="pct"/>
            <w:shd w:val="clear" w:color="auto" w:fill="auto"/>
            <w:vAlign w:val="center"/>
          </w:tcPr>
          <w:p w14:paraId="20C3328C">
            <w:pPr>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只能有一个有效报价（按招标文件规定提交备选投标方案的除外）。</w:t>
            </w:r>
          </w:p>
        </w:tc>
      </w:tr>
      <w:tr w14:paraId="36160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 w:type="pct"/>
            <w:vMerge w:val="continue"/>
            <w:vAlign w:val="center"/>
          </w:tcPr>
          <w:p w14:paraId="1E7F7C17">
            <w:pPr>
              <w:jc w:val="center"/>
              <w:rPr>
                <w:rFonts w:hint="eastAsia" w:ascii="宋体" w:hAnsi="宋体" w:cs="宋体"/>
                <w:color w:val="auto"/>
                <w:sz w:val="22"/>
                <w:szCs w:val="22"/>
                <w:highlight w:val="none"/>
                <w:lang w:val="zh-CN"/>
              </w:rPr>
            </w:pPr>
          </w:p>
        </w:tc>
        <w:tc>
          <w:tcPr>
            <w:tcW w:w="893" w:type="pct"/>
            <w:shd w:val="clear" w:color="auto" w:fill="auto"/>
            <w:vAlign w:val="center"/>
          </w:tcPr>
          <w:p w14:paraId="749D4107">
            <w:pPr>
              <w:jc w:val="center"/>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投标内容</w:t>
            </w:r>
          </w:p>
        </w:tc>
        <w:tc>
          <w:tcPr>
            <w:tcW w:w="3367" w:type="pct"/>
            <w:shd w:val="clear" w:color="auto" w:fill="auto"/>
            <w:vAlign w:val="center"/>
          </w:tcPr>
          <w:p w14:paraId="1A39A3BE">
            <w:pPr>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符合采购文件要求</w:t>
            </w:r>
          </w:p>
        </w:tc>
      </w:tr>
      <w:tr w14:paraId="17A7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 w:type="pct"/>
            <w:vMerge w:val="continue"/>
            <w:vAlign w:val="center"/>
          </w:tcPr>
          <w:p w14:paraId="715942B5">
            <w:pPr>
              <w:jc w:val="center"/>
              <w:rPr>
                <w:rFonts w:hint="eastAsia" w:ascii="宋体" w:hAnsi="宋体" w:cs="宋体"/>
                <w:color w:val="auto"/>
                <w:sz w:val="22"/>
                <w:szCs w:val="22"/>
                <w:highlight w:val="none"/>
                <w:lang w:val="zh-CN"/>
              </w:rPr>
            </w:pPr>
          </w:p>
        </w:tc>
        <w:tc>
          <w:tcPr>
            <w:tcW w:w="893" w:type="pct"/>
            <w:vAlign w:val="center"/>
          </w:tcPr>
          <w:p w14:paraId="7C3D1485">
            <w:pPr>
              <w:jc w:val="center"/>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投标有效期</w:t>
            </w:r>
          </w:p>
        </w:tc>
        <w:tc>
          <w:tcPr>
            <w:tcW w:w="3367" w:type="pct"/>
            <w:vAlign w:val="center"/>
          </w:tcPr>
          <w:p w14:paraId="7DA6B5D7">
            <w:pPr>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90</w:t>
            </w:r>
            <w:r>
              <w:rPr>
                <w:rFonts w:hint="eastAsia" w:ascii="宋体" w:hAnsi="宋体" w:cs="宋体"/>
                <w:color w:val="auto"/>
                <w:sz w:val="22"/>
                <w:szCs w:val="22"/>
                <w:highlight w:val="none"/>
                <w:lang w:val="zh-CN"/>
              </w:rPr>
              <w:t>天</w:t>
            </w:r>
          </w:p>
        </w:tc>
      </w:tr>
      <w:tr w14:paraId="7C9F9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 w:type="pct"/>
            <w:vMerge w:val="continue"/>
            <w:vAlign w:val="center"/>
          </w:tcPr>
          <w:p w14:paraId="1AA588BA">
            <w:pPr>
              <w:jc w:val="center"/>
              <w:rPr>
                <w:rFonts w:hint="eastAsia" w:ascii="宋体" w:hAnsi="宋体" w:cs="宋体"/>
                <w:color w:val="auto"/>
                <w:sz w:val="22"/>
                <w:szCs w:val="22"/>
                <w:highlight w:val="none"/>
                <w:lang w:val="zh-CN"/>
              </w:rPr>
            </w:pPr>
          </w:p>
        </w:tc>
        <w:tc>
          <w:tcPr>
            <w:tcW w:w="893" w:type="pct"/>
            <w:vAlign w:val="center"/>
          </w:tcPr>
          <w:p w14:paraId="3C90DF84">
            <w:pPr>
              <w:jc w:val="center"/>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供货期</w:t>
            </w:r>
          </w:p>
        </w:tc>
        <w:tc>
          <w:tcPr>
            <w:tcW w:w="3367" w:type="pct"/>
            <w:vAlign w:val="center"/>
          </w:tcPr>
          <w:p w14:paraId="7389995F">
            <w:pPr>
              <w:rPr>
                <w:rFonts w:hint="eastAsia" w:ascii="宋体" w:hAnsi="宋体" w:cs="宋体"/>
                <w:color w:val="auto"/>
                <w:sz w:val="22"/>
                <w:szCs w:val="22"/>
                <w:highlight w:val="none"/>
              </w:rPr>
            </w:pPr>
            <w:r>
              <w:rPr>
                <w:rFonts w:hint="eastAsia" w:ascii="宋体" w:hAnsi="宋体" w:cs="宋体"/>
                <w:color w:val="auto"/>
                <w:sz w:val="22"/>
                <w:szCs w:val="22"/>
                <w:highlight w:val="none"/>
                <w:lang w:val="zh-CN"/>
              </w:rPr>
              <w:t>签订合同后，国产设备30日，进口设备90日内完成送</w:t>
            </w:r>
            <w:r>
              <w:rPr>
                <w:rFonts w:hint="eastAsia" w:ascii="宋体" w:hAnsi="宋体" w:cs="宋体"/>
                <w:color w:val="auto"/>
                <w:sz w:val="22"/>
                <w:szCs w:val="22"/>
                <w:highlight w:val="none"/>
              </w:rPr>
              <w:t>货</w:t>
            </w:r>
            <w:r>
              <w:rPr>
                <w:rFonts w:hint="eastAsia" w:ascii="宋体" w:hAnsi="宋体" w:cs="宋体"/>
                <w:color w:val="auto"/>
                <w:sz w:val="22"/>
                <w:szCs w:val="22"/>
                <w:highlight w:val="none"/>
                <w:lang w:val="zh-CN"/>
              </w:rPr>
              <w:t>安装</w:t>
            </w:r>
            <w:r>
              <w:rPr>
                <w:rFonts w:hint="eastAsia" w:ascii="宋体" w:hAnsi="宋体" w:cs="宋体"/>
                <w:color w:val="auto"/>
                <w:sz w:val="22"/>
                <w:szCs w:val="22"/>
                <w:highlight w:val="none"/>
              </w:rPr>
              <w:t>及调试</w:t>
            </w:r>
          </w:p>
        </w:tc>
      </w:tr>
      <w:tr w14:paraId="59C2D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 w:type="pct"/>
            <w:vMerge w:val="continue"/>
            <w:vAlign w:val="center"/>
          </w:tcPr>
          <w:p w14:paraId="2D49D853">
            <w:pPr>
              <w:jc w:val="center"/>
              <w:rPr>
                <w:rFonts w:hint="eastAsia" w:ascii="宋体" w:hAnsi="宋体" w:cs="宋体"/>
                <w:color w:val="auto"/>
                <w:sz w:val="22"/>
                <w:szCs w:val="22"/>
                <w:highlight w:val="none"/>
                <w:lang w:val="zh-CN"/>
              </w:rPr>
            </w:pPr>
          </w:p>
        </w:tc>
        <w:tc>
          <w:tcPr>
            <w:tcW w:w="893" w:type="pct"/>
            <w:vAlign w:val="center"/>
          </w:tcPr>
          <w:p w14:paraId="6342177D">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质保期</w:t>
            </w:r>
          </w:p>
        </w:tc>
        <w:tc>
          <w:tcPr>
            <w:tcW w:w="3367" w:type="pct"/>
            <w:vAlign w:val="center"/>
          </w:tcPr>
          <w:p w14:paraId="6CCB6235">
            <w:pPr>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zh-CN"/>
              </w:rPr>
              <w:t>年</w:t>
            </w:r>
          </w:p>
        </w:tc>
      </w:tr>
      <w:tr w14:paraId="60655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pct"/>
            <w:vMerge w:val="continue"/>
            <w:vAlign w:val="center"/>
          </w:tcPr>
          <w:p w14:paraId="1B5B97AB">
            <w:pPr>
              <w:jc w:val="center"/>
              <w:rPr>
                <w:rFonts w:hint="eastAsia" w:ascii="宋体" w:hAnsi="宋体" w:cs="宋体"/>
                <w:color w:val="auto"/>
                <w:sz w:val="22"/>
                <w:szCs w:val="22"/>
                <w:highlight w:val="none"/>
                <w:lang w:val="zh-CN"/>
              </w:rPr>
            </w:pPr>
          </w:p>
        </w:tc>
        <w:tc>
          <w:tcPr>
            <w:tcW w:w="893" w:type="pct"/>
            <w:vAlign w:val="center"/>
          </w:tcPr>
          <w:p w14:paraId="4A7AA4E4">
            <w:pPr>
              <w:jc w:val="center"/>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投标保证金</w:t>
            </w:r>
          </w:p>
        </w:tc>
        <w:tc>
          <w:tcPr>
            <w:tcW w:w="3367" w:type="pct"/>
            <w:vAlign w:val="center"/>
          </w:tcPr>
          <w:p w14:paraId="424D4DEF">
            <w:pPr>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有，提供银行基本账户</w:t>
            </w:r>
            <w:r>
              <w:rPr>
                <w:rFonts w:hint="eastAsia" w:ascii="宋体" w:hAnsi="宋体" w:cs="宋体"/>
                <w:color w:val="auto"/>
                <w:sz w:val="22"/>
                <w:szCs w:val="22"/>
                <w:highlight w:val="none"/>
              </w:rPr>
              <w:t>信息或</w:t>
            </w:r>
            <w:r>
              <w:rPr>
                <w:rFonts w:hint="eastAsia" w:ascii="宋体" w:hAnsi="宋体" w:cs="宋体"/>
                <w:color w:val="auto"/>
                <w:sz w:val="22"/>
                <w:szCs w:val="22"/>
                <w:highlight w:val="none"/>
                <w:lang w:val="zh-CN"/>
              </w:rPr>
              <w:t>开户</w:t>
            </w:r>
            <w:r>
              <w:rPr>
                <w:rFonts w:hint="eastAsia" w:ascii="宋体" w:hAnsi="宋体" w:cs="宋体"/>
                <w:color w:val="auto"/>
                <w:sz w:val="22"/>
                <w:szCs w:val="22"/>
                <w:highlight w:val="none"/>
              </w:rPr>
              <w:t>许可证</w:t>
            </w:r>
            <w:r>
              <w:rPr>
                <w:rFonts w:hint="eastAsia" w:ascii="宋体" w:hAnsi="宋体" w:cs="宋体"/>
                <w:color w:val="auto"/>
                <w:sz w:val="22"/>
                <w:szCs w:val="22"/>
                <w:highlight w:val="none"/>
                <w:lang w:val="zh-CN"/>
              </w:rPr>
              <w:t>、投标保证金转款凭证，标书内附加盖公章。</w:t>
            </w:r>
          </w:p>
        </w:tc>
      </w:tr>
      <w:tr w14:paraId="40431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pct"/>
            <w:vMerge w:val="continue"/>
            <w:vAlign w:val="center"/>
          </w:tcPr>
          <w:p w14:paraId="4670FAD2">
            <w:pPr>
              <w:jc w:val="center"/>
              <w:rPr>
                <w:rFonts w:hint="eastAsia" w:ascii="宋体" w:hAnsi="宋体" w:cs="宋体"/>
                <w:color w:val="auto"/>
                <w:sz w:val="22"/>
                <w:szCs w:val="22"/>
                <w:highlight w:val="none"/>
                <w:lang w:val="zh-CN"/>
              </w:rPr>
            </w:pPr>
          </w:p>
        </w:tc>
        <w:tc>
          <w:tcPr>
            <w:tcW w:w="893" w:type="pct"/>
            <w:shd w:val="clear" w:color="auto" w:fill="auto"/>
            <w:vAlign w:val="center"/>
          </w:tcPr>
          <w:p w14:paraId="36EB02E4">
            <w:pPr>
              <w:jc w:val="center"/>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技术参数</w:t>
            </w:r>
          </w:p>
        </w:tc>
        <w:tc>
          <w:tcPr>
            <w:tcW w:w="3367" w:type="pct"/>
            <w:shd w:val="clear" w:color="auto" w:fill="auto"/>
            <w:vAlign w:val="center"/>
          </w:tcPr>
          <w:p w14:paraId="033AE4DD">
            <w:pPr>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符合招标文件“采购需求”规定，提供技术部分所要求的证明文件材料，标书内附加盖公章的复印件。</w:t>
            </w:r>
          </w:p>
        </w:tc>
      </w:tr>
      <w:tr w14:paraId="60C39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pct"/>
            <w:vMerge w:val="continue"/>
            <w:vAlign w:val="center"/>
          </w:tcPr>
          <w:p w14:paraId="599581FD">
            <w:pPr>
              <w:jc w:val="center"/>
              <w:rPr>
                <w:rFonts w:hint="eastAsia" w:ascii="宋体" w:hAnsi="宋体" w:cs="宋体"/>
                <w:color w:val="auto"/>
                <w:sz w:val="22"/>
                <w:szCs w:val="22"/>
                <w:highlight w:val="none"/>
                <w:lang w:val="zh-CN"/>
              </w:rPr>
            </w:pPr>
          </w:p>
        </w:tc>
        <w:tc>
          <w:tcPr>
            <w:tcW w:w="893" w:type="pct"/>
            <w:vAlign w:val="center"/>
          </w:tcPr>
          <w:p w14:paraId="52440F4E">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厂家授权书</w:t>
            </w:r>
          </w:p>
        </w:tc>
        <w:tc>
          <w:tcPr>
            <w:tcW w:w="3367" w:type="pct"/>
            <w:vAlign w:val="center"/>
          </w:tcPr>
          <w:p w14:paraId="05577801">
            <w:pPr>
              <w:rPr>
                <w:rFonts w:hint="eastAsia" w:ascii="宋体" w:hAnsi="宋体" w:cs="宋体"/>
                <w:color w:val="auto"/>
                <w:sz w:val="22"/>
                <w:szCs w:val="22"/>
                <w:highlight w:val="none"/>
                <w:lang w:val="zh-CN"/>
              </w:rPr>
            </w:pPr>
            <w:r>
              <w:rPr>
                <w:rFonts w:hint="eastAsia"/>
                <w:color w:val="auto"/>
                <w:sz w:val="22"/>
                <w:szCs w:val="22"/>
                <w:highlight w:val="none"/>
              </w:rPr>
              <w:t xml:space="preserve"> </w:t>
            </w:r>
            <w:r>
              <w:rPr>
                <w:rFonts w:hint="eastAsia" w:ascii="宋体" w:hAnsi="宋体" w:cs="宋体"/>
                <w:bCs/>
                <w:color w:val="auto"/>
                <w:sz w:val="22"/>
                <w:szCs w:val="22"/>
                <w:highlight w:val="none"/>
              </w:rPr>
              <w:t>投标人如为经销商，所投产品为进口产品，需提供生产厂家或生产厂家中国区代理商针对本项目的授权 （如生产厂家中国区代理商针对本项目的授权时需要提供生产厂家对中国区代理商 授权文件的复印件。）</w:t>
            </w:r>
          </w:p>
        </w:tc>
      </w:tr>
    </w:tbl>
    <w:p w14:paraId="6FD5318E">
      <w:pPr>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详细评审</w:t>
      </w:r>
    </w:p>
    <w:tbl>
      <w:tblPr>
        <w:tblStyle w:val="45"/>
        <w:tblW w:w="94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854"/>
        <w:gridCol w:w="1692"/>
        <w:gridCol w:w="5992"/>
      </w:tblGrid>
      <w:tr w14:paraId="39EED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54" w:type="dxa"/>
            <w:gridSpan w:val="2"/>
            <w:vAlign w:val="center"/>
          </w:tcPr>
          <w:p w14:paraId="62300903">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条款号</w:t>
            </w:r>
          </w:p>
        </w:tc>
        <w:tc>
          <w:tcPr>
            <w:tcW w:w="1692" w:type="dxa"/>
            <w:vAlign w:val="center"/>
          </w:tcPr>
          <w:p w14:paraId="5965E931">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条款内容</w:t>
            </w:r>
          </w:p>
        </w:tc>
        <w:tc>
          <w:tcPr>
            <w:tcW w:w="5992" w:type="dxa"/>
            <w:vAlign w:val="center"/>
          </w:tcPr>
          <w:p w14:paraId="57252B46">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编列内容</w:t>
            </w:r>
          </w:p>
        </w:tc>
      </w:tr>
      <w:tr w14:paraId="5B379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54" w:type="dxa"/>
            <w:gridSpan w:val="2"/>
            <w:vAlign w:val="center"/>
          </w:tcPr>
          <w:p w14:paraId="3E6D5BCA">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2.2.1</w:t>
            </w:r>
          </w:p>
        </w:tc>
        <w:tc>
          <w:tcPr>
            <w:tcW w:w="1692" w:type="dxa"/>
            <w:vAlign w:val="center"/>
          </w:tcPr>
          <w:p w14:paraId="0E62655D">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分值构成</w:t>
            </w:r>
          </w:p>
          <w:p w14:paraId="52151BF8">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(总分100 分)</w:t>
            </w:r>
          </w:p>
        </w:tc>
        <w:tc>
          <w:tcPr>
            <w:tcW w:w="5992" w:type="dxa"/>
            <w:vAlign w:val="center"/>
          </w:tcPr>
          <w:p w14:paraId="37505A48">
            <w:pPr>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商务部分：10分</w:t>
            </w:r>
          </w:p>
          <w:p w14:paraId="406CE31B">
            <w:pPr>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技术部分：60分</w:t>
            </w:r>
          </w:p>
          <w:p w14:paraId="12644E2E">
            <w:pPr>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投标报价：30分</w:t>
            </w:r>
          </w:p>
        </w:tc>
      </w:tr>
      <w:tr w14:paraId="7AFCD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54" w:type="dxa"/>
            <w:gridSpan w:val="2"/>
            <w:vAlign w:val="center"/>
          </w:tcPr>
          <w:p w14:paraId="689DD76D">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条款号</w:t>
            </w:r>
          </w:p>
        </w:tc>
        <w:tc>
          <w:tcPr>
            <w:tcW w:w="1692" w:type="dxa"/>
            <w:vAlign w:val="center"/>
          </w:tcPr>
          <w:p w14:paraId="54474266">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评分因素</w:t>
            </w:r>
          </w:p>
          <w:p w14:paraId="145ED1FD">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（偏差率）</w:t>
            </w:r>
          </w:p>
        </w:tc>
        <w:tc>
          <w:tcPr>
            <w:tcW w:w="5992" w:type="dxa"/>
            <w:vAlign w:val="center"/>
          </w:tcPr>
          <w:p w14:paraId="0F51C4AF">
            <w:pPr>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评分标准</w:t>
            </w:r>
          </w:p>
        </w:tc>
      </w:tr>
      <w:tr w14:paraId="18F44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00" w:type="dxa"/>
            <w:vMerge w:val="restart"/>
            <w:vAlign w:val="center"/>
          </w:tcPr>
          <w:p w14:paraId="5B9E8082">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2.2.4（1）</w:t>
            </w:r>
          </w:p>
        </w:tc>
        <w:tc>
          <w:tcPr>
            <w:tcW w:w="854" w:type="dxa"/>
            <w:vMerge w:val="restart"/>
            <w:vAlign w:val="center"/>
          </w:tcPr>
          <w:p w14:paraId="54CF3FED">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商务评分标准</w:t>
            </w:r>
          </w:p>
        </w:tc>
        <w:tc>
          <w:tcPr>
            <w:tcW w:w="1692" w:type="dxa"/>
            <w:shd w:val="clear" w:color="auto" w:fill="auto"/>
            <w:vAlign w:val="center"/>
          </w:tcPr>
          <w:p w14:paraId="3675CE45">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优惠条件</w:t>
            </w:r>
          </w:p>
          <w:p w14:paraId="41F036DB">
            <w:pPr>
              <w:jc w:val="center"/>
              <w:rPr>
                <w:rFonts w:hint="eastAsia" w:ascii="宋体" w:hAnsi="宋体" w:cs="宋体"/>
                <w:color w:val="auto"/>
                <w:kern w:val="2"/>
                <w:sz w:val="22"/>
                <w:szCs w:val="22"/>
                <w:highlight w:val="none"/>
              </w:rPr>
            </w:pPr>
            <w:r>
              <w:rPr>
                <w:rFonts w:hint="eastAsia" w:ascii="宋体" w:hAnsi="宋体" w:cs="宋体"/>
                <w:color w:val="auto"/>
                <w:sz w:val="22"/>
                <w:szCs w:val="22"/>
                <w:highlight w:val="none"/>
              </w:rPr>
              <w:t>（6分）</w:t>
            </w:r>
          </w:p>
        </w:tc>
        <w:tc>
          <w:tcPr>
            <w:tcW w:w="5992" w:type="dxa"/>
            <w:shd w:val="clear" w:color="auto" w:fill="auto"/>
            <w:vAlign w:val="center"/>
          </w:tcPr>
          <w:p w14:paraId="5217D506">
            <w:pPr>
              <w:rPr>
                <w:rFonts w:hint="eastAsia" w:ascii="宋体" w:hAnsi="宋体" w:cs="宋体"/>
                <w:color w:val="auto"/>
                <w:kern w:val="2"/>
                <w:sz w:val="22"/>
                <w:szCs w:val="22"/>
                <w:highlight w:val="none"/>
              </w:rPr>
            </w:pPr>
            <w:r>
              <w:rPr>
                <w:rFonts w:hint="eastAsia" w:ascii="宋体" w:hAnsi="宋体" w:cs="宋体"/>
                <w:color w:val="auto"/>
                <w:sz w:val="22"/>
                <w:szCs w:val="22"/>
                <w:highlight w:val="none"/>
              </w:rPr>
              <w:t>对投标人提出的采购人可以接受的实质性合理优惠条件，每有一项得2分，满分6分，无不得分。</w:t>
            </w:r>
          </w:p>
        </w:tc>
      </w:tr>
      <w:tr w14:paraId="789F0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00" w:type="dxa"/>
            <w:vMerge w:val="continue"/>
            <w:vAlign w:val="center"/>
          </w:tcPr>
          <w:p w14:paraId="67FCF403">
            <w:pPr>
              <w:jc w:val="center"/>
              <w:rPr>
                <w:rFonts w:hint="eastAsia" w:ascii="宋体" w:hAnsi="宋体" w:cs="宋体"/>
                <w:color w:val="auto"/>
                <w:sz w:val="22"/>
                <w:szCs w:val="22"/>
                <w:highlight w:val="none"/>
              </w:rPr>
            </w:pPr>
          </w:p>
        </w:tc>
        <w:tc>
          <w:tcPr>
            <w:tcW w:w="854" w:type="dxa"/>
            <w:vMerge w:val="continue"/>
            <w:vAlign w:val="center"/>
          </w:tcPr>
          <w:p w14:paraId="56B4FB45">
            <w:pPr>
              <w:jc w:val="center"/>
              <w:rPr>
                <w:rFonts w:hint="eastAsia" w:ascii="宋体" w:hAnsi="宋体" w:cs="宋体"/>
                <w:color w:val="auto"/>
                <w:sz w:val="22"/>
                <w:szCs w:val="22"/>
                <w:highlight w:val="none"/>
              </w:rPr>
            </w:pPr>
          </w:p>
        </w:tc>
        <w:tc>
          <w:tcPr>
            <w:tcW w:w="1692" w:type="dxa"/>
            <w:shd w:val="clear" w:color="auto" w:fill="auto"/>
            <w:vAlign w:val="center"/>
          </w:tcPr>
          <w:p w14:paraId="04304FE2">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服务承诺</w:t>
            </w:r>
          </w:p>
          <w:p w14:paraId="5EF75AA1">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（4分）</w:t>
            </w:r>
          </w:p>
        </w:tc>
        <w:tc>
          <w:tcPr>
            <w:tcW w:w="5992" w:type="dxa"/>
            <w:shd w:val="clear" w:color="auto" w:fill="auto"/>
            <w:vAlign w:val="center"/>
          </w:tcPr>
          <w:p w14:paraId="50BE712F">
            <w:pPr>
              <w:rPr>
                <w:rFonts w:hint="eastAsia" w:ascii="宋体" w:hAnsi="宋体" w:cs="宋体"/>
                <w:color w:val="auto"/>
                <w:sz w:val="22"/>
                <w:szCs w:val="22"/>
                <w:highlight w:val="none"/>
              </w:rPr>
            </w:pPr>
            <w:r>
              <w:rPr>
                <w:rFonts w:hint="eastAsia" w:ascii="宋体" w:hAnsi="宋体" w:cs="宋体"/>
                <w:color w:val="auto"/>
                <w:sz w:val="22"/>
                <w:szCs w:val="22"/>
                <w:highlight w:val="none"/>
              </w:rPr>
              <w:t>对投标人提出的采购人可以接受的实质性服务承诺，每有一项得2分，满分4分，无不得分。</w:t>
            </w:r>
          </w:p>
        </w:tc>
      </w:tr>
      <w:tr w14:paraId="37A8A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00" w:type="dxa"/>
            <w:vMerge w:val="restart"/>
            <w:shd w:val="clear" w:color="auto" w:fill="auto"/>
            <w:vAlign w:val="center"/>
          </w:tcPr>
          <w:p w14:paraId="336DAB6D">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2.2.4（2）</w:t>
            </w:r>
          </w:p>
        </w:tc>
        <w:tc>
          <w:tcPr>
            <w:tcW w:w="854" w:type="dxa"/>
            <w:vMerge w:val="restart"/>
            <w:shd w:val="clear" w:color="auto" w:fill="auto"/>
            <w:vAlign w:val="center"/>
          </w:tcPr>
          <w:p w14:paraId="42FD339C">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技术评分标准</w:t>
            </w:r>
          </w:p>
        </w:tc>
        <w:tc>
          <w:tcPr>
            <w:tcW w:w="1692" w:type="dxa"/>
            <w:vAlign w:val="center"/>
          </w:tcPr>
          <w:p w14:paraId="3FE76B50">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技术参数指标（40分）</w:t>
            </w:r>
          </w:p>
        </w:tc>
        <w:tc>
          <w:tcPr>
            <w:tcW w:w="5992" w:type="dxa"/>
          </w:tcPr>
          <w:p w14:paraId="6BBE3FC6">
            <w:pP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请投标人注意：</w:t>
            </w:r>
          </w:p>
          <w:p w14:paraId="64CADABE">
            <w:pP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1.采购需求中所有条款为实质性条款，任意一项参数负偏离，将导致投标无效；</w:t>
            </w:r>
          </w:p>
          <w:p w14:paraId="19FA2C58">
            <w:pP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2.标注“★/*”号的技术参数为重要参数，所投产品的“★/*”号参数优于招标文件中的“★/*”号参数，予以加分，每有一项优于要求的加2分，满分40分。</w:t>
            </w:r>
          </w:p>
          <w:p w14:paraId="21B01F2C">
            <w:pPr>
              <w:rPr>
                <w:rFonts w:hint="eastAsia" w:ascii="宋体" w:hAnsi="宋体" w:cs="宋体"/>
                <w:color w:val="auto"/>
                <w:sz w:val="22"/>
                <w:szCs w:val="22"/>
                <w:highlight w:val="none"/>
              </w:rPr>
            </w:pPr>
            <w:r>
              <w:rPr>
                <w:rFonts w:hint="eastAsia" w:ascii="宋体" w:hAnsi="宋体" w:cs="宋体"/>
                <w:color w:val="auto"/>
                <w:sz w:val="22"/>
                <w:szCs w:val="22"/>
                <w:highlight w:val="none"/>
              </w:rPr>
              <w:t>注：供应商须在技术规格偏离表中对技术要求进行逐条响应，采购文件技术规格及要求中标注“</w:t>
            </w:r>
            <w:r>
              <w:rPr>
                <w:rFonts w:hint="eastAsia" w:ascii="宋体" w:hAnsi="宋体" w:cs="宋体"/>
                <w:b/>
                <w:bCs/>
                <w:color w:val="auto"/>
                <w:sz w:val="22"/>
                <w:szCs w:val="22"/>
                <w:highlight w:val="none"/>
              </w:rPr>
              <w:t>★/*</w:t>
            </w:r>
            <w:r>
              <w:rPr>
                <w:rFonts w:hint="eastAsia" w:ascii="宋体" w:hAnsi="宋体" w:cs="宋体"/>
                <w:color w:val="auto"/>
                <w:sz w:val="22"/>
                <w:szCs w:val="22"/>
                <w:highlight w:val="none"/>
              </w:rPr>
              <w:t>”号的条款，应在参数说明文件中体现，如未提供参数说明文件或文件不满足采购文件要求的，评审委员会在对采购文件技术规格要求的响应程度评审时不予认可。</w:t>
            </w:r>
          </w:p>
          <w:p w14:paraId="00F030D1">
            <w:pPr>
              <w:rPr>
                <w:rFonts w:hint="eastAsia" w:ascii="宋体" w:hAnsi="宋体" w:cs="宋体"/>
                <w:color w:val="auto"/>
                <w:sz w:val="22"/>
                <w:szCs w:val="22"/>
                <w:highlight w:val="none"/>
              </w:rPr>
            </w:pPr>
            <w:r>
              <w:rPr>
                <w:rFonts w:hint="eastAsia" w:ascii="宋体" w:hAnsi="宋体" w:cs="宋体"/>
                <w:color w:val="auto"/>
                <w:sz w:val="22"/>
                <w:szCs w:val="22"/>
                <w:highlight w:val="none"/>
              </w:rPr>
              <w:t>（说明文件需提供下述任意证明材料一种或多种：如：产品彩页、图册样本、技术说明书、技术白皮书、认证证书、医疗器械注册证、实机展示画面截图或照片等。技术参数的佐证内容应体现在上述证明材料中；未体现的视为不响应，凡不符合上述要求的，将视为无效说明文件）。</w:t>
            </w:r>
          </w:p>
        </w:tc>
      </w:tr>
      <w:tr w14:paraId="16A6F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00" w:type="dxa"/>
            <w:vMerge w:val="continue"/>
            <w:vAlign w:val="center"/>
          </w:tcPr>
          <w:p w14:paraId="45BB6283">
            <w:pPr>
              <w:jc w:val="center"/>
              <w:rPr>
                <w:rFonts w:hint="eastAsia" w:ascii="宋体" w:hAnsi="宋体" w:cs="宋体"/>
                <w:color w:val="auto"/>
                <w:sz w:val="22"/>
                <w:szCs w:val="22"/>
                <w:highlight w:val="none"/>
              </w:rPr>
            </w:pPr>
          </w:p>
        </w:tc>
        <w:tc>
          <w:tcPr>
            <w:tcW w:w="854" w:type="dxa"/>
            <w:vMerge w:val="continue"/>
            <w:vAlign w:val="center"/>
          </w:tcPr>
          <w:p w14:paraId="4E3CE0A1">
            <w:pPr>
              <w:jc w:val="center"/>
              <w:rPr>
                <w:rFonts w:hint="eastAsia" w:ascii="宋体" w:hAnsi="宋体" w:cs="宋体"/>
                <w:color w:val="auto"/>
                <w:sz w:val="22"/>
                <w:szCs w:val="22"/>
                <w:highlight w:val="none"/>
              </w:rPr>
            </w:pPr>
          </w:p>
        </w:tc>
        <w:tc>
          <w:tcPr>
            <w:tcW w:w="1692" w:type="dxa"/>
            <w:shd w:val="clear" w:color="auto" w:fill="auto"/>
            <w:vAlign w:val="center"/>
          </w:tcPr>
          <w:p w14:paraId="39B88406">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安全保障措施方案（6分）</w:t>
            </w:r>
          </w:p>
        </w:tc>
        <w:tc>
          <w:tcPr>
            <w:tcW w:w="5992" w:type="dxa"/>
            <w:shd w:val="clear" w:color="auto" w:fill="auto"/>
            <w:vAlign w:val="center"/>
          </w:tcPr>
          <w:p w14:paraId="1B73229F">
            <w:pPr>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安全保障措施方案包括但不限于设备安全防护制度、安全管理人员分工等内容，进行综合评分：</w:t>
            </w:r>
          </w:p>
          <w:p w14:paraId="2C17F520">
            <w:pPr>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具有明确的设备安全防护制度且全面细致的，得2分；</w:t>
            </w:r>
          </w:p>
          <w:p w14:paraId="3571F782">
            <w:pPr>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具有明确的安全管理人员分工且科学可行的，得2分；</w:t>
            </w:r>
          </w:p>
          <w:p w14:paraId="595F2D0A">
            <w:pPr>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整体方案全面且与采购需求相匹配的，得2分；</w:t>
            </w:r>
          </w:p>
          <w:p w14:paraId="03091805">
            <w:pPr>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其他不得分。</w:t>
            </w:r>
          </w:p>
        </w:tc>
      </w:tr>
      <w:tr w14:paraId="748D8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00" w:type="dxa"/>
            <w:vMerge w:val="continue"/>
            <w:vAlign w:val="center"/>
          </w:tcPr>
          <w:p w14:paraId="1B2080F9">
            <w:pPr>
              <w:jc w:val="center"/>
              <w:rPr>
                <w:rFonts w:hint="eastAsia" w:ascii="宋体" w:hAnsi="宋体" w:cs="宋体"/>
                <w:color w:val="auto"/>
                <w:sz w:val="22"/>
                <w:szCs w:val="22"/>
                <w:highlight w:val="none"/>
              </w:rPr>
            </w:pPr>
          </w:p>
        </w:tc>
        <w:tc>
          <w:tcPr>
            <w:tcW w:w="854" w:type="dxa"/>
            <w:vMerge w:val="continue"/>
            <w:vAlign w:val="center"/>
          </w:tcPr>
          <w:p w14:paraId="4518E948">
            <w:pPr>
              <w:jc w:val="center"/>
              <w:rPr>
                <w:rFonts w:hint="eastAsia" w:ascii="宋体" w:hAnsi="宋体" w:cs="宋体"/>
                <w:color w:val="auto"/>
                <w:sz w:val="22"/>
                <w:szCs w:val="22"/>
                <w:highlight w:val="none"/>
              </w:rPr>
            </w:pPr>
          </w:p>
        </w:tc>
        <w:tc>
          <w:tcPr>
            <w:tcW w:w="1692" w:type="dxa"/>
            <w:shd w:val="clear" w:color="auto" w:fill="auto"/>
            <w:vAlign w:val="center"/>
          </w:tcPr>
          <w:p w14:paraId="1C852966">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突发应急预案（6分）</w:t>
            </w:r>
          </w:p>
        </w:tc>
        <w:tc>
          <w:tcPr>
            <w:tcW w:w="5992" w:type="dxa"/>
            <w:shd w:val="clear" w:color="auto" w:fill="auto"/>
            <w:vAlign w:val="center"/>
          </w:tcPr>
          <w:p w14:paraId="1977FDCD">
            <w:pPr>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突发应急预案包括但不限于紧急事件处理预案管理制度、处理流程及标准、突发公共事件处理办法等内容，进行综合评分：</w:t>
            </w:r>
          </w:p>
          <w:p w14:paraId="6BE2E5EB">
            <w:pPr>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具有明确的紧急事件处理预案管理制度、流程及标准且全面完善的，得2分；</w:t>
            </w:r>
          </w:p>
          <w:p w14:paraId="23E9FF95">
            <w:pPr>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具有明确的突发公共事件处理办法且科学可行的，得2分；</w:t>
            </w:r>
          </w:p>
          <w:p w14:paraId="1F85D4A7">
            <w:pPr>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整体方案全面且与采购需求相匹配的，得2分；</w:t>
            </w:r>
          </w:p>
          <w:p w14:paraId="1174C378">
            <w:pPr>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其他不得分。</w:t>
            </w:r>
          </w:p>
        </w:tc>
      </w:tr>
      <w:tr w14:paraId="331EC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00" w:type="dxa"/>
            <w:vMerge w:val="continue"/>
            <w:vAlign w:val="center"/>
          </w:tcPr>
          <w:p w14:paraId="22CB3B89">
            <w:pPr>
              <w:jc w:val="center"/>
              <w:rPr>
                <w:rFonts w:hint="eastAsia" w:ascii="宋体" w:hAnsi="宋体" w:cs="宋体"/>
                <w:color w:val="auto"/>
                <w:sz w:val="22"/>
                <w:szCs w:val="22"/>
                <w:highlight w:val="none"/>
              </w:rPr>
            </w:pPr>
          </w:p>
        </w:tc>
        <w:tc>
          <w:tcPr>
            <w:tcW w:w="854" w:type="dxa"/>
            <w:vMerge w:val="continue"/>
            <w:vAlign w:val="center"/>
          </w:tcPr>
          <w:p w14:paraId="77940882">
            <w:pPr>
              <w:jc w:val="center"/>
              <w:rPr>
                <w:rFonts w:hint="eastAsia" w:ascii="宋体" w:hAnsi="宋体" w:cs="宋体"/>
                <w:color w:val="auto"/>
                <w:sz w:val="22"/>
                <w:szCs w:val="22"/>
                <w:highlight w:val="none"/>
              </w:rPr>
            </w:pPr>
          </w:p>
        </w:tc>
        <w:tc>
          <w:tcPr>
            <w:tcW w:w="1692" w:type="dxa"/>
            <w:vAlign w:val="center"/>
          </w:tcPr>
          <w:p w14:paraId="262D31A3">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供货保证措施及</w:t>
            </w:r>
          </w:p>
          <w:p w14:paraId="5FC72972">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运输方案（8分）</w:t>
            </w:r>
          </w:p>
        </w:tc>
        <w:tc>
          <w:tcPr>
            <w:tcW w:w="5992" w:type="dxa"/>
            <w:vAlign w:val="center"/>
          </w:tcPr>
          <w:p w14:paraId="516112B8">
            <w:pPr>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对投标人提供的供货保证措施及运输方案进行综合评价，包含以</w:t>
            </w:r>
          </w:p>
          <w:p w14:paraId="5441BD3D">
            <w:pPr>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下 4 个子项：</w:t>
            </w:r>
          </w:p>
          <w:p w14:paraId="220967BC">
            <w:pPr>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1.产品供货流程及时间安排；</w:t>
            </w:r>
          </w:p>
          <w:p w14:paraId="5BC1DAA4">
            <w:pPr>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2.产品的出库、包装措施、运输方案及应急措施；</w:t>
            </w:r>
          </w:p>
          <w:p w14:paraId="57DD032F">
            <w:pPr>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3.产品的运输风险预防措施及运输过程中出现损坏的处理方案；</w:t>
            </w:r>
          </w:p>
          <w:p w14:paraId="5749C820">
            <w:pPr>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4.产品到达指定地点后交接、签收验货方案；</w:t>
            </w:r>
          </w:p>
          <w:p w14:paraId="057E2644">
            <w:pPr>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方案需针对本项目采购需求及实际特点进行编写，满足要求且具</w:t>
            </w:r>
          </w:p>
          <w:p w14:paraId="1ADAA463">
            <w:pPr>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备 1 个子项内容得 2 分，总计最高得 8分。</w:t>
            </w:r>
          </w:p>
          <w:p w14:paraId="49783CFA">
            <w:pPr>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序号“1-4”中所提供的方案内容中每有一处缺陷（缺陷是指：只提供评分标准标题、内容缺项、不相符、内容前后不一致、前后逻辑错误、涉及的规范及标准错误、地点区域错误、套用其他项目方案、简单复制招标文件、存在不可能实现的夸大情形描述、不提供）均不得分。</w:t>
            </w:r>
          </w:p>
        </w:tc>
      </w:tr>
      <w:tr w14:paraId="715D5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00" w:type="dxa"/>
            <w:vAlign w:val="center"/>
          </w:tcPr>
          <w:p w14:paraId="39E4AE7E">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2.2.4</w:t>
            </w:r>
          </w:p>
          <w:p w14:paraId="64E81901">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854" w:type="dxa"/>
            <w:vAlign w:val="center"/>
          </w:tcPr>
          <w:p w14:paraId="1356D8FD">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投标报价评分标准</w:t>
            </w:r>
          </w:p>
        </w:tc>
        <w:tc>
          <w:tcPr>
            <w:tcW w:w="1692" w:type="dxa"/>
            <w:vAlign w:val="center"/>
          </w:tcPr>
          <w:p w14:paraId="3A3EB4F9">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报价得分</w:t>
            </w:r>
          </w:p>
          <w:p w14:paraId="146F50D8">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（30分）</w:t>
            </w:r>
          </w:p>
        </w:tc>
        <w:tc>
          <w:tcPr>
            <w:tcW w:w="5992" w:type="dxa"/>
            <w:vAlign w:val="center"/>
          </w:tcPr>
          <w:p w14:paraId="7DA247AB">
            <w:pPr>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以按照招标文件规定修正后的所有合格投标人的评标价的最低价作为评分基准价。投标人的价格分按下式计算：</w:t>
            </w:r>
          </w:p>
          <w:p w14:paraId="1E06CCD2">
            <w:pPr>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价格分=（评分基准价/评标价）×30。</w:t>
            </w:r>
          </w:p>
          <w:p w14:paraId="4C8F338A">
            <w:pPr>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得分四舍五入保留小数点后两位</w:t>
            </w:r>
          </w:p>
        </w:tc>
      </w:tr>
    </w:tbl>
    <w:p w14:paraId="66F0064B">
      <w:pPr>
        <w:pStyle w:val="16"/>
        <w:rPr>
          <w:color w:val="auto"/>
          <w:highlight w:val="none"/>
        </w:rPr>
      </w:pPr>
    </w:p>
    <w:p w14:paraId="54838619">
      <w:pPr>
        <w:pStyle w:val="16"/>
        <w:rPr>
          <w:color w:val="auto"/>
          <w:highlight w:val="none"/>
        </w:rPr>
      </w:pPr>
    </w:p>
    <w:p w14:paraId="66F06317">
      <w:pPr>
        <w:pStyle w:val="16"/>
        <w:rPr>
          <w:color w:val="auto"/>
          <w:highlight w:val="none"/>
        </w:rPr>
      </w:pPr>
    </w:p>
    <w:p w14:paraId="236829DE">
      <w:pPr>
        <w:pStyle w:val="16"/>
        <w:rPr>
          <w:color w:val="auto"/>
          <w:highlight w:val="none"/>
        </w:rPr>
      </w:pPr>
    </w:p>
    <w:p w14:paraId="39CFB745">
      <w:pPr>
        <w:pStyle w:val="16"/>
        <w:rPr>
          <w:color w:val="auto"/>
          <w:highlight w:val="none"/>
        </w:rPr>
      </w:pPr>
    </w:p>
    <w:p w14:paraId="00A20E18">
      <w:pPr>
        <w:spacing w:line="360" w:lineRule="auto"/>
        <w:jc w:val="center"/>
        <w:outlineLvl w:val="0"/>
        <w:rPr>
          <w:rFonts w:hint="eastAsia" w:asciiTheme="minorEastAsia" w:hAnsiTheme="minorEastAsia" w:eastAsiaTheme="minorEastAsia" w:cstheme="minorEastAsia"/>
          <w:b/>
          <w:color w:val="auto"/>
          <w:sz w:val="40"/>
          <w:szCs w:val="40"/>
          <w:highlight w:val="none"/>
        </w:rPr>
      </w:pPr>
    </w:p>
    <w:p w14:paraId="61BE3655">
      <w:pPr>
        <w:spacing w:line="360" w:lineRule="auto"/>
        <w:jc w:val="center"/>
        <w:outlineLvl w:val="0"/>
        <w:rPr>
          <w:rFonts w:hint="eastAsia" w:asciiTheme="minorEastAsia" w:hAnsiTheme="minorEastAsia" w:eastAsiaTheme="minorEastAsia" w:cstheme="minorEastAsia"/>
          <w:b/>
          <w:color w:val="auto"/>
          <w:sz w:val="40"/>
          <w:szCs w:val="40"/>
          <w:highlight w:val="none"/>
        </w:rPr>
      </w:pPr>
    </w:p>
    <w:p w14:paraId="7A4B614C">
      <w:pPr>
        <w:spacing w:line="360" w:lineRule="auto"/>
        <w:jc w:val="center"/>
        <w:outlineLvl w:val="0"/>
        <w:rPr>
          <w:rFonts w:hint="eastAsia" w:asciiTheme="minorEastAsia" w:hAnsiTheme="minorEastAsia" w:eastAsiaTheme="minorEastAsia" w:cstheme="minorEastAsia"/>
          <w:b/>
          <w:color w:val="auto"/>
          <w:sz w:val="40"/>
          <w:szCs w:val="40"/>
          <w:highlight w:val="none"/>
        </w:rPr>
      </w:pPr>
    </w:p>
    <w:p w14:paraId="53F1173C">
      <w:pPr>
        <w:spacing w:line="360" w:lineRule="auto"/>
        <w:jc w:val="center"/>
        <w:outlineLvl w:val="0"/>
        <w:rPr>
          <w:rFonts w:hint="eastAsia" w:asciiTheme="minorEastAsia" w:hAnsiTheme="minorEastAsia" w:eastAsiaTheme="minorEastAsia" w:cstheme="minorEastAsia"/>
          <w:b/>
          <w:color w:val="auto"/>
          <w:sz w:val="40"/>
          <w:szCs w:val="40"/>
          <w:highlight w:val="none"/>
        </w:rPr>
      </w:pPr>
    </w:p>
    <w:p w14:paraId="088C86FA">
      <w:pPr>
        <w:spacing w:line="360" w:lineRule="auto"/>
        <w:jc w:val="center"/>
        <w:outlineLvl w:val="0"/>
        <w:rPr>
          <w:rFonts w:hint="eastAsia" w:asciiTheme="minorEastAsia" w:hAnsiTheme="minorEastAsia" w:eastAsiaTheme="minorEastAsia" w:cstheme="minorEastAsia"/>
          <w:b/>
          <w:color w:val="auto"/>
          <w:sz w:val="40"/>
          <w:szCs w:val="40"/>
          <w:highlight w:val="none"/>
        </w:rPr>
      </w:pPr>
    </w:p>
    <w:p w14:paraId="52F5A719">
      <w:pPr>
        <w:spacing w:line="360" w:lineRule="auto"/>
        <w:jc w:val="center"/>
        <w:outlineLvl w:val="0"/>
        <w:rPr>
          <w:rFonts w:hint="eastAsia" w:asciiTheme="minorEastAsia" w:hAnsiTheme="minorEastAsia" w:eastAsiaTheme="minorEastAsia" w:cstheme="minorEastAsia"/>
          <w:b/>
          <w:color w:val="auto"/>
          <w:sz w:val="40"/>
          <w:szCs w:val="40"/>
          <w:highlight w:val="none"/>
        </w:rPr>
      </w:pPr>
    </w:p>
    <w:p w14:paraId="20265A47">
      <w:pPr>
        <w:spacing w:line="360" w:lineRule="auto"/>
        <w:jc w:val="center"/>
        <w:outlineLvl w:val="0"/>
        <w:rPr>
          <w:rFonts w:hint="eastAsia" w:asciiTheme="minorEastAsia" w:hAnsiTheme="minorEastAsia" w:eastAsiaTheme="minorEastAsia" w:cstheme="minorEastAsia"/>
          <w:b/>
          <w:color w:val="auto"/>
          <w:sz w:val="40"/>
          <w:szCs w:val="40"/>
          <w:highlight w:val="none"/>
        </w:rPr>
      </w:pPr>
    </w:p>
    <w:p w14:paraId="0718156B">
      <w:pPr>
        <w:spacing w:line="360" w:lineRule="auto"/>
        <w:jc w:val="center"/>
        <w:outlineLvl w:val="0"/>
        <w:rPr>
          <w:rFonts w:hint="eastAsia" w:asciiTheme="minorEastAsia" w:hAnsiTheme="minorEastAsia" w:eastAsiaTheme="minorEastAsia" w:cstheme="minorEastAsia"/>
          <w:b/>
          <w:color w:val="auto"/>
          <w:sz w:val="40"/>
          <w:szCs w:val="40"/>
          <w:highlight w:val="none"/>
        </w:rPr>
      </w:pPr>
    </w:p>
    <w:p w14:paraId="499AB288">
      <w:pPr>
        <w:spacing w:line="360" w:lineRule="auto"/>
        <w:jc w:val="center"/>
        <w:outlineLvl w:val="0"/>
        <w:rPr>
          <w:rFonts w:hint="eastAsia" w:asciiTheme="minorEastAsia" w:hAnsiTheme="minorEastAsia" w:eastAsiaTheme="minorEastAsia" w:cstheme="minorEastAsia"/>
          <w:b/>
          <w:color w:val="auto"/>
          <w:sz w:val="40"/>
          <w:szCs w:val="40"/>
          <w:highlight w:val="none"/>
        </w:rPr>
      </w:pPr>
    </w:p>
    <w:p w14:paraId="632DEBD3">
      <w:pPr>
        <w:pStyle w:val="2"/>
        <w:rPr>
          <w:rFonts w:hint="eastAsia" w:ascii="宋体" w:eastAsia="宋体" w:cs="宋体"/>
          <w:b/>
          <w:bCs/>
          <w:color w:val="auto"/>
          <w:sz w:val="36"/>
          <w:szCs w:val="36"/>
          <w:highlight w:val="none"/>
        </w:rPr>
      </w:pPr>
      <w:bookmarkStart w:id="47" w:name="_Toc20307"/>
    </w:p>
    <w:p w14:paraId="56B892EA">
      <w:pPr>
        <w:pStyle w:val="2"/>
        <w:rPr>
          <w:rFonts w:hint="eastAsia" w:asciiTheme="minorEastAsia" w:hAnsiTheme="minorEastAsia" w:eastAsiaTheme="minorEastAsia" w:cstheme="minorEastAsia"/>
          <w:b/>
          <w:bCs/>
          <w:color w:val="auto"/>
          <w:szCs w:val="40"/>
          <w:highlight w:val="none"/>
        </w:rPr>
      </w:pPr>
      <w:r>
        <w:rPr>
          <w:rFonts w:hint="eastAsia" w:ascii="宋体" w:eastAsia="宋体" w:cs="宋体"/>
          <w:b/>
          <w:bCs/>
          <w:color w:val="auto"/>
          <w:sz w:val="36"/>
          <w:szCs w:val="36"/>
          <w:highlight w:val="none"/>
        </w:rPr>
        <w:t>第六章 响应文件格式</w:t>
      </w:r>
      <w:bookmarkEnd w:id="47"/>
    </w:p>
    <w:p w14:paraId="61652DDE">
      <w:pPr>
        <w:spacing w:line="360" w:lineRule="auto"/>
        <w:jc w:val="center"/>
        <w:rPr>
          <w:rFonts w:hint="eastAsia" w:asciiTheme="minorEastAsia" w:hAnsiTheme="minorEastAsia" w:eastAsiaTheme="minorEastAsia" w:cstheme="minorEastAsia"/>
          <w:b/>
          <w:bCs/>
          <w:color w:val="auto"/>
          <w:sz w:val="44"/>
          <w:szCs w:val="44"/>
          <w:highlight w:val="none"/>
        </w:rPr>
      </w:pPr>
    </w:p>
    <w:p w14:paraId="465EC1DF">
      <w:pPr>
        <w:pStyle w:val="16"/>
        <w:rPr>
          <w:color w:val="auto"/>
          <w:highlight w:val="none"/>
        </w:rPr>
      </w:pPr>
    </w:p>
    <w:p w14:paraId="3CEAD80D">
      <w:pPr>
        <w:spacing w:line="360" w:lineRule="auto"/>
        <w:jc w:val="center"/>
        <w:rPr>
          <w:rFonts w:hint="eastAsia" w:asciiTheme="minorEastAsia" w:hAnsiTheme="minorEastAsia" w:eastAsiaTheme="minorEastAsia" w:cstheme="minorEastAsia"/>
          <w:b/>
          <w:bCs/>
          <w:color w:val="auto"/>
          <w:sz w:val="44"/>
          <w:szCs w:val="44"/>
          <w:highlight w:val="none"/>
          <w:lang w:val="zh-CN"/>
        </w:rPr>
        <w:sectPr>
          <w:pgSz w:w="11906" w:h="16838"/>
          <w:pgMar w:top="1418" w:right="1134" w:bottom="1418" w:left="1276" w:header="720" w:footer="720" w:gutter="0"/>
          <w:cols w:space="720" w:num="1"/>
          <w:docGrid w:linePitch="312" w:charSpace="0"/>
        </w:sectPr>
      </w:pPr>
    </w:p>
    <w:p w14:paraId="3B7A00A6">
      <w:pPr>
        <w:spacing w:line="360" w:lineRule="auto"/>
        <w:jc w:val="right"/>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color w:val="auto"/>
          <w:sz w:val="44"/>
          <w:szCs w:val="44"/>
          <w:highlight w:val="none"/>
        </w:rPr>
        <w:t>正/副本</w:t>
      </w:r>
    </w:p>
    <w:p w14:paraId="2DF7ED5B">
      <w:pPr>
        <w:spacing w:line="360" w:lineRule="auto"/>
        <w:ind w:firstLine="883" w:firstLineChars="200"/>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u w:val="single"/>
        </w:rPr>
        <w:t xml:space="preserve">            （项目名称）         </w:t>
      </w:r>
    </w:p>
    <w:p w14:paraId="01BBA01F">
      <w:pPr>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响应文件</w:t>
      </w:r>
    </w:p>
    <w:p w14:paraId="414B69F4">
      <w:pPr>
        <w:spacing w:line="360" w:lineRule="auto"/>
        <w:jc w:val="center"/>
        <w:rPr>
          <w:rFonts w:hint="eastAsia" w:asciiTheme="minorEastAsia" w:hAnsiTheme="minorEastAsia" w:eastAsiaTheme="minorEastAsia" w:cstheme="minorEastAsia"/>
          <w:b/>
          <w:color w:val="auto"/>
          <w:sz w:val="44"/>
          <w:szCs w:val="44"/>
          <w:highlight w:val="none"/>
        </w:rPr>
      </w:pPr>
    </w:p>
    <w:p w14:paraId="3F9FBF71">
      <w:pPr>
        <w:spacing w:line="360" w:lineRule="auto"/>
        <w:rPr>
          <w:rFonts w:hint="eastAsia" w:asciiTheme="minorEastAsia" w:hAnsiTheme="minorEastAsia" w:eastAsiaTheme="minorEastAsia" w:cstheme="minorEastAsia"/>
          <w:b/>
          <w:color w:val="auto"/>
          <w:sz w:val="44"/>
          <w:szCs w:val="44"/>
          <w:highlight w:val="none"/>
        </w:rPr>
      </w:pPr>
    </w:p>
    <w:p w14:paraId="5CA27D3F">
      <w:pPr>
        <w:spacing w:line="360" w:lineRule="auto"/>
        <w:rPr>
          <w:rFonts w:hint="eastAsia" w:asciiTheme="minorEastAsia" w:hAnsiTheme="minorEastAsia" w:eastAsiaTheme="minorEastAsia" w:cstheme="minorEastAsia"/>
          <w:b/>
          <w:color w:val="auto"/>
          <w:sz w:val="44"/>
          <w:szCs w:val="44"/>
          <w:highlight w:val="none"/>
        </w:rPr>
      </w:pPr>
    </w:p>
    <w:p w14:paraId="148B236F">
      <w:pPr>
        <w:spacing w:line="360" w:lineRule="auto"/>
        <w:rPr>
          <w:rFonts w:hint="eastAsia" w:asciiTheme="minorEastAsia" w:hAnsiTheme="minorEastAsia" w:eastAsiaTheme="minorEastAsia" w:cstheme="minorEastAsia"/>
          <w:b/>
          <w:color w:val="auto"/>
          <w:sz w:val="44"/>
          <w:szCs w:val="44"/>
          <w:highlight w:val="none"/>
        </w:rPr>
      </w:pPr>
    </w:p>
    <w:p w14:paraId="34CF3061">
      <w:pPr>
        <w:spacing w:line="360" w:lineRule="auto"/>
        <w:rPr>
          <w:rFonts w:hint="eastAsia" w:asciiTheme="minorEastAsia" w:hAnsiTheme="minorEastAsia" w:eastAsiaTheme="minorEastAsia" w:cstheme="minorEastAsia"/>
          <w:b/>
          <w:color w:val="auto"/>
          <w:sz w:val="44"/>
          <w:szCs w:val="44"/>
          <w:highlight w:val="none"/>
        </w:rPr>
      </w:pPr>
    </w:p>
    <w:p w14:paraId="02CD7D31">
      <w:pPr>
        <w:pStyle w:val="41"/>
        <w:rPr>
          <w:color w:val="auto"/>
          <w:highlight w:val="none"/>
        </w:rPr>
      </w:pPr>
    </w:p>
    <w:p w14:paraId="39D67D6E">
      <w:pPr>
        <w:spacing w:line="360" w:lineRule="auto"/>
        <w:rPr>
          <w:rFonts w:hint="eastAsia" w:asciiTheme="minorEastAsia" w:hAnsiTheme="minorEastAsia" w:eastAsiaTheme="minorEastAsia" w:cstheme="minorEastAsia"/>
          <w:b/>
          <w:color w:val="auto"/>
          <w:sz w:val="28"/>
          <w:szCs w:val="28"/>
          <w:highlight w:val="none"/>
          <w:u w:val="single"/>
        </w:rPr>
      </w:pPr>
      <w:r>
        <w:rPr>
          <w:rFonts w:hint="eastAsia" w:asciiTheme="minorEastAsia" w:hAnsiTheme="minorEastAsia" w:eastAsiaTheme="minorEastAsia" w:cstheme="minorEastAsia"/>
          <w:b/>
          <w:color w:val="auto"/>
          <w:sz w:val="28"/>
          <w:szCs w:val="28"/>
          <w:highlight w:val="none"/>
        </w:rPr>
        <w:t xml:space="preserve">        投 标 人：</w:t>
      </w:r>
      <w:r>
        <w:rPr>
          <w:rFonts w:hint="eastAsia" w:asciiTheme="minorEastAsia" w:hAnsiTheme="minorEastAsia" w:eastAsiaTheme="minorEastAsia" w:cstheme="minorEastAsia"/>
          <w:b/>
          <w:color w:val="auto"/>
          <w:sz w:val="28"/>
          <w:szCs w:val="28"/>
          <w:highlight w:val="none"/>
          <w:u w:val="single"/>
        </w:rPr>
        <w:t xml:space="preserve">                                    （盖章）</w:t>
      </w:r>
    </w:p>
    <w:p w14:paraId="5469DD7C">
      <w:pPr>
        <w:spacing w:line="360" w:lineRule="auto"/>
        <w:ind w:firstLine="110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法定代表人（或被授权人）：</w:t>
      </w:r>
      <w:r>
        <w:rPr>
          <w:rFonts w:hint="eastAsia" w:asciiTheme="minorEastAsia" w:hAnsiTheme="minorEastAsia" w:eastAsiaTheme="minorEastAsia" w:cstheme="minorEastAsia"/>
          <w:b/>
          <w:color w:val="auto"/>
          <w:sz w:val="28"/>
          <w:szCs w:val="28"/>
          <w:highlight w:val="none"/>
          <w:u w:val="single"/>
        </w:rPr>
        <w:t>（签字或盖章）</w:t>
      </w:r>
    </w:p>
    <w:p w14:paraId="2BB70F02">
      <w:pPr>
        <w:spacing w:line="360" w:lineRule="auto"/>
        <w:ind w:left="1100"/>
        <w:rPr>
          <w:rFonts w:hint="eastAsia" w:asciiTheme="minorEastAsia" w:hAnsiTheme="minorEastAsia" w:eastAsiaTheme="minorEastAsia" w:cstheme="minorEastAsia"/>
          <w:b/>
          <w:color w:val="auto"/>
          <w:sz w:val="28"/>
          <w:szCs w:val="28"/>
          <w:highlight w:val="none"/>
          <w:u w:val="single"/>
        </w:rPr>
      </w:pPr>
      <w:r>
        <w:rPr>
          <w:rFonts w:hint="eastAsia" w:asciiTheme="minorEastAsia" w:hAnsiTheme="minorEastAsia" w:eastAsiaTheme="minorEastAsia" w:cstheme="minorEastAsia"/>
          <w:b/>
          <w:color w:val="auto"/>
          <w:sz w:val="28"/>
          <w:szCs w:val="28"/>
          <w:highlight w:val="none"/>
        </w:rPr>
        <w:t>日期：</w:t>
      </w:r>
      <w:r>
        <w:rPr>
          <w:rFonts w:hint="eastAsia" w:asciiTheme="minorEastAsia" w:hAnsiTheme="minorEastAsia" w:eastAsiaTheme="minorEastAsia" w:cstheme="minorEastAsia"/>
          <w:b/>
          <w:color w:val="auto"/>
          <w:sz w:val="28"/>
          <w:szCs w:val="28"/>
          <w:highlight w:val="none"/>
          <w:u w:val="single"/>
        </w:rPr>
        <w:t>年  月  日</w:t>
      </w:r>
      <w:bookmarkEnd w:id="43"/>
      <w:bookmarkEnd w:id="44"/>
      <w:bookmarkEnd w:id="45"/>
    </w:p>
    <w:p w14:paraId="4F138AE2">
      <w:pPr>
        <w:pStyle w:val="61"/>
        <w:rPr>
          <w:color w:val="auto"/>
          <w:highlight w:val="none"/>
        </w:rPr>
      </w:pPr>
    </w:p>
    <w:bookmarkEnd w:id="46"/>
    <w:p w14:paraId="42EA7C88">
      <w:pPr>
        <w:autoSpaceDE w:val="0"/>
        <w:autoSpaceDN w:val="0"/>
        <w:adjustRightInd w:val="0"/>
        <w:jc w:val="center"/>
        <w:rPr>
          <w:rFonts w:hint="eastAsia" w:asciiTheme="minorEastAsia" w:hAnsiTheme="minorEastAsia" w:eastAsiaTheme="minorEastAsia" w:cstheme="minorEastAsia"/>
          <w:b/>
          <w:color w:val="auto"/>
          <w:sz w:val="32"/>
          <w:highlight w:val="none"/>
          <w:lang w:val="zh-CN"/>
        </w:rPr>
      </w:pPr>
      <w:bookmarkStart w:id="48" w:name="_Toc256013816"/>
    </w:p>
    <w:p w14:paraId="232F7038">
      <w:pPr>
        <w:autoSpaceDE w:val="0"/>
        <w:autoSpaceDN w:val="0"/>
        <w:adjustRightInd w:val="0"/>
        <w:jc w:val="center"/>
        <w:rPr>
          <w:rFonts w:hint="eastAsia" w:asciiTheme="minorEastAsia" w:hAnsiTheme="minorEastAsia" w:eastAsiaTheme="minorEastAsia" w:cstheme="minorEastAsia"/>
          <w:b/>
          <w:color w:val="auto"/>
          <w:sz w:val="32"/>
          <w:highlight w:val="none"/>
          <w:lang w:val="zh-CN"/>
        </w:rPr>
      </w:pPr>
    </w:p>
    <w:p w14:paraId="7A985B51">
      <w:pPr>
        <w:autoSpaceDE w:val="0"/>
        <w:autoSpaceDN w:val="0"/>
        <w:adjustRightInd w:val="0"/>
        <w:jc w:val="center"/>
        <w:rPr>
          <w:rFonts w:hint="eastAsia" w:asciiTheme="minorEastAsia" w:hAnsiTheme="minorEastAsia" w:eastAsiaTheme="minorEastAsia" w:cstheme="minorEastAsia"/>
          <w:b/>
          <w:color w:val="auto"/>
          <w:sz w:val="32"/>
          <w:highlight w:val="none"/>
          <w:lang w:val="zh-CN"/>
        </w:rPr>
      </w:pPr>
    </w:p>
    <w:p w14:paraId="592B2499">
      <w:pPr>
        <w:autoSpaceDE w:val="0"/>
        <w:autoSpaceDN w:val="0"/>
        <w:adjustRightInd w:val="0"/>
        <w:jc w:val="center"/>
        <w:rPr>
          <w:rFonts w:hint="eastAsia" w:asciiTheme="minorEastAsia" w:hAnsiTheme="minorEastAsia" w:eastAsiaTheme="minorEastAsia" w:cstheme="minorEastAsia"/>
          <w:b/>
          <w:color w:val="auto"/>
          <w:sz w:val="32"/>
          <w:highlight w:val="none"/>
          <w:lang w:val="zh-CN"/>
        </w:rPr>
      </w:pPr>
    </w:p>
    <w:p w14:paraId="1E8D920C">
      <w:pPr>
        <w:autoSpaceDE w:val="0"/>
        <w:autoSpaceDN w:val="0"/>
        <w:adjustRightInd w:val="0"/>
        <w:jc w:val="center"/>
        <w:rPr>
          <w:rFonts w:hint="eastAsia" w:asciiTheme="minorEastAsia" w:hAnsiTheme="minorEastAsia" w:eastAsiaTheme="minorEastAsia" w:cstheme="minorEastAsia"/>
          <w:b/>
          <w:color w:val="auto"/>
          <w:sz w:val="32"/>
          <w:highlight w:val="none"/>
          <w:lang w:val="zh-CN"/>
        </w:rPr>
      </w:pPr>
    </w:p>
    <w:p w14:paraId="4F16ADFB">
      <w:pPr>
        <w:autoSpaceDE w:val="0"/>
        <w:autoSpaceDN w:val="0"/>
        <w:adjustRightInd w:val="0"/>
        <w:jc w:val="center"/>
        <w:rPr>
          <w:rFonts w:hint="eastAsia" w:asciiTheme="minorEastAsia" w:hAnsiTheme="minorEastAsia" w:eastAsiaTheme="minorEastAsia" w:cstheme="minorEastAsia"/>
          <w:b/>
          <w:color w:val="auto"/>
          <w:sz w:val="32"/>
          <w:highlight w:val="none"/>
          <w:lang w:val="zh-CN"/>
        </w:rPr>
      </w:pPr>
    </w:p>
    <w:p w14:paraId="5A049B23">
      <w:pPr>
        <w:autoSpaceDE w:val="0"/>
        <w:autoSpaceDN w:val="0"/>
        <w:adjustRightInd w:val="0"/>
        <w:jc w:val="center"/>
        <w:rPr>
          <w:rFonts w:hint="eastAsia" w:asciiTheme="minorEastAsia" w:hAnsiTheme="minorEastAsia" w:eastAsiaTheme="minorEastAsia" w:cstheme="minorEastAsia"/>
          <w:b/>
          <w:color w:val="auto"/>
          <w:sz w:val="32"/>
          <w:highlight w:val="none"/>
          <w:lang w:val="zh-CN"/>
        </w:rPr>
      </w:pPr>
    </w:p>
    <w:p w14:paraId="5666C8F3">
      <w:pPr>
        <w:autoSpaceDE w:val="0"/>
        <w:autoSpaceDN w:val="0"/>
        <w:adjustRightInd w:val="0"/>
        <w:jc w:val="center"/>
        <w:rPr>
          <w:rFonts w:hint="eastAsia" w:asciiTheme="minorEastAsia" w:hAnsiTheme="minorEastAsia" w:eastAsiaTheme="minorEastAsia" w:cstheme="minorEastAsia"/>
          <w:b/>
          <w:color w:val="auto"/>
          <w:sz w:val="32"/>
          <w:highlight w:val="none"/>
          <w:lang w:val="zh-CN"/>
        </w:rPr>
      </w:pPr>
    </w:p>
    <w:p w14:paraId="67071319">
      <w:pPr>
        <w:autoSpaceDE w:val="0"/>
        <w:autoSpaceDN w:val="0"/>
        <w:adjustRightInd w:val="0"/>
        <w:jc w:val="center"/>
        <w:rPr>
          <w:rFonts w:hint="eastAsia" w:asciiTheme="minorEastAsia" w:hAnsiTheme="minorEastAsia" w:eastAsiaTheme="minorEastAsia" w:cstheme="minorEastAsia"/>
          <w:b/>
          <w:color w:val="auto"/>
          <w:sz w:val="32"/>
          <w:highlight w:val="none"/>
          <w:lang w:val="zh-CN"/>
        </w:rPr>
        <w:sectPr>
          <w:pgSz w:w="11906" w:h="16838"/>
          <w:pgMar w:top="1418" w:right="1134" w:bottom="1418" w:left="1276" w:header="720" w:footer="720" w:gutter="0"/>
          <w:cols w:space="720" w:num="1"/>
          <w:docGrid w:linePitch="312" w:charSpace="0"/>
        </w:sectPr>
      </w:pPr>
    </w:p>
    <w:p w14:paraId="6A4C8CEA">
      <w:pPr>
        <w:autoSpaceDE w:val="0"/>
        <w:autoSpaceDN w:val="0"/>
        <w:adjustRightInd w:val="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目  录</w:t>
      </w:r>
    </w:p>
    <w:p w14:paraId="73757D61">
      <w:pPr>
        <w:rPr>
          <w:rFonts w:hint="eastAsia" w:asciiTheme="minorEastAsia" w:hAnsiTheme="minorEastAsia" w:eastAsiaTheme="minorEastAsia" w:cstheme="minorEastAsia"/>
          <w:b/>
          <w:color w:val="auto"/>
          <w:sz w:val="32"/>
          <w:highlight w:val="none"/>
        </w:rPr>
      </w:pPr>
    </w:p>
    <w:p w14:paraId="208EDAB6">
      <w:pPr>
        <w:jc w:val="center"/>
        <w:rPr>
          <w:color w:val="auto"/>
          <w:highlight w:val="none"/>
        </w:rPr>
        <w:sectPr>
          <w:pgSz w:w="11906" w:h="16838"/>
          <w:pgMar w:top="1418" w:right="1134" w:bottom="1418" w:left="1276" w:header="720" w:footer="720" w:gutter="0"/>
          <w:cols w:space="720" w:num="1"/>
          <w:docGrid w:linePitch="312" w:charSpace="0"/>
        </w:sectPr>
      </w:pPr>
      <w:r>
        <w:rPr>
          <w:rFonts w:hint="eastAsia" w:asciiTheme="minorEastAsia" w:hAnsiTheme="minorEastAsia" w:eastAsiaTheme="minorEastAsia" w:cstheme="minorEastAsia"/>
          <w:color w:val="auto"/>
          <w:highlight w:val="none"/>
        </w:rPr>
        <w:t>自拟</w:t>
      </w:r>
    </w:p>
    <w:p w14:paraId="23F67930">
      <w:pPr>
        <w:autoSpaceDE w:val="0"/>
        <w:autoSpaceDN w:val="0"/>
        <w:adjustRightInd w:val="0"/>
        <w:jc w:val="center"/>
        <w:rPr>
          <w:rFonts w:hint="eastAsia" w:asciiTheme="minorEastAsia" w:hAnsiTheme="minorEastAsia" w:eastAsiaTheme="minorEastAsia" w:cstheme="minorEastAsia"/>
          <w:b/>
          <w:color w:val="auto"/>
          <w:sz w:val="32"/>
          <w:highlight w:val="none"/>
          <w:lang w:val="zh-CN"/>
        </w:rPr>
      </w:pPr>
      <w:r>
        <w:rPr>
          <w:rFonts w:hint="eastAsia" w:asciiTheme="minorEastAsia" w:hAnsiTheme="minorEastAsia" w:eastAsiaTheme="minorEastAsia" w:cstheme="minorEastAsia"/>
          <w:b/>
          <w:color w:val="auto"/>
          <w:sz w:val="32"/>
          <w:highlight w:val="none"/>
          <w:lang w:val="zh-CN"/>
        </w:rPr>
        <w:t>第一部分</w:t>
      </w:r>
      <w:r>
        <w:rPr>
          <w:rFonts w:hint="eastAsia" w:asciiTheme="minorEastAsia" w:hAnsiTheme="minorEastAsia" w:eastAsiaTheme="minorEastAsia" w:cstheme="minorEastAsia"/>
          <w:b/>
          <w:color w:val="auto"/>
          <w:sz w:val="32"/>
          <w:highlight w:val="none"/>
        </w:rPr>
        <w:t xml:space="preserve"> </w:t>
      </w:r>
      <w:r>
        <w:rPr>
          <w:rFonts w:hint="eastAsia" w:asciiTheme="minorEastAsia" w:hAnsiTheme="minorEastAsia" w:eastAsiaTheme="minorEastAsia" w:cstheme="minorEastAsia"/>
          <w:b/>
          <w:color w:val="auto"/>
          <w:sz w:val="32"/>
          <w:highlight w:val="none"/>
          <w:lang w:val="zh-CN"/>
        </w:rPr>
        <w:t>商务部分</w:t>
      </w:r>
    </w:p>
    <w:p w14:paraId="56CD629E">
      <w:pPr>
        <w:autoSpaceDE w:val="0"/>
        <w:autoSpaceDN w:val="0"/>
        <w:adjustRightInd w:val="0"/>
        <w:rPr>
          <w:rFonts w:hint="eastAsia" w:asciiTheme="minorEastAsia" w:hAnsiTheme="minorEastAsia" w:eastAsiaTheme="minorEastAsia" w:cstheme="minorEastAsia"/>
          <w:b/>
          <w:color w:val="auto"/>
          <w:sz w:val="32"/>
          <w:szCs w:val="32"/>
          <w:highlight w:val="none"/>
        </w:rPr>
      </w:pPr>
    </w:p>
    <w:p w14:paraId="2392E46C">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一  、投  标  函</w:t>
      </w:r>
    </w:p>
    <w:p w14:paraId="259CBB29">
      <w:pPr>
        <w:spacing w:line="360" w:lineRule="exact"/>
        <w:rPr>
          <w:rFonts w:hint="eastAsia" w:asciiTheme="minorEastAsia" w:hAnsiTheme="minorEastAsia" w:eastAsiaTheme="minorEastAsia" w:cstheme="minorEastAsia"/>
          <w:b/>
          <w:bCs/>
          <w:color w:val="auto"/>
          <w:sz w:val="28"/>
          <w:highlight w:val="none"/>
        </w:rPr>
      </w:pPr>
    </w:p>
    <w:p w14:paraId="5292E1BD">
      <w:pPr>
        <w:spacing w:line="520" w:lineRule="exact"/>
        <w:rPr>
          <w:rFonts w:hint="eastAsia" w:asciiTheme="minorEastAsia" w:hAnsiTheme="minorEastAsia" w:eastAsiaTheme="minorEastAsia" w:cstheme="minorEastAsia"/>
          <w:color w:val="auto"/>
          <w:sz w:val="21"/>
          <w:szCs w:val="16"/>
          <w:highlight w:val="none"/>
        </w:rPr>
      </w:pPr>
      <w:r>
        <w:rPr>
          <w:rFonts w:hint="eastAsia" w:asciiTheme="minorEastAsia" w:hAnsiTheme="minorEastAsia" w:eastAsiaTheme="minorEastAsia" w:cstheme="minorEastAsia"/>
          <w:color w:val="auto"/>
          <w:sz w:val="21"/>
          <w:szCs w:val="16"/>
          <w:highlight w:val="none"/>
          <w:u w:val="single"/>
        </w:rPr>
        <w:t>致  （采购人名称）</w:t>
      </w:r>
      <w:r>
        <w:rPr>
          <w:rFonts w:hint="eastAsia" w:asciiTheme="minorEastAsia" w:hAnsiTheme="minorEastAsia" w:eastAsiaTheme="minorEastAsia" w:cstheme="minorEastAsia"/>
          <w:color w:val="auto"/>
          <w:sz w:val="21"/>
          <w:szCs w:val="16"/>
          <w:highlight w:val="none"/>
        </w:rPr>
        <w:t>：</w:t>
      </w:r>
    </w:p>
    <w:p w14:paraId="44ED8C87">
      <w:pPr>
        <w:spacing w:line="520" w:lineRule="exact"/>
        <w:ind w:firstLine="630" w:firstLineChars="300"/>
        <w:rPr>
          <w:rFonts w:hint="eastAsia" w:asciiTheme="minorEastAsia" w:hAnsiTheme="minorEastAsia" w:eastAsiaTheme="minorEastAsia" w:cstheme="minorEastAsia"/>
          <w:color w:val="auto"/>
          <w:sz w:val="21"/>
          <w:szCs w:val="16"/>
          <w:highlight w:val="none"/>
        </w:rPr>
      </w:pPr>
      <w:r>
        <w:rPr>
          <w:rFonts w:hint="eastAsia" w:asciiTheme="minorEastAsia" w:hAnsiTheme="minorEastAsia" w:eastAsiaTheme="minorEastAsia" w:cstheme="minorEastAsia"/>
          <w:color w:val="auto"/>
          <w:sz w:val="21"/>
          <w:szCs w:val="16"/>
          <w:highlight w:val="none"/>
        </w:rPr>
        <w:t>（供应商全称）授权（全权代表姓名）（职务、职称）为全权代表，参加贵方组织的（</w:t>
      </w:r>
      <w:r>
        <w:rPr>
          <w:rFonts w:hint="eastAsia" w:asciiTheme="minorEastAsia" w:hAnsiTheme="minorEastAsia" w:eastAsiaTheme="minorEastAsia" w:cstheme="minorEastAsia"/>
          <w:color w:val="auto"/>
          <w:sz w:val="21"/>
          <w:szCs w:val="16"/>
          <w:highlight w:val="none"/>
          <w:u w:val="single"/>
        </w:rPr>
        <w:t>采购编号、采购项目名称</w:t>
      </w:r>
      <w:r>
        <w:rPr>
          <w:rFonts w:hint="eastAsia" w:asciiTheme="minorEastAsia" w:hAnsiTheme="minorEastAsia" w:eastAsiaTheme="minorEastAsia" w:cstheme="minorEastAsia"/>
          <w:color w:val="auto"/>
          <w:sz w:val="21"/>
          <w:szCs w:val="16"/>
          <w:highlight w:val="none"/>
        </w:rPr>
        <w:t>）采购有关活动，并对进行投标。为此：</w:t>
      </w:r>
    </w:p>
    <w:p w14:paraId="455F972D">
      <w:pPr>
        <w:numPr>
          <w:ilvl w:val="0"/>
          <w:numId w:val="7"/>
        </w:numPr>
        <w:spacing w:line="520" w:lineRule="exact"/>
        <w:ind w:firstLine="420" w:firstLineChars="200"/>
        <w:rPr>
          <w:rFonts w:hint="eastAsia" w:asciiTheme="minorEastAsia" w:hAnsiTheme="minorEastAsia" w:eastAsiaTheme="minorEastAsia" w:cstheme="minorEastAsia"/>
          <w:color w:val="auto"/>
          <w:sz w:val="21"/>
          <w:szCs w:val="16"/>
          <w:highlight w:val="none"/>
        </w:rPr>
      </w:pPr>
      <w:r>
        <w:rPr>
          <w:rFonts w:hint="eastAsia" w:asciiTheme="minorEastAsia" w:hAnsiTheme="minorEastAsia" w:eastAsiaTheme="minorEastAsia" w:cstheme="minorEastAsia"/>
          <w:color w:val="auto"/>
          <w:sz w:val="21"/>
          <w:szCs w:val="16"/>
          <w:highlight w:val="none"/>
        </w:rPr>
        <w:t>提供投标须知规定的全部响应文件：</w:t>
      </w:r>
    </w:p>
    <w:p w14:paraId="44113244">
      <w:pPr>
        <w:spacing w:line="520" w:lineRule="exact"/>
        <w:ind w:firstLine="630" w:firstLineChars="300"/>
        <w:rPr>
          <w:rFonts w:hint="eastAsia" w:asciiTheme="minorEastAsia" w:hAnsiTheme="minorEastAsia" w:eastAsiaTheme="minorEastAsia" w:cstheme="minorEastAsia"/>
          <w:color w:val="auto"/>
          <w:sz w:val="21"/>
          <w:szCs w:val="16"/>
          <w:highlight w:val="none"/>
        </w:rPr>
      </w:pPr>
      <w:r>
        <w:rPr>
          <w:rFonts w:hint="eastAsia" w:asciiTheme="minorEastAsia" w:hAnsiTheme="minorEastAsia" w:eastAsiaTheme="minorEastAsia" w:cstheme="minorEastAsia"/>
          <w:color w:val="auto"/>
          <w:sz w:val="21"/>
          <w:szCs w:val="16"/>
          <w:highlight w:val="none"/>
        </w:rPr>
        <w:t>响应文件正本1份，副本4份，电子版2份（U盘形式）。</w:t>
      </w:r>
    </w:p>
    <w:p w14:paraId="7E4BC614">
      <w:pPr>
        <w:spacing w:line="520" w:lineRule="exact"/>
        <w:ind w:firstLine="420" w:firstLineChars="200"/>
        <w:rPr>
          <w:rFonts w:hint="eastAsia" w:asciiTheme="minorEastAsia" w:hAnsiTheme="minorEastAsia" w:eastAsiaTheme="minorEastAsia" w:cstheme="minorEastAsia"/>
          <w:color w:val="auto"/>
          <w:sz w:val="21"/>
          <w:szCs w:val="16"/>
          <w:highlight w:val="none"/>
        </w:rPr>
      </w:pPr>
      <w:r>
        <w:rPr>
          <w:rFonts w:hint="eastAsia" w:asciiTheme="minorEastAsia" w:hAnsiTheme="minorEastAsia" w:eastAsiaTheme="minorEastAsia" w:cstheme="minorEastAsia"/>
          <w:color w:val="auto"/>
          <w:sz w:val="21"/>
          <w:szCs w:val="16"/>
          <w:highlight w:val="none"/>
        </w:rPr>
        <w:t>2、保证遵守采购文件中的有关规定和收费标准。</w:t>
      </w:r>
    </w:p>
    <w:p w14:paraId="6BA9F5F8">
      <w:pPr>
        <w:spacing w:line="520" w:lineRule="exact"/>
        <w:ind w:firstLine="420" w:firstLineChars="200"/>
        <w:rPr>
          <w:rFonts w:hint="eastAsia" w:asciiTheme="minorEastAsia" w:hAnsiTheme="minorEastAsia" w:eastAsiaTheme="minorEastAsia" w:cstheme="minorEastAsia"/>
          <w:color w:val="auto"/>
          <w:sz w:val="21"/>
          <w:szCs w:val="16"/>
          <w:highlight w:val="none"/>
        </w:rPr>
      </w:pPr>
      <w:r>
        <w:rPr>
          <w:rFonts w:hint="eastAsia" w:asciiTheme="minorEastAsia" w:hAnsiTheme="minorEastAsia" w:eastAsiaTheme="minorEastAsia" w:cstheme="minorEastAsia"/>
          <w:color w:val="auto"/>
          <w:sz w:val="21"/>
          <w:szCs w:val="16"/>
          <w:highlight w:val="none"/>
        </w:rPr>
        <w:t>3、保证忠实地执行买卖双方所签的合同，并承担合同规定的责任义务。</w:t>
      </w:r>
    </w:p>
    <w:p w14:paraId="5ABCF12F">
      <w:pPr>
        <w:spacing w:line="520" w:lineRule="exact"/>
        <w:ind w:firstLine="420" w:firstLineChars="200"/>
        <w:rPr>
          <w:rFonts w:hint="eastAsia" w:asciiTheme="minorEastAsia" w:hAnsiTheme="minorEastAsia" w:eastAsiaTheme="minorEastAsia" w:cstheme="minorEastAsia"/>
          <w:color w:val="auto"/>
          <w:sz w:val="21"/>
          <w:szCs w:val="16"/>
          <w:highlight w:val="none"/>
        </w:rPr>
      </w:pPr>
      <w:r>
        <w:rPr>
          <w:rFonts w:hint="eastAsia" w:asciiTheme="minorEastAsia" w:hAnsiTheme="minorEastAsia" w:eastAsiaTheme="minorEastAsia" w:cstheme="minorEastAsia"/>
          <w:color w:val="auto"/>
          <w:sz w:val="21"/>
          <w:szCs w:val="16"/>
          <w:highlight w:val="none"/>
        </w:rPr>
        <w:t>4、愿意向贵方提供任何与该项投标有关的数据、情况和技术资料。</w:t>
      </w:r>
    </w:p>
    <w:p w14:paraId="23712F0B">
      <w:pPr>
        <w:spacing w:line="520" w:lineRule="exact"/>
        <w:ind w:firstLine="420" w:firstLineChars="200"/>
        <w:rPr>
          <w:rFonts w:hint="eastAsia" w:asciiTheme="minorEastAsia" w:hAnsiTheme="minorEastAsia" w:eastAsiaTheme="minorEastAsia" w:cstheme="minorEastAsia"/>
          <w:color w:val="auto"/>
          <w:sz w:val="21"/>
          <w:szCs w:val="16"/>
          <w:highlight w:val="none"/>
        </w:rPr>
      </w:pPr>
      <w:r>
        <w:rPr>
          <w:rFonts w:hint="eastAsia" w:asciiTheme="minorEastAsia" w:hAnsiTheme="minorEastAsia" w:eastAsiaTheme="minorEastAsia" w:cstheme="minorEastAsia"/>
          <w:color w:val="auto"/>
          <w:sz w:val="21"/>
          <w:szCs w:val="16"/>
          <w:highlight w:val="none"/>
        </w:rPr>
        <w:t>5、本投标自开标之日起天内有效。</w:t>
      </w:r>
    </w:p>
    <w:p w14:paraId="075F690B">
      <w:pPr>
        <w:spacing w:line="520" w:lineRule="exact"/>
        <w:ind w:firstLine="420" w:firstLineChars="200"/>
        <w:rPr>
          <w:rFonts w:hint="eastAsia" w:asciiTheme="minorEastAsia" w:hAnsiTheme="minorEastAsia" w:eastAsiaTheme="minorEastAsia" w:cstheme="minorEastAsia"/>
          <w:color w:val="auto"/>
          <w:sz w:val="21"/>
          <w:szCs w:val="16"/>
          <w:highlight w:val="none"/>
        </w:rPr>
      </w:pPr>
      <w:r>
        <w:rPr>
          <w:rFonts w:hint="eastAsia" w:asciiTheme="minorEastAsia" w:hAnsiTheme="minorEastAsia" w:eastAsiaTheme="minorEastAsia" w:cstheme="minorEastAsia"/>
          <w:color w:val="auto"/>
          <w:sz w:val="21"/>
          <w:szCs w:val="16"/>
          <w:highlight w:val="none"/>
        </w:rPr>
        <w:t>6、我方承诺若我方中标，保证按照采购文件要求提交履约保证金。</w:t>
      </w:r>
    </w:p>
    <w:p w14:paraId="29A88062">
      <w:pPr>
        <w:spacing w:line="520" w:lineRule="exact"/>
        <w:ind w:firstLine="420" w:firstLineChars="200"/>
        <w:rPr>
          <w:rFonts w:hint="eastAsia" w:asciiTheme="minorEastAsia" w:hAnsiTheme="minorEastAsia" w:eastAsiaTheme="minorEastAsia" w:cstheme="minorEastAsia"/>
          <w:color w:val="auto"/>
          <w:sz w:val="21"/>
          <w:szCs w:val="16"/>
          <w:highlight w:val="none"/>
          <w:u w:val="single"/>
        </w:rPr>
      </w:pPr>
      <w:r>
        <w:rPr>
          <w:rFonts w:hint="eastAsia" w:asciiTheme="minorEastAsia" w:hAnsiTheme="minorEastAsia" w:eastAsiaTheme="minorEastAsia" w:cstheme="minorEastAsia"/>
          <w:color w:val="auto"/>
          <w:sz w:val="21"/>
          <w:szCs w:val="16"/>
          <w:highlight w:val="none"/>
        </w:rPr>
        <w:t>7. 随同本投标函提交投标保证金一份，金额为人民币（大写）元，￥(小写）。</w:t>
      </w:r>
    </w:p>
    <w:p w14:paraId="0DE861CC">
      <w:pPr>
        <w:spacing w:line="520" w:lineRule="exact"/>
        <w:ind w:firstLine="420" w:firstLineChars="200"/>
        <w:rPr>
          <w:rFonts w:hint="eastAsia" w:asciiTheme="minorEastAsia" w:hAnsiTheme="minorEastAsia" w:eastAsiaTheme="minorEastAsia" w:cstheme="minorEastAsia"/>
          <w:color w:val="auto"/>
          <w:sz w:val="21"/>
          <w:szCs w:val="16"/>
          <w:highlight w:val="none"/>
          <w:u w:val="single"/>
        </w:rPr>
      </w:pPr>
    </w:p>
    <w:p w14:paraId="75B443CA">
      <w:pPr>
        <w:spacing w:line="520" w:lineRule="exact"/>
        <w:ind w:firstLine="420" w:firstLineChars="200"/>
        <w:rPr>
          <w:rFonts w:hint="eastAsia" w:asciiTheme="minorEastAsia" w:hAnsiTheme="minorEastAsia" w:eastAsiaTheme="minorEastAsia" w:cstheme="minorEastAsia"/>
          <w:color w:val="auto"/>
          <w:sz w:val="21"/>
          <w:szCs w:val="16"/>
          <w:highlight w:val="none"/>
          <w:u w:val="single"/>
        </w:rPr>
      </w:pPr>
    </w:p>
    <w:p w14:paraId="31324B05">
      <w:pPr>
        <w:spacing w:line="520" w:lineRule="exact"/>
        <w:rPr>
          <w:rFonts w:hint="eastAsia" w:asciiTheme="minorEastAsia" w:hAnsiTheme="minorEastAsia" w:eastAsiaTheme="minorEastAsia" w:cstheme="minorEastAsia"/>
          <w:color w:val="auto"/>
          <w:sz w:val="21"/>
          <w:szCs w:val="16"/>
          <w:highlight w:val="none"/>
        </w:rPr>
      </w:pPr>
    </w:p>
    <w:p w14:paraId="4C53203C">
      <w:pPr>
        <w:pStyle w:val="16"/>
        <w:rPr>
          <w:rFonts w:hint="eastAsia" w:asciiTheme="minorEastAsia" w:hAnsiTheme="minorEastAsia" w:eastAsiaTheme="minorEastAsia" w:cstheme="minorEastAsia"/>
          <w:color w:val="auto"/>
          <w:sz w:val="21"/>
          <w:szCs w:val="16"/>
          <w:highlight w:val="none"/>
        </w:rPr>
      </w:pPr>
    </w:p>
    <w:p w14:paraId="155BAFE6">
      <w:pPr>
        <w:pStyle w:val="16"/>
        <w:rPr>
          <w:rFonts w:hint="eastAsia" w:asciiTheme="minorEastAsia" w:hAnsiTheme="minorEastAsia" w:eastAsiaTheme="minorEastAsia" w:cstheme="minorEastAsia"/>
          <w:color w:val="auto"/>
          <w:sz w:val="21"/>
          <w:szCs w:val="16"/>
          <w:highlight w:val="none"/>
        </w:rPr>
      </w:pPr>
    </w:p>
    <w:p w14:paraId="65A95FB9">
      <w:pPr>
        <w:pStyle w:val="16"/>
        <w:rPr>
          <w:rFonts w:hint="eastAsia" w:asciiTheme="minorEastAsia" w:hAnsiTheme="minorEastAsia" w:eastAsiaTheme="minorEastAsia" w:cstheme="minorEastAsia"/>
          <w:color w:val="auto"/>
          <w:sz w:val="21"/>
          <w:szCs w:val="16"/>
          <w:highlight w:val="none"/>
        </w:rPr>
      </w:pPr>
    </w:p>
    <w:p w14:paraId="6FC61053">
      <w:pPr>
        <w:spacing w:line="520" w:lineRule="exact"/>
        <w:rPr>
          <w:rFonts w:hint="eastAsia" w:asciiTheme="minorEastAsia" w:hAnsiTheme="minorEastAsia" w:eastAsiaTheme="minorEastAsia" w:cstheme="minorEastAsia"/>
          <w:color w:val="auto"/>
          <w:sz w:val="21"/>
          <w:szCs w:val="16"/>
          <w:highlight w:val="none"/>
          <w:u w:val="single"/>
        </w:rPr>
      </w:pPr>
      <w:r>
        <w:rPr>
          <w:rFonts w:hint="eastAsia" w:asciiTheme="minorEastAsia" w:hAnsiTheme="minorEastAsia" w:eastAsiaTheme="minorEastAsia" w:cstheme="minorEastAsia"/>
          <w:color w:val="auto"/>
          <w:sz w:val="21"/>
          <w:szCs w:val="16"/>
          <w:highlight w:val="none"/>
        </w:rPr>
        <w:t xml:space="preserve"> 供应商（盖公章）：</w:t>
      </w:r>
    </w:p>
    <w:p w14:paraId="29D8B200">
      <w:pPr>
        <w:spacing w:line="520" w:lineRule="exact"/>
        <w:rPr>
          <w:rFonts w:hint="eastAsia" w:asciiTheme="minorEastAsia" w:hAnsiTheme="minorEastAsia" w:eastAsiaTheme="minorEastAsia" w:cstheme="minorEastAsia"/>
          <w:color w:val="auto"/>
          <w:sz w:val="21"/>
          <w:szCs w:val="16"/>
          <w:highlight w:val="none"/>
        </w:rPr>
      </w:pPr>
    </w:p>
    <w:p w14:paraId="380B032B">
      <w:pPr>
        <w:spacing w:line="520" w:lineRule="exact"/>
        <w:rPr>
          <w:rFonts w:hint="eastAsia" w:asciiTheme="minorEastAsia" w:hAnsiTheme="minorEastAsia" w:eastAsiaTheme="minorEastAsia" w:cstheme="minorEastAsia"/>
          <w:color w:val="auto"/>
          <w:sz w:val="21"/>
          <w:szCs w:val="16"/>
          <w:highlight w:val="none"/>
          <w:u w:val="single"/>
        </w:rPr>
      </w:pPr>
      <w:r>
        <w:rPr>
          <w:rFonts w:hint="eastAsia" w:asciiTheme="minorEastAsia" w:hAnsiTheme="minorEastAsia" w:eastAsiaTheme="minorEastAsia" w:cstheme="minorEastAsia"/>
          <w:color w:val="auto"/>
          <w:sz w:val="21"/>
          <w:szCs w:val="16"/>
          <w:highlight w:val="none"/>
        </w:rPr>
        <w:t>法定代表人或其授权代理人（签字）：</w:t>
      </w:r>
    </w:p>
    <w:p w14:paraId="6225E93A">
      <w:pPr>
        <w:spacing w:line="520" w:lineRule="exact"/>
        <w:jc w:val="right"/>
        <w:rPr>
          <w:rFonts w:hint="eastAsia" w:asciiTheme="minorEastAsia" w:hAnsiTheme="minorEastAsia" w:eastAsiaTheme="minorEastAsia" w:cstheme="minorEastAsia"/>
          <w:color w:val="auto"/>
          <w:sz w:val="21"/>
          <w:szCs w:val="16"/>
          <w:highlight w:val="none"/>
        </w:rPr>
      </w:pPr>
    </w:p>
    <w:p w14:paraId="2813DF6C">
      <w:pPr>
        <w:spacing w:line="520" w:lineRule="exact"/>
        <w:jc w:val="right"/>
        <w:rPr>
          <w:rFonts w:hint="eastAsia" w:asciiTheme="minorEastAsia" w:hAnsiTheme="minorEastAsia" w:eastAsiaTheme="minorEastAsia" w:cstheme="minorEastAsia"/>
          <w:color w:val="auto"/>
          <w:sz w:val="21"/>
          <w:szCs w:val="16"/>
          <w:highlight w:val="none"/>
        </w:rPr>
      </w:pPr>
      <w:r>
        <w:rPr>
          <w:rFonts w:hint="eastAsia" w:asciiTheme="minorEastAsia" w:hAnsiTheme="minorEastAsia" w:eastAsiaTheme="minorEastAsia" w:cstheme="minorEastAsia"/>
          <w:color w:val="auto"/>
          <w:sz w:val="21"/>
          <w:szCs w:val="16"/>
          <w:highlight w:val="none"/>
          <w:u w:val="single"/>
        </w:rPr>
        <w:t>年  月  日</w:t>
      </w:r>
    </w:p>
    <w:p w14:paraId="560F04FA">
      <w:pPr>
        <w:autoSpaceDE w:val="0"/>
        <w:autoSpaceDN w:val="0"/>
        <w:adjustRightInd w:val="0"/>
        <w:jc w:val="center"/>
        <w:rPr>
          <w:rFonts w:hint="eastAsia" w:asciiTheme="minorEastAsia" w:hAnsiTheme="minorEastAsia" w:eastAsiaTheme="minorEastAsia" w:cstheme="minorEastAsia"/>
          <w:color w:val="auto"/>
          <w:sz w:val="24"/>
          <w:highlight w:val="none"/>
        </w:rPr>
      </w:pPr>
    </w:p>
    <w:p w14:paraId="53C28DBF">
      <w:pPr>
        <w:numPr>
          <w:ilvl w:val="2"/>
          <w:numId w:val="0"/>
        </w:numPr>
        <w:jc w:val="both"/>
        <w:rPr>
          <w:rFonts w:hint="eastAsia" w:asciiTheme="minorEastAsia" w:hAnsiTheme="minorEastAsia" w:eastAsiaTheme="minorEastAsia" w:cstheme="minorEastAsia"/>
          <w:color w:val="auto"/>
          <w:sz w:val="28"/>
          <w:szCs w:val="18"/>
          <w:highlight w:val="none"/>
        </w:rPr>
      </w:pPr>
      <w:bookmarkStart w:id="49" w:name="_Toc415662694"/>
      <w:bookmarkStart w:id="50" w:name="_Toc415662811"/>
    </w:p>
    <w:p w14:paraId="3FECD41A">
      <w:pPr>
        <w:numPr>
          <w:ilvl w:val="2"/>
          <w:numId w:val="0"/>
        </w:numPr>
        <w:jc w:val="both"/>
        <w:rPr>
          <w:rFonts w:hint="eastAsia" w:asciiTheme="minorEastAsia" w:hAnsiTheme="minorEastAsia" w:eastAsiaTheme="minorEastAsia" w:cstheme="minorEastAsia"/>
          <w:color w:val="auto"/>
          <w:sz w:val="28"/>
          <w:szCs w:val="18"/>
          <w:highlight w:val="none"/>
        </w:rPr>
      </w:pPr>
    </w:p>
    <w:p w14:paraId="3773ED84">
      <w:pPr>
        <w:numPr>
          <w:ilvl w:val="2"/>
          <w:numId w:val="0"/>
        </w:numPr>
        <w:jc w:val="both"/>
        <w:rPr>
          <w:rFonts w:hint="eastAsia" w:asciiTheme="minorEastAsia" w:hAnsiTheme="minorEastAsia" w:eastAsiaTheme="minorEastAsia" w:cstheme="minorEastAsia"/>
          <w:color w:val="auto"/>
          <w:sz w:val="28"/>
          <w:szCs w:val="18"/>
          <w:highlight w:val="none"/>
        </w:rPr>
      </w:pPr>
      <w:r>
        <w:rPr>
          <w:rFonts w:hint="eastAsia" w:asciiTheme="minorEastAsia" w:hAnsiTheme="minorEastAsia" w:eastAsiaTheme="minorEastAsia" w:cstheme="minorEastAsia"/>
          <w:color w:val="auto"/>
          <w:sz w:val="28"/>
          <w:szCs w:val="18"/>
          <w:highlight w:val="none"/>
        </w:rPr>
        <w:t>附表：</w:t>
      </w:r>
      <w:bookmarkEnd w:id="49"/>
      <w:bookmarkEnd w:id="50"/>
    </w:p>
    <w:p w14:paraId="1AFB80C2">
      <w:pPr>
        <w:numPr>
          <w:ilvl w:val="2"/>
          <w:numId w:val="8"/>
        </w:numPr>
        <w:jc w:val="center"/>
        <w:rPr>
          <w:rFonts w:hint="eastAsia" w:asciiTheme="minorEastAsia" w:hAnsiTheme="minorEastAsia" w:eastAsiaTheme="minorEastAsia" w:cstheme="minorEastAsia"/>
          <w:b/>
          <w:bCs/>
          <w:color w:val="auto"/>
          <w:sz w:val="28"/>
          <w:szCs w:val="28"/>
          <w:highlight w:val="none"/>
        </w:rPr>
      </w:pPr>
      <w:bookmarkStart w:id="51" w:name="_Toc415662812"/>
      <w:bookmarkStart w:id="52" w:name="_Toc415662695"/>
      <w:r>
        <w:rPr>
          <w:rFonts w:hint="eastAsia" w:asciiTheme="minorEastAsia" w:hAnsiTheme="minorEastAsia" w:eastAsiaTheme="minorEastAsia" w:cstheme="minorEastAsia"/>
          <w:b/>
          <w:bCs/>
          <w:color w:val="auto"/>
          <w:sz w:val="28"/>
          <w:szCs w:val="28"/>
          <w:highlight w:val="none"/>
        </w:rPr>
        <w:t>投标函附录</w:t>
      </w:r>
      <w:bookmarkEnd w:id="51"/>
      <w:bookmarkEnd w:id="52"/>
    </w:p>
    <w:tbl>
      <w:tblPr>
        <w:tblStyle w:val="45"/>
        <w:tblpPr w:leftFromText="180" w:rightFromText="180" w:vertAnchor="text" w:horzAnchor="page" w:tblpX="1298" w:tblpY="193"/>
        <w:tblOverlap w:val="never"/>
        <w:tblW w:w="99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337"/>
        <w:gridCol w:w="3841"/>
        <w:gridCol w:w="3081"/>
      </w:tblGrid>
      <w:tr w14:paraId="49044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046F2982">
            <w:pPr>
              <w:spacing w:line="440" w:lineRule="exact"/>
              <w:jc w:val="center"/>
              <w:rPr>
                <w:rFonts w:hint="eastAsia" w:asciiTheme="minorEastAsia" w:hAnsiTheme="minorEastAsia" w:eastAsiaTheme="minorEastAsia" w:cstheme="minorEastAsia"/>
                <w:b/>
                <w:color w:val="auto"/>
                <w:sz w:val="21"/>
                <w:szCs w:val="22"/>
                <w:highlight w:val="none"/>
              </w:rPr>
            </w:pPr>
            <w:r>
              <w:rPr>
                <w:rFonts w:hint="eastAsia" w:asciiTheme="minorEastAsia" w:hAnsiTheme="minorEastAsia" w:eastAsiaTheme="minorEastAsia" w:cstheme="minorEastAsia"/>
                <w:b/>
                <w:color w:val="auto"/>
                <w:sz w:val="21"/>
                <w:szCs w:val="22"/>
                <w:highlight w:val="none"/>
              </w:rPr>
              <w:t>序号</w:t>
            </w:r>
          </w:p>
        </w:tc>
        <w:tc>
          <w:tcPr>
            <w:tcW w:w="2337" w:type="dxa"/>
            <w:vAlign w:val="center"/>
          </w:tcPr>
          <w:p w14:paraId="2A19F631">
            <w:pPr>
              <w:spacing w:line="440" w:lineRule="exact"/>
              <w:jc w:val="center"/>
              <w:rPr>
                <w:rFonts w:hint="eastAsia" w:asciiTheme="minorEastAsia" w:hAnsiTheme="minorEastAsia" w:eastAsiaTheme="minorEastAsia" w:cstheme="minorEastAsia"/>
                <w:b/>
                <w:color w:val="auto"/>
                <w:sz w:val="21"/>
                <w:szCs w:val="22"/>
                <w:highlight w:val="none"/>
              </w:rPr>
            </w:pPr>
            <w:r>
              <w:rPr>
                <w:rFonts w:hint="eastAsia" w:asciiTheme="minorEastAsia" w:hAnsiTheme="minorEastAsia" w:eastAsiaTheme="minorEastAsia" w:cstheme="minorEastAsia"/>
                <w:b/>
                <w:color w:val="auto"/>
                <w:sz w:val="21"/>
                <w:szCs w:val="22"/>
                <w:highlight w:val="none"/>
              </w:rPr>
              <w:t>名称</w:t>
            </w:r>
          </w:p>
        </w:tc>
        <w:tc>
          <w:tcPr>
            <w:tcW w:w="3841" w:type="dxa"/>
            <w:vAlign w:val="center"/>
          </w:tcPr>
          <w:p w14:paraId="7A9FDA16">
            <w:pPr>
              <w:spacing w:line="440" w:lineRule="exact"/>
              <w:jc w:val="center"/>
              <w:rPr>
                <w:rFonts w:hint="eastAsia" w:asciiTheme="minorEastAsia" w:hAnsiTheme="minorEastAsia" w:eastAsiaTheme="minorEastAsia" w:cstheme="minorEastAsia"/>
                <w:b/>
                <w:color w:val="auto"/>
                <w:sz w:val="21"/>
                <w:szCs w:val="22"/>
                <w:highlight w:val="none"/>
              </w:rPr>
            </w:pPr>
            <w:r>
              <w:rPr>
                <w:rFonts w:hint="eastAsia" w:asciiTheme="minorEastAsia" w:hAnsiTheme="minorEastAsia" w:eastAsiaTheme="minorEastAsia" w:cstheme="minorEastAsia"/>
                <w:b/>
                <w:color w:val="auto"/>
                <w:sz w:val="21"/>
                <w:szCs w:val="22"/>
                <w:highlight w:val="none"/>
              </w:rPr>
              <w:t>内容</w:t>
            </w:r>
          </w:p>
        </w:tc>
        <w:tc>
          <w:tcPr>
            <w:tcW w:w="3081" w:type="dxa"/>
            <w:vAlign w:val="center"/>
          </w:tcPr>
          <w:p w14:paraId="7D54AB45">
            <w:pPr>
              <w:spacing w:line="440" w:lineRule="exact"/>
              <w:jc w:val="center"/>
              <w:rPr>
                <w:rFonts w:hint="eastAsia" w:asciiTheme="minorEastAsia" w:hAnsiTheme="minorEastAsia" w:eastAsiaTheme="minorEastAsia" w:cstheme="minorEastAsia"/>
                <w:b/>
                <w:color w:val="auto"/>
                <w:sz w:val="21"/>
                <w:szCs w:val="22"/>
                <w:highlight w:val="none"/>
              </w:rPr>
            </w:pPr>
            <w:r>
              <w:rPr>
                <w:rFonts w:hint="eastAsia" w:asciiTheme="minorEastAsia" w:hAnsiTheme="minorEastAsia" w:eastAsiaTheme="minorEastAsia" w:cstheme="minorEastAsia"/>
                <w:b/>
                <w:color w:val="auto"/>
                <w:sz w:val="21"/>
                <w:szCs w:val="22"/>
                <w:highlight w:val="none"/>
              </w:rPr>
              <w:t>备注</w:t>
            </w:r>
          </w:p>
          <w:p w14:paraId="1DE1C9DD">
            <w:pPr>
              <w:spacing w:line="440" w:lineRule="exact"/>
              <w:jc w:val="center"/>
              <w:rPr>
                <w:rFonts w:hint="eastAsia" w:asciiTheme="minorEastAsia" w:hAnsiTheme="minorEastAsia" w:eastAsiaTheme="minorEastAsia" w:cstheme="minorEastAsia"/>
                <w:b/>
                <w:color w:val="auto"/>
                <w:sz w:val="21"/>
                <w:szCs w:val="22"/>
                <w:highlight w:val="none"/>
              </w:rPr>
            </w:pPr>
            <w:r>
              <w:rPr>
                <w:rFonts w:hint="eastAsia" w:asciiTheme="minorEastAsia" w:hAnsiTheme="minorEastAsia" w:eastAsiaTheme="minorEastAsia" w:cstheme="minorEastAsia"/>
                <w:b/>
                <w:color w:val="auto"/>
                <w:sz w:val="21"/>
                <w:szCs w:val="22"/>
                <w:highlight w:val="none"/>
              </w:rPr>
              <w:t>（响应或不响应）</w:t>
            </w:r>
          </w:p>
        </w:tc>
      </w:tr>
      <w:tr w14:paraId="132C3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176EF7C1">
            <w:pPr>
              <w:spacing w:line="440" w:lineRule="exact"/>
              <w:jc w:val="center"/>
              <w:rPr>
                <w:rFonts w:hint="eastAsia" w:asciiTheme="minorEastAsia" w:hAnsiTheme="minorEastAsia" w:eastAsiaTheme="minorEastAsia" w:cstheme="minorEastAsia"/>
                <w:color w:val="auto"/>
                <w:sz w:val="21"/>
                <w:szCs w:val="22"/>
                <w:highlight w:val="none"/>
              </w:rPr>
            </w:pPr>
            <w:r>
              <w:rPr>
                <w:rFonts w:hint="eastAsia" w:asciiTheme="minorEastAsia" w:hAnsiTheme="minorEastAsia" w:eastAsiaTheme="minorEastAsia" w:cstheme="minorEastAsia"/>
                <w:color w:val="auto"/>
                <w:sz w:val="21"/>
                <w:szCs w:val="22"/>
                <w:highlight w:val="none"/>
              </w:rPr>
              <w:t>1</w:t>
            </w:r>
          </w:p>
        </w:tc>
        <w:tc>
          <w:tcPr>
            <w:tcW w:w="2337" w:type="dxa"/>
            <w:vAlign w:val="center"/>
          </w:tcPr>
          <w:p w14:paraId="44E7F7EE">
            <w:pPr>
              <w:spacing w:line="440" w:lineRule="exact"/>
              <w:rPr>
                <w:rFonts w:hint="eastAsia" w:asciiTheme="minorEastAsia" w:hAnsiTheme="minorEastAsia" w:eastAsiaTheme="minorEastAsia" w:cstheme="minorEastAsia"/>
                <w:color w:val="auto"/>
                <w:sz w:val="21"/>
                <w:szCs w:val="22"/>
                <w:highlight w:val="none"/>
              </w:rPr>
            </w:pPr>
            <w:r>
              <w:rPr>
                <w:rFonts w:hint="eastAsia" w:asciiTheme="minorEastAsia" w:hAnsiTheme="minorEastAsia" w:eastAsiaTheme="minorEastAsia" w:cstheme="minorEastAsia"/>
                <w:color w:val="auto"/>
                <w:sz w:val="21"/>
                <w:szCs w:val="22"/>
                <w:highlight w:val="none"/>
              </w:rPr>
              <w:t>项目负责人</w:t>
            </w:r>
          </w:p>
        </w:tc>
        <w:tc>
          <w:tcPr>
            <w:tcW w:w="3841" w:type="dxa"/>
            <w:vAlign w:val="center"/>
          </w:tcPr>
          <w:p w14:paraId="5730F497">
            <w:pPr>
              <w:spacing w:line="440" w:lineRule="exact"/>
              <w:rPr>
                <w:rFonts w:hint="eastAsia" w:asciiTheme="minorEastAsia" w:hAnsiTheme="minorEastAsia" w:eastAsiaTheme="minorEastAsia" w:cstheme="minorEastAsia"/>
                <w:color w:val="auto"/>
                <w:sz w:val="21"/>
                <w:szCs w:val="22"/>
                <w:highlight w:val="none"/>
                <w:u w:val="single"/>
              </w:rPr>
            </w:pPr>
            <w:r>
              <w:rPr>
                <w:rFonts w:hint="eastAsia" w:asciiTheme="minorEastAsia" w:hAnsiTheme="minorEastAsia" w:eastAsiaTheme="minorEastAsia" w:cstheme="minorEastAsia"/>
                <w:color w:val="auto"/>
                <w:sz w:val="21"/>
                <w:szCs w:val="22"/>
                <w:highlight w:val="none"/>
              </w:rPr>
              <w:t>姓名：</w:t>
            </w:r>
          </w:p>
        </w:tc>
        <w:tc>
          <w:tcPr>
            <w:tcW w:w="3081" w:type="dxa"/>
            <w:vAlign w:val="center"/>
          </w:tcPr>
          <w:p w14:paraId="565E75A8">
            <w:pPr>
              <w:spacing w:line="440" w:lineRule="exact"/>
              <w:jc w:val="center"/>
              <w:rPr>
                <w:rFonts w:hint="eastAsia" w:asciiTheme="minorEastAsia" w:hAnsiTheme="minorEastAsia" w:eastAsiaTheme="minorEastAsia" w:cstheme="minorEastAsia"/>
                <w:color w:val="auto"/>
                <w:sz w:val="21"/>
                <w:szCs w:val="22"/>
                <w:highlight w:val="none"/>
              </w:rPr>
            </w:pPr>
          </w:p>
        </w:tc>
      </w:tr>
      <w:tr w14:paraId="62BA2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145C33F2">
            <w:pPr>
              <w:spacing w:line="440" w:lineRule="exact"/>
              <w:jc w:val="center"/>
              <w:rPr>
                <w:rFonts w:hint="eastAsia" w:asciiTheme="minorEastAsia" w:hAnsiTheme="minorEastAsia" w:eastAsiaTheme="minorEastAsia" w:cstheme="minorEastAsia"/>
                <w:color w:val="auto"/>
                <w:sz w:val="21"/>
                <w:szCs w:val="22"/>
                <w:highlight w:val="none"/>
              </w:rPr>
            </w:pPr>
            <w:r>
              <w:rPr>
                <w:rFonts w:hint="eastAsia" w:asciiTheme="minorEastAsia" w:hAnsiTheme="minorEastAsia" w:eastAsiaTheme="minorEastAsia" w:cstheme="minorEastAsia"/>
                <w:color w:val="auto"/>
                <w:sz w:val="21"/>
                <w:szCs w:val="22"/>
                <w:highlight w:val="none"/>
              </w:rPr>
              <w:t>2</w:t>
            </w:r>
          </w:p>
        </w:tc>
        <w:tc>
          <w:tcPr>
            <w:tcW w:w="2337" w:type="dxa"/>
            <w:vAlign w:val="center"/>
          </w:tcPr>
          <w:p w14:paraId="04BB7EE9">
            <w:pPr>
              <w:spacing w:line="440" w:lineRule="exact"/>
              <w:rPr>
                <w:rFonts w:hint="eastAsia" w:asciiTheme="minorEastAsia" w:hAnsiTheme="minorEastAsia" w:eastAsiaTheme="minorEastAsia" w:cstheme="minorEastAsia"/>
                <w:color w:val="auto"/>
                <w:sz w:val="21"/>
                <w:szCs w:val="22"/>
                <w:highlight w:val="none"/>
              </w:rPr>
            </w:pPr>
            <w:r>
              <w:rPr>
                <w:rFonts w:hint="eastAsia" w:asciiTheme="minorEastAsia" w:hAnsiTheme="minorEastAsia" w:eastAsiaTheme="minorEastAsia" w:cstheme="minorEastAsia"/>
                <w:color w:val="auto"/>
                <w:sz w:val="21"/>
                <w:szCs w:val="22"/>
                <w:highlight w:val="none"/>
              </w:rPr>
              <w:t>供货期</w:t>
            </w:r>
          </w:p>
        </w:tc>
        <w:tc>
          <w:tcPr>
            <w:tcW w:w="3841" w:type="dxa"/>
            <w:vAlign w:val="center"/>
          </w:tcPr>
          <w:p w14:paraId="79826D33">
            <w:pPr>
              <w:spacing w:line="440" w:lineRule="exact"/>
              <w:rPr>
                <w:rFonts w:hint="eastAsia" w:asciiTheme="minorEastAsia" w:hAnsiTheme="minorEastAsia" w:eastAsiaTheme="minorEastAsia" w:cstheme="minorEastAsia"/>
                <w:color w:val="auto"/>
                <w:sz w:val="21"/>
                <w:szCs w:val="22"/>
                <w:highlight w:val="none"/>
                <w:u w:val="single"/>
              </w:rPr>
            </w:pPr>
          </w:p>
        </w:tc>
        <w:tc>
          <w:tcPr>
            <w:tcW w:w="3081" w:type="dxa"/>
            <w:vAlign w:val="center"/>
          </w:tcPr>
          <w:p w14:paraId="2355A140">
            <w:pPr>
              <w:spacing w:line="440" w:lineRule="exact"/>
              <w:jc w:val="center"/>
              <w:rPr>
                <w:rFonts w:hint="eastAsia" w:asciiTheme="minorEastAsia" w:hAnsiTheme="minorEastAsia" w:eastAsiaTheme="minorEastAsia" w:cstheme="minorEastAsia"/>
                <w:color w:val="auto"/>
                <w:sz w:val="21"/>
                <w:szCs w:val="22"/>
                <w:highlight w:val="none"/>
              </w:rPr>
            </w:pPr>
          </w:p>
        </w:tc>
      </w:tr>
      <w:tr w14:paraId="16DF7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1B4C2922">
            <w:pPr>
              <w:spacing w:line="440" w:lineRule="exact"/>
              <w:jc w:val="center"/>
              <w:rPr>
                <w:rFonts w:hint="eastAsia" w:asciiTheme="minorEastAsia" w:hAnsiTheme="minorEastAsia" w:eastAsiaTheme="minorEastAsia" w:cstheme="minorEastAsia"/>
                <w:color w:val="auto"/>
                <w:sz w:val="21"/>
                <w:szCs w:val="22"/>
                <w:highlight w:val="none"/>
              </w:rPr>
            </w:pPr>
            <w:r>
              <w:rPr>
                <w:rFonts w:hint="eastAsia" w:asciiTheme="minorEastAsia" w:hAnsiTheme="minorEastAsia" w:eastAsiaTheme="minorEastAsia" w:cstheme="minorEastAsia"/>
                <w:color w:val="auto"/>
                <w:sz w:val="21"/>
                <w:szCs w:val="22"/>
                <w:highlight w:val="none"/>
              </w:rPr>
              <w:t>3</w:t>
            </w:r>
          </w:p>
        </w:tc>
        <w:tc>
          <w:tcPr>
            <w:tcW w:w="2337" w:type="dxa"/>
            <w:vAlign w:val="center"/>
          </w:tcPr>
          <w:p w14:paraId="3A7BEAEF">
            <w:pPr>
              <w:spacing w:line="440" w:lineRule="exact"/>
              <w:rPr>
                <w:rFonts w:hint="eastAsia" w:asciiTheme="minorEastAsia" w:hAnsiTheme="minorEastAsia" w:eastAsiaTheme="minorEastAsia" w:cstheme="minorEastAsia"/>
                <w:color w:val="auto"/>
                <w:sz w:val="21"/>
                <w:szCs w:val="22"/>
                <w:highlight w:val="none"/>
              </w:rPr>
            </w:pPr>
            <w:r>
              <w:rPr>
                <w:rFonts w:hint="eastAsia" w:asciiTheme="minorEastAsia" w:hAnsiTheme="minorEastAsia" w:eastAsiaTheme="minorEastAsia" w:cstheme="minorEastAsia"/>
                <w:color w:val="auto"/>
                <w:sz w:val="21"/>
                <w:szCs w:val="22"/>
                <w:highlight w:val="none"/>
              </w:rPr>
              <w:t>质量标准</w:t>
            </w:r>
          </w:p>
        </w:tc>
        <w:tc>
          <w:tcPr>
            <w:tcW w:w="3841" w:type="dxa"/>
            <w:vAlign w:val="center"/>
          </w:tcPr>
          <w:p w14:paraId="067052B5">
            <w:pPr>
              <w:spacing w:line="440" w:lineRule="exact"/>
              <w:rPr>
                <w:rFonts w:hint="eastAsia" w:asciiTheme="minorEastAsia" w:hAnsiTheme="minorEastAsia" w:eastAsiaTheme="minorEastAsia" w:cstheme="minorEastAsia"/>
                <w:color w:val="auto"/>
                <w:sz w:val="21"/>
                <w:szCs w:val="22"/>
                <w:highlight w:val="none"/>
              </w:rPr>
            </w:pPr>
          </w:p>
        </w:tc>
        <w:tc>
          <w:tcPr>
            <w:tcW w:w="3081" w:type="dxa"/>
            <w:vAlign w:val="center"/>
          </w:tcPr>
          <w:p w14:paraId="776485FC">
            <w:pPr>
              <w:spacing w:line="440" w:lineRule="exact"/>
              <w:jc w:val="center"/>
              <w:rPr>
                <w:rFonts w:hint="eastAsia" w:asciiTheme="minorEastAsia" w:hAnsiTheme="minorEastAsia" w:eastAsiaTheme="minorEastAsia" w:cstheme="minorEastAsia"/>
                <w:color w:val="auto"/>
                <w:sz w:val="21"/>
                <w:szCs w:val="22"/>
                <w:highlight w:val="none"/>
              </w:rPr>
            </w:pPr>
          </w:p>
        </w:tc>
      </w:tr>
      <w:tr w14:paraId="65B7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0" w:type="dxa"/>
            <w:vAlign w:val="center"/>
          </w:tcPr>
          <w:p w14:paraId="12C5510A">
            <w:pPr>
              <w:spacing w:line="440" w:lineRule="exact"/>
              <w:jc w:val="center"/>
              <w:rPr>
                <w:rFonts w:hint="eastAsia" w:asciiTheme="minorEastAsia" w:hAnsiTheme="minorEastAsia" w:eastAsiaTheme="minorEastAsia" w:cstheme="minorEastAsia"/>
                <w:color w:val="auto"/>
                <w:sz w:val="21"/>
                <w:szCs w:val="22"/>
                <w:highlight w:val="none"/>
              </w:rPr>
            </w:pPr>
            <w:r>
              <w:rPr>
                <w:rFonts w:hint="eastAsia" w:asciiTheme="minorEastAsia" w:hAnsiTheme="minorEastAsia" w:eastAsiaTheme="minorEastAsia" w:cstheme="minorEastAsia"/>
                <w:color w:val="auto"/>
                <w:sz w:val="21"/>
                <w:szCs w:val="22"/>
                <w:highlight w:val="none"/>
              </w:rPr>
              <w:t>4</w:t>
            </w:r>
          </w:p>
        </w:tc>
        <w:tc>
          <w:tcPr>
            <w:tcW w:w="2337" w:type="dxa"/>
            <w:vAlign w:val="center"/>
          </w:tcPr>
          <w:p w14:paraId="68206233">
            <w:pPr>
              <w:spacing w:line="440" w:lineRule="exact"/>
              <w:rPr>
                <w:rFonts w:hint="eastAsia" w:asciiTheme="minorEastAsia" w:hAnsiTheme="minorEastAsia" w:eastAsiaTheme="minorEastAsia" w:cstheme="minorEastAsia"/>
                <w:color w:val="auto"/>
                <w:sz w:val="21"/>
                <w:szCs w:val="22"/>
                <w:highlight w:val="none"/>
              </w:rPr>
            </w:pPr>
            <w:r>
              <w:rPr>
                <w:rFonts w:hint="eastAsia" w:asciiTheme="minorEastAsia" w:hAnsiTheme="minorEastAsia" w:eastAsiaTheme="minorEastAsia" w:cstheme="minorEastAsia"/>
                <w:color w:val="auto"/>
                <w:sz w:val="21"/>
                <w:szCs w:val="22"/>
                <w:highlight w:val="none"/>
              </w:rPr>
              <w:t>投标有效期</w:t>
            </w:r>
          </w:p>
        </w:tc>
        <w:tc>
          <w:tcPr>
            <w:tcW w:w="3841" w:type="dxa"/>
            <w:vAlign w:val="center"/>
          </w:tcPr>
          <w:p w14:paraId="292E1769">
            <w:pPr>
              <w:spacing w:line="440" w:lineRule="exact"/>
              <w:rPr>
                <w:rFonts w:hint="eastAsia" w:asciiTheme="minorEastAsia" w:hAnsiTheme="minorEastAsia" w:eastAsiaTheme="minorEastAsia" w:cstheme="minorEastAsia"/>
                <w:color w:val="auto"/>
                <w:sz w:val="21"/>
                <w:szCs w:val="22"/>
                <w:highlight w:val="none"/>
              </w:rPr>
            </w:pPr>
            <w:r>
              <w:rPr>
                <w:rFonts w:hint="eastAsia" w:asciiTheme="minorEastAsia" w:hAnsiTheme="minorEastAsia" w:eastAsiaTheme="minorEastAsia" w:cstheme="minorEastAsia"/>
                <w:color w:val="auto"/>
                <w:sz w:val="21"/>
                <w:szCs w:val="22"/>
                <w:highlight w:val="none"/>
              </w:rPr>
              <w:t>90天</w:t>
            </w:r>
          </w:p>
        </w:tc>
        <w:tc>
          <w:tcPr>
            <w:tcW w:w="3081" w:type="dxa"/>
            <w:vAlign w:val="center"/>
          </w:tcPr>
          <w:p w14:paraId="28A4D9B7">
            <w:pPr>
              <w:spacing w:line="440" w:lineRule="exact"/>
              <w:jc w:val="center"/>
              <w:rPr>
                <w:rFonts w:hint="eastAsia" w:asciiTheme="minorEastAsia" w:hAnsiTheme="minorEastAsia" w:eastAsiaTheme="minorEastAsia" w:cstheme="minorEastAsia"/>
                <w:color w:val="auto"/>
                <w:sz w:val="21"/>
                <w:szCs w:val="22"/>
                <w:highlight w:val="none"/>
              </w:rPr>
            </w:pPr>
          </w:p>
        </w:tc>
      </w:tr>
      <w:tr w14:paraId="66E98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2381E009">
            <w:pPr>
              <w:spacing w:line="440" w:lineRule="exact"/>
              <w:jc w:val="center"/>
              <w:rPr>
                <w:rFonts w:hint="eastAsia" w:asciiTheme="minorEastAsia" w:hAnsiTheme="minorEastAsia" w:eastAsiaTheme="minorEastAsia" w:cstheme="minorEastAsia"/>
                <w:color w:val="auto"/>
                <w:sz w:val="21"/>
                <w:szCs w:val="22"/>
                <w:highlight w:val="none"/>
              </w:rPr>
            </w:pPr>
            <w:r>
              <w:rPr>
                <w:rFonts w:hint="eastAsia" w:asciiTheme="minorEastAsia" w:hAnsiTheme="minorEastAsia" w:eastAsiaTheme="minorEastAsia" w:cstheme="minorEastAsia"/>
                <w:color w:val="auto"/>
                <w:sz w:val="21"/>
                <w:szCs w:val="22"/>
                <w:highlight w:val="none"/>
              </w:rPr>
              <w:t>5</w:t>
            </w:r>
          </w:p>
        </w:tc>
        <w:tc>
          <w:tcPr>
            <w:tcW w:w="2337" w:type="dxa"/>
            <w:vAlign w:val="center"/>
          </w:tcPr>
          <w:p w14:paraId="5FD24039">
            <w:pPr>
              <w:autoSpaceDE w:val="0"/>
              <w:autoSpaceDN w:val="0"/>
              <w:adjustRightInd w:val="0"/>
              <w:spacing w:line="240" w:lineRule="exact"/>
              <w:rPr>
                <w:rFonts w:hint="eastAsia" w:asciiTheme="minorEastAsia" w:hAnsiTheme="minorEastAsia" w:eastAsiaTheme="minorEastAsia" w:cstheme="minorEastAsia"/>
                <w:bCs/>
                <w:color w:val="auto"/>
                <w:sz w:val="21"/>
                <w:szCs w:val="22"/>
                <w:highlight w:val="none"/>
                <w:lang w:val="zh-CN"/>
              </w:rPr>
            </w:pPr>
            <w:r>
              <w:rPr>
                <w:rFonts w:hint="eastAsia" w:asciiTheme="minorEastAsia" w:hAnsiTheme="minorEastAsia" w:eastAsiaTheme="minorEastAsia" w:cstheme="minorEastAsia"/>
                <w:bCs/>
                <w:color w:val="auto"/>
                <w:sz w:val="21"/>
                <w:szCs w:val="22"/>
                <w:highlight w:val="none"/>
                <w:lang w:val="zh-CN"/>
              </w:rPr>
              <w:t>分包</w:t>
            </w:r>
          </w:p>
        </w:tc>
        <w:tc>
          <w:tcPr>
            <w:tcW w:w="3841" w:type="dxa"/>
            <w:vAlign w:val="center"/>
          </w:tcPr>
          <w:p w14:paraId="57EFE36A">
            <w:pPr>
              <w:autoSpaceDE w:val="0"/>
              <w:autoSpaceDN w:val="0"/>
              <w:adjustRightInd w:val="0"/>
              <w:spacing w:line="300" w:lineRule="exact"/>
              <w:rPr>
                <w:rFonts w:hint="eastAsia" w:asciiTheme="minorEastAsia" w:hAnsiTheme="minorEastAsia" w:eastAsiaTheme="minorEastAsia" w:cstheme="minorEastAsia"/>
                <w:bCs/>
                <w:color w:val="auto"/>
                <w:sz w:val="21"/>
                <w:szCs w:val="22"/>
                <w:highlight w:val="none"/>
                <w:lang w:val="zh-CN"/>
              </w:rPr>
            </w:pPr>
            <w:r>
              <w:rPr>
                <w:rFonts w:hint="eastAsia" w:asciiTheme="minorEastAsia" w:hAnsiTheme="minorEastAsia" w:eastAsiaTheme="minorEastAsia" w:cstheme="minorEastAsia"/>
                <w:bCs/>
                <w:color w:val="auto"/>
                <w:sz w:val="21"/>
                <w:szCs w:val="22"/>
                <w:highlight w:val="none"/>
                <w:lang w:val="zh-CN"/>
              </w:rPr>
              <w:t>不允许</w:t>
            </w:r>
          </w:p>
        </w:tc>
        <w:tc>
          <w:tcPr>
            <w:tcW w:w="3081" w:type="dxa"/>
            <w:vAlign w:val="center"/>
          </w:tcPr>
          <w:p w14:paraId="7359AF6A">
            <w:pPr>
              <w:spacing w:line="440" w:lineRule="exact"/>
              <w:jc w:val="center"/>
              <w:rPr>
                <w:rFonts w:hint="eastAsia" w:asciiTheme="minorEastAsia" w:hAnsiTheme="minorEastAsia" w:eastAsiaTheme="minorEastAsia" w:cstheme="minorEastAsia"/>
                <w:color w:val="auto"/>
                <w:sz w:val="21"/>
                <w:szCs w:val="22"/>
                <w:highlight w:val="none"/>
              </w:rPr>
            </w:pPr>
          </w:p>
        </w:tc>
      </w:tr>
      <w:tr w14:paraId="088BE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5FEE5A86">
            <w:pPr>
              <w:spacing w:line="440" w:lineRule="exact"/>
              <w:jc w:val="center"/>
              <w:rPr>
                <w:rFonts w:hint="eastAsia" w:asciiTheme="minorEastAsia" w:hAnsiTheme="minorEastAsia" w:eastAsiaTheme="minorEastAsia" w:cstheme="minorEastAsia"/>
                <w:color w:val="auto"/>
                <w:sz w:val="21"/>
                <w:szCs w:val="22"/>
                <w:highlight w:val="none"/>
              </w:rPr>
            </w:pPr>
            <w:r>
              <w:rPr>
                <w:rFonts w:hint="eastAsia" w:asciiTheme="minorEastAsia" w:hAnsiTheme="minorEastAsia" w:eastAsiaTheme="minorEastAsia" w:cstheme="minorEastAsia"/>
                <w:color w:val="auto"/>
                <w:sz w:val="21"/>
                <w:szCs w:val="22"/>
                <w:highlight w:val="none"/>
              </w:rPr>
              <w:t>6</w:t>
            </w:r>
          </w:p>
        </w:tc>
        <w:tc>
          <w:tcPr>
            <w:tcW w:w="2337" w:type="dxa"/>
            <w:vAlign w:val="center"/>
          </w:tcPr>
          <w:p w14:paraId="0D70AD13">
            <w:pPr>
              <w:autoSpaceDE w:val="0"/>
              <w:autoSpaceDN w:val="0"/>
              <w:adjustRightInd w:val="0"/>
              <w:spacing w:line="240" w:lineRule="exact"/>
              <w:rPr>
                <w:rFonts w:hint="eastAsia" w:asciiTheme="minorEastAsia" w:hAnsiTheme="minorEastAsia" w:eastAsiaTheme="minorEastAsia" w:cstheme="minorEastAsia"/>
                <w:bCs/>
                <w:color w:val="auto"/>
                <w:sz w:val="21"/>
                <w:szCs w:val="22"/>
                <w:highlight w:val="none"/>
                <w:lang w:val="zh-CN"/>
              </w:rPr>
            </w:pPr>
            <w:r>
              <w:rPr>
                <w:rFonts w:hint="eastAsia" w:asciiTheme="minorEastAsia" w:hAnsiTheme="minorEastAsia" w:eastAsiaTheme="minorEastAsia" w:cstheme="minorEastAsia"/>
                <w:bCs/>
                <w:color w:val="auto"/>
                <w:sz w:val="21"/>
                <w:szCs w:val="22"/>
                <w:highlight w:val="none"/>
                <w:lang w:val="zh-CN"/>
              </w:rPr>
              <w:t>权利义务</w:t>
            </w:r>
          </w:p>
        </w:tc>
        <w:tc>
          <w:tcPr>
            <w:tcW w:w="3841" w:type="dxa"/>
            <w:vAlign w:val="center"/>
          </w:tcPr>
          <w:p w14:paraId="0A87A0AA">
            <w:pPr>
              <w:autoSpaceDE w:val="0"/>
              <w:autoSpaceDN w:val="0"/>
              <w:adjustRightInd w:val="0"/>
              <w:spacing w:line="300" w:lineRule="exact"/>
              <w:rPr>
                <w:rFonts w:hint="eastAsia" w:asciiTheme="minorEastAsia" w:hAnsiTheme="minorEastAsia" w:eastAsiaTheme="minorEastAsia" w:cstheme="minorEastAsia"/>
                <w:bCs/>
                <w:color w:val="auto"/>
                <w:sz w:val="21"/>
                <w:szCs w:val="22"/>
                <w:highlight w:val="none"/>
                <w:lang w:val="zh-CN"/>
              </w:rPr>
            </w:pPr>
            <w:r>
              <w:rPr>
                <w:rFonts w:hint="eastAsia" w:asciiTheme="minorEastAsia" w:hAnsiTheme="minorEastAsia" w:eastAsiaTheme="minorEastAsia" w:cstheme="minorEastAsia"/>
                <w:bCs/>
                <w:color w:val="auto"/>
                <w:sz w:val="21"/>
                <w:szCs w:val="22"/>
                <w:highlight w:val="none"/>
                <w:lang w:val="zh-CN"/>
              </w:rPr>
              <w:t>符合第六章“合同条款及格式”规定</w:t>
            </w:r>
          </w:p>
        </w:tc>
        <w:tc>
          <w:tcPr>
            <w:tcW w:w="3081" w:type="dxa"/>
            <w:vAlign w:val="center"/>
          </w:tcPr>
          <w:p w14:paraId="1D05E967">
            <w:pPr>
              <w:spacing w:line="440" w:lineRule="exact"/>
              <w:jc w:val="center"/>
              <w:rPr>
                <w:rFonts w:hint="eastAsia" w:asciiTheme="minorEastAsia" w:hAnsiTheme="minorEastAsia" w:eastAsiaTheme="minorEastAsia" w:cstheme="minorEastAsia"/>
                <w:color w:val="auto"/>
                <w:sz w:val="21"/>
                <w:szCs w:val="22"/>
                <w:highlight w:val="none"/>
              </w:rPr>
            </w:pPr>
          </w:p>
        </w:tc>
      </w:tr>
      <w:tr w14:paraId="09472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0D02CADB">
            <w:pPr>
              <w:spacing w:line="440" w:lineRule="exact"/>
              <w:jc w:val="center"/>
              <w:rPr>
                <w:rFonts w:hint="eastAsia" w:asciiTheme="minorEastAsia" w:hAnsiTheme="minorEastAsia" w:eastAsiaTheme="minorEastAsia" w:cstheme="minorEastAsia"/>
                <w:color w:val="auto"/>
                <w:sz w:val="21"/>
                <w:szCs w:val="22"/>
                <w:highlight w:val="none"/>
              </w:rPr>
            </w:pPr>
            <w:r>
              <w:rPr>
                <w:rFonts w:hint="eastAsia" w:asciiTheme="minorEastAsia" w:hAnsiTheme="minorEastAsia" w:eastAsiaTheme="minorEastAsia" w:cstheme="minorEastAsia"/>
                <w:color w:val="auto"/>
                <w:sz w:val="21"/>
                <w:szCs w:val="22"/>
                <w:highlight w:val="none"/>
              </w:rPr>
              <w:t>7</w:t>
            </w:r>
          </w:p>
        </w:tc>
        <w:tc>
          <w:tcPr>
            <w:tcW w:w="2337" w:type="dxa"/>
            <w:vAlign w:val="center"/>
          </w:tcPr>
          <w:p w14:paraId="6F85A828">
            <w:pPr>
              <w:autoSpaceDE w:val="0"/>
              <w:autoSpaceDN w:val="0"/>
              <w:adjustRightInd w:val="0"/>
              <w:spacing w:line="240" w:lineRule="exact"/>
              <w:rPr>
                <w:rFonts w:hint="eastAsia" w:asciiTheme="minorEastAsia" w:hAnsiTheme="minorEastAsia" w:eastAsiaTheme="minorEastAsia" w:cstheme="minorEastAsia"/>
                <w:bCs/>
                <w:color w:val="auto"/>
                <w:sz w:val="21"/>
                <w:szCs w:val="22"/>
                <w:highlight w:val="none"/>
                <w:lang w:val="zh-CN"/>
              </w:rPr>
            </w:pPr>
            <w:r>
              <w:rPr>
                <w:rFonts w:hint="eastAsia" w:asciiTheme="minorEastAsia" w:hAnsiTheme="minorEastAsia" w:eastAsiaTheme="minorEastAsia" w:cstheme="minorEastAsia"/>
                <w:bCs/>
                <w:color w:val="auto"/>
                <w:sz w:val="21"/>
                <w:szCs w:val="22"/>
                <w:highlight w:val="none"/>
                <w:lang w:val="zh-CN"/>
              </w:rPr>
              <w:t>技术标准和要求</w:t>
            </w:r>
          </w:p>
        </w:tc>
        <w:tc>
          <w:tcPr>
            <w:tcW w:w="3841" w:type="dxa"/>
            <w:vAlign w:val="center"/>
          </w:tcPr>
          <w:p w14:paraId="6F27D8D7">
            <w:pPr>
              <w:autoSpaceDE w:val="0"/>
              <w:autoSpaceDN w:val="0"/>
              <w:adjustRightInd w:val="0"/>
              <w:spacing w:line="300" w:lineRule="exact"/>
              <w:rPr>
                <w:rFonts w:hint="eastAsia" w:asciiTheme="minorEastAsia" w:hAnsiTheme="minorEastAsia" w:eastAsiaTheme="minorEastAsia" w:cstheme="minorEastAsia"/>
                <w:bCs/>
                <w:color w:val="auto"/>
                <w:sz w:val="21"/>
                <w:szCs w:val="22"/>
                <w:highlight w:val="none"/>
                <w:lang w:val="zh-CN"/>
              </w:rPr>
            </w:pPr>
            <w:r>
              <w:rPr>
                <w:rFonts w:hint="eastAsia" w:asciiTheme="minorEastAsia" w:hAnsiTheme="minorEastAsia" w:eastAsiaTheme="minorEastAsia" w:cstheme="minorEastAsia"/>
                <w:bCs/>
                <w:color w:val="auto"/>
                <w:sz w:val="21"/>
                <w:szCs w:val="22"/>
                <w:highlight w:val="none"/>
                <w:lang w:val="zh-CN"/>
              </w:rPr>
              <w:t>符合第</w:t>
            </w:r>
            <w:r>
              <w:rPr>
                <w:rFonts w:hint="eastAsia" w:asciiTheme="minorEastAsia" w:hAnsiTheme="minorEastAsia" w:eastAsiaTheme="minorEastAsia" w:cstheme="minorEastAsia"/>
                <w:bCs/>
                <w:color w:val="auto"/>
                <w:sz w:val="21"/>
                <w:szCs w:val="22"/>
                <w:highlight w:val="none"/>
              </w:rPr>
              <w:t>四</w:t>
            </w:r>
            <w:r>
              <w:rPr>
                <w:rFonts w:hint="eastAsia" w:asciiTheme="minorEastAsia" w:hAnsiTheme="minorEastAsia" w:eastAsiaTheme="minorEastAsia" w:cstheme="minorEastAsia"/>
                <w:bCs/>
                <w:color w:val="auto"/>
                <w:sz w:val="21"/>
                <w:szCs w:val="22"/>
                <w:highlight w:val="none"/>
                <w:lang w:val="zh-CN"/>
              </w:rPr>
              <w:t>章“货物需求及技术规格要求”</w:t>
            </w:r>
          </w:p>
        </w:tc>
        <w:tc>
          <w:tcPr>
            <w:tcW w:w="3081" w:type="dxa"/>
            <w:vAlign w:val="center"/>
          </w:tcPr>
          <w:p w14:paraId="24FC4D17">
            <w:pPr>
              <w:spacing w:line="440" w:lineRule="exact"/>
              <w:jc w:val="center"/>
              <w:rPr>
                <w:rFonts w:hint="eastAsia" w:asciiTheme="minorEastAsia" w:hAnsiTheme="minorEastAsia" w:eastAsiaTheme="minorEastAsia" w:cstheme="minorEastAsia"/>
                <w:color w:val="auto"/>
                <w:sz w:val="21"/>
                <w:szCs w:val="22"/>
                <w:highlight w:val="none"/>
              </w:rPr>
            </w:pPr>
          </w:p>
        </w:tc>
      </w:tr>
      <w:tr w14:paraId="5F70C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23F0705E">
            <w:pPr>
              <w:spacing w:line="440" w:lineRule="exact"/>
              <w:jc w:val="center"/>
              <w:rPr>
                <w:rFonts w:hint="eastAsia" w:asciiTheme="minorEastAsia" w:hAnsiTheme="minorEastAsia" w:eastAsiaTheme="minorEastAsia" w:cstheme="minorEastAsia"/>
                <w:color w:val="auto"/>
                <w:sz w:val="21"/>
                <w:szCs w:val="22"/>
                <w:highlight w:val="none"/>
              </w:rPr>
            </w:pPr>
            <w:r>
              <w:rPr>
                <w:rFonts w:hint="eastAsia" w:asciiTheme="minorEastAsia" w:hAnsiTheme="minorEastAsia" w:eastAsiaTheme="minorEastAsia" w:cstheme="minorEastAsia"/>
                <w:color w:val="auto"/>
                <w:sz w:val="21"/>
                <w:szCs w:val="22"/>
                <w:highlight w:val="none"/>
              </w:rPr>
              <w:t>8</w:t>
            </w:r>
          </w:p>
        </w:tc>
        <w:tc>
          <w:tcPr>
            <w:tcW w:w="2337" w:type="dxa"/>
            <w:vAlign w:val="center"/>
          </w:tcPr>
          <w:p w14:paraId="1731B461">
            <w:pPr>
              <w:autoSpaceDE w:val="0"/>
              <w:autoSpaceDN w:val="0"/>
              <w:adjustRightInd w:val="0"/>
              <w:spacing w:line="240" w:lineRule="exact"/>
              <w:rPr>
                <w:rFonts w:hint="eastAsia" w:asciiTheme="minorEastAsia" w:hAnsiTheme="minorEastAsia" w:eastAsiaTheme="minorEastAsia" w:cstheme="minorEastAsia"/>
                <w:bCs/>
                <w:color w:val="auto"/>
                <w:sz w:val="21"/>
                <w:szCs w:val="22"/>
                <w:highlight w:val="none"/>
                <w:lang w:val="zh-CN"/>
              </w:rPr>
            </w:pPr>
            <w:r>
              <w:rPr>
                <w:rFonts w:hint="eastAsia" w:asciiTheme="minorEastAsia" w:hAnsiTheme="minorEastAsia" w:eastAsiaTheme="minorEastAsia" w:cstheme="minorEastAsia"/>
                <w:bCs/>
                <w:color w:val="auto"/>
                <w:sz w:val="21"/>
                <w:szCs w:val="22"/>
                <w:highlight w:val="none"/>
                <w:lang w:val="zh-CN"/>
              </w:rPr>
              <w:t>质量保证期</w:t>
            </w:r>
          </w:p>
        </w:tc>
        <w:tc>
          <w:tcPr>
            <w:tcW w:w="3841" w:type="dxa"/>
            <w:vAlign w:val="center"/>
          </w:tcPr>
          <w:p w14:paraId="34535D08">
            <w:pPr>
              <w:autoSpaceDE w:val="0"/>
              <w:autoSpaceDN w:val="0"/>
              <w:adjustRightInd w:val="0"/>
              <w:spacing w:line="300" w:lineRule="exact"/>
              <w:rPr>
                <w:rFonts w:hint="eastAsia" w:asciiTheme="minorEastAsia" w:hAnsiTheme="minorEastAsia" w:eastAsiaTheme="minorEastAsia" w:cstheme="minorEastAsia"/>
                <w:bCs/>
                <w:color w:val="auto"/>
                <w:sz w:val="21"/>
                <w:szCs w:val="22"/>
                <w:highlight w:val="none"/>
                <w:lang w:val="zh-CN"/>
              </w:rPr>
            </w:pPr>
          </w:p>
        </w:tc>
        <w:tc>
          <w:tcPr>
            <w:tcW w:w="3081" w:type="dxa"/>
            <w:vAlign w:val="center"/>
          </w:tcPr>
          <w:p w14:paraId="6622F37B">
            <w:pPr>
              <w:spacing w:line="440" w:lineRule="exact"/>
              <w:jc w:val="center"/>
              <w:rPr>
                <w:rFonts w:hint="eastAsia" w:asciiTheme="minorEastAsia" w:hAnsiTheme="minorEastAsia" w:eastAsiaTheme="minorEastAsia" w:cstheme="minorEastAsia"/>
                <w:color w:val="auto"/>
                <w:sz w:val="21"/>
                <w:szCs w:val="22"/>
                <w:highlight w:val="none"/>
              </w:rPr>
            </w:pPr>
          </w:p>
        </w:tc>
      </w:tr>
      <w:tr w14:paraId="42E4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0" w:type="dxa"/>
            <w:vAlign w:val="center"/>
          </w:tcPr>
          <w:p w14:paraId="1E273829">
            <w:pPr>
              <w:spacing w:line="440" w:lineRule="exact"/>
              <w:jc w:val="center"/>
              <w:rPr>
                <w:rFonts w:hint="eastAsia" w:asciiTheme="minorEastAsia" w:hAnsiTheme="minorEastAsia" w:eastAsiaTheme="minorEastAsia" w:cstheme="minorEastAsia"/>
                <w:color w:val="auto"/>
                <w:sz w:val="21"/>
                <w:szCs w:val="22"/>
                <w:highlight w:val="none"/>
              </w:rPr>
            </w:pPr>
            <w:r>
              <w:rPr>
                <w:rFonts w:hint="eastAsia" w:asciiTheme="minorEastAsia" w:hAnsiTheme="minorEastAsia" w:eastAsiaTheme="minorEastAsia" w:cstheme="minorEastAsia"/>
                <w:color w:val="auto"/>
                <w:sz w:val="21"/>
                <w:szCs w:val="22"/>
                <w:highlight w:val="none"/>
              </w:rPr>
              <w:t>……</w:t>
            </w:r>
          </w:p>
        </w:tc>
        <w:tc>
          <w:tcPr>
            <w:tcW w:w="2337" w:type="dxa"/>
            <w:vAlign w:val="center"/>
          </w:tcPr>
          <w:p w14:paraId="61CAD863">
            <w:pPr>
              <w:spacing w:line="440" w:lineRule="exact"/>
              <w:rPr>
                <w:rFonts w:hint="eastAsia" w:asciiTheme="minorEastAsia" w:hAnsiTheme="minorEastAsia" w:eastAsiaTheme="minorEastAsia" w:cstheme="minorEastAsia"/>
                <w:color w:val="auto"/>
                <w:sz w:val="21"/>
                <w:szCs w:val="22"/>
                <w:highlight w:val="none"/>
              </w:rPr>
            </w:pPr>
            <w:r>
              <w:rPr>
                <w:rFonts w:hint="eastAsia" w:asciiTheme="minorEastAsia" w:hAnsiTheme="minorEastAsia" w:eastAsiaTheme="minorEastAsia" w:cstheme="minorEastAsia"/>
                <w:color w:val="auto"/>
                <w:sz w:val="21"/>
                <w:szCs w:val="22"/>
                <w:highlight w:val="none"/>
              </w:rPr>
              <w:t>……</w:t>
            </w:r>
          </w:p>
        </w:tc>
        <w:tc>
          <w:tcPr>
            <w:tcW w:w="3841" w:type="dxa"/>
            <w:vAlign w:val="center"/>
          </w:tcPr>
          <w:p w14:paraId="514B5F39">
            <w:pPr>
              <w:spacing w:line="440" w:lineRule="exact"/>
              <w:jc w:val="center"/>
              <w:rPr>
                <w:rFonts w:hint="eastAsia" w:asciiTheme="minorEastAsia" w:hAnsiTheme="minorEastAsia" w:eastAsiaTheme="minorEastAsia" w:cstheme="minorEastAsia"/>
                <w:color w:val="auto"/>
                <w:sz w:val="21"/>
                <w:szCs w:val="22"/>
                <w:highlight w:val="none"/>
              </w:rPr>
            </w:pPr>
            <w:r>
              <w:rPr>
                <w:rFonts w:hint="eastAsia" w:asciiTheme="minorEastAsia" w:hAnsiTheme="minorEastAsia" w:eastAsiaTheme="minorEastAsia" w:cstheme="minorEastAsia"/>
                <w:color w:val="auto"/>
                <w:sz w:val="21"/>
                <w:szCs w:val="22"/>
                <w:highlight w:val="none"/>
              </w:rPr>
              <w:t>……</w:t>
            </w:r>
          </w:p>
        </w:tc>
        <w:tc>
          <w:tcPr>
            <w:tcW w:w="3081" w:type="dxa"/>
            <w:vAlign w:val="center"/>
          </w:tcPr>
          <w:p w14:paraId="57372C2A">
            <w:pPr>
              <w:spacing w:line="440" w:lineRule="exact"/>
              <w:jc w:val="center"/>
              <w:rPr>
                <w:rFonts w:hint="eastAsia" w:asciiTheme="minorEastAsia" w:hAnsiTheme="minorEastAsia" w:eastAsiaTheme="minorEastAsia" w:cstheme="minorEastAsia"/>
                <w:color w:val="auto"/>
                <w:sz w:val="21"/>
                <w:szCs w:val="22"/>
                <w:highlight w:val="none"/>
              </w:rPr>
            </w:pPr>
          </w:p>
        </w:tc>
      </w:tr>
      <w:tr w14:paraId="0137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4EB0B347">
            <w:pPr>
              <w:spacing w:line="440" w:lineRule="exact"/>
              <w:jc w:val="center"/>
              <w:rPr>
                <w:rFonts w:hint="eastAsia" w:asciiTheme="minorEastAsia" w:hAnsiTheme="minorEastAsia" w:eastAsiaTheme="minorEastAsia" w:cstheme="minorEastAsia"/>
                <w:color w:val="auto"/>
                <w:sz w:val="21"/>
                <w:szCs w:val="22"/>
                <w:highlight w:val="none"/>
              </w:rPr>
            </w:pPr>
            <w:r>
              <w:rPr>
                <w:rFonts w:hint="eastAsia" w:asciiTheme="minorEastAsia" w:hAnsiTheme="minorEastAsia" w:eastAsiaTheme="minorEastAsia" w:cstheme="minorEastAsia"/>
                <w:color w:val="auto"/>
                <w:sz w:val="21"/>
                <w:szCs w:val="22"/>
                <w:highlight w:val="none"/>
              </w:rPr>
              <w:t>……</w:t>
            </w:r>
          </w:p>
        </w:tc>
        <w:tc>
          <w:tcPr>
            <w:tcW w:w="2337" w:type="dxa"/>
            <w:vAlign w:val="center"/>
          </w:tcPr>
          <w:p w14:paraId="0FDAC5DF">
            <w:pPr>
              <w:spacing w:line="440" w:lineRule="exact"/>
              <w:rPr>
                <w:rFonts w:hint="eastAsia" w:asciiTheme="minorEastAsia" w:hAnsiTheme="minorEastAsia" w:eastAsiaTheme="minorEastAsia" w:cstheme="minorEastAsia"/>
                <w:color w:val="auto"/>
                <w:sz w:val="21"/>
                <w:szCs w:val="22"/>
                <w:highlight w:val="none"/>
              </w:rPr>
            </w:pPr>
            <w:r>
              <w:rPr>
                <w:rFonts w:hint="eastAsia" w:asciiTheme="minorEastAsia" w:hAnsiTheme="minorEastAsia" w:eastAsiaTheme="minorEastAsia" w:cstheme="minorEastAsia"/>
                <w:color w:val="auto"/>
                <w:sz w:val="21"/>
                <w:szCs w:val="22"/>
                <w:highlight w:val="none"/>
              </w:rPr>
              <w:t>……</w:t>
            </w:r>
          </w:p>
        </w:tc>
        <w:tc>
          <w:tcPr>
            <w:tcW w:w="3841" w:type="dxa"/>
            <w:vAlign w:val="center"/>
          </w:tcPr>
          <w:p w14:paraId="5C50B46A">
            <w:pPr>
              <w:spacing w:line="440" w:lineRule="exact"/>
              <w:jc w:val="center"/>
              <w:rPr>
                <w:rFonts w:hint="eastAsia" w:asciiTheme="minorEastAsia" w:hAnsiTheme="minorEastAsia" w:eastAsiaTheme="minorEastAsia" w:cstheme="minorEastAsia"/>
                <w:color w:val="auto"/>
                <w:sz w:val="21"/>
                <w:szCs w:val="22"/>
                <w:highlight w:val="none"/>
              </w:rPr>
            </w:pPr>
            <w:r>
              <w:rPr>
                <w:rFonts w:hint="eastAsia" w:asciiTheme="minorEastAsia" w:hAnsiTheme="minorEastAsia" w:eastAsiaTheme="minorEastAsia" w:cstheme="minorEastAsia"/>
                <w:color w:val="auto"/>
                <w:sz w:val="21"/>
                <w:szCs w:val="22"/>
                <w:highlight w:val="none"/>
              </w:rPr>
              <w:t>……</w:t>
            </w:r>
          </w:p>
        </w:tc>
        <w:tc>
          <w:tcPr>
            <w:tcW w:w="3081" w:type="dxa"/>
            <w:vAlign w:val="center"/>
          </w:tcPr>
          <w:p w14:paraId="782C4798">
            <w:pPr>
              <w:spacing w:line="440" w:lineRule="exact"/>
              <w:jc w:val="center"/>
              <w:rPr>
                <w:rFonts w:hint="eastAsia" w:asciiTheme="minorEastAsia" w:hAnsiTheme="minorEastAsia" w:eastAsiaTheme="minorEastAsia" w:cstheme="minorEastAsia"/>
                <w:color w:val="auto"/>
                <w:sz w:val="21"/>
                <w:szCs w:val="22"/>
                <w:highlight w:val="none"/>
              </w:rPr>
            </w:pPr>
          </w:p>
        </w:tc>
      </w:tr>
      <w:tr w14:paraId="4CFD0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6F226A95">
            <w:pPr>
              <w:spacing w:line="440" w:lineRule="exact"/>
              <w:jc w:val="center"/>
              <w:rPr>
                <w:rFonts w:hint="eastAsia" w:asciiTheme="minorEastAsia" w:hAnsiTheme="minorEastAsia" w:eastAsiaTheme="minorEastAsia" w:cstheme="minorEastAsia"/>
                <w:color w:val="auto"/>
                <w:sz w:val="21"/>
                <w:szCs w:val="22"/>
                <w:highlight w:val="none"/>
              </w:rPr>
            </w:pPr>
            <w:r>
              <w:rPr>
                <w:rFonts w:hint="eastAsia" w:asciiTheme="minorEastAsia" w:hAnsiTheme="minorEastAsia" w:eastAsiaTheme="minorEastAsia" w:cstheme="minorEastAsia"/>
                <w:color w:val="auto"/>
                <w:sz w:val="21"/>
                <w:szCs w:val="22"/>
                <w:highlight w:val="none"/>
              </w:rPr>
              <w:t>……</w:t>
            </w:r>
          </w:p>
        </w:tc>
        <w:tc>
          <w:tcPr>
            <w:tcW w:w="2337" w:type="dxa"/>
            <w:vAlign w:val="center"/>
          </w:tcPr>
          <w:p w14:paraId="581BAF4D">
            <w:pPr>
              <w:spacing w:line="440" w:lineRule="exact"/>
              <w:rPr>
                <w:rFonts w:hint="eastAsia" w:asciiTheme="minorEastAsia" w:hAnsiTheme="minorEastAsia" w:eastAsiaTheme="minorEastAsia" w:cstheme="minorEastAsia"/>
                <w:color w:val="auto"/>
                <w:sz w:val="21"/>
                <w:szCs w:val="22"/>
                <w:highlight w:val="none"/>
              </w:rPr>
            </w:pPr>
            <w:r>
              <w:rPr>
                <w:rFonts w:hint="eastAsia" w:asciiTheme="minorEastAsia" w:hAnsiTheme="minorEastAsia" w:eastAsiaTheme="minorEastAsia" w:cstheme="minorEastAsia"/>
                <w:color w:val="auto"/>
                <w:sz w:val="21"/>
                <w:szCs w:val="22"/>
                <w:highlight w:val="none"/>
              </w:rPr>
              <w:t>……</w:t>
            </w:r>
          </w:p>
        </w:tc>
        <w:tc>
          <w:tcPr>
            <w:tcW w:w="3841" w:type="dxa"/>
            <w:vAlign w:val="center"/>
          </w:tcPr>
          <w:p w14:paraId="032D92AB">
            <w:pPr>
              <w:spacing w:line="440" w:lineRule="exact"/>
              <w:jc w:val="center"/>
              <w:rPr>
                <w:rFonts w:hint="eastAsia" w:asciiTheme="minorEastAsia" w:hAnsiTheme="minorEastAsia" w:eastAsiaTheme="minorEastAsia" w:cstheme="minorEastAsia"/>
                <w:color w:val="auto"/>
                <w:sz w:val="21"/>
                <w:szCs w:val="22"/>
                <w:highlight w:val="none"/>
              </w:rPr>
            </w:pPr>
            <w:r>
              <w:rPr>
                <w:rFonts w:hint="eastAsia" w:asciiTheme="minorEastAsia" w:hAnsiTheme="minorEastAsia" w:eastAsiaTheme="minorEastAsia" w:cstheme="minorEastAsia"/>
                <w:color w:val="auto"/>
                <w:sz w:val="21"/>
                <w:szCs w:val="22"/>
                <w:highlight w:val="none"/>
              </w:rPr>
              <w:t>……</w:t>
            </w:r>
          </w:p>
        </w:tc>
        <w:tc>
          <w:tcPr>
            <w:tcW w:w="3081" w:type="dxa"/>
            <w:vAlign w:val="center"/>
          </w:tcPr>
          <w:p w14:paraId="472142B1">
            <w:pPr>
              <w:spacing w:line="440" w:lineRule="exact"/>
              <w:jc w:val="center"/>
              <w:rPr>
                <w:rFonts w:hint="eastAsia" w:asciiTheme="minorEastAsia" w:hAnsiTheme="minorEastAsia" w:eastAsiaTheme="minorEastAsia" w:cstheme="minorEastAsia"/>
                <w:color w:val="auto"/>
                <w:sz w:val="21"/>
                <w:szCs w:val="22"/>
                <w:highlight w:val="none"/>
              </w:rPr>
            </w:pPr>
          </w:p>
        </w:tc>
      </w:tr>
      <w:tr w14:paraId="412C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61B36A77">
            <w:pPr>
              <w:spacing w:line="440" w:lineRule="exact"/>
              <w:jc w:val="center"/>
              <w:rPr>
                <w:rFonts w:hint="eastAsia" w:asciiTheme="minorEastAsia" w:hAnsiTheme="minorEastAsia" w:eastAsiaTheme="minorEastAsia" w:cstheme="minorEastAsia"/>
                <w:color w:val="auto"/>
                <w:sz w:val="21"/>
                <w:szCs w:val="22"/>
                <w:highlight w:val="none"/>
              </w:rPr>
            </w:pPr>
            <w:r>
              <w:rPr>
                <w:rFonts w:hint="eastAsia" w:asciiTheme="minorEastAsia" w:hAnsiTheme="minorEastAsia" w:eastAsiaTheme="minorEastAsia" w:cstheme="minorEastAsia"/>
                <w:color w:val="auto"/>
                <w:sz w:val="21"/>
                <w:szCs w:val="22"/>
                <w:highlight w:val="none"/>
              </w:rPr>
              <w:t>……</w:t>
            </w:r>
          </w:p>
        </w:tc>
        <w:tc>
          <w:tcPr>
            <w:tcW w:w="2337" w:type="dxa"/>
            <w:vAlign w:val="center"/>
          </w:tcPr>
          <w:p w14:paraId="1430CD9A">
            <w:pPr>
              <w:spacing w:line="440" w:lineRule="exact"/>
              <w:rPr>
                <w:rFonts w:hint="eastAsia" w:asciiTheme="minorEastAsia" w:hAnsiTheme="minorEastAsia" w:eastAsiaTheme="minorEastAsia" w:cstheme="minorEastAsia"/>
                <w:color w:val="auto"/>
                <w:sz w:val="21"/>
                <w:szCs w:val="22"/>
                <w:highlight w:val="none"/>
              </w:rPr>
            </w:pPr>
            <w:r>
              <w:rPr>
                <w:rFonts w:hint="eastAsia" w:asciiTheme="minorEastAsia" w:hAnsiTheme="minorEastAsia" w:eastAsiaTheme="minorEastAsia" w:cstheme="minorEastAsia"/>
                <w:color w:val="auto"/>
                <w:sz w:val="21"/>
                <w:szCs w:val="22"/>
                <w:highlight w:val="none"/>
              </w:rPr>
              <w:t>……</w:t>
            </w:r>
          </w:p>
        </w:tc>
        <w:tc>
          <w:tcPr>
            <w:tcW w:w="3841" w:type="dxa"/>
            <w:vAlign w:val="center"/>
          </w:tcPr>
          <w:p w14:paraId="0737AE24">
            <w:pPr>
              <w:spacing w:line="440" w:lineRule="exact"/>
              <w:jc w:val="center"/>
              <w:rPr>
                <w:rFonts w:hint="eastAsia" w:asciiTheme="minorEastAsia" w:hAnsiTheme="minorEastAsia" w:eastAsiaTheme="minorEastAsia" w:cstheme="minorEastAsia"/>
                <w:color w:val="auto"/>
                <w:sz w:val="21"/>
                <w:szCs w:val="22"/>
                <w:highlight w:val="none"/>
              </w:rPr>
            </w:pPr>
            <w:r>
              <w:rPr>
                <w:rFonts w:hint="eastAsia" w:asciiTheme="minorEastAsia" w:hAnsiTheme="minorEastAsia" w:eastAsiaTheme="minorEastAsia" w:cstheme="minorEastAsia"/>
                <w:color w:val="auto"/>
                <w:sz w:val="21"/>
                <w:szCs w:val="22"/>
                <w:highlight w:val="none"/>
              </w:rPr>
              <w:t>……</w:t>
            </w:r>
          </w:p>
        </w:tc>
        <w:tc>
          <w:tcPr>
            <w:tcW w:w="3081" w:type="dxa"/>
            <w:vAlign w:val="center"/>
          </w:tcPr>
          <w:p w14:paraId="067809A7">
            <w:pPr>
              <w:spacing w:line="440" w:lineRule="exact"/>
              <w:jc w:val="center"/>
              <w:rPr>
                <w:rFonts w:hint="eastAsia" w:asciiTheme="minorEastAsia" w:hAnsiTheme="minorEastAsia" w:eastAsiaTheme="minorEastAsia" w:cstheme="minorEastAsia"/>
                <w:color w:val="auto"/>
                <w:sz w:val="21"/>
                <w:szCs w:val="22"/>
                <w:highlight w:val="none"/>
              </w:rPr>
            </w:pPr>
          </w:p>
        </w:tc>
      </w:tr>
    </w:tbl>
    <w:p w14:paraId="678C5A7F">
      <w:pPr>
        <w:spacing w:line="520" w:lineRule="exact"/>
        <w:rPr>
          <w:rFonts w:hint="eastAsia" w:asciiTheme="minorEastAsia" w:hAnsiTheme="minorEastAsia" w:eastAsiaTheme="minorEastAsia" w:cstheme="minorEastAsia"/>
          <w:color w:val="auto"/>
          <w:sz w:val="21"/>
          <w:szCs w:val="16"/>
          <w:highlight w:val="none"/>
        </w:rPr>
      </w:pPr>
      <w:r>
        <w:rPr>
          <w:rFonts w:hint="eastAsia" w:asciiTheme="minorEastAsia" w:hAnsiTheme="minorEastAsia" w:eastAsiaTheme="minorEastAsia" w:cstheme="minorEastAsia"/>
          <w:color w:val="auto"/>
          <w:sz w:val="21"/>
          <w:szCs w:val="16"/>
          <w:highlight w:val="none"/>
        </w:rPr>
        <w:t>注：供应商可在满足采购人要求的基础上提出更有利于采购人的条款。关于质量标准、合同条款和技术标准等响应内容，在响应文件其他地方有体现的应保持一致，否则按虚假应标处理。评标时，评标委员会有否决投标的权利。</w:t>
      </w:r>
    </w:p>
    <w:p w14:paraId="59296711">
      <w:pPr>
        <w:spacing w:line="520" w:lineRule="exact"/>
        <w:rPr>
          <w:rFonts w:hint="eastAsia" w:asciiTheme="minorEastAsia" w:hAnsiTheme="minorEastAsia" w:eastAsiaTheme="minorEastAsia" w:cstheme="minorEastAsia"/>
          <w:color w:val="auto"/>
          <w:sz w:val="24"/>
          <w:highlight w:val="none"/>
        </w:rPr>
      </w:pPr>
    </w:p>
    <w:p w14:paraId="233637E9">
      <w:pPr>
        <w:spacing w:line="520" w:lineRule="exact"/>
        <w:rPr>
          <w:rFonts w:hint="eastAsia" w:asciiTheme="minorEastAsia" w:hAnsiTheme="minorEastAsia" w:eastAsiaTheme="minorEastAsia" w:cstheme="minorEastAsia"/>
          <w:color w:val="auto"/>
          <w:sz w:val="24"/>
          <w:highlight w:val="none"/>
        </w:rPr>
      </w:pPr>
    </w:p>
    <w:p w14:paraId="66A8BA7A">
      <w:pPr>
        <w:spacing w:line="520" w:lineRule="exact"/>
        <w:rPr>
          <w:rFonts w:hint="eastAsia" w:asciiTheme="minorEastAsia" w:hAnsiTheme="minorEastAsia" w:eastAsiaTheme="minorEastAsia" w:cstheme="minorEastAsia"/>
          <w:color w:val="auto"/>
          <w:sz w:val="24"/>
          <w:highlight w:val="none"/>
        </w:rPr>
      </w:pPr>
    </w:p>
    <w:p w14:paraId="6CD2C791">
      <w:pPr>
        <w:spacing w:line="520" w:lineRule="exact"/>
        <w:rPr>
          <w:rFonts w:hint="eastAsia" w:asciiTheme="minorEastAsia" w:hAnsiTheme="minorEastAsia" w:eastAsiaTheme="minorEastAsia" w:cstheme="minorEastAsia"/>
          <w:color w:val="auto"/>
          <w:sz w:val="24"/>
          <w:highlight w:val="none"/>
        </w:rPr>
      </w:pPr>
    </w:p>
    <w:p w14:paraId="42FD3FCC">
      <w:pPr>
        <w:pStyle w:val="44"/>
        <w:ind w:left="400" w:firstLine="480"/>
        <w:rPr>
          <w:rFonts w:hint="eastAsia" w:asciiTheme="minorEastAsia" w:hAnsiTheme="minorEastAsia" w:eastAsiaTheme="minorEastAsia" w:cstheme="minorEastAsia"/>
          <w:color w:val="auto"/>
          <w:sz w:val="24"/>
          <w:highlight w:val="none"/>
        </w:rPr>
      </w:pPr>
    </w:p>
    <w:p w14:paraId="35A64E80">
      <w:pPr>
        <w:rPr>
          <w:color w:val="auto"/>
          <w:highlight w:val="none"/>
        </w:rPr>
      </w:pPr>
    </w:p>
    <w:p w14:paraId="06987D6C">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bookmarkStart w:id="53" w:name="_Toc270184110"/>
      <w:bookmarkStart w:id="54" w:name="_Toc7557"/>
    </w:p>
    <w:p w14:paraId="4F271BE4">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338B9F90">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589ED725">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7C357111">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3474EFE2">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二 、法定代表人身份证明</w:t>
      </w:r>
      <w:bookmarkEnd w:id="53"/>
      <w:bookmarkEnd w:id="54"/>
    </w:p>
    <w:p w14:paraId="0C83688F">
      <w:pPr>
        <w:autoSpaceDE w:val="0"/>
        <w:autoSpaceDN w:val="0"/>
        <w:adjustRightInd w:val="0"/>
        <w:rPr>
          <w:rFonts w:hint="eastAsia" w:asciiTheme="minorEastAsia" w:hAnsiTheme="minorEastAsia" w:eastAsiaTheme="minorEastAsia" w:cstheme="minorEastAsia"/>
          <w:color w:val="auto"/>
          <w:highlight w:val="none"/>
        </w:rPr>
      </w:pPr>
    </w:p>
    <w:p w14:paraId="598C00CA">
      <w:pPr>
        <w:autoSpaceDE w:val="0"/>
        <w:autoSpaceDN w:val="0"/>
        <w:adjustRightInd w:val="0"/>
        <w:rPr>
          <w:rFonts w:hint="eastAsia" w:asciiTheme="minorEastAsia" w:hAnsiTheme="minorEastAsia" w:eastAsiaTheme="minorEastAsia" w:cstheme="minorEastAsia"/>
          <w:color w:val="auto"/>
          <w:highlight w:val="none"/>
        </w:rPr>
      </w:pPr>
    </w:p>
    <w:p w14:paraId="08FCDD16">
      <w:pPr>
        <w:autoSpaceDE w:val="0"/>
        <w:autoSpaceDN w:val="0"/>
        <w:adjustRightInd w:val="0"/>
        <w:spacing w:line="360" w:lineRule="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供应商名称：</w:t>
      </w:r>
    </w:p>
    <w:p w14:paraId="1D3217ED">
      <w:pPr>
        <w:autoSpaceDE w:val="0"/>
        <w:autoSpaceDN w:val="0"/>
        <w:adjustRightInd w:val="0"/>
        <w:spacing w:line="360" w:lineRule="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单位性质：</w:t>
      </w:r>
    </w:p>
    <w:p w14:paraId="3CAFA825">
      <w:pPr>
        <w:autoSpaceDE w:val="0"/>
        <w:autoSpaceDN w:val="0"/>
        <w:adjustRightInd w:val="0"/>
        <w:spacing w:line="360" w:lineRule="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地    址：</w:t>
      </w:r>
    </w:p>
    <w:p w14:paraId="70BE86E1">
      <w:pPr>
        <w:autoSpaceDE w:val="0"/>
        <w:autoSpaceDN w:val="0"/>
        <w:adjustRightIn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成立时间：年月日</w:t>
      </w:r>
    </w:p>
    <w:p w14:paraId="7F1A5D26">
      <w:pPr>
        <w:autoSpaceDE w:val="0"/>
        <w:autoSpaceDN w:val="0"/>
        <w:adjustRightInd w:val="0"/>
        <w:spacing w:line="360" w:lineRule="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经营期限：</w:t>
      </w:r>
    </w:p>
    <w:p w14:paraId="71139024">
      <w:pPr>
        <w:autoSpaceDE w:val="0"/>
        <w:autoSpaceDN w:val="0"/>
        <w:adjustRightInd w:val="0"/>
        <w:spacing w:line="360" w:lineRule="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姓名： 性别：</w:t>
      </w:r>
    </w:p>
    <w:p w14:paraId="231F8C6F">
      <w:pPr>
        <w:autoSpaceDE w:val="0"/>
        <w:autoSpaceDN w:val="0"/>
        <w:adjustRightInd w:val="0"/>
        <w:spacing w:line="360" w:lineRule="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年龄：职务：</w:t>
      </w:r>
    </w:p>
    <w:p w14:paraId="37092832">
      <w:pPr>
        <w:autoSpaceDE w:val="0"/>
        <w:autoSpaceDN w:val="0"/>
        <w:adjustRightIn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系（供应商名称）的法定代表人</w:t>
      </w:r>
    </w:p>
    <w:p w14:paraId="0F811B81">
      <w:pPr>
        <w:autoSpaceDE w:val="0"/>
        <w:autoSpaceDN w:val="0"/>
        <w:adjustRightInd w:val="0"/>
        <w:spacing w:line="360" w:lineRule="auto"/>
        <w:ind w:firstLine="420" w:firstLineChars="200"/>
        <w:rPr>
          <w:rFonts w:hint="eastAsia" w:asciiTheme="minorEastAsia" w:hAnsiTheme="minorEastAsia" w:eastAsiaTheme="minorEastAsia" w:cstheme="minorEastAsia"/>
          <w:color w:val="auto"/>
          <w:sz w:val="21"/>
          <w:szCs w:val="21"/>
          <w:highlight w:val="none"/>
        </w:rPr>
      </w:pPr>
    </w:p>
    <w:p w14:paraId="6FA223AE">
      <w:pPr>
        <w:autoSpaceDE w:val="0"/>
        <w:autoSpaceDN w:val="0"/>
        <w:adjustRightIn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特此证明。</w:t>
      </w:r>
    </w:p>
    <w:p w14:paraId="1CF589CF">
      <w:pPr>
        <w:autoSpaceDE w:val="0"/>
        <w:autoSpaceDN w:val="0"/>
        <w:adjustRightInd w:val="0"/>
        <w:spacing w:line="360" w:lineRule="auto"/>
        <w:jc w:val="right"/>
        <w:rPr>
          <w:rFonts w:hint="eastAsia" w:asciiTheme="minorEastAsia" w:hAnsiTheme="minorEastAsia" w:eastAsiaTheme="minorEastAsia" w:cstheme="minorEastAsia"/>
          <w:color w:val="auto"/>
          <w:sz w:val="21"/>
          <w:szCs w:val="21"/>
          <w:highlight w:val="none"/>
        </w:rPr>
      </w:pPr>
    </w:p>
    <w:p w14:paraId="26C2A14C">
      <w:pPr>
        <w:autoSpaceDE w:val="0"/>
        <w:autoSpaceDN w:val="0"/>
        <w:adjustRightIn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注：后附法定代表人身份证复印件加盖公章</w:t>
      </w:r>
    </w:p>
    <w:p w14:paraId="2620EF1A">
      <w:pPr>
        <w:autoSpaceDE w:val="0"/>
        <w:autoSpaceDN w:val="0"/>
        <w:adjustRightInd w:val="0"/>
        <w:spacing w:line="360" w:lineRule="auto"/>
        <w:jc w:val="right"/>
        <w:rPr>
          <w:rFonts w:hint="eastAsia" w:asciiTheme="minorEastAsia" w:hAnsiTheme="minorEastAsia" w:eastAsiaTheme="minorEastAsia" w:cstheme="minorEastAsia"/>
          <w:color w:val="auto"/>
          <w:sz w:val="21"/>
          <w:szCs w:val="21"/>
          <w:highlight w:val="none"/>
        </w:rPr>
      </w:pPr>
    </w:p>
    <w:p w14:paraId="3100FDBB">
      <w:pPr>
        <w:autoSpaceDE w:val="0"/>
        <w:autoSpaceDN w:val="0"/>
        <w:adjustRightInd w:val="0"/>
        <w:spacing w:line="360" w:lineRule="auto"/>
        <w:jc w:val="right"/>
        <w:rPr>
          <w:rFonts w:hint="eastAsia" w:asciiTheme="minorEastAsia" w:hAnsiTheme="minorEastAsia" w:eastAsiaTheme="minorEastAsia" w:cstheme="minorEastAsia"/>
          <w:color w:val="auto"/>
          <w:sz w:val="21"/>
          <w:szCs w:val="21"/>
          <w:highlight w:val="none"/>
        </w:rPr>
      </w:pPr>
    </w:p>
    <w:p w14:paraId="41094FD2">
      <w:pPr>
        <w:wordWrap w:val="0"/>
        <w:autoSpaceDE w:val="0"/>
        <w:autoSpaceDN w:val="0"/>
        <w:adjustRightInd w:val="0"/>
        <w:spacing w:line="360" w:lineRule="auto"/>
        <w:jc w:val="right"/>
        <w:rPr>
          <w:rFonts w:hint="eastAsia" w:asciiTheme="minorEastAsia" w:hAnsiTheme="minorEastAsia" w:eastAsiaTheme="minorEastAsia" w:cstheme="minorEastAsia"/>
          <w:color w:val="auto"/>
          <w:sz w:val="21"/>
          <w:szCs w:val="21"/>
          <w:highlight w:val="none"/>
        </w:rPr>
      </w:pPr>
    </w:p>
    <w:p w14:paraId="5E82BC32">
      <w:pPr>
        <w:wordWrap w:val="0"/>
        <w:autoSpaceDE w:val="0"/>
        <w:autoSpaceDN w:val="0"/>
        <w:adjustRightInd w:val="0"/>
        <w:spacing w:line="360" w:lineRule="auto"/>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供应商：（盖公章）</w:t>
      </w:r>
    </w:p>
    <w:p w14:paraId="69997C7B">
      <w:pPr>
        <w:spacing w:line="520" w:lineRule="exact"/>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年月日</w:t>
      </w:r>
    </w:p>
    <w:p w14:paraId="47D8A715">
      <w:pPr>
        <w:spacing w:line="520" w:lineRule="exact"/>
        <w:jc w:val="center"/>
        <w:rPr>
          <w:rFonts w:hint="eastAsia" w:asciiTheme="minorEastAsia" w:hAnsiTheme="minorEastAsia" w:eastAsiaTheme="minorEastAsia" w:cstheme="minorEastAsia"/>
          <w:color w:val="auto"/>
          <w:sz w:val="21"/>
          <w:szCs w:val="21"/>
          <w:highlight w:val="none"/>
        </w:rPr>
      </w:pPr>
    </w:p>
    <w:p w14:paraId="0BE84BDE">
      <w:pPr>
        <w:spacing w:line="520" w:lineRule="exact"/>
        <w:jc w:val="center"/>
        <w:rPr>
          <w:rFonts w:hint="eastAsia" w:asciiTheme="minorEastAsia" w:hAnsiTheme="minorEastAsia" w:eastAsiaTheme="minorEastAsia" w:cstheme="minorEastAsia"/>
          <w:color w:val="auto"/>
          <w:sz w:val="24"/>
          <w:highlight w:val="none"/>
        </w:rPr>
      </w:pPr>
    </w:p>
    <w:p w14:paraId="72CC2EA0">
      <w:pPr>
        <w:spacing w:line="520" w:lineRule="exact"/>
        <w:jc w:val="center"/>
        <w:rPr>
          <w:rFonts w:hint="eastAsia" w:asciiTheme="minorEastAsia" w:hAnsiTheme="minorEastAsia" w:eastAsiaTheme="minorEastAsia" w:cstheme="minorEastAsia"/>
          <w:color w:val="auto"/>
          <w:sz w:val="24"/>
          <w:highlight w:val="none"/>
        </w:rPr>
      </w:pPr>
    </w:p>
    <w:p w14:paraId="5A980B4F">
      <w:pPr>
        <w:spacing w:line="520" w:lineRule="exact"/>
        <w:jc w:val="center"/>
        <w:rPr>
          <w:rFonts w:hint="eastAsia" w:asciiTheme="minorEastAsia" w:hAnsiTheme="minorEastAsia" w:eastAsiaTheme="minorEastAsia" w:cstheme="minorEastAsia"/>
          <w:color w:val="auto"/>
          <w:sz w:val="24"/>
          <w:highlight w:val="none"/>
        </w:rPr>
      </w:pPr>
    </w:p>
    <w:p w14:paraId="40800FFA">
      <w:pPr>
        <w:spacing w:line="520" w:lineRule="exact"/>
        <w:jc w:val="center"/>
        <w:rPr>
          <w:rFonts w:hint="eastAsia" w:asciiTheme="minorEastAsia" w:hAnsiTheme="minorEastAsia" w:eastAsiaTheme="minorEastAsia" w:cstheme="minorEastAsia"/>
          <w:color w:val="auto"/>
          <w:sz w:val="24"/>
          <w:highlight w:val="none"/>
        </w:rPr>
      </w:pPr>
    </w:p>
    <w:p w14:paraId="7B82A851">
      <w:pPr>
        <w:spacing w:line="520" w:lineRule="exact"/>
        <w:jc w:val="center"/>
        <w:rPr>
          <w:rFonts w:hint="eastAsia" w:asciiTheme="minorEastAsia" w:hAnsiTheme="minorEastAsia" w:eastAsiaTheme="minorEastAsia" w:cstheme="minorEastAsia"/>
          <w:color w:val="auto"/>
          <w:sz w:val="24"/>
          <w:highlight w:val="none"/>
        </w:rPr>
      </w:pPr>
    </w:p>
    <w:p w14:paraId="4C28F9A8">
      <w:pPr>
        <w:pStyle w:val="16"/>
        <w:rPr>
          <w:color w:val="auto"/>
          <w:highlight w:val="none"/>
        </w:rPr>
      </w:pPr>
    </w:p>
    <w:p w14:paraId="4DB849DC">
      <w:pPr>
        <w:pStyle w:val="16"/>
        <w:rPr>
          <w:color w:val="auto"/>
          <w:highlight w:val="none"/>
        </w:rPr>
      </w:pPr>
    </w:p>
    <w:p w14:paraId="47E49F3D">
      <w:pPr>
        <w:pStyle w:val="16"/>
        <w:rPr>
          <w:color w:val="auto"/>
          <w:highlight w:val="none"/>
        </w:rPr>
      </w:pPr>
    </w:p>
    <w:p w14:paraId="62189086">
      <w:pPr>
        <w:pStyle w:val="16"/>
        <w:rPr>
          <w:color w:val="auto"/>
          <w:highlight w:val="none"/>
        </w:rPr>
      </w:pPr>
    </w:p>
    <w:p w14:paraId="29BFE950">
      <w:pPr>
        <w:autoSpaceDE w:val="0"/>
        <w:autoSpaceDN w:val="0"/>
        <w:adjustRightInd w:val="0"/>
        <w:jc w:val="both"/>
        <w:rPr>
          <w:rFonts w:hint="eastAsia" w:asciiTheme="minorEastAsia" w:hAnsiTheme="minorEastAsia" w:eastAsiaTheme="minorEastAsia" w:cstheme="minorEastAsia"/>
          <w:b/>
          <w:color w:val="auto"/>
          <w:sz w:val="32"/>
          <w:szCs w:val="32"/>
          <w:highlight w:val="none"/>
        </w:rPr>
      </w:pPr>
      <w:bookmarkStart w:id="55" w:name="_Toc270184111"/>
      <w:bookmarkStart w:id="56" w:name="_Toc1221"/>
    </w:p>
    <w:p w14:paraId="3099FC68">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19C7CCE6">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213D9921">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三 、授权委托书</w:t>
      </w:r>
      <w:bookmarkEnd w:id="55"/>
      <w:bookmarkEnd w:id="56"/>
    </w:p>
    <w:p w14:paraId="79D4C5F2">
      <w:pPr>
        <w:autoSpaceDE w:val="0"/>
        <w:autoSpaceDN w:val="0"/>
        <w:adjustRightInd w:val="0"/>
        <w:jc w:val="center"/>
        <w:rPr>
          <w:rFonts w:hint="eastAsia" w:asciiTheme="minorEastAsia" w:hAnsiTheme="minorEastAsia" w:eastAsiaTheme="minorEastAsia" w:cstheme="minorEastAsia"/>
          <w:color w:val="auto"/>
          <w:sz w:val="28"/>
          <w:highlight w:val="none"/>
        </w:rPr>
      </w:pPr>
    </w:p>
    <w:p w14:paraId="6085262C">
      <w:pPr>
        <w:autoSpaceDE w:val="0"/>
        <w:autoSpaceDN w:val="0"/>
        <w:adjustRightIn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本人（姓名）系（供应商名称）的法定代表人，现委托（姓名）为我方代理人。代理人根据授权，以我方名义签署、澄清、说明、补正、递交、撤回、修改（项目名称）</w:t>
      </w:r>
      <w:r>
        <w:rPr>
          <w:rFonts w:hint="eastAsia" w:asciiTheme="minorEastAsia" w:hAnsiTheme="minorEastAsia" w:eastAsiaTheme="minorEastAsia" w:cstheme="minorEastAsia"/>
          <w:color w:val="auto"/>
          <w:sz w:val="21"/>
          <w:szCs w:val="21"/>
          <w:highlight w:val="none"/>
          <w:u w:val="single"/>
        </w:rPr>
        <w:t xml:space="preserve">     的</w:t>
      </w:r>
      <w:r>
        <w:rPr>
          <w:rFonts w:hint="eastAsia" w:asciiTheme="minorEastAsia" w:hAnsiTheme="minorEastAsia" w:eastAsiaTheme="minorEastAsia" w:cstheme="minorEastAsia"/>
          <w:color w:val="auto"/>
          <w:sz w:val="21"/>
          <w:szCs w:val="21"/>
          <w:highlight w:val="none"/>
        </w:rPr>
        <w:t>响应文件、签订合同和处理有关事宜，其法律后果由我方承担。</w:t>
      </w:r>
    </w:p>
    <w:p w14:paraId="7670FFF7">
      <w:pPr>
        <w:autoSpaceDE w:val="0"/>
        <w:autoSpaceDN w:val="0"/>
        <w:adjustRightIn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委托期限：。</w:t>
      </w:r>
    </w:p>
    <w:p w14:paraId="5E89AAF5">
      <w:pPr>
        <w:autoSpaceDE w:val="0"/>
        <w:autoSpaceDN w:val="0"/>
        <w:adjustRightIn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代理人无转委托权。</w:t>
      </w:r>
    </w:p>
    <w:p w14:paraId="4C2A50C0">
      <w:pPr>
        <w:autoSpaceDE w:val="0"/>
        <w:autoSpaceDN w:val="0"/>
        <w:adjustRightIn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附：授权代理人身份证复印件加盖公章</w:t>
      </w:r>
    </w:p>
    <w:p w14:paraId="1B755F4E">
      <w:pPr>
        <w:autoSpaceDE w:val="0"/>
        <w:autoSpaceDN w:val="0"/>
        <w:adjustRightInd w:val="0"/>
        <w:spacing w:line="360" w:lineRule="auto"/>
        <w:rPr>
          <w:rFonts w:hint="eastAsia" w:asciiTheme="minorEastAsia" w:hAnsiTheme="minorEastAsia" w:eastAsiaTheme="minorEastAsia" w:cstheme="minorEastAsia"/>
          <w:color w:val="auto"/>
          <w:sz w:val="21"/>
          <w:szCs w:val="21"/>
          <w:highlight w:val="none"/>
        </w:rPr>
      </w:pPr>
    </w:p>
    <w:p w14:paraId="548301E5">
      <w:pPr>
        <w:autoSpaceDE w:val="0"/>
        <w:autoSpaceDN w:val="0"/>
        <w:adjustRightInd w:val="0"/>
        <w:spacing w:line="360" w:lineRule="auto"/>
        <w:rPr>
          <w:rFonts w:hint="eastAsia" w:asciiTheme="minorEastAsia" w:hAnsiTheme="minorEastAsia" w:eastAsiaTheme="minorEastAsia" w:cstheme="minorEastAsia"/>
          <w:color w:val="auto"/>
          <w:sz w:val="21"/>
          <w:szCs w:val="21"/>
          <w:highlight w:val="none"/>
        </w:rPr>
      </w:pPr>
    </w:p>
    <w:p w14:paraId="57B61FC7">
      <w:pPr>
        <w:autoSpaceDE w:val="0"/>
        <w:autoSpaceDN w:val="0"/>
        <w:adjustRightInd w:val="0"/>
        <w:spacing w:line="48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供应商：（盖公章）</w:t>
      </w:r>
    </w:p>
    <w:p w14:paraId="0E64F5B8">
      <w:pPr>
        <w:autoSpaceDE w:val="0"/>
        <w:autoSpaceDN w:val="0"/>
        <w:adjustRightInd w:val="0"/>
        <w:spacing w:line="48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法定代表人：（签字）</w:t>
      </w:r>
    </w:p>
    <w:p w14:paraId="1E9C72F6">
      <w:pPr>
        <w:autoSpaceDE w:val="0"/>
        <w:autoSpaceDN w:val="0"/>
        <w:adjustRightInd w:val="0"/>
        <w:spacing w:line="480" w:lineRule="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身份证号码：</w:t>
      </w:r>
    </w:p>
    <w:p w14:paraId="33BBF676">
      <w:pPr>
        <w:autoSpaceDE w:val="0"/>
        <w:autoSpaceDN w:val="0"/>
        <w:adjustRightInd w:val="0"/>
        <w:spacing w:line="48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委托代理人：（签字）</w:t>
      </w:r>
    </w:p>
    <w:p w14:paraId="52202196">
      <w:pPr>
        <w:autoSpaceDE w:val="0"/>
        <w:autoSpaceDN w:val="0"/>
        <w:adjustRightInd w:val="0"/>
        <w:spacing w:line="480" w:lineRule="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身份证号码：</w:t>
      </w:r>
    </w:p>
    <w:p w14:paraId="57C0DCFA">
      <w:pPr>
        <w:autoSpaceDE w:val="0"/>
        <w:autoSpaceDN w:val="0"/>
        <w:adjustRightInd w:val="0"/>
        <w:spacing w:line="480" w:lineRule="auto"/>
        <w:ind w:firstLine="2310" w:firstLineChars="1100"/>
        <w:jc w:val="right"/>
        <w:rPr>
          <w:rFonts w:hint="eastAsia" w:asciiTheme="minorEastAsia" w:hAnsiTheme="minorEastAsia" w:eastAsiaTheme="minorEastAsia" w:cstheme="minorEastAsia"/>
          <w:color w:val="auto"/>
          <w:sz w:val="21"/>
          <w:szCs w:val="21"/>
          <w:highlight w:val="none"/>
          <w:u w:val="single"/>
        </w:rPr>
      </w:pPr>
    </w:p>
    <w:p w14:paraId="67530E79">
      <w:pPr>
        <w:autoSpaceDE w:val="0"/>
        <w:autoSpaceDN w:val="0"/>
        <w:adjustRightInd w:val="0"/>
        <w:spacing w:line="480" w:lineRule="auto"/>
        <w:ind w:firstLine="2310" w:firstLineChars="1100"/>
        <w:jc w:val="right"/>
        <w:rPr>
          <w:rFonts w:hint="eastAsia" w:asciiTheme="minorEastAsia" w:hAnsiTheme="minorEastAsia" w:eastAsiaTheme="minorEastAsia" w:cstheme="minorEastAsia"/>
          <w:color w:val="auto"/>
          <w:sz w:val="21"/>
          <w:szCs w:val="21"/>
          <w:highlight w:val="none"/>
          <w:u w:val="single"/>
        </w:rPr>
      </w:pPr>
    </w:p>
    <w:p w14:paraId="0CE2D490">
      <w:pPr>
        <w:autoSpaceDE w:val="0"/>
        <w:autoSpaceDN w:val="0"/>
        <w:adjustRightInd w:val="0"/>
        <w:spacing w:line="480" w:lineRule="auto"/>
        <w:ind w:firstLine="2310" w:firstLineChars="1100"/>
        <w:jc w:val="right"/>
        <w:rPr>
          <w:rFonts w:hint="eastAsia" w:asciiTheme="minorEastAsia" w:hAnsiTheme="minorEastAsia" w:eastAsiaTheme="minorEastAsia" w:cstheme="minorEastAsia"/>
          <w:color w:val="auto"/>
          <w:sz w:val="21"/>
          <w:szCs w:val="21"/>
          <w:highlight w:val="none"/>
        </w:rPr>
        <w:sectPr>
          <w:pgSz w:w="11906" w:h="16838"/>
          <w:pgMar w:top="1418" w:right="1134" w:bottom="1418" w:left="1276" w:header="720" w:footer="720" w:gutter="0"/>
          <w:cols w:space="720" w:num="1"/>
          <w:docGrid w:linePitch="312" w:charSpace="0"/>
        </w:sectPr>
      </w:pPr>
      <w:r>
        <w:rPr>
          <w:rFonts w:hint="eastAsia" w:asciiTheme="minorEastAsia" w:hAnsiTheme="minorEastAsia" w:eastAsiaTheme="minorEastAsia" w:cstheme="minorEastAsia"/>
          <w:color w:val="auto"/>
          <w:sz w:val="21"/>
          <w:szCs w:val="21"/>
          <w:highlight w:val="none"/>
          <w:u w:val="single"/>
        </w:rPr>
        <w:t xml:space="preserve">       年     月    日</w:t>
      </w:r>
    </w:p>
    <w:p w14:paraId="7810C621">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bookmarkStart w:id="57" w:name="_Toc270184112"/>
      <w:r>
        <w:rPr>
          <w:rFonts w:hint="eastAsia" w:asciiTheme="minorEastAsia" w:hAnsiTheme="minorEastAsia" w:eastAsiaTheme="minorEastAsia" w:cstheme="minorEastAsia"/>
          <w:b/>
          <w:color w:val="auto"/>
          <w:sz w:val="32"/>
          <w:szCs w:val="32"/>
          <w:highlight w:val="none"/>
        </w:rPr>
        <w:t>四、报 价 一览 表</w:t>
      </w:r>
      <w:bookmarkEnd w:id="57"/>
    </w:p>
    <w:p w14:paraId="4FD1592A">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p>
    <w:p w14:paraId="13363851">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采购编号：</w:t>
      </w:r>
    </w:p>
    <w:tbl>
      <w:tblPr>
        <w:tblStyle w:val="4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0"/>
        <w:gridCol w:w="1940"/>
        <w:gridCol w:w="1940"/>
        <w:gridCol w:w="1941"/>
        <w:gridCol w:w="1945"/>
      </w:tblGrid>
      <w:tr w14:paraId="3193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999" w:type="pct"/>
            <w:vAlign w:val="center"/>
          </w:tcPr>
          <w:p w14:paraId="2D9A11F9">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w:t>
            </w:r>
          </w:p>
          <w:p w14:paraId="280AE08B">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名称</w:t>
            </w:r>
          </w:p>
        </w:tc>
        <w:tc>
          <w:tcPr>
            <w:tcW w:w="999" w:type="pct"/>
            <w:vAlign w:val="center"/>
          </w:tcPr>
          <w:p w14:paraId="07DD6FF7">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投标总报价</w:t>
            </w:r>
          </w:p>
          <w:p w14:paraId="7BAE7376">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（单位：元）</w:t>
            </w:r>
          </w:p>
        </w:tc>
        <w:tc>
          <w:tcPr>
            <w:tcW w:w="999" w:type="pct"/>
            <w:vAlign w:val="center"/>
          </w:tcPr>
          <w:p w14:paraId="5112C6A8">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投标保证金</w:t>
            </w:r>
          </w:p>
        </w:tc>
        <w:tc>
          <w:tcPr>
            <w:tcW w:w="999" w:type="pct"/>
            <w:vAlign w:val="center"/>
          </w:tcPr>
          <w:p w14:paraId="017BD74C">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供货期</w:t>
            </w:r>
          </w:p>
        </w:tc>
        <w:tc>
          <w:tcPr>
            <w:tcW w:w="1001" w:type="pct"/>
            <w:vAlign w:val="center"/>
          </w:tcPr>
          <w:p w14:paraId="57ED39E0">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质量</w:t>
            </w:r>
          </w:p>
          <w:p w14:paraId="6FBAAE2B">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标准</w:t>
            </w:r>
          </w:p>
        </w:tc>
      </w:tr>
      <w:tr w14:paraId="14740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8" w:hRule="atLeast"/>
        </w:trPr>
        <w:tc>
          <w:tcPr>
            <w:tcW w:w="999" w:type="pct"/>
          </w:tcPr>
          <w:p w14:paraId="2E501911">
            <w:pPr>
              <w:spacing w:line="480" w:lineRule="exact"/>
              <w:jc w:val="center"/>
              <w:rPr>
                <w:rFonts w:hint="eastAsia" w:asciiTheme="minorEastAsia" w:hAnsiTheme="minorEastAsia" w:eastAsiaTheme="minorEastAsia" w:cstheme="minorEastAsia"/>
                <w:color w:val="auto"/>
                <w:sz w:val="21"/>
                <w:szCs w:val="21"/>
                <w:highlight w:val="none"/>
              </w:rPr>
            </w:pPr>
          </w:p>
        </w:tc>
        <w:tc>
          <w:tcPr>
            <w:tcW w:w="999" w:type="pct"/>
          </w:tcPr>
          <w:p w14:paraId="7A46A1BE">
            <w:pPr>
              <w:spacing w:line="480" w:lineRule="exact"/>
              <w:jc w:val="center"/>
              <w:rPr>
                <w:rFonts w:hint="eastAsia" w:asciiTheme="minorEastAsia" w:hAnsiTheme="minorEastAsia" w:eastAsiaTheme="minorEastAsia" w:cstheme="minorEastAsia"/>
                <w:color w:val="auto"/>
                <w:sz w:val="21"/>
                <w:szCs w:val="21"/>
                <w:highlight w:val="none"/>
              </w:rPr>
            </w:pPr>
          </w:p>
        </w:tc>
        <w:tc>
          <w:tcPr>
            <w:tcW w:w="999" w:type="pct"/>
          </w:tcPr>
          <w:p w14:paraId="7196449E">
            <w:pPr>
              <w:spacing w:line="4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有/无</w:t>
            </w:r>
          </w:p>
        </w:tc>
        <w:tc>
          <w:tcPr>
            <w:tcW w:w="999" w:type="pct"/>
          </w:tcPr>
          <w:p w14:paraId="4C710568">
            <w:pPr>
              <w:spacing w:line="480" w:lineRule="exact"/>
              <w:jc w:val="center"/>
              <w:rPr>
                <w:rFonts w:hint="eastAsia" w:asciiTheme="minorEastAsia" w:hAnsiTheme="minorEastAsia" w:eastAsiaTheme="minorEastAsia" w:cstheme="minorEastAsia"/>
                <w:color w:val="auto"/>
                <w:sz w:val="21"/>
                <w:szCs w:val="21"/>
                <w:highlight w:val="none"/>
              </w:rPr>
            </w:pPr>
          </w:p>
        </w:tc>
        <w:tc>
          <w:tcPr>
            <w:tcW w:w="1001" w:type="pct"/>
          </w:tcPr>
          <w:p w14:paraId="74380B6D">
            <w:pPr>
              <w:spacing w:line="480" w:lineRule="exact"/>
              <w:jc w:val="center"/>
              <w:rPr>
                <w:rFonts w:hint="eastAsia" w:asciiTheme="minorEastAsia" w:hAnsiTheme="minorEastAsia" w:eastAsiaTheme="minorEastAsia" w:cstheme="minorEastAsia"/>
                <w:color w:val="auto"/>
                <w:sz w:val="21"/>
                <w:szCs w:val="21"/>
                <w:highlight w:val="none"/>
              </w:rPr>
            </w:pPr>
          </w:p>
        </w:tc>
      </w:tr>
    </w:tbl>
    <w:p w14:paraId="54DF8F84">
      <w:pPr>
        <w:spacing w:line="480" w:lineRule="exact"/>
        <w:rPr>
          <w:rFonts w:hint="eastAsia" w:asciiTheme="minorEastAsia" w:hAnsiTheme="minorEastAsia" w:eastAsiaTheme="minorEastAsia" w:cstheme="minorEastAsia"/>
          <w:color w:val="auto"/>
          <w:sz w:val="21"/>
          <w:szCs w:val="21"/>
          <w:highlight w:val="none"/>
        </w:rPr>
      </w:pPr>
    </w:p>
    <w:p w14:paraId="50E57CB9">
      <w:pPr>
        <w:spacing w:line="480" w:lineRule="exact"/>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供应商（盖公章）：</w:t>
      </w:r>
    </w:p>
    <w:p w14:paraId="3C36BB9E">
      <w:pPr>
        <w:spacing w:line="480" w:lineRule="exact"/>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法人代表人或其授权代理人（签字）：</w:t>
      </w:r>
    </w:p>
    <w:p w14:paraId="599DAC2C">
      <w:pPr>
        <w:spacing w:line="4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日期：年月日</w:t>
      </w:r>
    </w:p>
    <w:p w14:paraId="5091B360">
      <w:pPr>
        <w:spacing w:line="4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投标要求：</w:t>
      </w:r>
    </w:p>
    <w:p w14:paraId="71C0222F">
      <w:pPr>
        <w:spacing w:line="4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1.“报价一览表”的内容应与响应文件中内容一致。如果“报价一览表”的内容与响应文件的其他相关内容不一致，则以“报价一览表”的内容为准。</w:t>
      </w:r>
    </w:p>
    <w:p w14:paraId="58E87604">
      <w:pPr>
        <w:spacing w:line="480" w:lineRule="exac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t>2.“报价一览表”中各个栏目都必须完整、准确填写。开标时，“报价一览表”的所有内容都不允许补充或者修改。</w:t>
      </w:r>
    </w:p>
    <w:p w14:paraId="71329D8D">
      <w:pPr>
        <w:spacing w:line="480" w:lineRule="exact"/>
        <w:rPr>
          <w:rFonts w:hint="eastAsia" w:asciiTheme="minorEastAsia" w:hAnsiTheme="minorEastAsia" w:eastAsiaTheme="minorEastAsia" w:cstheme="minorEastAsia"/>
          <w:b/>
          <w:bCs/>
          <w:color w:val="auto"/>
          <w:sz w:val="21"/>
          <w:szCs w:val="21"/>
          <w:highlight w:val="none"/>
        </w:rPr>
      </w:pPr>
    </w:p>
    <w:p w14:paraId="1543BFFC">
      <w:pPr>
        <w:wordWrap w:val="0"/>
        <w:autoSpaceDE w:val="0"/>
        <w:autoSpaceDN w:val="0"/>
        <w:adjustRightInd w:val="0"/>
        <w:spacing w:line="360" w:lineRule="auto"/>
        <w:ind w:firstLine="480"/>
        <w:jc w:val="center"/>
        <w:rPr>
          <w:rFonts w:hint="eastAsia" w:ascii="宋体" w:hAnsi="宋体" w:cs="宋体"/>
          <w:b/>
          <w:bCs/>
          <w:color w:val="auto"/>
          <w:sz w:val="28"/>
          <w:szCs w:val="28"/>
          <w:highlight w:val="none"/>
        </w:rPr>
      </w:pPr>
    </w:p>
    <w:p w14:paraId="5772ADCF">
      <w:pPr>
        <w:wordWrap w:val="0"/>
        <w:autoSpaceDE w:val="0"/>
        <w:autoSpaceDN w:val="0"/>
        <w:adjustRightInd w:val="0"/>
        <w:spacing w:line="360" w:lineRule="auto"/>
        <w:ind w:firstLine="480"/>
        <w:jc w:val="center"/>
        <w:rPr>
          <w:rFonts w:hint="eastAsia" w:ascii="宋体" w:hAnsi="宋体" w:cs="宋体"/>
          <w:b/>
          <w:bCs/>
          <w:color w:val="auto"/>
          <w:sz w:val="28"/>
          <w:szCs w:val="28"/>
          <w:highlight w:val="none"/>
        </w:rPr>
      </w:pPr>
    </w:p>
    <w:p w14:paraId="4FDF3258">
      <w:pPr>
        <w:wordWrap w:val="0"/>
        <w:autoSpaceDE w:val="0"/>
        <w:autoSpaceDN w:val="0"/>
        <w:adjustRightInd w:val="0"/>
        <w:spacing w:line="360" w:lineRule="auto"/>
        <w:ind w:firstLine="480"/>
        <w:jc w:val="center"/>
        <w:rPr>
          <w:rFonts w:hint="eastAsia" w:ascii="宋体" w:hAnsi="宋体" w:cs="宋体"/>
          <w:b/>
          <w:bCs/>
          <w:color w:val="auto"/>
          <w:sz w:val="28"/>
          <w:szCs w:val="28"/>
          <w:highlight w:val="none"/>
        </w:rPr>
      </w:pPr>
    </w:p>
    <w:p w14:paraId="324AB6BF">
      <w:pPr>
        <w:wordWrap w:val="0"/>
        <w:autoSpaceDE w:val="0"/>
        <w:autoSpaceDN w:val="0"/>
        <w:adjustRightInd w:val="0"/>
        <w:spacing w:line="360" w:lineRule="auto"/>
        <w:ind w:firstLine="480"/>
        <w:jc w:val="center"/>
        <w:rPr>
          <w:rFonts w:hint="eastAsia" w:ascii="宋体" w:hAnsi="宋体" w:cs="宋体"/>
          <w:b/>
          <w:bCs/>
          <w:color w:val="auto"/>
          <w:sz w:val="28"/>
          <w:szCs w:val="28"/>
          <w:highlight w:val="none"/>
        </w:rPr>
      </w:pPr>
    </w:p>
    <w:p w14:paraId="119B3816">
      <w:pPr>
        <w:wordWrap w:val="0"/>
        <w:autoSpaceDE w:val="0"/>
        <w:autoSpaceDN w:val="0"/>
        <w:adjustRightInd w:val="0"/>
        <w:spacing w:line="360" w:lineRule="auto"/>
        <w:ind w:firstLine="480"/>
        <w:jc w:val="center"/>
        <w:rPr>
          <w:rFonts w:hint="eastAsia" w:ascii="宋体" w:hAnsi="宋体" w:cs="宋体"/>
          <w:b/>
          <w:bCs/>
          <w:color w:val="auto"/>
          <w:sz w:val="28"/>
          <w:szCs w:val="28"/>
          <w:highlight w:val="none"/>
        </w:rPr>
      </w:pPr>
    </w:p>
    <w:p w14:paraId="704EF210">
      <w:pPr>
        <w:wordWrap w:val="0"/>
        <w:autoSpaceDE w:val="0"/>
        <w:autoSpaceDN w:val="0"/>
        <w:adjustRightInd w:val="0"/>
        <w:spacing w:line="360" w:lineRule="auto"/>
        <w:ind w:firstLine="480"/>
        <w:jc w:val="center"/>
        <w:rPr>
          <w:rFonts w:hint="eastAsia" w:ascii="宋体" w:hAnsi="宋体" w:cs="宋体"/>
          <w:b/>
          <w:bCs/>
          <w:color w:val="auto"/>
          <w:sz w:val="28"/>
          <w:szCs w:val="28"/>
          <w:highlight w:val="none"/>
        </w:rPr>
      </w:pPr>
    </w:p>
    <w:p w14:paraId="5E35C3E4">
      <w:pPr>
        <w:wordWrap w:val="0"/>
        <w:autoSpaceDE w:val="0"/>
        <w:autoSpaceDN w:val="0"/>
        <w:adjustRightInd w:val="0"/>
        <w:spacing w:line="360" w:lineRule="auto"/>
        <w:ind w:firstLine="480"/>
        <w:jc w:val="center"/>
        <w:rPr>
          <w:rFonts w:hint="eastAsia" w:ascii="宋体" w:hAnsi="宋体" w:cs="宋体"/>
          <w:b/>
          <w:bCs/>
          <w:color w:val="auto"/>
          <w:sz w:val="28"/>
          <w:szCs w:val="28"/>
          <w:highlight w:val="none"/>
        </w:rPr>
      </w:pPr>
    </w:p>
    <w:p w14:paraId="614D56E2">
      <w:pPr>
        <w:wordWrap w:val="0"/>
        <w:autoSpaceDE w:val="0"/>
        <w:autoSpaceDN w:val="0"/>
        <w:adjustRightInd w:val="0"/>
        <w:spacing w:line="360" w:lineRule="auto"/>
        <w:ind w:firstLine="480"/>
        <w:jc w:val="center"/>
        <w:rPr>
          <w:rFonts w:hint="eastAsia" w:ascii="宋体" w:hAnsi="宋体" w:cs="宋体"/>
          <w:b/>
          <w:bCs/>
          <w:color w:val="auto"/>
          <w:sz w:val="28"/>
          <w:szCs w:val="28"/>
          <w:highlight w:val="none"/>
        </w:rPr>
      </w:pPr>
    </w:p>
    <w:p w14:paraId="43268EEA">
      <w:pPr>
        <w:wordWrap w:val="0"/>
        <w:autoSpaceDE w:val="0"/>
        <w:autoSpaceDN w:val="0"/>
        <w:adjustRightInd w:val="0"/>
        <w:spacing w:line="360" w:lineRule="auto"/>
        <w:ind w:firstLine="480"/>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投标报价明细表</w:t>
      </w:r>
    </w:p>
    <w:p w14:paraId="5A1DF0BB">
      <w:pPr>
        <w:wordWrap w:val="0"/>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57C2222A">
      <w:pPr>
        <w:wordWrap w:val="0"/>
        <w:spacing w:after="120" w:afterLines="50" w:line="360" w:lineRule="auto"/>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14:paraId="2983FE14">
      <w:pPr>
        <w:wordWrap w:val="0"/>
        <w:spacing w:after="120" w:afterLines="50" w:line="360" w:lineRule="auto"/>
        <w:rPr>
          <w:rFonts w:hint="eastAsia" w:ascii="宋体" w:hAnsi="宋体" w:cs="宋体"/>
          <w:color w:val="auto"/>
          <w:sz w:val="24"/>
          <w:highlight w:val="none"/>
          <w:u w:val="single"/>
        </w:rPr>
      </w:pPr>
      <w:r>
        <w:rPr>
          <w:rFonts w:hint="eastAsia" w:ascii="宋体" w:hAnsi="宋体" w:cs="宋体"/>
          <w:color w:val="auto"/>
          <w:sz w:val="28"/>
          <w:szCs w:val="28"/>
          <w:highlight w:val="none"/>
        </w:rPr>
        <w:t xml:space="preserve">                                          </w:t>
      </w:r>
      <w:r>
        <w:rPr>
          <w:rFonts w:hint="eastAsia" w:ascii="宋体" w:hAnsi="宋体" w:cs="宋体"/>
          <w:color w:val="auto"/>
          <w:sz w:val="24"/>
          <w:szCs w:val="28"/>
          <w:highlight w:val="none"/>
        </w:rPr>
        <w:t xml:space="preserve"> 货币单位：人民币</w:t>
      </w:r>
    </w:p>
    <w:tbl>
      <w:tblPr>
        <w:tblStyle w:val="45"/>
        <w:tblW w:w="10585" w:type="dxa"/>
        <w:jc w:val="center"/>
        <w:tblLayout w:type="fixed"/>
        <w:tblCellMar>
          <w:top w:w="0" w:type="dxa"/>
          <w:left w:w="108" w:type="dxa"/>
          <w:bottom w:w="0" w:type="dxa"/>
          <w:right w:w="108" w:type="dxa"/>
        </w:tblCellMar>
      </w:tblPr>
      <w:tblGrid>
        <w:gridCol w:w="700"/>
        <w:gridCol w:w="1228"/>
        <w:gridCol w:w="810"/>
        <w:gridCol w:w="810"/>
        <w:gridCol w:w="1233"/>
        <w:gridCol w:w="1345"/>
        <w:gridCol w:w="862"/>
        <w:gridCol w:w="779"/>
        <w:gridCol w:w="987"/>
        <w:gridCol w:w="1019"/>
        <w:gridCol w:w="812"/>
      </w:tblGrid>
      <w:tr w14:paraId="51EAA14D">
        <w:tblPrEx>
          <w:tblCellMar>
            <w:top w:w="0" w:type="dxa"/>
            <w:left w:w="108" w:type="dxa"/>
            <w:bottom w:w="0" w:type="dxa"/>
            <w:right w:w="108" w:type="dxa"/>
          </w:tblCellMar>
        </w:tblPrEx>
        <w:trPr>
          <w:trHeight w:val="587" w:hRule="atLeast"/>
          <w:jc w:val="center"/>
        </w:trPr>
        <w:tc>
          <w:tcPr>
            <w:tcW w:w="700" w:type="dxa"/>
            <w:tcBorders>
              <w:top w:val="single" w:color="auto" w:sz="6" w:space="0"/>
              <w:left w:val="single" w:color="auto" w:sz="6" w:space="0"/>
              <w:bottom w:val="single" w:color="auto" w:sz="6" w:space="0"/>
              <w:right w:val="single" w:color="auto" w:sz="6" w:space="0"/>
            </w:tcBorders>
            <w:vAlign w:val="center"/>
          </w:tcPr>
          <w:p w14:paraId="439304EC">
            <w:pPr>
              <w:wordWrap w:val="0"/>
              <w:adjustRightInd w:val="0"/>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序号</w:t>
            </w:r>
          </w:p>
        </w:tc>
        <w:tc>
          <w:tcPr>
            <w:tcW w:w="1228" w:type="dxa"/>
            <w:tcBorders>
              <w:top w:val="single" w:color="auto" w:sz="6" w:space="0"/>
              <w:left w:val="single" w:color="auto" w:sz="6" w:space="0"/>
              <w:bottom w:val="single" w:color="auto" w:sz="6" w:space="0"/>
              <w:right w:val="single" w:color="auto" w:sz="6" w:space="0"/>
            </w:tcBorders>
            <w:vAlign w:val="center"/>
          </w:tcPr>
          <w:p w14:paraId="136B3033">
            <w:pPr>
              <w:wordWrap w:val="0"/>
              <w:adjustRightInd w:val="0"/>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项目名称</w:t>
            </w:r>
          </w:p>
        </w:tc>
        <w:tc>
          <w:tcPr>
            <w:tcW w:w="810" w:type="dxa"/>
            <w:tcBorders>
              <w:top w:val="single" w:color="auto" w:sz="6" w:space="0"/>
              <w:left w:val="single" w:color="auto" w:sz="6" w:space="0"/>
              <w:bottom w:val="single" w:color="auto" w:sz="6" w:space="0"/>
              <w:right w:val="single" w:color="auto" w:sz="4" w:space="0"/>
            </w:tcBorders>
            <w:vAlign w:val="center"/>
          </w:tcPr>
          <w:p w14:paraId="20D205C4">
            <w:pPr>
              <w:wordWrap w:val="0"/>
              <w:adjustRightInd w:val="0"/>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项目特征描述</w:t>
            </w:r>
          </w:p>
        </w:tc>
        <w:tc>
          <w:tcPr>
            <w:tcW w:w="810" w:type="dxa"/>
            <w:tcBorders>
              <w:top w:val="single" w:color="auto" w:sz="6" w:space="0"/>
              <w:left w:val="single" w:color="auto" w:sz="6" w:space="0"/>
              <w:bottom w:val="single" w:color="auto" w:sz="6" w:space="0"/>
              <w:right w:val="single" w:color="auto" w:sz="4" w:space="0"/>
            </w:tcBorders>
            <w:vAlign w:val="center"/>
          </w:tcPr>
          <w:p w14:paraId="14B311AA">
            <w:pPr>
              <w:wordWrap w:val="0"/>
              <w:adjustRightInd w:val="0"/>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品牌</w:t>
            </w:r>
          </w:p>
        </w:tc>
        <w:tc>
          <w:tcPr>
            <w:tcW w:w="1233" w:type="dxa"/>
            <w:tcBorders>
              <w:top w:val="single" w:color="auto" w:sz="6" w:space="0"/>
              <w:left w:val="single" w:color="auto" w:sz="6" w:space="0"/>
              <w:bottom w:val="single" w:color="auto" w:sz="6" w:space="0"/>
              <w:right w:val="single" w:color="auto" w:sz="4" w:space="0"/>
            </w:tcBorders>
            <w:vAlign w:val="center"/>
          </w:tcPr>
          <w:p w14:paraId="04CB94A4">
            <w:pPr>
              <w:wordWrap w:val="0"/>
              <w:adjustRightInd w:val="0"/>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rPr>
              <w:t>规格</w:t>
            </w:r>
            <w:r>
              <w:rPr>
                <w:rFonts w:hint="eastAsia" w:ascii="宋体" w:hAnsi="宋体" w:cs="宋体"/>
                <w:b/>
                <w:bCs/>
                <w:color w:val="auto"/>
                <w:sz w:val="24"/>
                <w:highlight w:val="none"/>
                <w:lang w:val="zh-CN"/>
              </w:rPr>
              <w:t>型号</w:t>
            </w:r>
          </w:p>
        </w:tc>
        <w:tc>
          <w:tcPr>
            <w:tcW w:w="1345" w:type="dxa"/>
            <w:tcBorders>
              <w:top w:val="single" w:color="auto" w:sz="6" w:space="0"/>
              <w:left w:val="single" w:color="auto" w:sz="4" w:space="0"/>
              <w:bottom w:val="single" w:color="auto" w:sz="6" w:space="0"/>
              <w:right w:val="single" w:color="auto" w:sz="6" w:space="0"/>
            </w:tcBorders>
            <w:vAlign w:val="center"/>
          </w:tcPr>
          <w:p w14:paraId="25021151">
            <w:pPr>
              <w:wordWrap w:val="0"/>
              <w:adjustRightInd w:val="0"/>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原产地及制造厂商</w:t>
            </w:r>
          </w:p>
        </w:tc>
        <w:tc>
          <w:tcPr>
            <w:tcW w:w="862" w:type="dxa"/>
            <w:tcBorders>
              <w:top w:val="single" w:color="auto" w:sz="6" w:space="0"/>
              <w:left w:val="single" w:color="auto" w:sz="6" w:space="0"/>
              <w:bottom w:val="single" w:color="auto" w:sz="6" w:space="0"/>
              <w:right w:val="single" w:color="auto" w:sz="6" w:space="0"/>
            </w:tcBorders>
            <w:vAlign w:val="center"/>
          </w:tcPr>
          <w:p w14:paraId="23DE7A62">
            <w:pPr>
              <w:wordWrap w:val="0"/>
              <w:adjustRightInd w:val="0"/>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单位</w:t>
            </w:r>
          </w:p>
        </w:tc>
        <w:tc>
          <w:tcPr>
            <w:tcW w:w="779" w:type="dxa"/>
            <w:tcBorders>
              <w:top w:val="single" w:color="auto" w:sz="6" w:space="0"/>
              <w:left w:val="single" w:color="auto" w:sz="6" w:space="0"/>
              <w:bottom w:val="single" w:color="auto" w:sz="6" w:space="0"/>
              <w:right w:val="single" w:color="auto" w:sz="6" w:space="0"/>
            </w:tcBorders>
            <w:vAlign w:val="center"/>
          </w:tcPr>
          <w:p w14:paraId="417C68B5">
            <w:pPr>
              <w:wordWrap w:val="0"/>
              <w:adjustRightInd w:val="0"/>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数量</w:t>
            </w:r>
          </w:p>
        </w:tc>
        <w:tc>
          <w:tcPr>
            <w:tcW w:w="987" w:type="dxa"/>
            <w:tcBorders>
              <w:top w:val="single" w:color="auto" w:sz="6" w:space="0"/>
              <w:left w:val="single" w:color="auto" w:sz="6" w:space="0"/>
              <w:bottom w:val="single" w:color="auto" w:sz="6" w:space="0"/>
              <w:right w:val="single" w:color="auto" w:sz="6" w:space="0"/>
            </w:tcBorders>
            <w:vAlign w:val="center"/>
          </w:tcPr>
          <w:p w14:paraId="6369500A">
            <w:pPr>
              <w:wordWrap w:val="0"/>
              <w:adjustRightInd w:val="0"/>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单价（元）</w:t>
            </w:r>
          </w:p>
        </w:tc>
        <w:tc>
          <w:tcPr>
            <w:tcW w:w="1019" w:type="dxa"/>
            <w:tcBorders>
              <w:top w:val="single" w:color="auto" w:sz="6" w:space="0"/>
              <w:left w:val="single" w:color="auto" w:sz="6" w:space="0"/>
              <w:bottom w:val="single" w:color="auto" w:sz="6" w:space="0"/>
              <w:right w:val="single" w:color="auto" w:sz="6" w:space="0"/>
            </w:tcBorders>
            <w:vAlign w:val="center"/>
          </w:tcPr>
          <w:p w14:paraId="7F71A98D">
            <w:pPr>
              <w:wordWrap w:val="0"/>
              <w:adjustRightInd w:val="0"/>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rPr>
              <w:t>总价</w:t>
            </w:r>
            <w:r>
              <w:rPr>
                <w:rFonts w:hint="eastAsia" w:ascii="宋体" w:hAnsi="宋体" w:cs="宋体"/>
                <w:b/>
                <w:bCs/>
                <w:color w:val="auto"/>
                <w:sz w:val="24"/>
                <w:highlight w:val="none"/>
                <w:lang w:val="zh-CN"/>
              </w:rPr>
              <w:t>（元）</w:t>
            </w:r>
          </w:p>
        </w:tc>
        <w:tc>
          <w:tcPr>
            <w:tcW w:w="812" w:type="dxa"/>
            <w:tcBorders>
              <w:top w:val="single" w:color="auto" w:sz="6" w:space="0"/>
              <w:left w:val="single" w:color="auto" w:sz="6" w:space="0"/>
              <w:bottom w:val="single" w:color="auto" w:sz="6" w:space="0"/>
              <w:right w:val="single" w:color="auto" w:sz="4" w:space="0"/>
            </w:tcBorders>
            <w:vAlign w:val="center"/>
          </w:tcPr>
          <w:p w14:paraId="4F399AB5">
            <w:pPr>
              <w:wordWrap w:val="0"/>
              <w:adjustRightInd w:val="0"/>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备注</w:t>
            </w:r>
          </w:p>
        </w:tc>
      </w:tr>
      <w:tr w14:paraId="68E2BA6F">
        <w:tblPrEx>
          <w:tblCellMar>
            <w:top w:w="0" w:type="dxa"/>
            <w:left w:w="108" w:type="dxa"/>
            <w:bottom w:w="0" w:type="dxa"/>
            <w:right w:w="108" w:type="dxa"/>
          </w:tblCellMar>
        </w:tblPrEx>
        <w:trPr>
          <w:trHeight w:val="589" w:hRule="atLeast"/>
          <w:jc w:val="center"/>
        </w:trPr>
        <w:tc>
          <w:tcPr>
            <w:tcW w:w="700" w:type="dxa"/>
            <w:tcBorders>
              <w:top w:val="single" w:color="auto" w:sz="6" w:space="0"/>
              <w:left w:val="single" w:color="auto" w:sz="6" w:space="0"/>
              <w:bottom w:val="single" w:color="auto" w:sz="6" w:space="0"/>
              <w:right w:val="single" w:color="auto" w:sz="6" w:space="0"/>
            </w:tcBorders>
            <w:vAlign w:val="center"/>
          </w:tcPr>
          <w:p w14:paraId="6B0AFC49">
            <w:pPr>
              <w:wordWrap w:val="0"/>
              <w:adjustRightInd w:val="0"/>
              <w:jc w:val="center"/>
              <w:rPr>
                <w:rFonts w:hint="eastAsia" w:ascii="宋体" w:hAnsi="宋体" w:cs="宋体"/>
                <w:bCs/>
                <w:color w:val="auto"/>
                <w:sz w:val="24"/>
                <w:szCs w:val="28"/>
                <w:highlight w:val="none"/>
                <w:lang w:val="zh-CN"/>
              </w:rPr>
            </w:pPr>
          </w:p>
        </w:tc>
        <w:tc>
          <w:tcPr>
            <w:tcW w:w="1228" w:type="dxa"/>
            <w:tcBorders>
              <w:top w:val="single" w:color="auto" w:sz="6" w:space="0"/>
              <w:left w:val="single" w:color="auto" w:sz="6" w:space="0"/>
              <w:bottom w:val="single" w:color="auto" w:sz="6" w:space="0"/>
              <w:right w:val="single" w:color="auto" w:sz="6" w:space="0"/>
            </w:tcBorders>
            <w:vAlign w:val="center"/>
          </w:tcPr>
          <w:p w14:paraId="031CB753">
            <w:pPr>
              <w:wordWrap w:val="0"/>
              <w:adjustRightInd w:val="0"/>
              <w:jc w:val="center"/>
              <w:rPr>
                <w:rFonts w:hint="eastAsia" w:ascii="宋体" w:hAnsi="宋体" w:cs="宋体"/>
                <w:bCs/>
                <w:color w:val="auto"/>
                <w:sz w:val="24"/>
                <w:szCs w:val="28"/>
                <w:highlight w:val="none"/>
                <w:lang w:val="zh-CN"/>
              </w:rPr>
            </w:pPr>
          </w:p>
        </w:tc>
        <w:tc>
          <w:tcPr>
            <w:tcW w:w="810" w:type="dxa"/>
            <w:tcBorders>
              <w:top w:val="single" w:color="auto" w:sz="6" w:space="0"/>
              <w:left w:val="single" w:color="auto" w:sz="6" w:space="0"/>
              <w:bottom w:val="single" w:color="auto" w:sz="6" w:space="0"/>
              <w:right w:val="single" w:color="auto" w:sz="4" w:space="0"/>
            </w:tcBorders>
            <w:vAlign w:val="center"/>
          </w:tcPr>
          <w:p w14:paraId="4968AE7A">
            <w:pPr>
              <w:wordWrap w:val="0"/>
              <w:adjustRightInd w:val="0"/>
              <w:jc w:val="center"/>
              <w:rPr>
                <w:rFonts w:hint="eastAsia" w:ascii="宋体" w:hAnsi="宋体" w:cs="宋体"/>
                <w:bCs/>
                <w:color w:val="auto"/>
                <w:sz w:val="24"/>
                <w:szCs w:val="28"/>
                <w:highlight w:val="none"/>
                <w:lang w:val="zh-CN"/>
              </w:rPr>
            </w:pPr>
          </w:p>
        </w:tc>
        <w:tc>
          <w:tcPr>
            <w:tcW w:w="810" w:type="dxa"/>
            <w:tcBorders>
              <w:top w:val="single" w:color="auto" w:sz="6" w:space="0"/>
              <w:left w:val="single" w:color="auto" w:sz="6" w:space="0"/>
              <w:bottom w:val="single" w:color="auto" w:sz="6" w:space="0"/>
              <w:right w:val="single" w:color="auto" w:sz="4" w:space="0"/>
            </w:tcBorders>
            <w:vAlign w:val="center"/>
          </w:tcPr>
          <w:p w14:paraId="7F7E8A83">
            <w:pPr>
              <w:wordWrap w:val="0"/>
              <w:adjustRightInd w:val="0"/>
              <w:jc w:val="center"/>
              <w:rPr>
                <w:rFonts w:hint="eastAsia" w:ascii="宋体" w:hAnsi="宋体" w:cs="宋体"/>
                <w:bCs/>
                <w:color w:val="auto"/>
                <w:sz w:val="24"/>
                <w:szCs w:val="28"/>
                <w:highlight w:val="none"/>
                <w:lang w:val="zh-CN"/>
              </w:rPr>
            </w:pPr>
          </w:p>
        </w:tc>
        <w:tc>
          <w:tcPr>
            <w:tcW w:w="1233" w:type="dxa"/>
            <w:tcBorders>
              <w:top w:val="single" w:color="auto" w:sz="6" w:space="0"/>
              <w:left w:val="single" w:color="auto" w:sz="6" w:space="0"/>
              <w:bottom w:val="single" w:color="auto" w:sz="6" w:space="0"/>
              <w:right w:val="single" w:color="auto" w:sz="4" w:space="0"/>
            </w:tcBorders>
            <w:vAlign w:val="center"/>
          </w:tcPr>
          <w:p w14:paraId="0055C8BE">
            <w:pPr>
              <w:wordWrap w:val="0"/>
              <w:adjustRightInd w:val="0"/>
              <w:jc w:val="center"/>
              <w:rPr>
                <w:rFonts w:hint="eastAsia" w:ascii="宋体" w:hAnsi="宋体" w:cs="宋体"/>
                <w:bCs/>
                <w:color w:val="auto"/>
                <w:sz w:val="24"/>
                <w:szCs w:val="28"/>
                <w:highlight w:val="none"/>
                <w:lang w:val="zh-CN"/>
              </w:rPr>
            </w:pPr>
          </w:p>
        </w:tc>
        <w:tc>
          <w:tcPr>
            <w:tcW w:w="1345" w:type="dxa"/>
            <w:tcBorders>
              <w:top w:val="single" w:color="auto" w:sz="6" w:space="0"/>
              <w:left w:val="single" w:color="auto" w:sz="4" w:space="0"/>
              <w:bottom w:val="single" w:color="auto" w:sz="6" w:space="0"/>
              <w:right w:val="single" w:color="auto" w:sz="6" w:space="0"/>
            </w:tcBorders>
            <w:vAlign w:val="center"/>
          </w:tcPr>
          <w:p w14:paraId="42739F38">
            <w:pPr>
              <w:wordWrap w:val="0"/>
              <w:adjustRightInd w:val="0"/>
              <w:jc w:val="center"/>
              <w:rPr>
                <w:rFonts w:hint="eastAsia" w:ascii="宋体" w:hAnsi="宋体" w:cs="宋体"/>
                <w:bCs/>
                <w:color w:val="auto"/>
                <w:sz w:val="24"/>
                <w:szCs w:val="28"/>
                <w:highlight w:val="none"/>
                <w:lang w:val="zh-CN"/>
              </w:rPr>
            </w:pPr>
          </w:p>
        </w:tc>
        <w:tc>
          <w:tcPr>
            <w:tcW w:w="862" w:type="dxa"/>
            <w:tcBorders>
              <w:top w:val="single" w:color="auto" w:sz="6" w:space="0"/>
              <w:left w:val="single" w:color="auto" w:sz="6" w:space="0"/>
              <w:bottom w:val="single" w:color="auto" w:sz="6" w:space="0"/>
              <w:right w:val="single" w:color="auto" w:sz="6" w:space="0"/>
            </w:tcBorders>
            <w:vAlign w:val="center"/>
          </w:tcPr>
          <w:p w14:paraId="288EA657">
            <w:pPr>
              <w:wordWrap w:val="0"/>
              <w:adjustRightInd w:val="0"/>
              <w:jc w:val="center"/>
              <w:rPr>
                <w:rFonts w:hint="eastAsia" w:ascii="宋体" w:hAnsi="宋体" w:cs="宋体"/>
                <w:bCs/>
                <w:color w:val="auto"/>
                <w:sz w:val="24"/>
                <w:szCs w:val="28"/>
                <w:highlight w:val="none"/>
                <w:lang w:val="zh-CN"/>
              </w:rPr>
            </w:pPr>
          </w:p>
        </w:tc>
        <w:tc>
          <w:tcPr>
            <w:tcW w:w="779" w:type="dxa"/>
            <w:tcBorders>
              <w:top w:val="single" w:color="auto" w:sz="6" w:space="0"/>
              <w:left w:val="single" w:color="auto" w:sz="6" w:space="0"/>
              <w:bottom w:val="single" w:color="auto" w:sz="6" w:space="0"/>
              <w:right w:val="single" w:color="auto" w:sz="6" w:space="0"/>
            </w:tcBorders>
            <w:vAlign w:val="center"/>
          </w:tcPr>
          <w:p w14:paraId="5F83D1D6">
            <w:pPr>
              <w:wordWrap w:val="0"/>
              <w:adjustRightInd w:val="0"/>
              <w:jc w:val="center"/>
              <w:rPr>
                <w:rFonts w:hint="eastAsia" w:ascii="宋体" w:hAnsi="宋体" w:cs="宋体"/>
                <w:bCs/>
                <w:color w:val="auto"/>
                <w:sz w:val="24"/>
                <w:szCs w:val="28"/>
                <w:highlight w:val="none"/>
                <w:lang w:val="zh-CN"/>
              </w:rPr>
            </w:pPr>
          </w:p>
        </w:tc>
        <w:tc>
          <w:tcPr>
            <w:tcW w:w="987" w:type="dxa"/>
            <w:tcBorders>
              <w:top w:val="single" w:color="auto" w:sz="6" w:space="0"/>
              <w:left w:val="single" w:color="auto" w:sz="6" w:space="0"/>
              <w:bottom w:val="single" w:color="auto" w:sz="6" w:space="0"/>
              <w:right w:val="single" w:color="auto" w:sz="6" w:space="0"/>
            </w:tcBorders>
            <w:vAlign w:val="center"/>
          </w:tcPr>
          <w:p w14:paraId="799BB262">
            <w:pPr>
              <w:wordWrap w:val="0"/>
              <w:adjustRightInd w:val="0"/>
              <w:jc w:val="center"/>
              <w:rPr>
                <w:rFonts w:hint="eastAsia" w:ascii="宋体" w:hAnsi="宋体" w:cs="宋体"/>
                <w:bCs/>
                <w:color w:val="auto"/>
                <w:sz w:val="24"/>
                <w:szCs w:val="28"/>
                <w:highlight w:val="none"/>
                <w:lang w:val="zh-CN"/>
              </w:rPr>
            </w:pPr>
          </w:p>
        </w:tc>
        <w:tc>
          <w:tcPr>
            <w:tcW w:w="1019" w:type="dxa"/>
            <w:tcBorders>
              <w:top w:val="single" w:color="auto" w:sz="6" w:space="0"/>
              <w:left w:val="single" w:color="auto" w:sz="6" w:space="0"/>
              <w:bottom w:val="single" w:color="auto" w:sz="6" w:space="0"/>
              <w:right w:val="single" w:color="auto" w:sz="6" w:space="0"/>
            </w:tcBorders>
            <w:vAlign w:val="center"/>
          </w:tcPr>
          <w:p w14:paraId="278C9913">
            <w:pPr>
              <w:wordWrap w:val="0"/>
              <w:adjustRightInd w:val="0"/>
              <w:jc w:val="center"/>
              <w:rPr>
                <w:rFonts w:hint="eastAsia" w:ascii="宋体" w:hAnsi="宋体" w:cs="宋体"/>
                <w:bCs/>
                <w:color w:val="auto"/>
                <w:sz w:val="24"/>
                <w:szCs w:val="28"/>
                <w:highlight w:val="none"/>
                <w:lang w:val="zh-CN"/>
              </w:rPr>
            </w:pPr>
          </w:p>
        </w:tc>
        <w:tc>
          <w:tcPr>
            <w:tcW w:w="812" w:type="dxa"/>
            <w:tcBorders>
              <w:top w:val="single" w:color="auto" w:sz="6" w:space="0"/>
              <w:left w:val="single" w:color="auto" w:sz="6" w:space="0"/>
              <w:bottom w:val="single" w:color="auto" w:sz="6" w:space="0"/>
              <w:right w:val="single" w:color="auto" w:sz="4" w:space="0"/>
            </w:tcBorders>
            <w:vAlign w:val="center"/>
          </w:tcPr>
          <w:p w14:paraId="6907B37E">
            <w:pPr>
              <w:wordWrap w:val="0"/>
              <w:adjustRightInd w:val="0"/>
              <w:jc w:val="center"/>
              <w:rPr>
                <w:rFonts w:hint="eastAsia" w:ascii="宋体" w:hAnsi="宋体" w:cs="宋体"/>
                <w:bCs/>
                <w:color w:val="auto"/>
                <w:sz w:val="24"/>
                <w:szCs w:val="28"/>
                <w:highlight w:val="none"/>
                <w:lang w:val="zh-CN"/>
              </w:rPr>
            </w:pPr>
          </w:p>
        </w:tc>
      </w:tr>
      <w:tr w14:paraId="56595EA7">
        <w:tblPrEx>
          <w:tblCellMar>
            <w:top w:w="0" w:type="dxa"/>
            <w:left w:w="108" w:type="dxa"/>
            <w:bottom w:w="0" w:type="dxa"/>
            <w:right w:w="108" w:type="dxa"/>
          </w:tblCellMar>
        </w:tblPrEx>
        <w:trPr>
          <w:trHeight w:val="589" w:hRule="atLeast"/>
          <w:jc w:val="center"/>
        </w:trPr>
        <w:tc>
          <w:tcPr>
            <w:tcW w:w="700" w:type="dxa"/>
            <w:tcBorders>
              <w:top w:val="single" w:color="auto" w:sz="6" w:space="0"/>
              <w:left w:val="single" w:color="auto" w:sz="6" w:space="0"/>
              <w:bottom w:val="single" w:color="auto" w:sz="6" w:space="0"/>
              <w:right w:val="single" w:color="auto" w:sz="6" w:space="0"/>
            </w:tcBorders>
            <w:vAlign w:val="center"/>
          </w:tcPr>
          <w:p w14:paraId="51CFD973">
            <w:pPr>
              <w:wordWrap w:val="0"/>
              <w:adjustRightInd w:val="0"/>
              <w:jc w:val="center"/>
              <w:rPr>
                <w:rFonts w:hint="eastAsia" w:ascii="宋体" w:hAnsi="宋体" w:cs="宋体"/>
                <w:bCs/>
                <w:color w:val="auto"/>
                <w:sz w:val="24"/>
                <w:szCs w:val="28"/>
                <w:highlight w:val="none"/>
              </w:rPr>
            </w:pPr>
          </w:p>
        </w:tc>
        <w:tc>
          <w:tcPr>
            <w:tcW w:w="1228" w:type="dxa"/>
            <w:tcBorders>
              <w:top w:val="single" w:color="auto" w:sz="6" w:space="0"/>
              <w:left w:val="single" w:color="auto" w:sz="6" w:space="0"/>
              <w:bottom w:val="single" w:color="auto" w:sz="6" w:space="0"/>
              <w:right w:val="single" w:color="auto" w:sz="6" w:space="0"/>
            </w:tcBorders>
            <w:vAlign w:val="center"/>
          </w:tcPr>
          <w:p w14:paraId="260B91B6">
            <w:pPr>
              <w:wordWrap w:val="0"/>
              <w:adjustRightInd w:val="0"/>
              <w:jc w:val="center"/>
              <w:rPr>
                <w:rFonts w:hint="eastAsia" w:ascii="宋体" w:hAnsi="宋体" w:cs="宋体"/>
                <w:bCs/>
                <w:color w:val="auto"/>
                <w:sz w:val="24"/>
                <w:szCs w:val="28"/>
                <w:highlight w:val="none"/>
              </w:rPr>
            </w:pPr>
          </w:p>
        </w:tc>
        <w:tc>
          <w:tcPr>
            <w:tcW w:w="810" w:type="dxa"/>
            <w:tcBorders>
              <w:top w:val="single" w:color="auto" w:sz="6" w:space="0"/>
              <w:left w:val="single" w:color="auto" w:sz="6" w:space="0"/>
              <w:bottom w:val="single" w:color="auto" w:sz="6" w:space="0"/>
              <w:right w:val="single" w:color="auto" w:sz="4" w:space="0"/>
            </w:tcBorders>
            <w:vAlign w:val="center"/>
          </w:tcPr>
          <w:p w14:paraId="2DB4D1FF">
            <w:pPr>
              <w:wordWrap w:val="0"/>
              <w:adjustRightInd w:val="0"/>
              <w:jc w:val="center"/>
              <w:rPr>
                <w:rFonts w:hint="eastAsia" w:ascii="宋体" w:hAnsi="宋体" w:cs="宋体"/>
                <w:bCs/>
                <w:color w:val="auto"/>
                <w:sz w:val="24"/>
                <w:szCs w:val="28"/>
                <w:highlight w:val="none"/>
              </w:rPr>
            </w:pPr>
          </w:p>
        </w:tc>
        <w:tc>
          <w:tcPr>
            <w:tcW w:w="810" w:type="dxa"/>
            <w:tcBorders>
              <w:top w:val="single" w:color="auto" w:sz="6" w:space="0"/>
              <w:left w:val="single" w:color="auto" w:sz="6" w:space="0"/>
              <w:bottom w:val="single" w:color="auto" w:sz="6" w:space="0"/>
              <w:right w:val="single" w:color="auto" w:sz="4" w:space="0"/>
            </w:tcBorders>
            <w:vAlign w:val="center"/>
          </w:tcPr>
          <w:p w14:paraId="54787822">
            <w:pPr>
              <w:wordWrap w:val="0"/>
              <w:adjustRightInd w:val="0"/>
              <w:jc w:val="center"/>
              <w:rPr>
                <w:rFonts w:hint="eastAsia" w:ascii="宋体" w:hAnsi="宋体" w:cs="宋体"/>
                <w:bCs/>
                <w:color w:val="auto"/>
                <w:sz w:val="24"/>
                <w:szCs w:val="28"/>
                <w:highlight w:val="none"/>
              </w:rPr>
            </w:pPr>
          </w:p>
        </w:tc>
        <w:tc>
          <w:tcPr>
            <w:tcW w:w="1233" w:type="dxa"/>
            <w:tcBorders>
              <w:top w:val="single" w:color="auto" w:sz="6" w:space="0"/>
              <w:left w:val="single" w:color="auto" w:sz="6" w:space="0"/>
              <w:bottom w:val="single" w:color="auto" w:sz="6" w:space="0"/>
              <w:right w:val="single" w:color="auto" w:sz="4" w:space="0"/>
            </w:tcBorders>
            <w:vAlign w:val="center"/>
          </w:tcPr>
          <w:p w14:paraId="712DE188">
            <w:pPr>
              <w:wordWrap w:val="0"/>
              <w:adjustRightInd w:val="0"/>
              <w:jc w:val="center"/>
              <w:rPr>
                <w:rFonts w:hint="eastAsia" w:ascii="宋体" w:hAnsi="宋体" w:cs="宋体"/>
                <w:bCs/>
                <w:color w:val="auto"/>
                <w:sz w:val="24"/>
                <w:szCs w:val="28"/>
                <w:highlight w:val="none"/>
              </w:rPr>
            </w:pPr>
          </w:p>
        </w:tc>
        <w:tc>
          <w:tcPr>
            <w:tcW w:w="1345" w:type="dxa"/>
            <w:tcBorders>
              <w:top w:val="single" w:color="auto" w:sz="6" w:space="0"/>
              <w:left w:val="single" w:color="auto" w:sz="4" w:space="0"/>
              <w:bottom w:val="single" w:color="auto" w:sz="6" w:space="0"/>
              <w:right w:val="single" w:color="auto" w:sz="6" w:space="0"/>
            </w:tcBorders>
            <w:vAlign w:val="center"/>
          </w:tcPr>
          <w:p w14:paraId="09098A8B">
            <w:pPr>
              <w:wordWrap w:val="0"/>
              <w:adjustRightInd w:val="0"/>
              <w:jc w:val="center"/>
              <w:rPr>
                <w:rFonts w:hint="eastAsia" w:ascii="宋体" w:hAnsi="宋体" w:cs="宋体"/>
                <w:bCs/>
                <w:color w:val="auto"/>
                <w:sz w:val="24"/>
                <w:szCs w:val="28"/>
                <w:highlight w:val="none"/>
              </w:rPr>
            </w:pPr>
          </w:p>
        </w:tc>
        <w:tc>
          <w:tcPr>
            <w:tcW w:w="862" w:type="dxa"/>
            <w:tcBorders>
              <w:top w:val="single" w:color="auto" w:sz="6" w:space="0"/>
              <w:left w:val="single" w:color="auto" w:sz="6" w:space="0"/>
              <w:bottom w:val="single" w:color="auto" w:sz="6" w:space="0"/>
              <w:right w:val="single" w:color="auto" w:sz="6" w:space="0"/>
            </w:tcBorders>
            <w:vAlign w:val="center"/>
          </w:tcPr>
          <w:p w14:paraId="69ADD5A5">
            <w:pPr>
              <w:wordWrap w:val="0"/>
              <w:adjustRightInd w:val="0"/>
              <w:jc w:val="center"/>
              <w:rPr>
                <w:rFonts w:hint="eastAsia" w:ascii="宋体" w:hAnsi="宋体" w:cs="宋体"/>
                <w:bCs/>
                <w:color w:val="auto"/>
                <w:sz w:val="24"/>
                <w:szCs w:val="28"/>
                <w:highlight w:val="none"/>
              </w:rPr>
            </w:pPr>
          </w:p>
        </w:tc>
        <w:tc>
          <w:tcPr>
            <w:tcW w:w="779" w:type="dxa"/>
            <w:tcBorders>
              <w:top w:val="single" w:color="auto" w:sz="6" w:space="0"/>
              <w:left w:val="single" w:color="auto" w:sz="6" w:space="0"/>
              <w:bottom w:val="single" w:color="auto" w:sz="6" w:space="0"/>
              <w:right w:val="single" w:color="auto" w:sz="6" w:space="0"/>
            </w:tcBorders>
            <w:vAlign w:val="center"/>
          </w:tcPr>
          <w:p w14:paraId="2DB3B508">
            <w:pPr>
              <w:wordWrap w:val="0"/>
              <w:adjustRightInd w:val="0"/>
              <w:jc w:val="center"/>
              <w:rPr>
                <w:rFonts w:hint="eastAsia" w:ascii="宋体" w:hAnsi="宋体" w:cs="宋体"/>
                <w:bCs/>
                <w:color w:val="auto"/>
                <w:sz w:val="24"/>
                <w:szCs w:val="28"/>
                <w:highlight w:val="none"/>
              </w:rPr>
            </w:pPr>
          </w:p>
        </w:tc>
        <w:tc>
          <w:tcPr>
            <w:tcW w:w="987" w:type="dxa"/>
            <w:tcBorders>
              <w:top w:val="single" w:color="auto" w:sz="6" w:space="0"/>
              <w:left w:val="single" w:color="auto" w:sz="6" w:space="0"/>
              <w:bottom w:val="single" w:color="auto" w:sz="6" w:space="0"/>
              <w:right w:val="single" w:color="auto" w:sz="6" w:space="0"/>
            </w:tcBorders>
            <w:vAlign w:val="center"/>
          </w:tcPr>
          <w:p w14:paraId="14A632AC">
            <w:pPr>
              <w:wordWrap w:val="0"/>
              <w:adjustRightInd w:val="0"/>
              <w:jc w:val="center"/>
              <w:rPr>
                <w:rFonts w:hint="eastAsia" w:ascii="宋体" w:hAnsi="宋体" w:cs="宋体"/>
                <w:bCs/>
                <w:color w:val="auto"/>
                <w:sz w:val="24"/>
                <w:szCs w:val="28"/>
                <w:highlight w:val="none"/>
              </w:rPr>
            </w:pPr>
          </w:p>
        </w:tc>
        <w:tc>
          <w:tcPr>
            <w:tcW w:w="1019" w:type="dxa"/>
            <w:tcBorders>
              <w:top w:val="single" w:color="auto" w:sz="6" w:space="0"/>
              <w:left w:val="single" w:color="auto" w:sz="6" w:space="0"/>
              <w:bottom w:val="single" w:color="auto" w:sz="6" w:space="0"/>
              <w:right w:val="single" w:color="auto" w:sz="6" w:space="0"/>
            </w:tcBorders>
            <w:vAlign w:val="center"/>
          </w:tcPr>
          <w:p w14:paraId="017F292B">
            <w:pPr>
              <w:wordWrap w:val="0"/>
              <w:adjustRightInd w:val="0"/>
              <w:jc w:val="center"/>
              <w:rPr>
                <w:rFonts w:hint="eastAsia" w:ascii="宋体" w:hAnsi="宋体" w:cs="宋体"/>
                <w:bCs/>
                <w:color w:val="auto"/>
                <w:sz w:val="24"/>
                <w:szCs w:val="28"/>
                <w:highlight w:val="none"/>
              </w:rPr>
            </w:pPr>
          </w:p>
        </w:tc>
        <w:tc>
          <w:tcPr>
            <w:tcW w:w="812" w:type="dxa"/>
            <w:tcBorders>
              <w:top w:val="single" w:color="auto" w:sz="6" w:space="0"/>
              <w:left w:val="single" w:color="auto" w:sz="6" w:space="0"/>
              <w:bottom w:val="single" w:color="auto" w:sz="6" w:space="0"/>
              <w:right w:val="single" w:color="auto" w:sz="4" w:space="0"/>
            </w:tcBorders>
            <w:vAlign w:val="center"/>
          </w:tcPr>
          <w:p w14:paraId="16814B74">
            <w:pPr>
              <w:wordWrap w:val="0"/>
              <w:adjustRightInd w:val="0"/>
              <w:jc w:val="center"/>
              <w:rPr>
                <w:rFonts w:hint="eastAsia" w:ascii="宋体" w:hAnsi="宋体" w:cs="宋体"/>
                <w:bCs/>
                <w:color w:val="auto"/>
                <w:sz w:val="24"/>
                <w:szCs w:val="28"/>
                <w:highlight w:val="none"/>
              </w:rPr>
            </w:pPr>
          </w:p>
        </w:tc>
      </w:tr>
      <w:tr w14:paraId="7B0EFF91">
        <w:tblPrEx>
          <w:tblCellMar>
            <w:top w:w="0" w:type="dxa"/>
            <w:left w:w="108" w:type="dxa"/>
            <w:bottom w:w="0" w:type="dxa"/>
            <w:right w:w="108" w:type="dxa"/>
          </w:tblCellMar>
        </w:tblPrEx>
        <w:trPr>
          <w:trHeight w:val="589" w:hRule="atLeast"/>
          <w:jc w:val="center"/>
        </w:trPr>
        <w:tc>
          <w:tcPr>
            <w:tcW w:w="700" w:type="dxa"/>
            <w:tcBorders>
              <w:top w:val="single" w:color="auto" w:sz="6" w:space="0"/>
              <w:left w:val="single" w:color="auto" w:sz="6" w:space="0"/>
              <w:bottom w:val="single" w:color="auto" w:sz="6" w:space="0"/>
              <w:right w:val="single" w:color="auto" w:sz="6" w:space="0"/>
            </w:tcBorders>
            <w:vAlign w:val="center"/>
          </w:tcPr>
          <w:p w14:paraId="1BD8EB86">
            <w:pPr>
              <w:wordWrap w:val="0"/>
              <w:adjustRightInd w:val="0"/>
              <w:jc w:val="center"/>
              <w:rPr>
                <w:rFonts w:hint="eastAsia" w:ascii="宋体" w:hAnsi="宋体" w:cs="宋体"/>
                <w:bCs/>
                <w:color w:val="auto"/>
                <w:sz w:val="24"/>
                <w:szCs w:val="28"/>
                <w:highlight w:val="none"/>
              </w:rPr>
            </w:pPr>
          </w:p>
        </w:tc>
        <w:tc>
          <w:tcPr>
            <w:tcW w:w="1228" w:type="dxa"/>
            <w:tcBorders>
              <w:top w:val="single" w:color="auto" w:sz="6" w:space="0"/>
              <w:left w:val="single" w:color="auto" w:sz="6" w:space="0"/>
              <w:bottom w:val="single" w:color="auto" w:sz="6" w:space="0"/>
              <w:right w:val="single" w:color="auto" w:sz="6" w:space="0"/>
            </w:tcBorders>
            <w:vAlign w:val="center"/>
          </w:tcPr>
          <w:p w14:paraId="6402FDC0">
            <w:pPr>
              <w:wordWrap w:val="0"/>
              <w:adjustRightInd w:val="0"/>
              <w:jc w:val="center"/>
              <w:rPr>
                <w:rFonts w:hint="eastAsia" w:ascii="宋体" w:hAnsi="宋体" w:cs="宋体"/>
                <w:bCs/>
                <w:color w:val="auto"/>
                <w:sz w:val="24"/>
                <w:szCs w:val="28"/>
                <w:highlight w:val="none"/>
              </w:rPr>
            </w:pPr>
          </w:p>
        </w:tc>
        <w:tc>
          <w:tcPr>
            <w:tcW w:w="810" w:type="dxa"/>
            <w:tcBorders>
              <w:top w:val="single" w:color="auto" w:sz="6" w:space="0"/>
              <w:left w:val="single" w:color="auto" w:sz="6" w:space="0"/>
              <w:bottom w:val="single" w:color="auto" w:sz="6" w:space="0"/>
              <w:right w:val="single" w:color="auto" w:sz="4" w:space="0"/>
            </w:tcBorders>
            <w:vAlign w:val="center"/>
          </w:tcPr>
          <w:p w14:paraId="1493D18D">
            <w:pPr>
              <w:wordWrap w:val="0"/>
              <w:adjustRightInd w:val="0"/>
              <w:jc w:val="center"/>
              <w:rPr>
                <w:rFonts w:hint="eastAsia" w:ascii="宋体" w:hAnsi="宋体" w:cs="宋体"/>
                <w:bCs/>
                <w:color w:val="auto"/>
                <w:sz w:val="24"/>
                <w:szCs w:val="28"/>
                <w:highlight w:val="none"/>
              </w:rPr>
            </w:pPr>
          </w:p>
        </w:tc>
        <w:tc>
          <w:tcPr>
            <w:tcW w:w="810" w:type="dxa"/>
            <w:tcBorders>
              <w:top w:val="single" w:color="auto" w:sz="6" w:space="0"/>
              <w:left w:val="single" w:color="auto" w:sz="6" w:space="0"/>
              <w:bottom w:val="single" w:color="auto" w:sz="6" w:space="0"/>
              <w:right w:val="single" w:color="auto" w:sz="4" w:space="0"/>
            </w:tcBorders>
            <w:vAlign w:val="center"/>
          </w:tcPr>
          <w:p w14:paraId="54B06ECA">
            <w:pPr>
              <w:wordWrap w:val="0"/>
              <w:adjustRightInd w:val="0"/>
              <w:jc w:val="center"/>
              <w:rPr>
                <w:rFonts w:hint="eastAsia" w:ascii="宋体" w:hAnsi="宋体" w:cs="宋体"/>
                <w:bCs/>
                <w:color w:val="auto"/>
                <w:sz w:val="24"/>
                <w:szCs w:val="28"/>
                <w:highlight w:val="none"/>
              </w:rPr>
            </w:pPr>
          </w:p>
        </w:tc>
        <w:tc>
          <w:tcPr>
            <w:tcW w:w="1233" w:type="dxa"/>
            <w:tcBorders>
              <w:top w:val="single" w:color="auto" w:sz="6" w:space="0"/>
              <w:left w:val="single" w:color="auto" w:sz="6" w:space="0"/>
              <w:bottom w:val="single" w:color="auto" w:sz="6" w:space="0"/>
              <w:right w:val="single" w:color="auto" w:sz="4" w:space="0"/>
            </w:tcBorders>
            <w:vAlign w:val="center"/>
          </w:tcPr>
          <w:p w14:paraId="2EA7FA32">
            <w:pPr>
              <w:wordWrap w:val="0"/>
              <w:adjustRightInd w:val="0"/>
              <w:jc w:val="center"/>
              <w:rPr>
                <w:rFonts w:hint="eastAsia" w:ascii="宋体" w:hAnsi="宋体" w:cs="宋体"/>
                <w:bCs/>
                <w:color w:val="auto"/>
                <w:sz w:val="24"/>
                <w:szCs w:val="28"/>
                <w:highlight w:val="none"/>
              </w:rPr>
            </w:pPr>
          </w:p>
        </w:tc>
        <w:tc>
          <w:tcPr>
            <w:tcW w:w="1345" w:type="dxa"/>
            <w:tcBorders>
              <w:top w:val="single" w:color="auto" w:sz="6" w:space="0"/>
              <w:left w:val="single" w:color="auto" w:sz="4" w:space="0"/>
              <w:bottom w:val="single" w:color="auto" w:sz="6" w:space="0"/>
              <w:right w:val="single" w:color="auto" w:sz="6" w:space="0"/>
            </w:tcBorders>
            <w:vAlign w:val="center"/>
          </w:tcPr>
          <w:p w14:paraId="2C803DD0">
            <w:pPr>
              <w:wordWrap w:val="0"/>
              <w:adjustRightInd w:val="0"/>
              <w:jc w:val="center"/>
              <w:rPr>
                <w:rFonts w:hint="eastAsia" w:ascii="宋体" w:hAnsi="宋体" w:cs="宋体"/>
                <w:bCs/>
                <w:color w:val="auto"/>
                <w:sz w:val="24"/>
                <w:szCs w:val="28"/>
                <w:highlight w:val="none"/>
              </w:rPr>
            </w:pPr>
          </w:p>
        </w:tc>
        <w:tc>
          <w:tcPr>
            <w:tcW w:w="862" w:type="dxa"/>
            <w:tcBorders>
              <w:top w:val="single" w:color="auto" w:sz="6" w:space="0"/>
              <w:left w:val="single" w:color="auto" w:sz="6" w:space="0"/>
              <w:bottom w:val="single" w:color="auto" w:sz="6" w:space="0"/>
              <w:right w:val="single" w:color="auto" w:sz="6" w:space="0"/>
            </w:tcBorders>
            <w:vAlign w:val="center"/>
          </w:tcPr>
          <w:p w14:paraId="0111A5AD">
            <w:pPr>
              <w:wordWrap w:val="0"/>
              <w:adjustRightInd w:val="0"/>
              <w:jc w:val="center"/>
              <w:rPr>
                <w:rFonts w:hint="eastAsia" w:ascii="宋体" w:hAnsi="宋体" w:cs="宋体"/>
                <w:bCs/>
                <w:color w:val="auto"/>
                <w:sz w:val="24"/>
                <w:szCs w:val="28"/>
                <w:highlight w:val="none"/>
              </w:rPr>
            </w:pPr>
          </w:p>
        </w:tc>
        <w:tc>
          <w:tcPr>
            <w:tcW w:w="779" w:type="dxa"/>
            <w:tcBorders>
              <w:top w:val="single" w:color="auto" w:sz="6" w:space="0"/>
              <w:left w:val="single" w:color="auto" w:sz="6" w:space="0"/>
              <w:bottom w:val="single" w:color="auto" w:sz="6" w:space="0"/>
              <w:right w:val="single" w:color="auto" w:sz="6" w:space="0"/>
            </w:tcBorders>
            <w:vAlign w:val="center"/>
          </w:tcPr>
          <w:p w14:paraId="359EE3AB">
            <w:pPr>
              <w:wordWrap w:val="0"/>
              <w:adjustRightInd w:val="0"/>
              <w:jc w:val="center"/>
              <w:rPr>
                <w:rFonts w:hint="eastAsia" w:ascii="宋体" w:hAnsi="宋体" w:cs="宋体"/>
                <w:bCs/>
                <w:color w:val="auto"/>
                <w:sz w:val="24"/>
                <w:szCs w:val="28"/>
                <w:highlight w:val="none"/>
              </w:rPr>
            </w:pPr>
          </w:p>
        </w:tc>
        <w:tc>
          <w:tcPr>
            <w:tcW w:w="987" w:type="dxa"/>
            <w:tcBorders>
              <w:top w:val="single" w:color="auto" w:sz="6" w:space="0"/>
              <w:left w:val="single" w:color="auto" w:sz="6" w:space="0"/>
              <w:bottom w:val="single" w:color="auto" w:sz="6" w:space="0"/>
              <w:right w:val="single" w:color="auto" w:sz="6" w:space="0"/>
            </w:tcBorders>
            <w:vAlign w:val="center"/>
          </w:tcPr>
          <w:p w14:paraId="712B466A">
            <w:pPr>
              <w:wordWrap w:val="0"/>
              <w:adjustRightInd w:val="0"/>
              <w:jc w:val="center"/>
              <w:rPr>
                <w:rFonts w:hint="eastAsia" w:ascii="宋体" w:hAnsi="宋体" w:cs="宋体"/>
                <w:bCs/>
                <w:color w:val="auto"/>
                <w:sz w:val="24"/>
                <w:szCs w:val="28"/>
                <w:highlight w:val="none"/>
              </w:rPr>
            </w:pPr>
          </w:p>
        </w:tc>
        <w:tc>
          <w:tcPr>
            <w:tcW w:w="1019" w:type="dxa"/>
            <w:tcBorders>
              <w:top w:val="single" w:color="auto" w:sz="6" w:space="0"/>
              <w:left w:val="single" w:color="auto" w:sz="6" w:space="0"/>
              <w:bottom w:val="single" w:color="auto" w:sz="6" w:space="0"/>
              <w:right w:val="single" w:color="auto" w:sz="6" w:space="0"/>
            </w:tcBorders>
            <w:vAlign w:val="center"/>
          </w:tcPr>
          <w:p w14:paraId="7ED133CC">
            <w:pPr>
              <w:wordWrap w:val="0"/>
              <w:adjustRightInd w:val="0"/>
              <w:jc w:val="center"/>
              <w:rPr>
                <w:rFonts w:hint="eastAsia" w:ascii="宋体" w:hAnsi="宋体" w:cs="宋体"/>
                <w:bCs/>
                <w:color w:val="auto"/>
                <w:sz w:val="24"/>
                <w:szCs w:val="28"/>
                <w:highlight w:val="none"/>
              </w:rPr>
            </w:pPr>
          </w:p>
        </w:tc>
        <w:tc>
          <w:tcPr>
            <w:tcW w:w="812" w:type="dxa"/>
            <w:tcBorders>
              <w:top w:val="single" w:color="auto" w:sz="6" w:space="0"/>
              <w:left w:val="single" w:color="auto" w:sz="6" w:space="0"/>
              <w:bottom w:val="single" w:color="auto" w:sz="6" w:space="0"/>
              <w:right w:val="single" w:color="auto" w:sz="4" w:space="0"/>
            </w:tcBorders>
            <w:vAlign w:val="center"/>
          </w:tcPr>
          <w:p w14:paraId="400852B1">
            <w:pPr>
              <w:wordWrap w:val="0"/>
              <w:adjustRightInd w:val="0"/>
              <w:jc w:val="center"/>
              <w:rPr>
                <w:rFonts w:hint="eastAsia" w:ascii="宋体" w:hAnsi="宋体" w:cs="宋体"/>
                <w:bCs/>
                <w:color w:val="auto"/>
                <w:sz w:val="24"/>
                <w:szCs w:val="28"/>
                <w:highlight w:val="none"/>
              </w:rPr>
            </w:pPr>
          </w:p>
        </w:tc>
      </w:tr>
      <w:tr w14:paraId="1999F34F">
        <w:tblPrEx>
          <w:tblCellMar>
            <w:top w:w="0" w:type="dxa"/>
            <w:left w:w="108" w:type="dxa"/>
            <w:bottom w:w="0" w:type="dxa"/>
            <w:right w:w="108" w:type="dxa"/>
          </w:tblCellMar>
        </w:tblPrEx>
        <w:trPr>
          <w:trHeight w:val="613" w:hRule="atLeast"/>
          <w:jc w:val="center"/>
        </w:trPr>
        <w:tc>
          <w:tcPr>
            <w:tcW w:w="2738" w:type="dxa"/>
            <w:gridSpan w:val="3"/>
            <w:tcBorders>
              <w:top w:val="single" w:color="auto" w:sz="6" w:space="0"/>
              <w:left w:val="single" w:color="auto" w:sz="6" w:space="0"/>
              <w:bottom w:val="single" w:color="auto" w:sz="6" w:space="0"/>
              <w:right w:val="single" w:color="auto" w:sz="4" w:space="0"/>
            </w:tcBorders>
            <w:vAlign w:val="center"/>
          </w:tcPr>
          <w:p w14:paraId="219294C9">
            <w:pPr>
              <w:wordWrap w:val="0"/>
              <w:adjustRightInd w:val="0"/>
              <w:rPr>
                <w:rFonts w:hint="eastAsia" w:ascii="宋体" w:hAnsi="宋体" w:cs="宋体"/>
                <w:bCs/>
                <w:color w:val="auto"/>
                <w:sz w:val="24"/>
                <w:highlight w:val="none"/>
                <w:lang w:val="zh-CN"/>
              </w:rPr>
            </w:pPr>
            <w:r>
              <w:rPr>
                <w:rFonts w:hint="eastAsia" w:ascii="宋体" w:hAnsi="宋体" w:cs="宋体"/>
                <w:bCs/>
                <w:color w:val="auto"/>
                <w:sz w:val="24"/>
                <w:highlight w:val="none"/>
              </w:rPr>
              <w:t>投标报价合计</w:t>
            </w:r>
          </w:p>
        </w:tc>
        <w:tc>
          <w:tcPr>
            <w:tcW w:w="7847" w:type="dxa"/>
            <w:gridSpan w:val="8"/>
            <w:tcBorders>
              <w:top w:val="single" w:color="auto" w:sz="6" w:space="0"/>
              <w:left w:val="single" w:color="auto" w:sz="6" w:space="0"/>
              <w:bottom w:val="single" w:color="auto" w:sz="6" w:space="0"/>
              <w:right w:val="single" w:color="auto" w:sz="4" w:space="0"/>
            </w:tcBorders>
            <w:vAlign w:val="center"/>
          </w:tcPr>
          <w:p w14:paraId="230B6D35">
            <w:pPr>
              <w:wordWrap w:val="0"/>
              <w:adjustRightInd w:val="0"/>
              <w:rPr>
                <w:rFonts w:hint="eastAsia" w:ascii="宋体" w:hAnsi="宋体" w:cs="宋体"/>
                <w:bCs/>
                <w:color w:val="auto"/>
                <w:sz w:val="24"/>
                <w:highlight w:val="none"/>
              </w:rPr>
            </w:pPr>
            <w:r>
              <w:rPr>
                <w:rFonts w:hint="eastAsia" w:ascii="宋体" w:hAnsi="宋体" w:cs="宋体"/>
                <w:bCs/>
                <w:color w:val="auto"/>
                <w:sz w:val="24"/>
                <w:highlight w:val="none"/>
                <w:lang w:val="zh-CN"/>
              </w:rPr>
              <w:t>大写：                    小写：</w:t>
            </w:r>
          </w:p>
        </w:tc>
      </w:tr>
    </w:tbl>
    <w:p w14:paraId="1C9CF7EE">
      <w:pPr>
        <w:wordWrap w:val="0"/>
        <w:spacing w:line="480" w:lineRule="auto"/>
        <w:rPr>
          <w:rFonts w:hint="eastAsia" w:ascii="宋体" w:hAnsi="宋体" w:cs="宋体"/>
          <w:color w:val="auto"/>
          <w:sz w:val="28"/>
          <w:szCs w:val="28"/>
          <w:highlight w:val="none"/>
        </w:rPr>
      </w:pPr>
    </w:p>
    <w:p w14:paraId="659F0B06">
      <w:pPr>
        <w:wordWrap w:val="0"/>
        <w:spacing w:line="480" w:lineRule="auto"/>
        <w:ind w:firstLine="2880" w:firstLineChars="1200"/>
        <w:rPr>
          <w:rFonts w:hint="eastAsia" w:ascii="宋体" w:hAnsi="宋体" w:cs="宋体"/>
          <w:color w:val="auto"/>
          <w:sz w:val="24"/>
          <w:highlight w:val="none"/>
        </w:rPr>
      </w:pPr>
      <w:r>
        <w:rPr>
          <w:rFonts w:hint="eastAsia" w:ascii="宋体" w:hAnsi="宋体" w:cs="宋体"/>
          <w:color w:val="auto"/>
          <w:sz w:val="24"/>
          <w:szCs w:val="24"/>
          <w:highlight w:val="none"/>
        </w:rPr>
        <w:t>供应商</w:t>
      </w:r>
      <w:r>
        <w:rPr>
          <w:rFonts w:hint="eastAsia" w:ascii="宋体" w:hAnsi="宋体" w:cs="宋体"/>
          <w:color w:val="auto"/>
          <w:sz w:val="24"/>
          <w:highlight w:val="none"/>
        </w:rPr>
        <w:t>：</w:t>
      </w:r>
      <w:r>
        <w:rPr>
          <w:rFonts w:hint="eastAsia" w:ascii="宋体" w:hAnsi="宋体" w:cs="宋体"/>
          <w:color w:val="auto"/>
          <w:sz w:val="24"/>
          <w:szCs w:val="21"/>
          <w:highlight w:val="none"/>
          <w:u w:val="single"/>
        </w:rPr>
        <w:t xml:space="preserve">                      </w:t>
      </w:r>
      <w:r>
        <w:rPr>
          <w:rFonts w:hint="eastAsia" w:ascii="宋体" w:hAnsi="宋体" w:cs="宋体"/>
          <w:color w:val="auto"/>
          <w:sz w:val="24"/>
          <w:highlight w:val="none"/>
        </w:rPr>
        <w:t>（盖单位公章）</w:t>
      </w:r>
    </w:p>
    <w:p w14:paraId="22309A03">
      <w:pPr>
        <w:wordWrap w:val="0"/>
        <w:spacing w:line="480" w:lineRule="auto"/>
        <w:ind w:firstLine="2880" w:firstLineChars="1200"/>
        <w:rPr>
          <w:rFonts w:hint="eastAsia" w:ascii="宋体" w:hAnsi="宋体" w:cs="宋体"/>
          <w:color w:val="auto"/>
          <w:sz w:val="24"/>
          <w:highlight w:val="none"/>
        </w:rPr>
      </w:pPr>
      <w:r>
        <w:rPr>
          <w:rFonts w:hint="eastAsia" w:ascii="宋体" w:hAnsi="宋体" w:cs="宋体"/>
          <w:bCs/>
          <w:color w:val="auto"/>
          <w:sz w:val="24"/>
          <w:highlight w:val="none"/>
        </w:rPr>
        <w:t>法定代表人或委托代理人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（签字或盖章）</w:t>
      </w:r>
    </w:p>
    <w:p w14:paraId="7DCAD7B2">
      <w:pPr>
        <w:wordWrap w:val="0"/>
        <w:spacing w:line="480" w:lineRule="auto"/>
        <w:ind w:firstLine="4800" w:firstLineChars="2000"/>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D30921B">
      <w:pPr>
        <w:wordWrap w:val="0"/>
        <w:spacing w:line="360" w:lineRule="auto"/>
        <w:rPr>
          <w:rFonts w:hint="eastAsia" w:ascii="宋体" w:hAnsi="宋体" w:cs="宋体"/>
          <w:b/>
          <w:bCs/>
          <w:color w:val="auto"/>
          <w:sz w:val="24"/>
          <w:highlight w:val="none"/>
        </w:rPr>
      </w:pPr>
    </w:p>
    <w:p w14:paraId="241478DA">
      <w:pPr>
        <w:wordWrap w:val="0"/>
        <w:spacing w:line="440" w:lineRule="exact"/>
        <w:rPr>
          <w:rFonts w:hint="eastAsia" w:ascii="宋体" w:hAnsi="宋体" w:cs="宋体"/>
          <w:color w:val="auto"/>
          <w:sz w:val="24"/>
          <w:highlight w:val="none"/>
        </w:rPr>
      </w:pPr>
      <w:r>
        <w:rPr>
          <w:rFonts w:hint="eastAsia" w:ascii="宋体" w:hAnsi="宋体" w:cs="宋体"/>
          <w:b/>
          <w:bCs/>
          <w:color w:val="auto"/>
          <w:sz w:val="24"/>
          <w:highlight w:val="none"/>
        </w:rPr>
        <w:t>注：</w:t>
      </w:r>
      <w:r>
        <w:rPr>
          <w:rFonts w:hint="eastAsia" w:ascii="宋体" w:hAnsi="宋体" w:cs="宋体"/>
          <w:color w:val="auto"/>
          <w:sz w:val="24"/>
          <w:highlight w:val="none"/>
        </w:rPr>
        <w:t>1. 如果按单价计算的结果与总价不一致，以单价为准修正总价。</w:t>
      </w:r>
    </w:p>
    <w:p w14:paraId="490DE4DB">
      <w:pPr>
        <w:wordWrap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本表包括标准件和专用工具。</w:t>
      </w:r>
    </w:p>
    <w:p w14:paraId="37ABCE39">
      <w:pPr>
        <w:wordWrap w:val="0"/>
        <w:spacing w:line="440" w:lineRule="exact"/>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投标要求：</w:t>
      </w:r>
    </w:p>
    <w:p w14:paraId="7B5AA0A2">
      <w:pPr>
        <w:wordWrap w:val="0"/>
        <w:adjustRightInd w:val="0"/>
        <w:spacing w:line="44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1.与完成本项目有关的各种费用均应包含在投标总价中，并按招标文件采购需求写明投标货物的数量及单位，否则将视为没有实质性响应招标文件。</w:t>
      </w:r>
    </w:p>
    <w:p w14:paraId="36AE8EF2">
      <w:pPr>
        <w:wordWrap w:val="0"/>
        <w:adjustRightInd w:val="0"/>
        <w:spacing w:line="44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如果提供价格折扣应明确标明。</w:t>
      </w:r>
    </w:p>
    <w:p w14:paraId="2271A79F">
      <w:pPr>
        <w:wordWrap w:val="0"/>
        <w:adjustRightInd w:val="0"/>
        <w:spacing w:line="440" w:lineRule="exact"/>
        <w:ind w:firstLine="480" w:firstLineChars="200"/>
        <w:rPr>
          <w:rFonts w:hint="eastAsia" w:ascii="宋体" w:hAnsi="宋体" w:cs="宋体"/>
          <w:color w:val="auto"/>
          <w:highlight w:val="none"/>
        </w:rPr>
      </w:pPr>
      <w:r>
        <w:rPr>
          <w:rFonts w:hint="eastAsia" w:ascii="宋体" w:hAnsi="宋体" w:cs="宋体"/>
          <w:color w:val="auto"/>
          <w:sz w:val="24"/>
          <w:highlight w:val="none"/>
        </w:rPr>
        <w:t>3、此表可根据需要自行拉长加宽。</w:t>
      </w:r>
    </w:p>
    <w:p w14:paraId="1A4F1ECB">
      <w:pPr>
        <w:spacing w:line="480" w:lineRule="exact"/>
        <w:rPr>
          <w:rFonts w:hint="eastAsia" w:asciiTheme="minorEastAsia" w:hAnsiTheme="minorEastAsia" w:eastAsiaTheme="minorEastAsia" w:cstheme="minorEastAsia"/>
          <w:color w:val="auto"/>
          <w:sz w:val="21"/>
          <w:szCs w:val="21"/>
          <w:highlight w:val="none"/>
        </w:rPr>
        <w:sectPr>
          <w:headerReference r:id="rId13" w:type="default"/>
          <w:footerReference r:id="rId15" w:type="default"/>
          <w:headerReference r:id="rId14" w:type="even"/>
          <w:footerReference r:id="rId16" w:type="even"/>
          <w:pgSz w:w="11906" w:h="16838"/>
          <w:pgMar w:top="1418" w:right="1134" w:bottom="1418" w:left="1276" w:header="851" w:footer="992" w:gutter="0"/>
          <w:cols w:space="720" w:num="1"/>
          <w:docGrid w:linePitch="312" w:charSpace="0"/>
        </w:sectPr>
      </w:pPr>
    </w:p>
    <w:p w14:paraId="5D72FC60">
      <w:pPr>
        <w:pStyle w:val="23"/>
        <w:spacing w:line="400" w:lineRule="atLeast"/>
        <w:jc w:val="center"/>
        <w:rPr>
          <w:rFonts w:hint="eastAsia" w:asciiTheme="minorEastAsia" w:hAnsiTheme="minorEastAsia" w:eastAsiaTheme="minorEastAsia" w:cstheme="minorEastAsia"/>
          <w:b/>
          <w:color w:val="auto"/>
          <w:sz w:val="28"/>
          <w:szCs w:val="28"/>
          <w:highlight w:val="none"/>
        </w:rPr>
      </w:pPr>
      <w:bookmarkStart w:id="58" w:name="_Toc270184113"/>
      <w:bookmarkStart w:id="59" w:name="_Toc27870"/>
      <w:r>
        <w:rPr>
          <w:rFonts w:hint="eastAsia" w:asciiTheme="minorEastAsia" w:hAnsiTheme="minorEastAsia" w:eastAsiaTheme="minorEastAsia" w:cstheme="minorEastAsia"/>
          <w:b/>
          <w:color w:val="auto"/>
          <w:kern w:val="0"/>
          <w:sz w:val="32"/>
          <w:szCs w:val="32"/>
          <w:highlight w:val="none"/>
        </w:rPr>
        <w:t>五、投标保证金</w:t>
      </w:r>
    </w:p>
    <w:p w14:paraId="381D19B4">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603804F0">
      <w:pPr>
        <w:autoSpaceDE w:val="0"/>
        <w:autoSpaceDN w:val="0"/>
        <w:adjustRightInd w:val="0"/>
        <w:jc w:val="center"/>
        <w:rPr>
          <w:rFonts w:hint="eastAsia" w:asciiTheme="minorEastAsia" w:hAnsiTheme="minorEastAsia" w:eastAsiaTheme="minorEastAsia" w:cstheme="minorEastAsia"/>
          <w:b/>
          <w:color w:val="auto"/>
          <w:sz w:val="21"/>
          <w:szCs w:val="21"/>
          <w:highlight w:val="none"/>
        </w:rPr>
      </w:pPr>
    </w:p>
    <w:p w14:paraId="79BF454A">
      <w:pPr>
        <w:pStyle w:val="23"/>
        <w:spacing w:line="400" w:lineRule="atLeast"/>
        <w:jc w:val="center"/>
        <w:rPr>
          <w:rFonts w:hint="eastAsia" w:asciiTheme="minorEastAsia" w:hAnsiTheme="minorEastAsia" w:eastAsiaTheme="minorEastAsia" w:cstheme="minorEastAsia"/>
          <w:bCs/>
          <w:color w:val="auto"/>
          <w:szCs w:val="21"/>
          <w:highlight w:val="none"/>
          <w:lang w:val="zh-CN"/>
        </w:rPr>
      </w:pPr>
      <w:r>
        <w:rPr>
          <w:rFonts w:hint="eastAsia" w:asciiTheme="minorEastAsia" w:hAnsiTheme="minorEastAsia" w:eastAsiaTheme="minorEastAsia" w:cstheme="minorEastAsia"/>
          <w:bCs/>
          <w:color w:val="auto"/>
          <w:szCs w:val="21"/>
          <w:highlight w:val="none"/>
        </w:rPr>
        <w:t>附：</w:t>
      </w:r>
      <w:r>
        <w:rPr>
          <w:rFonts w:hint="eastAsia" w:asciiTheme="minorEastAsia" w:hAnsiTheme="minorEastAsia" w:eastAsiaTheme="minorEastAsia" w:cstheme="minorEastAsia"/>
          <w:bCs/>
          <w:color w:val="auto"/>
          <w:szCs w:val="21"/>
          <w:highlight w:val="none"/>
          <w:lang w:val="zh-CN"/>
        </w:rPr>
        <w:t>提供银行基本账户</w:t>
      </w:r>
      <w:r>
        <w:rPr>
          <w:rFonts w:hint="eastAsia" w:asciiTheme="minorEastAsia" w:hAnsiTheme="minorEastAsia" w:eastAsiaTheme="minorEastAsia" w:cstheme="minorEastAsia"/>
          <w:bCs/>
          <w:color w:val="auto"/>
          <w:szCs w:val="21"/>
          <w:highlight w:val="none"/>
        </w:rPr>
        <w:t>信息或</w:t>
      </w:r>
      <w:r>
        <w:rPr>
          <w:rFonts w:hint="eastAsia" w:asciiTheme="minorEastAsia" w:hAnsiTheme="minorEastAsia" w:eastAsiaTheme="minorEastAsia" w:cstheme="minorEastAsia"/>
          <w:bCs/>
          <w:color w:val="auto"/>
          <w:szCs w:val="21"/>
          <w:highlight w:val="none"/>
          <w:lang w:val="zh-CN"/>
        </w:rPr>
        <w:t>开户</w:t>
      </w:r>
      <w:r>
        <w:rPr>
          <w:rFonts w:hint="eastAsia" w:asciiTheme="minorEastAsia" w:hAnsiTheme="minorEastAsia" w:eastAsiaTheme="minorEastAsia" w:cstheme="minorEastAsia"/>
          <w:bCs/>
          <w:color w:val="auto"/>
          <w:szCs w:val="21"/>
          <w:highlight w:val="none"/>
        </w:rPr>
        <w:t>许可证</w:t>
      </w:r>
      <w:r>
        <w:rPr>
          <w:rFonts w:hint="eastAsia" w:asciiTheme="minorEastAsia" w:hAnsiTheme="minorEastAsia" w:eastAsiaTheme="minorEastAsia" w:cstheme="minorEastAsia"/>
          <w:bCs/>
          <w:color w:val="auto"/>
          <w:szCs w:val="21"/>
          <w:highlight w:val="none"/>
          <w:lang w:val="zh-CN"/>
        </w:rPr>
        <w:t>、投标保证金转款凭证</w:t>
      </w:r>
    </w:p>
    <w:p w14:paraId="0FA4601B">
      <w:pPr>
        <w:pStyle w:val="23"/>
        <w:spacing w:line="400" w:lineRule="atLeast"/>
        <w:jc w:val="center"/>
        <w:rPr>
          <w:rFonts w:hint="eastAsia" w:asciiTheme="minorEastAsia" w:hAnsiTheme="minorEastAsia" w:eastAsiaTheme="minorEastAsia" w:cstheme="minorEastAsia"/>
          <w:bCs/>
          <w:color w:val="auto"/>
          <w:szCs w:val="21"/>
          <w:highlight w:val="none"/>
          <w:lang w:val="zh-CN"/>
        </w:rPr>
      </w:pPr>
    </w:p>
    <w:p w14:paraId="2A1A545A">
      <w:pPr>
        <w:pStyle w:val="23"/>
        <w:spacing w:line="400" w:lineRule="atLeast"/>
        <w:jc w:val="center"/>
        <w:rPr>
          <w:rFonts w:hint="eastAsia" w:asciiTheme="minorEastAsia" w:hAnsiTheme="minorEastAsia" w:eastAsiaTheme="minorEastAsia" w:cstheme="minorEastAsia"/>
          <w:bCs/>
          <w:color w:val="auto"/>
          <w:szCs w:val="21"/>
          <w:highlight w:val="none"/>
          <w:lang w:val="zh-CN"/>
        </w:rPr>
      </w:pPr>
    </w:p>
    <w:p w14:paraId="50458A34">
      <w:pPr>
        <w:pStyle w:val="23"/>
        <w:spacing w:line="400" w:lineRule="atLeast"/>
        <w:jc w:val="center"/>
        <w:rPr>
          <w:rFonts w:hint="eastAsia" w:asciiTheme="minorEastAsia" w:hAnsiTheme="minorEastAsia" w:eastAsiaTheme="minorEastAsia" w:cstheme="minorEastAsia"/>
          <w:bCs/>
          <w:color w:val="auto"/>
          <w:szCs w:val="21"/>
          <w:highlight w:val="none"/>
          <w:lang w:val="zh-CN"/>
        </w:rPr>
      </w:pPr>
    </w:p>
    <w:p w14:paraId="1E8FA240">
      <w:pPr>
        <w:pStyle w:val="23"/>
        <w:spacing w:line="400" w:lineRule="atLeast"/>
        <w:jc w:val="center"/>
        <w:rPr>
          <w:rFonts w:hint="eastAsia" w:asciiTheme="minorEastAsia" w:hAnsiTheme="minorEastAsia" w:eastAsiaTheme="minorEastAsia" w:cstheme="minorEastAsia"/>
          <w:bCs/>
          <w:color w:val="auto"/>
          <w:szCs w:val="21"/>
          <w:highlight w:val="none"/>
          <w:lang w:val="zh-CN"/>
        </w:rPr>
      </w:pPr>
    </w:p>
    <w:p w14:paraId="0A0A3FC3">
      <w:pPr>
        <w:pStyle w:val="23"/>
        <w:spacing w:line="400" w:lineRule="atLeast"/>
        <w:jc w:val="center"/>
        <w:rPr>
          <w:rFonts w:hint="eastAsia" w:asciiTheme="minorEastAsia" w:hAnsiTheme="minorEastAsia" w:eastAsiaTheme="minorEastAsia" w:cstheme="minorEastAsia"/>
          <w:bCs/>
          <w:color w:val="auto"/>
          <w:szCs w:val="21"/>
          <w:highlight w:val="none"/>
          <w:lang w:val="zh-CN"/>
        </w:rPr>
      </w:pPr>
    </w:p>
    <w:p w14:paraId="2591D1B6">
      <w:pPr>
        <w:pStyle w:val="23"/>
        <w:spacing w:line="400" w:lineRule="atLeast"/>
        <w:jc w:val="center"/>
        <w:rPr>
          <w:rFonts w:hint="eastAsia" w:asciiTheme="minorEastAsia" w:hAnsiTheme="minorEastAsia" w:eastAsiaTheme="minorEastAsia" w:cstheme="minorEastAsia"/>
          <w:bCs/>
          <w:color w:val="auto"/>
          <w:szCs w:val="21"/>
          <w:highlight w:val="none"/>
          <w:lang w:val="zh-CN"/>
        </w:rPr>
      </w:pPr>
    </w:p>
    <w:p w14:paraId="39E8F5DA">
      <w:pPr>
        <w:pStyle w:val="23"/>
        <w:spacing w:line="400" w:lineRule="atLeast"/>
        <w:jc w:val="center"/>
        <w:rPr>
          <w:rFonts w:hint="eastAsia" w:asciiTheme="minorEastAsia" w:hAnsiTheme="minorEastAsia" w:eastAsiaTheme="minorEastAsia" w:cstheme="minorEastAsia"/>
          <w:bCs/>
          <w:color w:val="auto"/>
          <w:szCs w:val="21"/>
          <w:highlight w:val="none"/>
          <w:lang w:val="zh-CN"/>
        </w:rPr>
      </w:pPr>
    </w:p>
    <w:p w14:paraId="0D4BCE07">
      <w:pPr>
        <w:pStyle w:val="23"/>
        <w:spacing w:line="400" w:lineRule="atLeast"/>
        <w:jc w:val="center"/>
        <w:rPr>
          <w:rFonts w:hint="eastAsia" w:asciiTheme="minorEastAsia" w:hAnsiTheme="minorEastAsia" w:eastAsiaTheme="minorEastAsia" w:cstheme="minorEastAsia"/>
          <w:bCs/>
          <w:color w:val="auto"/>
          <w:szCs w:val="21"/>
          <w:highlight w:val="none"/>
          <w:lang w:val="zh-CN"/>
        </w:rPr>
      </w:pPr>
    </w:p>
    <w:p w14:paraId="5E5D5A5E">
      <w:pPr>
        <w:pStyle w:val="23"/>
        <w:spacing w:line="400" w:lineRule="atLeast"/>
        <w:jc w:val="center"/>
        <w:rPr>
          <w:rFonts w:hint="eastAsia" w:asciiTheme="minorEastAsia" w:hAnsiTheme="minorEastAsia" w:eastAsiaTheme="minorEastAsia" w:cstheme="minorEastAsia"/>
          <w:bCs/>
          <w:color w:val="auto"/>
          <w:szCs w:val="21"/>
          <w:highlight w:val="none"/>
          <w:lang w:val="zh-CN"/>
        </w:rPr>
      </w:pPr>
    </w:p>
    <w:p w14:paraId="6E2F7F1A">
      <w:pPr>
        <w:pStyle w:val="23"/>
        <w:spacing w:line="400" w:lineRule="atLeast"/>
        <w:jc w:val="center"/>
        <w:rPr>
          <w:rFonts w:hint="eastAsia" w:asciiTheme="minorEastAsia" w:hAnsiTheme="minorEastAsia" w:eastAsiaTheme="minorEastAsia" w:cstheme="minorEastAsia"/>
          <w:bCs/>
          <w:color w:val="auto"/>
          <w:szCs w:val="21"/>
          <w:highlight w:val="none"/>
          <w:lang w:val="zh-CN"/>
        </w:rPr>
      </w:pPr>
    </w:p>
    <w:p w14:paraId="27016C75">
      <w:pPr>
        <w:pStyle w:val="23"/>
        <w:spacing w:line="400" w:lineRule="atLeast"/>
        <w:jc w:val="center"/>
        <w:rPr>
          <w:rFonts w:hint="eastAsia" w:asciiTheme="minorEastAsia" w:hAnsiTheme="minorEastAsia" w:eastAsiaTheme="minorEastAsia" w:cstheme="minorEastAsia"/>
          <w:bCs/>
          <w:color w:val="auto"/>
          <w:szCs w:val="21"/>
          <w:highlight w:val="none"/>
          <w:lang w:val="zh-CN"/>
        </w:rPr>
      </w:pPr>
    </w:p>
    <w:p w14:paraId="4A5DD929">
      <w:pPr>
        <w:pStyle w:val="23"/>
        <w:spacing w:line="400" w:lineRule="atLeast"/>
        <w:jc w:val="center"/>
        <w:rPr>
          <w:rFonts w:hint="eastAsia" w:asciiTheme="minorEastAsia" w:hAnsiTheme="minorEastAsia" w:eastAsiaTheme="minorEastAsia" w:cstheme="minorEastAsia"/>
          <w:bCs/>
          <w:color w:val="auto"/>
          <w:szCs w:val="21"/>
          <w:highlight w:val="none"/>
          <w:lang w:val="zh-CN"/>
        </w:rPr>
      </w:pPr>
    </w:p>
    <w:p w14:paraId="3FC6E3FF">
      <w:pPr>
        <w:pStyle w:val="23"/>
        <w:spacing w:line="400" w:lineRule="atLeast"/>
        <w:jc w:val="center"/>
        <w:rPr>
          <w:rFonts w:hint="eastAsia" w:asciiTheme="minorEastAsia" w:hAnsiTheme="minorEastAsia" w:eastAsiaTheme="minorEastAsia" w:cstheme="minorEastAsia"/>
          <w:bCs/>
          <w:color w:val="auto"/>
          <w:szCs w:val="21"/>
          <w:highlight w:val="none"/>
          <w:lang w:val="zh-CN"/>
        </w:rPr>
      </w:pPr>
    </w:p>
    <w:p w14:paraId="679B40E3">
      <w:pPr>
        <w:pStyle w:val="23"/>
        <w:spacing w:line="400" w:lineRule="atLeast"/>
        <w:jc w:val="center"/>
        <w:rPr>
          <w:rFonts w:hint="eastAsia" w:asciiTheme="minorEastAsia" w:hAnsiTheme="minorEastAsia" w:eastAsiaTheme="minorEastAsia" w:cstheme="minorEastAsia"/>
          <w:bCs/>
          <w:color w:val="auto"/>
          <w:szCs w:val="21"/>
          <w:highlight w:val="none"/>
          <w:lang w:val="zh-CN"/>
        </w:rPr>
      </w:pPr>
    </w:p>
    <w:p w14:paraId="6C5590F1">
      <w:pPr>
        <w:pStyle w:val="23"/>
        <w:spacing w:line="400" w:lineRule="atLeast"/>
        <w:jc w:val="center"/>
        <w:rPr>
          <w:rFonts w:hint="eastAsia" w:asciiTheme="minorEastAsia" w:hAnsiTheme="minorEastAsia" w:eastAsiaTheme="minorEastAsia" w:cstheme="minorEastAsia"/>
          <w:bCs/>
          <w:color w:val="auto"/>
          <w:szCs w:val="21"/>
          <w:highlight w:val="none"/>
          <w:lang w:val="zh-CN"/>
        </w:rPr>
      </w:pPr>
    </w:p>
    <w:p w14:paraId="5A52F099">
      <w:pPr>
        <w:pStyle w:val="23"/>
        <w:spacing w:line="400" w:lineRule="atLeast"/>
        <w:jc w:val="center"/>
        <w:rPr>
          <w:rFonts w:hint="eastAsia" w:asciiTheme="minorEastAsia" w:hAnsiTheme="minorEastAsia" w:eastAsiaTheme="minorEastAsia" w:cstheme="minorEastAsia"/>
          <w:bCs/>
          <w:color w:val="auto"/>
          <w:szCs w:val="21"/>
          <w:highlight w:val="none"/>
          <w:lang w:val="zh-CN"/>
        </w:rPr>
      </w:pPr>
    </w:p>
    <w:p w14:paraId="7E75CB77">
      <w:pPr>
        <w:pStyle w:val="23"/>
        <w:spacing w:line="400" w:lineRule="atLeast"/>
        <w:jc w:val="center"/>
        <w:rPr>
          <w:rFonts w:hint="eastAsia" w:asciiTheme="minorEastAsia" w:hAnsiTheme="minorEastAsia" w:eastAsiaTheme="minorEastAsia" w:cstheme="minorEastAsia"/>
          <w:bCs/>
          <w:color w:val="auto"/>
          <w:szCs w:val="21"/>
          <w:highlight w:val="none"/>
          <w:lang w:val="zh-CN"/>
        </w:rPr>
      </w:pPr>
    </w:p>
    <w:p w14:paraId="2B0A323C">
      <w:pPr>
        <w:pStyle w:val="23"/>
        <w:spacing w:line="400" w:lineRule="atLeast"/>
        <w:jc w:val="center"/>
        <w:rPr>
          <w:rFonts w:hint="eastAsia" w:asciiTheme="minorEastAsia" w:hAnsiTheme="minorEastAsia" w:eastAsiaTheme="minorEastAsia" w:cstheme="minorEastAsia"/>
          <w:bCs/>
          <w:color w:val="auto"/>
          <w:szCs w:val="21"/>
          <w:highlight w:val="none"/>
          <w:lang w:val="zh-CN"/>
        </w:rPr>
      </w:pPr>
    </w:p>
    <w:p w14:paraId="2AB3A473">
      <w:pPr>
        <w:pStyle w:val="23"/>
        <w:spacing w:line="400" w:lineRule="atLeast"/>
        <w:jc w:val="center"/>
        <w:rPr>
          <w:rFonts w:hint="eastAsia" w:asciiTheme="minorEastAsia" w:hAnsiTheme="minorEastAsia" w:eastAsiaTheme="minorEastAsia" w:cstheme="minorEastAsia"/>
          <w:bCs/>
          <w:color w:val="auto"/>
          <w:szCs w:val="21"/>
          <w:highlight w:val="none"/>
          <w:lang w:val="zh-CN"/>
        </w:rPr>
      </w:pPr>
    </w:p>
    <w:p w14:paraId="59410C80">
      <w:pPr>
        <w:pStyle w:val="23"/>
        <w:spacing w:line="400" w:lineRule="atLeast"/>
        <w:jc w:val="center"/>
        <w:rPr>
          <w:rFonts w:hint="eastAsia" w:asciiTheme="minorEastAsia" w:hAnsiTheme="minorEastAsia" w:eastAsiaTheme="minorEastAsia" w:cstheme="minorEastAsia"/>
          <w:bCs/>
          <w:color w:val="auto"/>
          <w:szCs w:val="21"/>
          <w:highlight w:val="none"/>
          <w:lang w:val="zh-CN"/>
        </w:rPr>
      </w:pPr>
    </w:p>
    <w:p w14:paraId="1E1B987C">
      <w:pPr>
        <w:pStyle w:val="23"/>
        <w:spacing w:line="400" w:lineRule="atLeast"/>
        <w:jc w:val="center"/>
        <w:rPr>
          <w:rFonts w:hint="eastAsia" w:asciiTheme="minorEastAsia" w:hAnsiTheme="minorEastAsia" w:eastAsiaTheme="minorEastAsia" w:cstheme="minorEastAsia"/>
          <w:bCs/>
          <w:color w:val="auto"/>
          <w:szCs w:val="21"/>
          <w:highlight w:val="none"/>
          <w:lang w:val="zh-CN"/>
        </w:rPr>
      </w:pPr>
    </w:p>
    <w:p w14:paraId="2FDD503F">
      <w:pPr>
        <w:pStyle w:val="23"/>
        <w:spacing w:line="400" w:lineRule="atLeast"/>
        <w:jc w:val="center"/>
        <w:rPr>
          <w:rFonts w:hint="eastAsia" w:asciiTheme="minorEastAsia" w:hAnsiTheme="minorEastAsia" w:eastAsiaTheme="minorEastAsia" w:cstheme="minorEastAsia"/>
          <w:bCs/>
          <w:color w:val="auto"/>
          <w:szCs w:val="21"/>
          <w:highlight w:val="none"/>
          <w:lang w:val="zh-CN"/>
        </w:rPr>
      </w:pPr>
    </w:p>
    <w:p w14:paraId="33E0FD8B">
      <w:pPr>
        <w:pStyle w:val="23"/>
        <w:spacing w:line="400" w:lineRule="atLeast"/>
        <w:jc w:val="center"/>
        <w:rPr>
          <w:rFonts w:hint="eastAsia" w:asciiTheme="minorEastAsia" w:hAnsiTheme="minorEastAsia" w:eastAsiaTheme="minorEastAsia" w:cstheme="minorEastAsia"/>
          <w:bCs/>
          <w:color w:val="auto"/>
          <w:szCs w:val="21"/>
          <w:highlight w:val="none"/>
          <w:lang w:val="zh-CN"/>
        </w:rPr>
      </w:pPr>
    </w:p>
    <w:p w14:paraId="60A598A0">
      <w:pPr>
        <w:pStyle w:val="23"/>
        <w:spacing w:line="400" w:lineRule="atLeast"/>
        <w:jc w:val="center"/>
        <w:rPr>
          <w:rFonts w:hint="eastAsia" w:asciiTheme="minorEastAsia" w:hAnsiTheme="minorEastAsia" w:eastAsiaTheme="minorEastAsia" w:cstheme="minorEastAsia"/>
          <w:bCs/>
          <w:color w:val="auto"/>
          <w:szCs w:val="21"/>
          <w:highlight w:val="none"/>
          <w:lang w:val="zh-CN"/>
        </w:rPr>
      </w:pPr>
    </w:p>
    <w:p w14:paraId="4204F87D">
      <w:pPr>
        <w:pStyle w:val="23"/>
        <w:spacing w:line="400" w:lineRule="atLeast"/>
        <w:jc w:val="center"/>
        <w:rPr>
          <w:rFonts w:hint="eastAsia" w:asciiTheme="minorEastAsia" w:hAnsiTheme="minorEastAsia" w:eastAsiaTheme="minorEastAsia" w:cstheme="minorEastAsia"/>
          <w:bCs/>
          <w:color w:val="auto"/>
          <w:szCs w:val="21"/>
          <w:highlight w:val="none"/>
          <w:lang w:val="zh-CN"/>
        </w:rPr>
      </w:pPr>
    </w:p>
    <w:p w14:paraId="2945D79C">
      <w:pPr>
        <w:pStyle w:val="23"/>
        <w:spacing w:line="400" w:lineRule="atLeast"/>
        <w:jc w:val="center"/>
        <w:rPr>
          <w:rFonts w:hint="eastAsia" w:asciiTheme="minorEastAsia" w:hAnsiTheme="minorEastAsia" w:eastAsiaTheme="minorEastAsia" w:cstheme="minorEastAsia"/>
          <w:bCs/>
          <w:color w:val="auto"/>
          <w:szCs w:val="21"/>
          <w:highlight w:val="none"/>
          <w:lang w:val="zh-CN"/>
        </w:rPr>
      </w:pPr>
    </w:p>
    <w:p w14:paraId="10C98559">
      <w:pPr>
        <w:pStyle w:val="23"/>
        <w:spacing w:line="400" w:lineRule="atLeast"/>
        <w:jc w:val="center"/>
        <w:rPr>
          <w:rFonts w:hint="eastAsia" w:asciiTheme="minorEastAsia" w:hAnsiTheme="minorEastAsia" w:eastAsiaTheme="minorEastAsia" w:cstheme="minorEastAsia"/>
          <w:bCs/>
          <w:color w:val="auto"/>
          <w:szCs w:val="21"/>
          <w:highlight w:val="none"/>
          <w:lang w:val="zh-CN"/>
        </w:rPr>
      </w:pPr>
    </w:p>
    <w:p w14:paraId="27E990A3">
      <w:pPr>
        <w:pStyle w:val="23"/>
        <w:spacing w:line="400" w:lineRule="atLeast"/>
        <w:jc w:val="center"/>
        <w:rPr>
          <w:rFonts w:hint="eastAsia" w:asciiTheme="minorEastAsia" w:hAnsiTheme="minorEastAsia" w:eastAsiaTheme="minorEastAsia" w:cstheme="minorEastAsia"/>
          <w:bCs/>
          <w:color w:val="auto"/>
          <w:szCs w:val="21"/>
          <w:highlight w:val="none"/>
          <w:lang w:val="zh-CN"/>
        </w:rPr>
      </w:pPr>
    </w:p>
    <w:p w14:paraId="0FF38649">
      <w:pPr>
        <w:pStyle w:val="23"/>
        <w:spacing w:line="400" w:lineRule="atLeast"/>
        <w:jc w:val="center"/>
        <w:rPr>
          <w:rFonts w:hint="eastAsia" w:asciiTheme="minorEastAsia" w:hAnsiTheme="minorEastAsia" w:eastAsiaTheme="minorEastAsia" w:cstheme="minorEastAsia"/>
          <w:bCs/>
          <w:color w:val="auto"/>
          <w:szCs w:val="21"/>
          <w:highlight w:val="none"/>
          <w:lang w:val="zh-CN"/>
        </w:rPr>
      </w:pPr>
    </w:p>
    <w:p w14:paraId="348A3EFB">
      <w:pPr>
        <w:pStyle w:val="23"/>
        <w:spacing w:line="400" w:lineRule="atLeast"/>
        <w:jc w:val="center"/>
        <w:rPr>
          <w:rFonts w:hint="eastAsia" w:asciiTheme="minorEastAsia" w:hAnsiTheme="minorEastAsia" w:eastAsiaTheme="minorEastAsia" w:cstheme="minorEastAsia"/>
          <w:bCs/>
          <w:color w:val="auto"/>
          <w:szCs w:val="21"/>
          <w:highlight w:val="none"/>
          <w:lang w:val="zh-CN"/>
        </w:rPr>
      </w:pPr>
    </w:p>
    <w:p w14:paraId="342FD585">
      <w:pPr>
        <w:pStyle w:val="23"/>
        <w:spacing w:line="400" w:lineRule="atLeast"/>
        <w:jc w:val="center"/>
        <w:rPr>
          <w:rFonts w:hint="eastAsia" w:asciiTheme="minorEastAsia" w:hAnsiTheme="minorEastAsia" w:eastAsiaTheme="minorEastAsia" w:cstheme="minorEastAsia"/>
          <w:bCs/>
          <w:color w:val="auto"/>
          <w:szCs w:val="21"/>
          <w:highlight w:val="none"/>
          <w:lang w:val="zh-CN"/>
        </w:rPr>
      </w:pPr>
    </w:p>
    <w:p w14:paraId="455443D7">
      <w:pPr>
        <w:pStyle w:val="23"/>
        <w:spacing w:line="400" w:lineRule="atLeast"/>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六、资格证明文件</w:t>
      </w:r>
    </w:p>
    <w:p w14:paraId="7B4E26E5">
      <w:pPr>
        <w:autoSpaceDE w:val="0"/>
        <w:autoSpaceDN w:val="0"/>
        <w:adjustRightInd w:val="0"/>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（1）供应商的资格声明</w:t>
      </w:r>
    </w:p>
    <w:p w14:paraId="3AF806C1">
      <w:pPr>
        <w:autoSpaceDE w:val="0"/>
        <w:autoSpaceDN w:val="0"/>
        <w:adjustRightInd w:val="0"/>
        <w:rPr>
          <w:rFonts w:hint="eastAsia" w:asciiTheme="minorEastAsia" w:hAnsiTheme="minorEastAsia" w:eastAsiaTheme="minorEastAsia" w:cstheme="minorEastAsia"/>
          <w:b/>
          <w:color w:val="auto"/>
          <w:sz w:val="24"/>
          <w:highlight w:val="none"/>
        </w:rPr>
      </w:pPr>
    </w:p>
    <w:p w14:paraId="47DCD681">
      <w:pPr>
        <w:autoSpaceDE w:val="0"/>
        <w:autoSpaceDN w:val="0"/>
        <w:adjustRightInd w:val="0"/>
        <w:spacing w:line="360" w:lineRule="auto"/>
        <w:rPr>
          <w:rFonts w:hint="eastAsia" w:asciiTheme="minorEastAsia" w:hAnsiTheme="minorEastAsia" w:eastAsiaTheme="minorEastAsia" w:cstheme="minorEastAsia"/>
          <w:color w:val="auto"/>
          <w:sz w:val="21"/>
          <w:szCs w:val="16"/>
          <w:highlight w:val="none"/>
        </w:rPr>
      </w:pPr>
      <w:r>
        <w:rPr>
          <w:rFonts w:hint="eastAsia" w:asciiTheme="minorEastAsia" w:hAnsiTheme="minorEastAsia" w:eastAsiaTheme="minorEastAsia" w:cstheme="minorEastAsia"/>
          <w:color w:val="auto"/>
          <w:sz w:val="21"/>
          <w:szCs w:val="16"/>
          <w:highlight w:val="none"/>
          <w:lang w:val="zh-CN"/>
        </w:rPr>
        <w:t>致</w:t>
      </w:r>
      <w:r>
        <w:rPr>
          <w:rFonts w:hint="eastAsia" w:asciiTheme="minorEastAsia" w:hAnsiTheme="minorEastAsia" w:eastAsiaTheme="minorEastAsia" w:cstheme="minorEastAsia"/>
          <w:color w:val="auto"/>
          <w:sz w:val="21"/>
          <w:szCs w:val="16"/>
          <w:highlight w:val="none"/>
          <w:u w:val="single"/>
          <w:lang w:val="zh-CN"/>
        </w:rPr>
        <w:t xml:space="preserve">       （采购人名称）           </w:t>
      </w:r>
      <w:r>
        <w:rPr>
          <w:rFonts w:hint="eastAsia" w:asciiTheme="minorEastAsia" w:hAnsiTheme="minorEastAsia" w:eastAsiaTheme="minorEastAsia" w:cstheme="minorEastAsia"/>
          <w:color w:val="auto"/>
          <w:sz w:val="21"/>
          <w:szCs w:val="16"/>
          <w:highlight w:val="none"/>
          <w:lang w:val="zh-CN"/>
        </w:rPr>
        <w:t>：</w:t>
      </w:r>
    </w:p>
    <w:p w14:paraId="3ECE4501">
      <w:pPr>
        <w:autoSpaceDE w:val="0"/>
        <w:autoSpaceDN w:val="0"/>
        <w:adjustRightInd w:val="0"/>
        <w:spacing w:line="360" w:lineRule="auto"/>
        <w:ind w:firstLine="480"/>
        <w:rPr>
          <w:rFonts w:hint="eastAsia" w:asciiTheme="minorEastAsia" w:hAnsiTheme="minorEastAsia" w:eastAsiaTheme="minorEastAsia" w:cstheme="minorEastAsia"/>
          <w:color w:val="auto"/>
          <w:sz w:val="21"/>
          <w:szCs w:val="16"/>
          <w:highlight w:val="none"/>
        </w:rPr>
      </w:pPr>
      <w:r>
        <w:rPr>
          <w:rFonts w:hint="eastAsia" w:asciiTheme="minorEastAsia" w:hAnsiTheme="minorEastAsia" w:eastAsiaTheme="minorEastAsia" w:cstheme="minorEastAsia"/>
          <w:color w:val="auto"/>
          <w:sz w:val="21"/>
          <w:szCs w:val="16"/>
          <w:highlight w:val="none"/>
          <w:lang w:val="zh-CN"/>
        </w:rPr>
        <w:t>按照《中华人民共和国政府采购法》第</w:t>
      </w:r>
      <w:r>
        <w:rPr>
          <w:rFonts w:hint="eastAsia" w:asciiTheme="minorEastAsia" w:hAnsiTheme="minorEastAsia" w:eastAsiaTheme="minorEastAsia" w:cstheme="minorEastAsia"/>
          <w:color w:val="auto"/>
          <w:sz w:val="21"/>
          <w:szCs w:val="16"/>
          <w:highlight w:val="none"/>
        </w:rPr>
        <w:t>二十二</w:t>
      </w:r>
      <w:r>
        <w:rPr>
          <w:rFonts w:hint="eastAsia" w:asciiTheme="minorEastAsia" w:hAnsiTheme="minorEastAsia" w:eastAsiaTheme="minorEastAsia" w:cstheme="minorEastAsia"/>
          <w:color w:val="auto"/>
          <w:sz w:val="21"/>
          <w:szCs w:val="16"/>
          <w:highlight w:val="none"/>
          <w:lang w:val="zh-CN"/>
        </w:rPr>
        <w:t>条和你方发布的</w:t>
      </w:r>
      <w:r>
        <w:rPr>
          <w:rFonts w:hint="eastAsia" w:asciiTheme="minorEastAsia" w:hAnsiTheme="minorEastAsia" w:eastAsiaTheme="minorEastAsia" w:cstheme="minorEastAsia"/>
          <w:color w:val="auto"/>
          <w:sz w:val="21"/>
          <w:szCs w:val="16"/>
          <w:highlight w:val="none"/>
          <w:u w:val="single"/>
          <w:lang w:val="zh-CN"/>
        </w:rPr>
        <w:t xml:space="preserve">项目名称 </w:t>
      </w:r>
      <w:r>
        <w:rPr>
          <w:rFonts w:hint="eastAsia" w:asciiTheme="minorEastAsia" w:hAnsiTheme="minorEastAsia" w:eastAsiaTheme="minorEastAsia" w:cstheme="minorEastAsia"/>
          <w:color w:val="auto"/>
          <w:sz w:val="21"/>
          <w:szCs w:val="16"/>
          <w:highlight w:val="none"/>
          <w:lang w:val="zh-CN"/>
        </w:rPr>
        <w:t>采购文件（号）的规定，我公司郑重声明如下：</w:t>
      </w:r>
    </w:p>
    <w:p w14:paraId="38AC937F">
      <w:pPr>
        <w:autoSpaceDE w:val="0"/>
        <w:autoSpaceDN w:val="0"/>
        <w:adjustRightInd w:val="0"/>
        <w:spacing w:line="360" w:lineRule="auto"/>
        <w:ind w:firstLine="480"/>
        <w:rPr>
          <w:rFonts w:hint="eastAsia" w:asciiTheme="minorEastAsia" w:hAnsiTheme="minorEastAsia" w:eastAsiaTheme="minorEastAsia" w:cstheme="minorEastAsia"/>
          <w:color w:val="auto"/>
          <w:sz w:val="21"/>
          <w:szCs w:val="16"/>
          <w:highlight w:val="none"/>
        </w:rPr>
      </w:pPr>
      <w:r>
        <w:rPr>
          <w:rFonts w:hint="eastAsia" w:asciiTheme="minorEastAsia" w:hAnsiTheme="minorEastAsia" w:eastAsiaTheme="minorEastAsia" w:cstheme="minorEastAsia"/>
          <w:color w:val="auto"/>
          <w:sz w:val="21"/>
          <w:szCs w:val="16"/>
          <w:highlight w:val="none"/>
        </w:rPr>
        <w:t>1</w:t>
      </w:r>
      <w:r>
        <w:rPr>
          <w:rFonts w:hint="eastAsia" w:asciiTheme="minorEastAsia" w:hAnsiTheme="minorEastAsia" w:eastAsiaTheme="minorEastAsia" w:cstheme="minorEastAsia"/>
          <w:color w:val="auto"/>
          <w:sz w:val="21"/>
          <w:szCs w:val="16"/>
          <w:highlight w:val="none"/>
          <w:lang w:val="zh-CN"/>
        </w:rPr>
        <w:t>、我公司是按照中华人民共和国法律在工商管理机关登记注册的企业法人，注册地点为，公司全称为，法定代表人为，具有独立承担民事责任的能力。</w:t>
      </w:r>
    </w:p>
    <w:p w14:paraId="400A8212">
      <w:pPr>
        <w:autoSpaceDE w:val="0"/>
        <w:autoSpaceDN w:val="0"/>
        <w:adjustRightInd w:val="0"/>
        <w:spacing w:line="360" w:lineRule="auto"/>
        <w:ind w:firstLine="480"/>
        <w:rPr>
          <w:rFonts w:hint="eastAsia" w:asciiTheme="minorEastAsia" w:hAnsiTheme="minorEastAsia" w:eastAsiaTheme="minorEastAsia" w:cstheme="minorEastAsia"/>
          <w:color w:val="auto"/>
          <w:sz w:val="21"/>
          <w:szCs w:val="16"/>
          <w:highlight w:val="none"/>
        </w:rPr>
      </w:pPr>
      <w:r>
        <w:rPr>
          <w:rFonts w:hint="eastAsia" w:asciiTheme="minorEastAsia" w:hAnsiTheme="minorEastAsia" w:eastAsiaTheme="minorEastAsia" w:cstheme="minorEastAsia"/>
          <w:color w:val="auto"/>
          <w:sz w:val="21"/>
          <w:szCs w:val="16"/>
          <w:highlight w:val="none"/>
        </w:rPr>
        <w:t>2</w:t>
      </w:r>
      <w:r>
        <w:rPr>
          <w:rFonts w:hint="eastAsia" w:asciiTheme="minorEastAsia" w:hAnsiTheme="minorEastAsia" w:eastAsiaTheme="minorEastAsia" w:cstheme="minorEastAsia"/>
          <w:color w:val="auto"/>
          <w:sz w:val="21"/>
          <w:szCs w:val="16"/>
          <w:highlight w:val="none"/>
          <w:lang w:val="zh-CN"/>
        </w:rPr>
        <w:t>、我公司具有良好的商业信誉和健全的财务会计制度。</w:t>
      </w:r>
    </w:p>
    <w:p w14:paraId="5E929349">
      <w:pPr>
        <w:autoSpaceDE w:val="0"/>
        <w:autoSpaceDN w:val="0"/>
        <w:adjustRightInd w:val="0"/>
        <w:spacing w:line="360" w:lineRule="auto"/>
        <w:ind w:firstLine="480"/>
        <w:rPr>
          <w:rFonts w:hint="eastAsia" w:asciiTheme="minorEastAsia" w:hAnsiTheme="minorEastAsia" w:eastAsiaTheme="minorEastAsia" w:cstheme="minorEastAsia"/>
          <w:color w:val="auto"/>
          <w:sz w:val="21"/>
          <w:szCs w:val="16"/>
          <w:highlight w:val="none"/>
        </w:rPr>
      </w:pPr>
      <w:r>
        <w:rPr>
          <w:rFonts w:hint="eastAsia" w:asciiTheme="minorEastAsia" w:hAnsiTheme="minorEastAsia" w:eastAsiaTheme="minorEastAsia" w:cstheme="minorEastAsia"/>
          <w:color w:val="auto"/>
          <w:sz w:val="21"/>
          <w:szCs w:val="16"/>
          <w:highlight w:val="none"/>
        </w:rPr>
        <w:t>3</w:t>
      </w:r>
      <w:r>
        <w:rPr>
          <w:rFonts w:hint="eastAsia" w:asciiTheme="minorEastAsia" w:hAnsiTheme="minorEastAsia" w:eastAsiaTheme="minorEastAsia" w:cstheme="minorEastAsia"/>
          <w:color w:val="auto"/>
          <w:sz w:val="21"/>
          <w:szCs w:val="16"/>
          <w:highlight w:val="none"/>
          <w:lang w:val="zh-CN"/>
        </w:rPr>
        <w:t>、我公司具有履行本项目采购合同所必需的设备和专业技术能力。</w:t>
      </w:r>
    </w:p>
    <w:p w14:paraId="779026F3">
      <w:pPr>
        <w:autoSpaceDE w:val="0"/>
        <w:autoSpaceDN w:val="0"/>
        <w:adjustRightInd w:val="0"/>
        <w:spacing w:line="360" w:lineRule="auto"/>
        <w:ind w:firstLine="480"/>
        <w:rPr>
          <w:rFonts w:hint="eastAsia" w:asciiTheme="minorEastAsia" w:hAnsiTheme="minorEastAsia" w:eastAsiaTheme="minorEastAsia" w:cstheme="minorEastAsia"/>
          <w:color w:val="auto"/>
          <w:sz w:val="21"/>
          <w:szCs w:val="16"/>
          <w:highlight w:val="none"/>
        </w:rPr>
      </w:pPr>
      <w:r>
        <w:rPr>
          <w:rFonts w:hint="eastAsia" w:asciiTheme="minorEastAsia" w:hAnsiTheme="minorEastAsia" w:eastAsiaTheme="minorEastAsia" w:cstheme="minorEastAsia"/>
          <w:color w:val="auto"/>
          <w:sz w:val="21"/>
          <w:szCs w:val="16"/>
          <w:highlight w:val="none"/>
        </w:rPr>
        <w:t>4</w:t>
      </w:r>
      <w:r>
        <w:rPr>
          <w:rFonts w:hint="eastAsia" w:asciiTheme="minorEastAsia" w:hAnsiTheme="minorEastAsia" w:eastAsiaTheme="minorEastAsia" w:cstheme="minorEastAsia"/>
          <w:color w:val="auto"/>
          <w:sz w:val="21"/>
          <w:szCs w:val="16"/>
          <w:highlight w:val="none"/>
          <w:lang w:val="zh-CN"/>
        </w:rPr>
        <w:t>、我公司具有依法缴纳税收和社会保障资金的良好记录。</w:t>
      </w:r>
    </w:p>
    <w:p w14:paraId="23DFCEFE">
      <w:pPr>
        <w:autoSpaceDE w:val="0"/>
        <w:autoSpaceDN w:val="0"/>
        <w:adjustRightInd w:val="0"/>
        <w:spacing w:line="360" w:lineRule="auto"/>
        <w:ind w:firstLine="480"/>
        <w:rPr>
          <w:rFonts w:hint="eastAsia" w:asciiTheme="minorEastAsia" w:hAnsiTheme="minorEastAsia" w:eastAsiaTheme="minorEastAsia" w:cstheme="minorEastAsia"/>
          <w:color w:val="auto"/>
          <w:sz w:val="21"/>
          <w:szCs w:val="16"/>
          <w:highlight w:val="none"/>
        </w:rPr>
      </w:pPr>
      <w:r>
        <w:rPr>
          <w:rFonts w:hint="eastAsia" w:asciiTheme="minorEastAsia" w:hAnsiTheme="minorEastAsia" w:eastAsiaTheme="minorEastAsia" w:cstheme="minorEastAsia"/>
          <w:color w:val="auto"/>
          <w:sz w:val="21"/>
          <w:szCs w:val="16"/>
          <w:highlight w:val="none"/>
        </w:rPr>
        <w:t>5</w:t>
      </w:r>
      <w:r>
        <w:rPr>
          <w:rFonts w:hint="eastAsia" w:asciiTheme="minorEastAsia" w:hAnsiTheme="minorEastAsia" w:eastAsiaTheme="minorEastAsia" w:cstheme="minorEastAsia"/>
          <w:color w:val="auto"/>
          <w:sz w:val="21"/>
          <w:szCs w:val="16"/>
          <w:highlight w:val="none"/>
          <w:lang w:val="zh-CN"/>
        </w:rPr>
        <w:t>、我公司在参与本次政府采购活动之前三年内，在经营活动中无重大违法记录。</w:t>
      </w:r>
    </w:p>
    <w:p w14:paraId="591322AC">
      <w:pPr>
        <w:autoSpaceDE w:val="0"/>
        <w:autoSpaceDN w:val="0"/>
        <w:adjustRightInd w:val="0"/>
        <w:spacing w:line="360" w:lineRule="auto"/>
        <w:ind w:firstLine="480"/>
        <w:rPr>
          <w:rFonts w:hint="eastAsia" w:asciiTheme="minorEastAsia" w:hAnsiTheme="minorEastAsia" w:eastAsiaTheme="minorEastAsia" w:cstheme="minorEastAsia"/>
          <w:color w:val="auto"/>
          <w:sz w:val="21"/>
          <w:szCs w:val="16"/>
          <w:highlight w:val="none"/>
        </w:rPr>
      </w:pPr>
      <w:r>
        <w:rPr>
          <w:rFonts w:hint="eastAsia" w:asciiTheme="minorEastAsia" w:hAnsiTheme="minorEastAsia" w:eastAsiaTheme="minorEastAsia" w:cstheme="minorEastAsia"/>
          <w:color w:val="auto"/>
          <w:sz w:val="21"/>
          <w:szCs w:val="16"/>
          <w:highlight w:val="none"/>
        </w:rPr>
        <w:t>6</w:t>
      </w:r>
      <w:r>
        <w:rPr>
          <w:rFonts w:hint="eastAsia" w:asciiTheme="minorEastAsia" w:hAnsiTheme="minorEastAsia" w:eastAsiaTheme="minorEastAsia" w:cstheme="minorEastAsia"/>
          <w:color w:val="auto"/>
          <w:sz w:val="21"/>
          <w:szCs w:val="16"/>
          <w:highlight w:val="none"/>
          <w:lang w:val="zh-CN"/>
        </w:rPr>
        <w:t>、我公司在参与本次政府采购活动时未受到任何地方政府采购部门作出的暂停参加政府采购活动的处罚。</w:t>
      </w:r>
    </w:p>
    <w:p w14:paraId="7B1D3C1B">
      <w:pPr>
        <w:autoSpaceDE w:val="0"/>
        <w:autoSpaceDN w:val="0"/>
        <w:adjustRightInd w:val="0"/>
        <w:spacing w:line="360" w:lineRule="auto"/>
        <w:ind w:firstLine="480"/>
        <w:rPr>
          <w:rFonts w:hint="eastAsia" w:asciiTheme="minorEastAsia" w:hAnsiTheme="minorEastAsia" w:eastAsiaTheme="minorEastAsia" w:cstheme="minorEastAsia"/>
          <w:color w:val="auto"/>
          <w:sz w:val="21"/>
          <w:szCs w:val="16"/>
          <w:highlight w:val="none"/>
        </w:rPr>
      </w:pPr>
      <w:r>
        <w:rPr>
          <w:rFonts w:hint="eastAsia" w:asciiTheme="minorEastAsia" w:hAnsiTheme="minorEastAsia" w:eastAsiaTheme="minorEastAsia" w:cstheme="minorEastAsia"/>
          <w:color w:val="auto"/>
          <w:sz w:val="21"/>
          <w:szCs w:val="16"/>
          <w:highlight w:val="none"/>
          <w:lang w:val="zh-CN"/>
        </w:rPr>
        <w:t>我公司保证上述声明的事项都是真实的，如有虚假，我公司承担相应的法律责任，并承担因此给你中心以及本项目采购人所造成的损失。</w:t>
      </w:r>
    </w:p>
    <w:p w14:paraId="35836C8F">
      <w:pPr>
        <w:autoSpaceDE w:val="0"/>
        <w:autoSpaceDN w:val="0"/>
        <w:adjustRightInd w:val="0"/>
        <w:spacing w:line="360" w:lineRule="auto"/>
        <w:ind w:firstLine="480"/>
        <w:rPr>
          <w:rFonts w:hint="eastAsia" w:asciiTheme="minorEastAsia" w:hAnsiTheme="minorEastAsia" w:eastAsiaTheme="minorEastAsia" w:cstheme="minorEastAsia"/>
          <w:color w:val="auto"/>
          <w:sz w:val="21"/>
          <w:szCs w:val="16"/>
          <w:highlight w:val="none"/>
        </w:rPr>
      </w:pPr>
      <w:r>
        <w:rPr>
          <w:rFonts w:hint="eastAsia" w:asciiTheme="minorEastAsia" w:hAnsiTheme="minorEastAsia" w:eastAsiaTheme="minorEastAsia" w:cstheme="minorEastAsia"/>
          <w:color w:val="auto"/>
          <w:sz w:val="21"/>
          <w:szCs w:val="16"/>
          <w:highlight w:val="none"/>
          <w:lang w:val="zh-CN"/>
        </w:rPr>
        <w:t>我公司已经按照你公司采购文件的要求提交了所要求提交的能够证明上述声明事项真实性的全部文件材料，并保证随时按照你公司的要求提供能够证明上述声明事项真实性的任何有效文件。</w:t>
      </w:r>
    </w:p>
    <w:p w14:paraId="50BA1E88">
      <w:pPr>
        <w:autoSpaceDE w:val="0"/>
        <w:autoSpaceDN w:val="0"/>
        <w:adjustRightInd w:val="0"/>
        <w:spacing w:line="360" w:lineRule="auto"/>
        <w:ind w:firstLine="480"/>
        <w:rPr>
          <w:rFonts w:hint="eastAsia" w:asciiTheme="minorEastAsia" w:hAnsiTheme="minorEastAsia" w:eastAsiaTheme="minorEastAsia" w:cstheme="minorEastAsia"/>
          <w:color w:val="auto"/>
          <w:sz w:val="21"/>
          <w:szCs w:val="16"/>
          <w:highlight w:val="none"/>
        </w:rPr>
      </w:pPr>
    </w:p>
    <w:p w14:paraId="3D1339A8">
      <w:pPr>
        <w:autoSpaceDE w:val="0"/>
        <w:autoSpaceDN w:val="0"/>
        <w:adjustRightInd w:val="0"/>
        <w:spacing w:line="360" w:lineRule="auto"/>
        <w:ind w:firstLine="480"/>
        <w:rPr>
          <w:rFonts w:hint="eastAsia" w:asciiTheme="minorEastAsia" w:hAnsiTheme="minorEastAsia" w:eastAsiaTheme="minorEastAsia" w:cstheme="minorEastAsia"/>
          <w:color w:val="auto"/>
          <w:sz w:val="21"/>
          <w:szCs w:val="16"/>
          <w:highlight w:val="none"/>
          <w:u w:val="single"/>
        </w:rPr>
      </w:pPr>
      <w:r>
        <w:rPr>
          <w:rFonts w:hint="eastAsia" w:asciiTheme="minorEastAsia" w:hAnsiTheme="minorEastAsia" w:eastAsiaTheme="minorEastAsia" w:cstheme="minorEastAsia"/>
          <w:color w:val="auto"/>
          <w:sz w:val="21"/>
          <w:szCs w:val="16"/>
          <w:highlight w:val="none"/>
          <w:lang w:val="zh-CN"/>
        </w:rPr>
        <w:t>供应商名称全称：</w:t>
      </w:r>
    </w:p>
    <w:p w14:paraId="655A3BBD">
      <w:pPr>
        <w:autoSpaceDE w:val="0"/>
        <w:autoSpaceDN w:val="0"/>
        <w:adjustRightInd w:val="0"/>
        <w:spacing w:line="360" w:lineRule="auto"/>
        <w:ind w:firstLine="480"/>
        <w:rPr>
          <w:rFonts w:hint="eastAsia" w:asciiTheme="minorEastAsia" w:hAnsiTheme="minorEastAsia" w:eastAsiaTheme="minorEastAsia" w:cstheme="minorEastAsia"/>
          <w:color w:val="auto"/>
          <w:sz w:val="21"/>
          <w:szCs w:val="16"/>
          <w:highlight w:val="none"/>
          <w:u w:val="single"/>
        </w:rPr>
      </w:pPr>
      <w:r>
        <w:rPr>
          <w:rFonts w:hint="eastAsia" w:asciiTheme="minorEastAsia" w:hAnsiTheme="minorEastAsia" w:eastAsiaTheme="minorEastAsia" w:cstheme="minorEastAsia"/>
          <w:color w:val="auto"/>
          <w:sz w:val="21"/>
          <w:szCs w:val="16"/>
          <w:highlight w:val="none"/>
          <w:lang w:val="zh-CN"/>
        </w:rPr>
        <w:t>供应商单位公章：</w:t>
      </w:r>
    </w:p>
    <w:p w14:paraId="2C04887E">
      <w:pPr>
        <w:autoSpaceDE w:val="0"/>
        <w:autoSpaceDN w:val="0"/>
        <w:adjustRightInd w:val="0"/>
        <w:spacing w:line="360" w:lineRule="auto"/>
        <w:ind w:firstLine="480"/>
        <w:rPr>
          <w:rFonts w:hint="eastAsia" w:asciiTheme="minorEastAsia" w:hAnsiTheme="minorEastAsia" w:eastAsiaTheme="minorEastAsia" w:cstheme="minorEastAsia"/>
          <w:color w:val="auto"/>
          <w:sz w:val="21"/>
          <w:szCs w:val="16"/>
          <w:highlight w:val="none"/>
          <w:u w:val="single"/>
        </w:rPr>
      </w:pPr>
      <w:r>
        <w:rPr>
          <w:rFonts w:hint="eastAsia" w:asciiTheme="minorEastAsia" w:hAnsiTheme="minorEastAsia" w:eastAsiaTheme="minorEastAsia" w:cstheme="minorEastAsia"/>
          <w:color w:val="auto"/>
          <w:sz w:val="21"/>
          <w:szCs w:val="16"/>
          <w:highlight w:val="none"/>
          <w:lang w:val="zh-CN"/>
        </w:rPr>
        <w:t>法定代表人或授权代理人签字：</w:t>
      </w:r>
    </w:p>
    <w:p w14:paraId="06BA9BF6">
      <w:pPr>
        <w:autoSpaceDE w:val="0"/>
        <w:autoSpaceDN w:val="0"/>
        <w:adjustRightInd w:val="0"/>
        <w:spacing w:line="360" w:lineRule="auto"/>
        <w:ind w:firstLine="480"/>
        <w:jc w:val="right"/>
        <w:rPr>
          <w:rFonts w:hint="eastAsia" w:asciiTheme="minorEastAsia" w:hAnsiTheme="minorEastAsia" w:eastAsiaTheme="minorEastAsia" w:cstheme="minorEastAsia"/>
          <w:color w:val="auto"/>
          <w:sz w:val="21"/>
          <w:szCs w:val="16"/>
          <w:highlight w:val="none"/>
          <w:lang w:val="zh-CN"/>
        </w:rPr>
      </w:pPr>
    </w:p>
    <w:p w14:paraId="2A5A756E">
      <w:pPr>
        <w:autoSpaceDE w:val="0"/>
        <w:autoSpaceDN w:val="0"/>
        <w:adjustRightInd w:val="0"/>
        <w:spacing w:line="360" w:lineRule="auto"/>
        <w:ind w:firstLine="480"/>
        <w:jc w:val="right"/>
        <w:rPr>
          <w:rFonts w:hint="eastAsia" w:asciiTheme="minorEastAsia" w:hAnsiTheme="minorEastAsia" w:eastAsiaTheme="minorEastAsia" w:cstheme="minorEastAsia"/>
          <w:color w:val="auto"/>
          <w:sz w:val="21"/>
          <w:szCs w:val="16"/>
          <w:highlight w:val="none"/>
          <w:lang w:val="zh-CN"/>
        </w:rPr>
      </w:pPr>
    </w:p>
    <w:p w14:paraId="1CD666E1">
      <w:pPr>
        <w:autoSpaceDE w:val="0"/>
        <w:autoSpaceDN w:val="0"/>
        <w:adjustRightInd w:val="0"/>
        <w:spacing w:line="360" w:lineRule="auto"/>
        <w:ind w:firstLine="480"/>
        <w:jc w:val="right"/>
        <w:rPr>
          <w:rFonts w:hint="eastAsia" w:asciiTheme="minorEastAsia" w:hAnsiTheme="minorEastAsia" w:eastAsiaTheme="minorEastAsia" w:cstheme="minorEastAsia"/>
          <w:color w:val="auto"/>
          <w:sz w:val="21"/>
          <w:szCs w:val="16"/>
          <w:highlight w:val="none"/>
        </w:rPr>
      </w:pPr>
      <w:r>
        <w:rPr>
          <w:rFonts w:hint="eastAsia" w:asciiTheme="minorEastAsia" w:hAnsiTheme="minorEastAsia" w:eastAsiaTheme="minorEastAsia" w:cstheme="minorEastAsia"/>
          <w:color w:val="auto"/>
          <w:sz w:val="21"/>
          <w:szCs w:val="16"/>
          <w:highlight w:val="none"/>
          <w:lang w:val="zh-CN"/>
        </w:rPr>
        <w:t>时间：年月日</w:t>
      </w:r>
    </w:p>
    <w:p w14:paraId="22774E5A">
      <w:pPr>
        <w:autoSpaceDE w:val="0"/>
        <w:autoSpaceDN w:val="0"/>
        <w:adjustRightInd w:val="0"/>
        <w:ind w:firstLine="480"/>
        <w:rPr>
          <w:rFonts w:hint="eastAsia" w:asciiTheme="minorEastAsia" w:hAnsiTheme="minorEastAsia" w:eastAsiaTheme="minorEastAsia" w:cstheme="minorEastAsia"/>
          <w:color w:val="auto"/>
          <w:sz w:val="21"/>
          <w:szCs w:val="16"/>
          <w:highlight w:val="none"/>
        </w:rPr>
      </w:pPr>
    </w:p>
    <w:p w14:paraId="79605D3E">
      <w:pPr>
        <w:pStyle w:val="23"/>
        <w:spacing w:line="400" w:lineRule="atLeast"/>
        <w:jc w:val="center"/>
        <w:rPr>
          <w:rFonts w:hint="eastAsia" w:asciiTheme="minorEastAsia" w:hAnsiTheme="minorEastAsia" w:eastAsiaTheme="minorEastAsia" w:cstheme="minorEastAsia"/>
          <w:b/>
          <w:color w:val="auto"/>
          <w:kern w:val="0"/>
          <w:sz w:val="32"/>
          <w:szCs w:val="32"/>
          <w:highlight w:val="none"/>
        </w:rPr>
      </w:pPr>
    </w:p>
    <w:p w14:paraId="4C30DF94">
      <w:pPr>
        <w:pStyle w:val="23"/>
        <w:spacing w:line="400" w:lineRule="atLeast"/>
        <w:jc w:val="center"/>
        <w:rPr>
          <w:rFonts w:hint="eastAsia" w:asciiTheme="minorEastAsia" w:hAnsiTheme="minorEastAsia" w:eastAsiaTheme="minorEastAsia" w:cstheme="minorEastAsia"/>
          <w:b/>
          <w:color w:val="auto"/>
          <w:kern w:val="0"/>
          <w:sz w:val="32"/>
          <w:szCs w:val="32"/>
          <w:highlight w:val="none"/>
        </w:rPr>
      </w:pPr>
    </w:p>
    <w:p w14:paraId="7DC73FB6">
      <w:pPr>
        <w:pStyle w:val="23"/>
        <w:spacing w:line="400" w:lineRule="atLeast"/>
        <w:jc w:val="center"/>
        <w:rPr>
          <w:rFonts w:hint="eastAsia" w:asciiTheme="minorEastAsia" w:hAnsiTheme="minorEastAsia" w:eastAsiaTheme="minorEastAsia" w:cstheme="minorEastAsia"/>
          <w:b/>
          <w:color w:val="auto"/>
          <w:kern w:val="0"/>
          <w:sz w:val="32"/>
          <w:szCs w:val="32"/>
          <w:highlight w:val="none"/>
        </w:rPr>
      </w:pPr>
    </w:p>
    <w:p w14:paraId="15D3AC45">
      <w:pPr>
        <w:pStyle w:val="23"/>
        <w:spacing w:line="400" w:lineRule="atLeast"/>
        <w:jc w:val="center"/>
        <w:rPr>
          <w:rFonts w:hint="eastAsia" w:asciiTheme="minorEastAsia" w:hAnsiTheme="minorEastAsia" w:eastAsiaTheme="minorEastAsia" w:cstheme="minorEastAsia"/>
          <w:b/>
          <w:color w:val="auto"/>
          <w:kern w:val="0"/>
          <w:sz w:val="32"/>
          <w:szCs w:val="32"/>
          <w:highlight w:val="none"/>
        </w:rPr>
      </w:pPr>
    </w:p>
    <w:p w14:paraId="77BC84CF">
      <w:pPr>
        <w:pStyle w:val="23"/>
        <w:spacing w:line="400" w:lineRule="atLeast"/>
        <w:jc w:val="center"/>
        <w:rPr>
          <w:rFonts w:hint="eastAsia" w:asciiTheme="minorEastAsia" w:hAnsiTheme="minorEastAsia" w:eastAsiaTheme="minorEastAsia" w:cstheme="minorEastAsia"/>
          <w:b/>
          <w:color w:val="auto"/>
          <w:kern w:val="0"/>
          <w:sz w:val="32"/>
          <w:szCs w:val="32"/>
          <w:highlight w:val="none"/>
        </w:rPr>
      </w:pPr>
    </w:p>
    <w:p w14:paraId="1559E139">
      <w:pPr>
        <w:pStyle w:val="23"/>
        <w:spacing w:line="400" w:lineRule="atLeast"/>
        <w:jc w:val="center"/>
        <w:rPr>
          <w:rFonts w:hint="eastAsia" w:asciiTheme="minorEastAsia" w:hAnsiTheme="minorEastAsia" w:eastAsiaTheme="minorEastAsia" w:cstheme="minorEastAsia"/>
          <w:b/>
          <w:color w:val="auto"/>
          <w:kern w:val="0"/>
          <w:sz w:val="32"/>
          <w:szCs w:val="32"/>
          <w:highlight w:val="none"/>
        </w:rPr>
      </w:pPr>
    </w:p>
    <w:p w14:paraId="6D9B43C3">
      <w:pPr>
        <w:pStyle w:val="23"/>
        <w:spacing w:line="400" w:lineRule="atLeast"/>
        <w:jc w:val="center"/>
        <w:rPr>
          <w:rFonts w:hint="eastAsia" w:asciiTheme="minorEastAsia" w:hAnsiTheme="minorEastAsia" w:eastAsiaTheme="minorEastAsia" w:cstheme="minorEastAsia"/>
          <w:b/>
          <w:color w:val="auto"/>
          <w:kern w:val="0"/>
          <w:sz w:val="32"/>
          <w:szCs w:val="32"/>
          <w:highlight w:val="none"/>
        </w:rPr>
      </w:pPr>
    </w:p>
    <w:p w14:paraId="4386E5F1">
      <w:pPr>
        <w:pStyle w:val="23"/>
        <w:spacing w:line="400" w:lineRule="atLeast"/>
        <w:rPr>
          <w:rFonts w:hint="eastAsia" w:asciiTheme="minorEastAsia" w:hAnsiTheme="minorEastAsia" w:eastAsiaTheme="minorEastAsia" w:cstheme="minorEastAsia"/>
          <w:b/>
          <w:color w:val="auto"/>
          <w:kern w:val="0"/>
          <w:sz w:val="32"/>
          <w:szCs w:val="32"/>
          <w:highlight w:val="none"/>
        </w:rPr>
      </w:pPr>
    </w:p>
    <w:p w14:paraId="41DAD3C4">
      <w:pPr>
        <w:pStyle w:val="23"/>
        <w:spacing w:line="400" w:lineRule="atLeast"/>
        <w:jc w:val="center"/>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（2）供应商基本情况</w:t>
      </w:r>
    </w:p>
    <w:p w14:paraId="5B1F6CD9">
      <w:pPr>
        <w:pStyle w:val="23"/>
        <w:spacing w:line="360" w:lineRule="auto"/>
        <w:ind w:firstLine="600"/>
        <w:rPr>
          <w:rFonts w:hint="eastAsia" w:asciiTheme="minorEastAsia" w:hAnsiTheme="minorEastAsia" w:eastAsiaTheme="minorEastAsia" w:cstheme="minorEastAsia"/>
          <w:b/>
          <w:color w:val="auto"/>
          <w:highlight w:val="none"/>
        </w:rPr>
      </w:pPr>
    </w:p>
    <w:tbl>
      <w:tblPr>
        <w:tblStyle w:val="45"/>
        <w:tblW w:w="96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5"/>
        <w:gridCol w:w="1317"/>
        <w:gridCol w:w="951"/>
        <w:gridCol w:w="840"/>
        <w:gridCol w:w="420"/>
        <w:gridCol w:w="311"/>
        <w:gridCol w:w="1078"/>
        <w:gridCol w:w="490"/>
        <w:gridCol w:w="860"/>
        <w:gridCol w:w="992"/>
      </w:tblGrid>
      <w:tr w14:paraId="45D37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2345" w:type="dxa"/>
            <w:tcBorders>
              <w:top w:val="single" w:color="auto" w:sz="4" w:space="0"/>
              <w:left w:val="single" w:color="auto" w:sz="4" w:space="0"/>
              <w:bottom w:val="single" w:color="auto" w:sz="4" w:space="0"/>
              <w:right w:val="single" w:color="auto" w:sz="4" w:space="0"/>
            </w:tcBorders>
            <w:vAlign w:val="center"/>
          </w:tcPr>
          <w:p w14:paraId="797FA4E9">
            <w:pPr>
              <w:topLinePunct/>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供应商名称</w:t>
            </w:r>
          </w:p>
        </w:tc>
        <w:tc>
          <w:tcPr>
            <w:tcW w:w="7259" w:type="dxa"/>
            <w:gridSpan w:val="9"/>
            <w:tcBorders>
              <w:top w:val="single" w:color="auto" w:sz="4" w:space="0"/>
              <w:left w:val="single" w:color="auto" w:sz="4" w:space="0"/>
              <w:bottom w:val="single" w:color="auto" w:sz="4" w:space="0"/>
              <w:right w:val="single" w:color="auto" w:sz="4" w:space="0"/>
            </w:tcBorders>
            <w:vAlign w:val="center"/>
          </w:tcPr>
          <w:p w14:paraId="30E00032">
            <w:pPr>
              <w:topLinePunct/>
              <w:spacing w:line="440" w:lineRule="exact"/>
              <w:jc w:val="center"/>
              <w:rPr>
                <w:rFonts w:hint="eastAsia" w:asciiTheme="minorEastAsia" w:hAnsiTheme="minorEastAsia" w:eastAsiaTheme="minorEastAsia" w:cstheme="minorEastAsia"/>
                <w:color w:val="auto"/>
                <w:sz w:val="21"/>
                <w:szCs w:val="21"/>
                <w:highlight w:val="none"/>
              </w:rPr>
            </w:pPr>
          </w:p>
        </w:tc>
      </w:tr>
      <w:tr w14:paraId="039748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345" w:type="dxa"/>
            <w:tcBorders>
              <w:top w:val="single" w:color="auto" w:sz="4" w:space="0"/>
              <w:left w:val="single" w:color="auto" w:sz="4" w:space="0"/>
              <w:bottom w:val="single" w:color="auto" w:sz="4" w:space="0"/>
              <w:right w:val="single" w:color="auto" w:sz="4" w:space="0"/>
            </w:tcBorders>
            <w:vAlign w:val="center"/>
          </w:tcPr>
          <w:p w14:paraId="78F7E385">
            <w:pPr>
              <w:topLinePunct/>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注册地址</w:t>
            </w:r>
          </w:p>
        </w:tc>
        <w:tc>
          <w:tcPr>
            <w:tcW w:w="3839" w:type="dxa"/>
            <w:gridSpan w:val="5"/>
            <w:tcBorders>
              <w:top w:val="single" w:color="auto" w:sz="4" w:space="0"/>
              <w:left w:val="single" w:color="auto" w:sz="4" w:space="0"/>
              <w:bottom w:val="single" w:color="auto" w:sz="4" w:space="0"/>
              <w:right w:val="single" w:color="auto" w:sz="4" w:space="0"/>
            </w:tcBorders>
            <w:vAlign w:val="center"/>
          </w:tcPr>
          <w:p w14:paraId="23E13E84">
            <w:pPr>
              <w:topLinePunct/>
              <w:spacing w:line="440" w:lineRule="exact"/>
              <w:jc w:val="center"/>
              <w:rPr>
                <w:rFonts w:hint="eastAsia" w:asciiTheme="minorEastAsia" w:hAnsiTheme="minorEastAsia" w:eastAsiaTheme="minorEastAsia" w:cstheme="minorEastAsia"/>
                <w:color w:val="auto"/>
                <w:sz w:val="21"/>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14:paraId="3CD2DD83">
            <w:pPr>
              <w:topLinePunct/>
              <w:spacing w:line="4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4CB2AE30">
            <w:pPr>
              <w:topLinePunct/>
              <w:spacing w:line="440" w:lineRule="exact"/>
              <w:jc w:val="center"/>
              <w:rPr>
                <w:rFonts w:hint="eastAsia" w:asciiTheme="minorEastAsia" w:hAnsiTheme="minorEastAsia" w:eastAsiaTheme="minorEastAsia" w:cstheme="minorEastAsia"/>
                <w:color w:val="auto"/>
                <w:sz w:val="21"/>
                <w:szCs w:val="21"/>
                <w:highlight w:val="none"/>
              </w:rPr>
            </w:pPr>
          </w:p>
        </w:tc>
      </w:tr>
      <w:tr w14:paraId="0DF87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2345" w:type="dxa"/>
            <w:vMerge w:val="restart"/>
            <w:tcBorders>
              <w:top w:val="single" w:color="auto" w:sz="4" w:space="0"/>
              <w:left w:val="single" w:color="auto" w:sz="4" w:space="0"/>
              <w:bottom w:val="single" w:color="auto" w:sz="4" w:space="0"/>
              <w:right w:val="single" w:color="auto" w:sz="4" w:space="0"/>
            </w:tcBorders>
            <w:vAlign w:val="center"/>
          </w:tcPr>
          <w:p w14:paraId="1C707DEB">
            <w:pPr>
              <w:topLinePunct/>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联系方式</w:t>
            </w:r>
          </w:p>
        </w:tc>
        <w:tc>
          <w:tcPr>
            <w:tcW w:w="1317" w:type="dxa"/>
            <w:tcBorders>
              <w:top w:val="single" w:color="auto" w:sz="4" w:space="0"/>
              <w:left w:val="single" w:color="auto" w:sz="4" w:space="0"/>
              <w:bottom w:val="single" w:color="auto" w:sz="4" w:space="0"/>
              <w:right w:val="single" w:color="auto" w:sz="4" w:space="0"/>
            </w:tcBorders>
            <w:vAlign w:val="center"/>
          </w:tcPr>
          <w:p w14:paraId="21C2D8BD">
            <w:pPr>
              <w:topLinePunct/>
              <w:spacing w:line="4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221B6578">
            <w:pPr>
              <w:topLinePunct/>
              <w:spacing w:line="440" w:lineRule="exact"/>
              <w:jc w:val="center"/>
              <w:rPr>
                <w:rFonts w:hint="eastAsia" w:asciiTheme="minorEastAsia" w:hAnsiTheme="minorEastAsia" w:eastAsiaTheme="minorEastAsia" w:cstheme="minorEastAsia"/>
                <w:color w:val="auto"/>
                <w:sz w:val="21"/>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14:paraId="1DC43509">
            <w:pPr>
              <w:topLinePunct/>
              <w:spacing w:line="4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50F382ED">
            <w:pPr>
              <w:topLinePunct/>
              <w:spacing w:line="440" w:lineRule="exact"/>
              <w:jc w:val="center"/>
              <w:rPr>
                <w:rFonts w:hint="eastAsia" w:asciiTheme="minorEastAsia" w:hAnsiTheme="minorEastAsia" w:eastAsiaTheme="minorEastAsia" w:cstheme="minorEastAsia"/>
                <w:color w:val="auto"/>
                <w:sz w:val="21"/>
                <w:szCs w:val="21"/>
                <w:highlight w:val="none"/>
              </w:rPr>
            </w:pPr>
          </w:p>
        </w:tc>
      </w:tr>
      <w:tr w14:paraId="1552E7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2345" w:type="dxa"/>
            <w:vMerge w:val="continue"/>
            <w:tcBorders>
              <w:top w:val="single" w:color="auto" w:sz="4" w:space="0"/>
              <w:left w:val="single" w:color="auto" w:sz="4" w:space="0"/>
              <w:bottom w:val="single" w:color="auto" w:sz="4" w:space="0"/>
              <w:right w:val="single" w:color="auto" w:sz="4" w:space="0"/>
            </w:tcBorders>
            <w:vAlign w:val="center"/>
          </w:tcPr>
          <w:p w14:paraId="533F6070">
            <w:pPr>
              <w:topLinePunct/>
              <w:spacing w:line="440" w:lineRule="exact"/>
              <w:rPr>
                <w:rFonts w:hint="eastAsia" w:asciiTheme="minorEastAsia" w:hAnsiTheme="minorEastAsia" w:eastAsiaTheme="minorEastAsia" w:cstheme="minorEastAsia"/>
                <w:color w:val="auto"/>
                <w:sz w:val="21"/>
                <w:szCs w:val="21"/>
                <w:highlight w:val="none"/>
              </w:rPr>
            </w:pPr>
          </w:p>
        </w:tc>
        <w:tc>
          <w:tcPr>
            <w:tcW w:w="1317" w:type="dxa"/>
            <w:tcBorders>
              <w:top w:val="single" w:color="auto" w:sz="4" w:space="0"/>
              <w:left w:val="single" w:color="auto" w:sz="4" w:space="0"/>
              <w:bottom w:val="single" w:color="auto" w:sz="4" w:space="0"/>
              <w:right w:val="single" w:color="auto" w:sz="4" w:space="0"/>
            </w:tcBorders>
            <w:vAlign w:val="center"/>
          </w:tcPr>
          <w:p w14:paraId="2C154B97">
            <w:pPr>
              <w:topLinePunct/>
              <w:spacing w:line="4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02F77BE5">
            <w:pPr>
              <w:topLinePunct/>
              <w:spacing w:line="440" w:lineRule="exact"/>
              <w:jc w:val="center"/>
              <w:rPr>
                <w:rFonts w:hint="eastAsia" w:asciiTheme="minorEastAsia" w:hAnsiTheme="minorEastAsia" w:eastAsiaTheme="minorEastAsia" w:cstheme="minorEastAsia"/>
                <w:color w:val="auto"/>
                <w:sz w:val="21"/>
                <w:szCs w:val="21"/>
                <w:highlight w:val="none"/>
              </w:rPr>
            </w:pPr>
          </w:p>
        </w:tc>
        <w:tc>
          <w:tcPr>
            <w:tcW w:w="1078" w:type="dxa"/>
            <w:tcBorders>
              <w:top w:val="single" w:color="auto" w:sz="4" w:space="0"/>
              <w:left w:val="single" w:color="auto" w:sz="4" w:space="0"/>
              <w:bottom w:val="single" w:color="auto" w:sz="4" w:space="0"/>
              <w:right w:val="single" w:color="auto" w:sz="4" w:space="0"/>
            </w:tcBorders>
            <w:vAlign w:val="center"/>
          </w:tcPr>
          <w:p w14:paraId="3EBEF82B">
            <w:pPr>
              <w:topLinePunct/>
              <w:spacing w:line="4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67338561">
            <w:pPr>
              <w:topLinePunct/>
              <w:spacing w:line="440" w:lineRule="exact"/>
              <w:jc w:val="center"/>
              <w:rPr>
                <w:rFonts w:hint="eastAsia" w:asciiTheme="minorEastAsia" w:hAnsiTheme="minorEastAsia" w:eastAsiaTheme="minorEastAsia" w:cstheme="minorEastAsia"/>
                <w:color w:val="auto"/>
                <w:sz w:val="21"/>
                <w:szCs w:val="21"/>
                <w:highlight w:val="none"/>
              </w:rPr>
            </w:pPr>
          </w:p>
        </w:tc>
      </w:tr>
      <w:tr w14:paraId="545EF7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2345" w:type="dxa"/>
            <w:tcBorders>
              <w:top w:val="single" w:color="auto" w:sz="4" w:space="0"/>
              <w:left w:val="single" w:color="auto" w:sz="4" w:space="0"/>
              <w:bottom w:val="single" w:color="auto" w:sz="4" w:space="0"/>
              <w:right w:val="single" w:color="auto" w:sz="4" w:space="0"/>
            </w:tcBorders>
            <w:vAlign w:val="center"/>
          </w:tcPr>
          <w:p w14:paraId="3C9920E4">
            <w:pPr>
              <w:topLinePunct/>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组织结构</w:t>
            </w:r>
          </w:p>
        </w:tc>
        <w:tc>
          <w:tcPr>
            <w:tcW w:w="7259" w:type="dxa"/>
            <w:gridSpan w:val="9"/>
            <w:tcBorders>
              <w:top w:val="single" w:color="auto" w:sz="4" w:space="0"/>
              <w:left w:val="single" w:color="auto" w:sz="4" w:space="0"/>
              <w:bottom w:val="single" w:color="auto" w:sz="4" w:space="0"/>
              <w:right w:val="single" w:color="auto" w:sz="4" w:space="0"/>
            </w:tcBorders>
            <w:vAlign w:val="center"/>
          </w:tcPr>
          <w:p w14:paraId="03E299DE">
            <w:pPr>
              <w:topLinePunct/>
              <w:spacing w:line="440" w:lineRule="exact"/>
              <w:jc w:val="center"/>
              <w:rPr>
                <w:rFonts w:hint="eastAsia" w:asciiTheme="minorEastAsia" w:hAnsiTheme="minorEastAsia" w:eastAsiaTheme="minorEastAsia" w:cstheme="minorEastAsia"/>
                <w:color w:val="auto"/>
                <w:sz w:val="21"/>
                <w:szCs w:val="21"/>
                <w:highlight w:val="none"/>
              </w:rPr>
            </w:pPr>
          </w:p>
        </w:tc>
      </w:tr>
      <w:tr w14:paraId="0437C6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2345" w:type="dxa"/>
            <w:tcBorders>
              <w:top w:val="single" w:color="auto" w:sz="4" w:space="0"/>
              <w:left w:val="single" w:color="auto" w:sz="4" w:space="0"/>
              <w:bottom w:val="single" w:color="auto" w:sz="4" w:space="0"/>
              <w:right w:val="single" w:color="auto" w:sz="4" w:space="0"/>
            </w:tcBorders>
            <w:vAlign w:val="center"/>
          </w:tcPr>
          <w:p w14:paraId="51E3DCC0">
            <w:pPr>
              <w:topLinePunct/>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w:t>
            </w:r>
          </w:p>
        </w:tc>
        <w:tc>
          <w:tcPr>
            <w:tcW w:w="1317" w:type="dxa"/>
            <w:tcBorders>
              <w:top w:val="single" w:color="auto" w:sz="4" w:space="0"/>
              <w:left w:val="single" w:color="auto" w:sz="4" w:space="0"/>
              <w:bottom w:val="single" w:color="auto" w:sz="4" w:space="0"/>
              <w:right w:val="single" w:color="auto" w:sz="4" w:space="0"/>
            </w:tcBorders>
            <w:vAlign w:val="center"/>
          </w:tcPr>
          <w:p w14:paraId="7BD3C805">
            <w:pPr>
              <w:topLinePunct/>
              <w:spacing w:line="4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49862429">
            <w:pPr>
              <w:topLinePunct/>
              <w:spacing w:line="440" w:lineRule="exact"/>
              <w:jc w:val="center"/>
              <w:rPr>
                <w:rFonts w:hint="eastAsia" w:asciiTheme="minorEastAsia" w:hAnsiTheme="minorEastAsia" w:eastAsiaTheme="minorEastAsia" w:cstheme="minorEastAsia"/>
                <w:color w:val="auto"/>
                <w:sz w:val="21"/>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1009B3D7">
            <w:pPr>
              <w:topLinePunct/>
              <w:spacing w:line="4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7BB0364B">
            <w:pPr>
              <w:topLinePunct/>
              <w:spacing w:line="440" w:lineRule="exact"/>
              <w:jc w:val="center"/>
              <w:rPr>
                <w:rFonts w:hint="eastAsia" w:asciiTheme="minorEastAsia" w:hAnsiTheme="minorEastAsia" w:eastAsiaTheme="minorEastAsia" w:cstheme="minorEastAsia"/>
                <w:color w:val="auto"/>
                <w:sz w:val="21"/>
                <w:szCs w:val="21"/>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14:paraId="347E9C52">
            <w:pPr>
              <w:topLinePunct/>
              <w:spacing w:line="4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35DC5BF5">
            <w:pPr>
              <w:topLinePunct/>
              <w:spacing w:line="440" w:lineRule="exact"/>
              <w:jc w:val="center"/>
              <w:rPr>
                <w:rFonts w:hint="eastAsia" w:asciiTheme="minorEastAsia" w:hAnsiTheme="minorEastAsia" w:eastAsiaTheme="minorEastAsia" w:cstheme="minorEastAsia"/>
                <w:color w:val="auto"/>
                <w:sz w:val="21"/>
                <w:szCs w:val="21"/>
                <w:highlight w:val="none"/>
              </w:rPr>
            </w:pPr>
          </w:p>
        </w:tc>
      </w:tr>
      <w:tr w14:paraId="5C5EA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2345" w:type="dxa"/>
            <w:tcBorders>
              <w:top w:val="single" w:color="auto" w:sz="4" w:space="0"/>
              <w:left w:val="single" w:color="auto" w:sz="4" w:space="0"/>
              <w:bottom w:val="single" w:color="auto" w:sz="4" w:space="0"/>
              <w:right w:val="single" w:color="auto" w:sz="4" w:space="0"/>
            </w:tcBorders>
            <w:vAlign w:val="center"/>
          </w:tcPr>
          <w:p w14:paraId="3BDF9638">
            <w:pPr>
              <w:topLinePunct/>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技术负责人</w:t>
            </w:r>
          </w:p>
        </w:tc>
        <w:tc>
          <w:tcPr>
            <w:tcW w:w="1317" w:type="dxa"/>
            <w:tcBorders>
              <w:top w:val="single" w:color="auto" w:sz="4" w:space="0"/>
              <w:left w:val="single" w:color="auto" w:sz="4" w:space="0"/>
              <w:bottom w:val="single" w:color="auto" w:sz="4" w:space="0"/>
              <w:right w:val="single" w:color="auto" w:sz="4" w:space="0"/>
            </w:tcBorders>
            <w:vAlign w:val="center"/>
          </w:tcPr>
          <w:p w14:paraId="0AE88DE7">
            <w:pPr>
              <w:topLinePunct/>
              <w:spacing w:line="4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0A881AD9">
            <w:pPr>
              <w:topLinePunct/>
              <w:spacing w:line="440" w:lineRule="exact"/>
              <w:jc w:val="center"/>
              <w:rPr>
                <w:rFonts w:hint="eastAsia" w:asciiTheme="minorEastAsia" w:hAnsiTheme="minorEastAsia" w:eastAsiaTheme="minorEastAsia" w:cstheme="minorEastAsia"/>
                <w:color w:val="auto"/>
                <w:sz w:val="21"/>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5EAC210">
            <w:pPr>
              <w:topLinePunct/>
              <w:spacing w:line="4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0507DE01">
            <w:pPr>
              <w:topLinePunct/>
              <w:spacing w:line="440" w:lineRule="exact"/>
              <w:jc w:val="center"/>
              <w:rPr>
                <w:rFonts w:hint="eastAsia" w:asciiTheme="minorEastAsia" w:hAnsiTheme="minorEastAsia" w:eastAsiaTheme="minorEastAsia" w:cstheme="minorEastAsia"/>
                <w:color w:val="auto"/>
                <w:sz w:val="21"/>
                <w:szCs w:val="21"/>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14:paraId="28B1FE62">
            <w:pPr>
              <w:topLinePunct/>
              <w:spacing w:line="4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7A126A93">
            <w:pPr>
              <w:topLinePunct/>
              <w:spacing w:line="440" w:lineRule="exact"/>
              <w:jc w:val="center"/>
              <w:rPr>
                <w:rFonts w:hint="eastAsia" w:asciiTheme="minorEastAsia" w:hAnsiTheme="minorEastAsia" w:eastAsiaTheme="minorEastAsia" w:cstheme="minorEastAsia"/>
                <w:color w:val="auto"/>
                <w:sz w:val="21"/>
                <w:szCs w:val="21"/>
                <w:highlight w:val="none"/>
              </w:rPr>
            </w:pPr>
          </w:p>
        </w:tc>
      </w:tr>
      <w:tr w14:paraId="4E86B9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345" w:type="dxa"/>
            <w:tcBorders>
              <w:top w:val="single" w:color="auto" w:sz="4" w:space="0"/>
              <w:left w:val="single" w:color="auto" w:sz="4" w:space="0"/>
              <w:bottom w:val="single" w:color="auto" w:sz="4" w:space="0"/>
              <w:right w:val="single" w:color="auto" w:sz="4" w:space="0"/>
            </w:tcBorders>
            <w:vAlign w:val="center"/>
          </w:tcPr>
          <w:p w14:paraId="3E5C3E11">
            <w:pPr>
              <w:topLinePunct/>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成立时间</w:t>
            </w: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2B0475FC">
            <w:pPr>
              <w:topLinePunct/>
              <w:spacing w:line="440" w:lineRule="exact"/>
              <w:jc w:val="center"/>
              <w:rPr>
                <w:rFonts w:hint="eastAsia" w:asciiTheme="minorEastAsia" w:hAnsiTheme="minorEastAsia" w:eastAsiaTheme="minorEastAsia" w:cstheme="minorEastAsia"/>
                <w:color w:val="auto"/>
                <w:sz w:val="21"/>
                <w:szCs w:val="21"/>
                <w:highlight w:val="none"/>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14:paraId="07544FD3">
            <w:pPr>
              <w:topLinePunct/>
              <w:spacing w:line="440" w:lineRule="exact"/>
              <w:ind w:firstLine="105" w:firstLineChars="5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员工总人数：</w:t>
            </w:r>
          </w:p>
        </w:tc>
      </w:tr>
      <w:tr w14:paraId="07BE3E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2345" w:type="dxa"/>
            <w:tcBorders>
              <w:top w:val="single" w:color="auto" w:sz="4" w:space="0"/>
              <w:left w:val="single" w:color="auto" w:sz="4" w:space="0"/>
              <w:bottom w:val="single" w:color="auto" w:sz="4" w:space="0"/>
              <w:right w:val="single" w:color="auto" w:sz="4" w:space="0"/>
            </w:tcBorders>
            <w:vAlign w:val="center"/>
          </w:tcPr>
          <w:p w14:paraId="65CC01D1">
            <w:pPr>
              <w:topLinePunct/>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营业执照号</w:t>
            </w: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32D9C336">
            <w:pPr>
              <w:topLinePunct/>
              <w:spacing w:line="440" w:lineRule="exact"/>
              <w:jc w:val="center"/>
              <w:rPr>
                <w:rFonts w:hint="eastAsia" w:asciiTheme="minorEastAsia" w:hAnsiTheme="minorEastAsia" w:eastAsiaTheme="minorEastAsia" w:cstheme="minorEastAsia"/>
                <w:color w:val="auto"/>
                <w:sz w:val="21"/>
                <w:szCs w:val="21"/>
                <w:highlight w:val="none"/>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7978576B">
            <w:pPr>
              <w:topLinePunct/>
              <w:spacing w:line="4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466E10B5">
            <w:pPr>
              <w:topLinePunct/>
              <w:spacing w:line="4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7EB87A53">
            <w:pPr>
              <w:topLinePunct/>
              <w:spacing w:line="440" w:lineRule="exact"/>
              <w:jc w:val="center"/>
              <w:rPr>
                <w:rFonts w:hint="eastAsia" w:asciiTheme="minorEastAsia" w:hAnsiTheme="minorEastAsia" w:eastAsiaTheme="minorEastAsia" w:cstheme="minorEastAsia"/>
                <w:color w:val="auto"/>
                <w:sz w:val="21"/>
                <w:szCs w:val="21"/>
                <w:highlight w:val="none"/>
              </w:rPr>
            </w:pPr>
          </w:p>
        </w:tc>
      </w:tr>
      <w:tr w14:paraId="50EF04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2345" w:type="dxa"/>
            <w:tcBorders>
              <w:top w:val="single" w:color="auto" w:sz="4" w:space="0"/>
              <w:left w:val="single" w:color="auto" w:sz="4" w:space="0"/>
              <w:bottom w:val="single" w:color="auto" w:sz="4" w:space="0"/>
              <w:right w:val="single" w:color="auto" w:sz="4" w:space="0"/>
            </w:tcBorders>
            <w:vAlign w:val="center"/>
          </w:tcPr>
          <w:p w14:paraId="54803C4C">
            <w:pPr>
              <w:topLinePunct/>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注册资金</w:t>
            </w: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531079D6">
            <w:pPr>
              <w:topLinePunct/>
              <w:spacing w:line="440" w:lineRule="exact"/>
              <w:jc w:val="center"/>
              <w:rPr>
                <w:rFonts w:hint="eastAsia" w:asciiTheme="minorEastAsia" w:hAnsiTheme="minorEastAsia" w:eastAsiaTheme="minorEastAsia" w:cstheme="minorEastAsia"/>
                <w:color w:val="auto"/>
                <w:sz w:val="21"/>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18FF73D0">
            <w:pPr>
              <w:topLinePunct/>
              <w:spacing w:line="440" w:lineRule="exact"/>
              <w:jc w:val="center"/>
              <w:rPr>
                <w:rFonts w:hint="eastAsia" w:asciiTheme="minorEastAsia" w:hAnsiTheme="minorEastAsia" w:eastAsiaTheme="minorEastAsia" w:cstheme="minorEastAsia"/>
                <w:color w:val="auto"/>
                <w:sz w:val="21"/>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0C62CD6F">
            <w:pPr>
              <w:topLinePunct/>
              <w:spacing w:line="4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6F710F74">
            <w:pPr>
              <w:topLinePunct/>
              <w:spacing w:line="440" w:lineRule="exact"/>
              <w:jc w:val="center"/>
              <w:rPr>
                <w:rFonts w:hint="eastAsia" w:asciiTheme="minorEastAsia" w:hAnsiTheme="minorEastAsia" w:eastAsiaTheme="minorEastAsia" w:cstheme="minorEastAsia"/>
                <w:color w:val="auto"/>
                <w:sz w:val="21"/>
                <w:szCs w:val="21"/>
                <w:highlight w:val="none"/>
              </w:rPr>
            </w:pPr>
          </w:p>
        </w:tc>
      </w:tr>
      <w:tr w14:paraId="66466B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2345" w:type="dxa"/>
            <w:tcBorders>
              <w:top w:val="single" w:color="auto" w:sz="4" w:space="0"/>
              <w:left w:val="single" w:color="auto" w:sz="4" w:space="0"/>
              <w:bottom w:val="single" w:color="auto" w:sz="4" w:space="0"/>
              <w:right w:val="single" w:color="auto" w:sz="4" w:space="0"/>
            </w:tcBorders>
            <w:vAlign w:val="center"/>
          </w:tcPr>
          <w:p w14:paraId="676AF4F9">
            <w:pPr>
              <w:topLinePunct/>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基本账户</w:t>
            </w:r>
          </w:p>
          <w:p w14:paraId="290076E2">
            <w:pPr>
              <w:topLinePunct/>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开户银行</w:t>
            </w: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6274F792">
            <w:pPr>
              <w:topLinePunct/>
              <w:spacing w:line="440" w:lineRule="exact"/>
              <w:jc w:val="center"/>
              <w:rPr>
                <w:rFonts w:hint="eastAsia" w:asciiTheme="minorEastAsia" w:hAnsiTheme="minorEastAsia" w:eastAsiaTheme="minorEastAsia" w:cstheme="minorEastAsia"/>
                <w:color w:val="auto"/>
                <w:sz w:val="21"/>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51B70B68">
            <w:pPr>
              <w:topLinePunct/>
              <w:spacing w:line="440" w:lineRule="exact"/>
              <w:jc w:val="center"/>
              <w:rPr>
                <w:rFonts w:hint="eastAsia" w:asciiTheme="minorEastAsia" w:hAnsiTheme="minorEastAsia" w:eastAsiaTheme="minorEastAsia" w:cstheme="minorEastAsia"/>
                <w:color w:val="auto"/>
                <w:sz w:val="21"/>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513551FF">
            <w:pPr>
              <w:topLinePunct/>
              <w:spacing w:line="4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361819C8">
            <w:pPr>
              <w:topLinePunct/>
              <w:spacing w:line="440" w:lineRule="exact"/>
              <w:jc w:val="center"/>
              <w:rPr>
                <w:rFonts w:hint="eastAsia" w:asciiTheme="minorEastAsia" w:hAnsiTheme="minorEastAsia" w:eastAsiaTheme="minorEastAsia" w:cstheme="minorEastAsia"/>
                <w:color w:val="auto"/>
                <w:sz w:val="21"/>
                <w:szCs w:val="21"/>
                <w:highlight w:val="none"/>
              </w:rPr>
            </w:pPr>
          </w:p>
        </w:tc>
      </w:tr>
      <w:tr w14:paraId="40AD7D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2345" w:type="dxa"/>
            <w:tcBorders>
              <w:top w:val="single" w:color="auto" w:sz="4" w:space="0"/>
              <w:left w:val="single" w:color="auto" w:sz="4" w:space="0"/>
              <w:bottom w:val="single" w:color="auto" w:sz="4" w:space="0"/>
              <w:right w:val="single" w:color="auto" w:sz="4" w:space="0"/>
            </w:tcBorders>
            <w:vAlign w:val="center"/>
          </w:tcPr>
          <w:p w14:paraId="6F1669D1">
            <w:pPr>
              <w:topLinePunct/>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账号</w:t>
            </w: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718B8B43">
            <w:pPr>
              <w:topLinePunct/>
              <w:spacing w:line="440" w:lineRule="exact"/>
              <w:jc w:val="center"/>
              <w:rPr>
                <w:rFonts w:hint="eastAsia" w:asciiTheme="minorEastAsia" w:hAnsiTheme="minorEastAsia" w:eastAsiaTheme="minorEastAsia" w:cstheme="minorEastAsia"/>
                <w:color w:val="auto"/>
                <w:sz w:val="21"/>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3B156E02">
            <w:pPr>
              <w:topLinePunct/>
              <w:spacing w:line="440" w:lineRule="exact"/>
              <w:jc w:val="center"/>
              <w:rPr>
                <w:rFonts w:hint="eastAsia" w:asciiTheme="minorEastAsia" w:hAnsiTheme="minorEastAsia" w:eastAsiaTheme="minorEastAsia" w:cstheme="minorEastAsia"/>
                <w:color w:val="auto"/>
                <w:sz w:val="21"/>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13D92D1E">
            <w:pPr>
              <w:topLinePunct/>
              <w:spacing w:line="4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4A37B8D7">
            <w:pPr>
              <w:topLinePunct/>
              <w:spacing w:line="440" w:lineRule="exact"/>
              <w:jc w:val="center"/>
              <w:rPr>
                <w:rFonts w:hint="eastAsia" w:asciiTheme="minorEastAsia" w:hAnsiTheme="minorEastAsia" w:eastAsiaTheme="minorEastAsia" w:cstheme="minorEastAsia"/>
                <w:color w:val="auto"/>
                <w:sz w:val="21"/>
                <w:szCs w:val="21"/>
                <w:highlight w:val="none"/>
              </w:rPr>
            </w:pPr>
          </w:p>
        </w:tc>
      </w:tr>
      <w:tr w14:paraId="5B525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2345" w:type="dxa"/>
            <w:tcBorders>
              <w:top w:val="single" w:color="auto" w:sz="4" w:space="0"/>
              <w:left w:val="single" w:color="auto" w:sz="4" w:space="0"/>
              <w:bottom w:val="single" w:color="auto" w:sz="4" w:space="0"/>
              <w:right w:val="single" w:color="auto" w:sz="4" w:space="0"/>
            </w:tcBorders>
            <w:vAlign w:val="center"/>
          </w:tcPr>
          <w:p w14:paraId="1C20EB14">
            <w:pPr>
              <w:topLinePunct/>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企业资质/相关体系证书</w:t>
            </w: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48B4E896">
            <w:pPr>
              <w:topLinePunct/>
              <w:spacing w:line="440" w:lineRule="exact"/>
              <w:jc w:val="center"/>
              <w:rPr>
                <w:rFonts w:hint="eastAsia" w:asciiTheme="minorEastAsia" w:hAnsiTheme="minorEastAsia" w:eastAsiaTheme="minorEastAsia" w:cstheme="minorEastAsia"/>
                <w:color w:val="auto"/>
                <w:sz w:val="21"/>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23E7AEA7">
            <w:pPr>
              <w:topLinePunct/>
              <w:spacing w:line="440" w:lineRule="exact"/>
              <w:jc w:val="center"/>
              <w:rPr>
                <w:rFonts w:hint="eastAsia" w:asciiTheme="minorEastAsia" w:hAnsiTheme="minorEastAsia" w:eastAsiaTheme="minorEastAsia" w:cstheme="minorEastAsia"/>
                <w:color w:val="auto"/>
                <w:sz w:val="21"/>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77263561">
            <w:pPr>
              <w:topLinePunct/>
              <w:spacing w:line="4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  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3DEFE6EC">
            <w:pPr>
              <w:topLinePunct/>
              <w:spacing w:line="440" w:lineRule="exact"/>
              <w:jc w:val="center"/>
              <w:rPr>
                <w:rFonts w:hint="eastAsia" w:asciiTheme="minorEastAsia" w:hAnsiTheme="minorEastAsia" w:eastAsiaTheme="minorEastAsia" w:cstheme="minorEastAsia"/>
                <w:color w:val="auto"/>
                <w:sz w:val="21"/>
                <w:szCs w:val="21"/>
                <w:highlight w:val="none"/>
              </w:rPr>
            </w:pPr>
          </w:p>
        </w:tc>
      </w:tr>
      <w:tr w14:paraId="5B2AC8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2345" w:type="dxa"/>
            <w:tcBorders>
              <w:top w:val="single" w:color="auto" w:sz="4" w:space="0"/>
              <w:left w:val="single" w:color="auto" w:sz="4" w:space="0"/>
              <w:right w:val="single" w:color="auto" w:sz="4" w:space="0"/>
            </w:tcBorders>
            <w:vAlign w:val="center"/>
          </w:tcPr>
          <w:p w14:paraId="58EB01CF">
            <w:pPr>
              <w:topLinePunct/>
              <w:spacing w:line="440" w:lineRule="exact"/>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经营范围</w:t>
            </w:r>
          </w:p>
        </w:tc>
        <w:tc>
          <w:tcPr>
            <w:tcW w:w="7259" w:type="dxa"/>
            <w:gridSpan w:val="9"/>
            <w:tcBorders>
              <w:top w:val="single" w:color="auto" w:sz="4" w:space="0"/>
              <w:left w:val="single" w:color="auto" w:sz="4" w:space="0"/>
              <w:right w:val="single" w:color="auto" w:sz="4" w:space="0"/>
            </w:tcBorders>
            <w:vAlign w:val="center"/>
          </w:tcPr>
          <w:p w14:paraId="5249A7CF">
            <w:pPr>
              <w:topLinePunct/>
              <w:spacing w:line="440" w:lineRule="exact"/>
              <w:jc w:val="center"/>
              <w:rPr>
                <w:rFonts w:hint="eastAsia" w:asciiTheme="minorEastAsia" w:hAnsiTheme="minorEastAsia" w:eastAsiaTheme="minorEastAsia" w:cstheme="minorEastAsia"/>
                <w:color w:val="auto"/>
                <w:sz w:val="21"/>
                <w:szCs w:val="21"/>
                <w:highlight w:val="none"/>
              </w:rPr>
            </w:pPr>
          </w:p>
          <w:p w14:paraId="2063D433">
            <w:pPr>
              <w:topLinePunct/>
              <w:spacing w:line="440" w:lineRule="exact"/>
              <w:jc w:val="center"/>
              <w:rPr>
                <w:rFonts w:hint="eastAsia" w:asciiTheme="minorEastAsia" w:hAnsiTheme="minorEastAsia" w:eastAsiaTheme="minorEastAsia" w:cstheme="minorEastAsia"/>
                <w:color w:val="auto"/>
                <w:sz w:val="21"/>
                <w:szCs w:val="21"/>
                <w:highlight w:val="none"/>
              </w:rPr>
            </w:pPr>
          </w:p>
          <w:p w14:paraId="71DE0CC8">
            <w:pPr>
              <w:topLinePunct/>
              <w:spacing w:line="440" w:lineRule="exact"/>
              <w:jc w:val="center"/>
              <w:rPr>
                <w:rFonts w:hint="eastAsia" w:asciiTheme="minorEastAsia" w:hAnsiTheme="minorEastAsia" w:eastAsiaTheme="minorEastAsia" w:cstheme="minorEastAsia"/>
                <w:color w:val="auto"/>
                <w:sz w:val="21"/>
                <w:szCs w:val="21"/>
                <w:highlight w:val="none"/>
              </w:rPr>
            </w:pPr>
          </w:p>
          <w:p w14:paraId="1064C610">
            <w:pPr>
              <w:topLinePunct/>
              <w:spacing w:line="440" w:lineRule="exact"/>
              <w:jc w:val="center"/>
              <w:rPr>
                <w:rFonts w:hint="eastAsia" w:asciiTheme="minorEastAsia" w:hAnsiTheme="minorEastAsia" w:eastAsiaTheme="minorEastAsia" w:cstheme="minorEastAsia"/>
                <w:color w:val="auto"/>
                <w:sz w:val="21"/>
                <w:szCs w:val="21"/>
                <w:highlight w:val="none"/>
              </w:rPr>
            </w:pPr>
          </w:p>
          <w:p w14:paraId="555C451A">
            <w:pPr>
              <w:topLinePunct/>
              <w:spacing w:line="440" w:lineRule="exact"/>
              <w:rPr>
                <w:rFonts w:hint="eastAsia" w:asciiTheme="minorEastAsia" w:hAnsiTheme="minorEastAsia" w:eastAsiaTheme="minorEastAsia" w:cstheme="minorEastAsia"/>
                <w:color w:val="auto"/>
                <w:sz w:val="21"/>
                <w:szCs w:val="21"/>
                <w:highlight w:val="none"/>
              </w:rPr>
            </w:pPr>
          </w:p>
        </w:tc>
      </w:tr>
      <w:tr w14:paraId="69E7B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345" w:type="dxa"/>
            <w:tcBorders>
              <w:top w:val="single" w:color="auto" w:sz="4" w:space="0"/>
              <w:left w:val="single" w:color="auto" w:sz="4" w:space="0"/>
              <w:bottom w:val="single" w:color="auto" w:sz="4" w:space="0"/>
              <w:right w:val="single" w:color="auto" w:sz="4" w:space="0"/>
            </w:tcBorders>
            <w:vAlign w:val="center"/>
          </w:tcPr>
          <w:p w14:paraId="664BF06E">
            <w:pPr>
              <w:topLinePunct/>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备注</w:t>
            </w:r>
          </w:p>
        </w:tc>
        <w:tc>
          <w:tcPr>
            <w:tcW w:w="7259" w:type="dxa"/>
            <w:gridSpan w:val="9"/>
            <w:tcBorders>
              <w:top w:val="single" w:color="auto" w:sz="4" w:space="0"/>
              <w:left w:val="single" w:color="auto" w:sz="4" w:space="0"/>
              <w:bottom w:val="single" w:color="auto" w:sz="4" w:space="0"/>
              <w:right w:val="single" w:color="auto" w:sz="4" w:space="0"/>
            </w:tcBorders>
            <w:vAlign w:val="center"/>
          </w:tcPr>
          <w:p w14:paraId="31A7D2B3">
            <w:pPr>
              <w:topLinePunct/>
              <w:spacing w:line="440" w:lineRule="exact"/>
              <w:jc w:val="center"/>
              <w:rPr>
                <w:rFonts w:hint="eastAsia" w:asciiTheme="minorEastAsia" w:hAnsiTheme="minorEastAsia" w:eastAsiaTheme="minorEastAsia" w:cstheme="minorEastAsia"/>
                <w:color w:val="auto"/>
                <w:sz w:val="21"/>
                <w:szCs w:val="21"/>
                <w:highlight w:val="none"/>
              </w:rPr>
            </w:pPr>
          </w:p>
        </w:tc>
      </w:tr>
    </w:tbl>
    <w:p w14:paraId="060BDA1F">
      <w:pPr>
        <w:pStyle w:val="23"/>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注：后附企业营业执照等复印件加盖公章。</w:t>
      </w:r>
    </w:p>
    <w:p w14:paraId="3FF86885">
      <w:pPr>
        <w:autoSpaceDE w:val="0"/>
        <w:autoSpaceDN w:val="0"/>
        <w:adjustRightInd w:val="0"/>
        <w:rPr>
          <w:rFonts w:hint="eastAsia" w:asciiTheme="minorEastAsia" w:hAnsiTheme="minorEastAsia" w:eastAsiaTheme="minorEastAsia" w:cstheme="minorEastAsia"/>
          <w:b/>
          <w:color w:val="auto"/>
          <w:sz w:val="36"/>
          <w:highlight w:val="none"/>
        </w:rPr>
        <w:sectPr>
          <w:headerReference r:id="rId17" w:type="default"/>
          <w:footerReference r:id="rId19" w:type="default"/>
          <w:headerReference r:id="rId18" w:type="even"/>
          <w:footerReference r:id="rId20" w:type="even"/>
          <w:pgSz w:w="11906" w:h="16838"/>
          <w:pgMar w:top="1418" w:right="1134" w:bottom="1418" w:left="1276" w:header="851" w:footer="992" w:gutter="0"/>
          <w:cols w:space="720" w:num="1"/>
          <w:docGrid w:linePitch="312" w:charSpace="0"/>
        </w:sectPr>
      </w:pPr>
    </w:p>
    <w:p w14:paraId="797BC777">
      <w:pPr>
        <w:autoSpaceDE w:val="0"/>
        <w:autoSpaceDN w:val="0"/>
        <w:adjustRightInd w:val="0"/>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企业营业执照等复印件</w:t>
      </w:r>
    </w:p>
    <w:p w14:paraId="621F4B24">
      <w:pPr>
        <w:autoSpaceDE w:val="0"/>
        <w:autoSpaceDN w:val="0"/>
        <w:adjustRightInd w:val="0"/>
        <w:spacing w:line="360" w:lineRule="auto"/>
        <w:jc w:val="both"/>
        <w:rPr>
          <w:rFonts w:hint="eastAsia" w:asciiTheme="minorEastAsia" w:hAnsiTheme="minorEastAsia" w:eastAsiaTheme="minorEastAsia" w:cstheme="minorEastAsia"/>
          <w:b/>
          <w:color w:val="auto"/>
          <w:sz w:val="28"/>
          <w:szCs w:val="28"/>
          <w:highlight w:val="none"/>
        </w:rPr>
      </w:pPr>
    </w:p>
    <w:p w14:paraId="2C37C665">
      <w:pPr>
        <w:autoSpaceDE w:val="0"/>
        <w:autoSpaceDN w:val="0"/>
        <w:adjustRightInd w:val="0"/>
        <w:spacing w:line="360" w:lineRule="auto"/>
        <w:jc w:val="both"/>
        <w:rPr>
          <w:rFonts w:hint="eastAsia" w:asciiTheme="minorEastAsia" w:hAnsiTheme="minorEastAsia" w:eastAsiaTheme="minorEastAsia" w:cstheme="minorEastAsia"/>
          <w:b/>
          <w:color w:val="auto"/>
          <w:sz w:val="28"/>
          <w:szCs w:val="28"/>
          <w:highlight w:val="none"/>
        </w:rPr>
      </w:pPr>
    </w:p>
    <w:p w14:paraId="58960480">
      <w:pPr>
        <w:autoSpaceDE w:val="0"/>
        <w:autoSpaceDN w:val="0"/>
        <w:adjustRightInd w:val="0"/>
        <w:spacing w:line="360" w:lineRule="auto"/>
        <w:jc w:val="both"/>
        <w:rPr>
          <w:rFonts w:hint="eastAsia" w:asciiTheme="minorEastAsia" w:hAnsiTheme="minorEastAsia" w:eastAsiaTheme="minorEastAsia" w:cstheme="minorEastAsia"/>
          <w:b/>
          <w:color w:val="auto"/>
          <w:sz w:val="28"/>
          <w:szCs w:val="28"/>
          <w:highlight w:val="none"/>
        </w:rPr>
      </w:pPr>
    </w:p>
    <w:p w14:paraId="1E9883AB">
      <w:pPr>
        <w:autoSpaceDE w:val="0"/>
        <w:autoSpaceDN w:val="0"/>
        <w:adjustRightInd w:val="0"/>
        <w:spacing w:line="360" w:lineRule="auto"/>
        <w:jc w:val="both"/>
        <w:rPr>
          <w:rFonts w:hint="eastAsia" w:asciiTheme="minorEastAsia" w:hAnsiTheme="minorEastAsia" w:eastAsiaTheme="minorEastAsia" w:cstheme="minorEastAsia"/>
          <w:b/>
          <w:color w:val="auto"/>
          <w:sz w:val="28"/>
          <w:szCs w:val="28"/>
          <w:highlight w:val="none"/>
        </w:rPr>
      </w:pPr>
    </w:p>
    <w:p w14:paraId="7A1106A8">
      <w:pPr>
        <w:autoSpaceDE w:val="0"/>
        <w:autoSpaceDN w:val="0"/>
        <w:adjustRightInd w:val="0"/>
        <w:spacing w:line="360" w:lineRule="auto"/>
        <w:jc w:val="both"/>
        <w:rPr>
          <w:rFonts w:hint="eastAsia" w:asciiTheme="minorEastAsia" w:hAnsiTheme="minorEastAsia" w:eastAsiaTheme="minorEastAsia" w:cstheme="minorEastAsia"/>
          <w:b/>
          <w:color w:val="auto"/>
          <w:sz w:val="28"/>
          <w:szCs w:val="28"/>
          <w:highlight w:val="none"/>
        </w:rPr>
      </w:pPr>
    </w:p>
    <w:p w14:paraId="6410E9B2">
      <w:pPr>
        <w:autoSpaceDE w:val="0"/>
        <w:autoSpaceDN w:val="0"/>
        <w:adjustRightInd w:val="0"/>
        <w:spacing w:line="360" w:lineRule="auto"/>
        <w:jc w:val="both"/>
        <w:rPr>
          <w:rFonts w:hint="eastAsia" w:asciiTheme="minorEastAsia" w:hAnsiTheme="minorEastAsia" w:eastAsiaTheme="minorEastAsia" w:cstheme="minorEastAsia"/>
          <w:b/>
          <w:color w:val="auto"/>
          <w:sz w:val="28"/>
          <w:szCs w:val="28"/>
          <w:highlight w:val="none"/>
        </w:rPr>
      </w:pPr>
    </w:p>
    <w:p w14:paraId="5E7B47C0">
      <w:pPr>
        <w:autoSpaceDE w:val="0"/>
        <w:autoSpaceDN w:val="0"/>
        <w:adjustRightInd w:val="0"/>
        <w:spacing w:line="360" w:lineRule="auto"/>
        <w:jc w:val="both"/>
        <w:rPr>
          <w:rFonts w:hint="eastAsia" w:asciiTheme="minorEastAsia" w:hAnsiTheme="minorEastAsia" w:eastAsiaTheme="minorEastAsia" w:cstheme="minorEastAsia"/>
          <w:b/>
          <w:color w:val="auto"/>
          <w:sz w:val="28"/>
          <w:szCs w:val="28"/>
          <w:highlight w:val="none"/>
        </w:rPr>
      </w:pPr>
    </w:p>
    <w:p w14:paraId="5D6CC7D2">
      <w:pPr>
        <w:autoSpaceDE w:val="0"/>
        <w:autoSpaceDN w:val="0"/>
        <w:adjustRightInd w:val="0"/>
        <w:spacing w:line="360" w:lineRule="auto"/>
        <w:jc w:val="both"/>
        <w:rPr>
          <w:rFonts w:hint="eastAsia" w:asciiTheme="minorEastAsia" w:hAnsiTheme="minorEastAsia" w:eastAsiaTheme="minorEastAsia" w:cstheme="minorEastAsia"/>
          <w:b/>
          <w:color w:val="auto"/>
          <w:sz w:val="28"/>
          <w:szCs w:val="28"/>
          <w:highlight w:val="none"/>
        </w:rPr>
      </w:pPr>
    </w:p>
    <w:p w14:paraId="2FEBCD98">
      <w:pPr>
        <w:autoSpaceDE w:val="0"/>
        <w:autoSpaceDN w:val="0"/>
        <w:adjustRightInd w:val="0"/>
        <w:spacing w:line="360" w:lineRule="auto"/>
        <w:jc w:val="both"/>
        <w:rPr>
          <w:rFonts w:hint="eastAsia" w:asciiTheme="minorEastAsia" w:hAnsiTheme="minorEastAsia" w:eastAsiaTheme="minorEastAsia" w:cstheme="minorEastAsia"/>
          <w:b/>
          <w:color w:val="auto"/>
          <w:sz w:val="28"/>
          <w:szCs w:val="28"/>
          <w:highlight w:val="none"/>
        </w:rPr>
      </w:pPr>
    </w:p>
    <w:p w14:paraId="1DCA464C">
      <w:pPr>
        <w:autoSpaceDE w:val="0"/>
        <w:autoSpaceDN w:val="0"/>
        <w:adjustRightInd w:val="0"/>
        <w:spacing w:line="360" w:lineRule="auto"/>
        <w:jc w:val="both"/>
        <w:rPr>
          <w:rFonts w:hint="eastAsia" w:asciiTheme="minorEastAsia" w:hAnsiTheme="minorEastAsia" w:eastAsiaTheme="minorEastAsia" w:cstheme="minorEastAsia"/>
          <w:b/>
          <w:color w:val="auto"/>
          <w:sz w:val="28"/>
          <w:szCs w:val="28"/>
          <w:highlight w:val="none"/>
        </w:rPr>
      </w:pPr>
    </w:p>
    <w:p w14:paraId="0934064D">
      <w:pPr>
        <w:autoSpaceDE w:val="0"/>
        <w:autoSpaceDN w:val="0"/>
        <w:adjustRightInd w:val="0"/>
        <w:spacing w:line="360" w:lineRule="auto"/>
        <w:jc w:val="both"/>
        <w:rPr>
          <w:rFonts w:hint="eastAsia" w:asciiTheme="minorEastAsia" w:hAnsiTheme="minorEastAsia" w:eastAsiaTheme="minorEastAsia" w:cstheme="minorEastAsia"/>
          <w:b/>
          <w:color w:val="auto"/>
          <w:sz w:val="28"/>
          <w:szCs w:val="28"/>
          <w:highlight w:val="none"/>
        </w:rPr>
      </w:pPr>
    </w:p>
    <w:p w14:paraId="1E19C795">
      <w:pPr>
        <w:autoSpaceDE w:val="0"/>
        <w:autoSpaceDN w:val="0"/>
        <w:adjustRightInd w:val="0"/>
        <w:spacing w:line="360" w:lineRule="auto"/>
        <w:jc w:val="both"/>
        <w:rPr>
          <w:rFonts w:hint="eastAsia" w:asciiTheme="minorEastAsia" w:hAnsiTheme="minorEastAsia" w:eastAsiaTheme="minorEastAsia" w:cstheme="minorEastAsia"/>
          <w:b/>
          <w:color w:val="auto"/>
          <w:sz w:val="28"/>
          <w:szCs w:val="28"/>
          <w:highlight w:val="none"/>
        </w:rPr>
      </w:pPr>
    </w:p>
    <w:p w14:paraId="4C0915B8">
      <w:pPr>
        <w:autoSpaceDE w:val="0"/>
        <w:autoSpaceDN w:val="0"/>
        <w:adjustRightInd w:val="0"/>
        <w:spacing w:line="360" w:lineRule="auto"/>
        <w:jc w:val="both"/>
        <w:rPr>
          <w:rFonts w:hint="eastAsia" w:asciiTheme="minorEastAsia" w:hAnsiTheme="minorEastAsia" w:eastAsiaTheme="minorEastAsia" w:cstheme="minorEastAsia"/>
          <w:b/>
          <w:color w:val="auto"/>
          <w:sz w:val="28"/>
          <w:szCs w:val="28"/>
          <w:highlight w:val="none"/>
        </w:rPr>
      </w:pPr>
    </w:p>
    <w:p w14:paraId="6B5209D3">
      <w:pPr>
        <w:autoSpaceDE w:val="0"/>
        <w:autoSpaceDN w:val="0"/>
        <w:adjustRightInd w:val="0"/>
        <w:spacing w:line="360" w:lineRule="auto"/>
        <w:jc w:val="both"/>
        <w:rPr>
          <w:rFonts w:hint="eastAsia" w:asciiTheme="minorEastAsia" w:hAnsiTheme="minorEastAsia" w:eastAsiaTheme="minorEastAsia" w:cstheme="minorEastAsia"/>
          <w:b/>
          <w:color w:val="auto"/>
          <w:sz w:val="28"/>
          <w:szCs w:val="28"/>
          <w:highlight w:val="none"/>
        </w:rPr>
      </w:pPr>
    </w:p>
    <w:p w14:paraId="410A3E61">
      <w:pPr>
        <w:autoSpaceDE w:val="0"/>
        <w:autoSpaceDN w:val="0"/>
        <w:adjustRightInd w:val="0"/>
        <w:spacing w:line="360" w:lineRule="auto"/>
        <w:jc w:val="both"/>
        <w:rPr>
          <w:rFonts w:hint="eastAsia" w:asciiTheme="minorEastAsia" w:hAnsiTheme="minorEastAsia" w:eastAsiaTheme="minorEastAsia" w:cstheme="minorEastAsia"/>
          <w:b/>
          <w:color w:val="auto"/>
          <w:sz w:val="28"/>
          <w:szCs w:val="28"/>
          <w:highlight w:val="none"/>
        </w:rPr>
      </w:pPr>
    </w:p>
    <w:p w14:paraId="7714546D">
      <w:pPr>
        <w:autoSpaceDE w:val="0"/>
        <w:autoSpaceDN w:val="0"/>
        <w:adjustRightInd w:val="0"/>
        <w:spacing w:line="360" w:lineRule="auto"/>
        <w:jc w:val="both"/>
        <w:rPr>
          <w:rFonts w:hint="eastAsia" w:asciiTheme="minorEastAsia" w:hAnsiTheme="minorEastAsia" w:eastAsiaTheme="minorEastAsia" w:cstheme="minorEastAsia"/>
          <w:b/>
          <w:color w:val="auto"/>
          <w:sz w:val="28"/>
          <w:szCs w:val="28"/>
          <w:highlight w:val="none"/>
        </w:rPr>
      </w:pPr>
    </w:p>
    <w:p w14:paraId="2A3F6813">
      <w:pPr>
        <w:autoSpaceDE w:val="0"/>
        <w:autoSpaceDN w:val="0"/>
        <w:adjustRightInd w:val="0"/>
        <w:spacing w:line="360" w:lineRule="auto"/>
        <w:jc w:val="both"/>
        <w:rPr>
          <w:rFonts w:hint="eastAsia" w:asciiTheme="minorEastAsia" w:hAnsiTheme="minorEastAsia" w:eastAsiaTheme="minorEastAsia" w:cstheme="minorEastAsia"/>
          <w:b/>
          <w:color w:val="auto"/>
          <w:sz w:val="28"/>
          <w:szCs w:val="28"/>
          <w:highlight w:val="none"/>
        </w:rPr>
      </w:pPr>
    </w:p>
    <w:p w14:paraId="59813E8E">
      <w:pPr>
        <w:autoSpaceDE w:val="0"/>
        <w:autoSpaceDN w:val="0"/>
        <w:adjustRightInd w:val="0"/>
        <w:spacing w:line="360" w:lineRule="auto"/>
        <w:jc w:val="both"/>
        <w:rPr>
          <w:rFonts w:hint="eastAsia" w:asciiTheme="minorEastAsia" w:hAnsiTheme="minorEastAsia" w:eastAsiaTheme="minorEastAsia" w:cstheme="minorEastAsia"/>
          <w:b/>
          <w:color w:val="auto"/>
          <w:sz w:val="28"/>
          <w:szCs w:val="28"/>
          <w:highlight w:val="none"/>
        </w:rPr>
      </w:pPr>
    </w:p>
    <w:p w14:paraId="77E2ADF5">
      <w:pPr>
        <w:autoSpaceDE w:val="0"/>
        <w:autoSpaceDN w:val="0"/>
        <w:adjustRightInd w:val="0"/>
        <w:spacing w:line="360" w:lineRule="auto"/>
        <w:jc w:val="both"/>
        <w:rPr>
          <w:rFonts w:hint="eastAsia" w:asciiTheme="minorEastAsia" w:hAnsiTheme="minorEastAsia" w:eastAsiaTheme="minorEastAsia" w:cstheme="minorEastAsia"/>
          <w:b/>
          <w:color w:val="auto"/>
          <w:sz w:val="28"/>
          <w:szCs w:val="28"/>
          <w:highlight w:val="none"/>
        </w:rPr>
      </w:pPr>
    </w:p>
    <w:p w14:paraId="1B0D2352">
      <w:pPr>
        <w:autoSpaceDE w:val="0"/>
        <w:autoSpaceDN w:val="0"/>
        <w:adjustRightInd w:val="0"/>
        <w:spacing w:line="360" w:lineRule="auto"/>
        <w:jc w:val="both"/>
        <w:rPr>
          <w:rFonts w:hint="eastAsia" w:asciiTheme="minorEastAsia" w:hAnsiTheme="minorEastAsia" w:eastAsiaTheme="minorEastAsia" w:cstheme="minorEastAsia"/>
          <w:b/>
          <w:color w:val="auto"/>
          <w:sz w:val="28"/>
          <w:szCs w:val="28"/>
          <w:highlight w:val="none"/>
        </w:rPr>
      </w:pPr>
    </w:p>
    <w:p w14:paraId="030485CD">
      <w:pPr>
        <w:autoSpaceDE w:val="0"/>
        <w:autoSpaceDN w:val="0"/>
        <w:adjustRightInd w:val="0"/>
        <w:spacing w:line="360" w:lineRule="auto"/>
        <w:jc w:val="both"/>
        <w:rPr>
          <w:rFonts w:hint="eastAsia" w:asciiTheme="minorEastAsia" w:hAnsiTheme="minorEastAsia" w:eastAsiaTheme="minorEastAsia" w:cstheme="minorEastAsia"/>
          <w:b/>
          <w:color w:val="auto"/>
          <w:sz w:val="28"/>
          <w:szCs w:val="28"/>
          <w:highlight w:val="none"/>
        </w:rPr>
      </w:pPr>
    </w:p>
    <w:p w14:paraId="26EB622D">
      <w:pPr>
        <w:autoSpaceDE w:val="0"/>
        <w:autoSpaceDN w:val="0"/>
        <w:adjustRightInd w:val="0"/>
        <w:spacing w:line="360" w:lineRule="auto"/>
        <w:jc w:val="both"/>
        <w:rPr>
          <w:rFonts w:hint="eastAsia" w:asciiTheme="minorEastAsia" w:hAnsiTheme="minorEastAsia" w:eastAsiaTheme="minorEastAsia" w:cstheme="minorEastAsia"/>
          <w:b/>
          <w:color w:val="auto"/>
          <w:sz w:val="28"/>
          <w:szCs w:val="28"/>
          <w:highlight w:val="none"/>
        </w:rPr>
      </w:pPr>
    </w:p>
    <w:p w14:paraId="566CCD01">
      <w:pPr>
        <w:autoSpaceDE w:val="0"/>
        <w:autoSpaceDN w:val="0"/>
        <w:adjustRightInd w:val="0"/>
        <w:spacing w:line="360" w:lineRule="auto"/>
        <w:jc w:val="both"/>
        <w:rPr>
          <w:rFonts w:hint="eastAsia" w:asciiTheme="minorEastAsia" w:hAnsiTheme="minorEastAsia" w:eastAsiaTheme="minorEastAsia" w:cstheme="minorEastAsia"/>
          <w:b/>
          <w:color w:val="auto"/>
          <w:sz w:val="28"/>
          <w:szCs w:val="28"/>
          <w:highlight w:val="none"/>
        </w:rPr>
      </w:pPr>
    </w:p>
    <w:p w14:paraId="52EB3CA5">
      <w:pPr>
        <w:autoSpaceDE w:val="0"/>
        <w:autoSpaceDN w:val="0"/>
        <w:adjustRightInd w:val="0"/>
        <w:spacing w:line="360" w:lineRule="auto"/>
        <w:jc w:val="both"/>
        <w:rPr>
          <w:rFonts w:hint="eastAsia" w:asciiTheme="minorEastAsia" w:hAnsiTheme="minorEastAsia" w:eastAsiaTheme="minorEastAsia" w:cstheme="minorEastAsia"/>
          <w:b/>
          <w:color w:val="auto"/>
          <w:sz w:val="28"/>
          <w:szCs w:val="28"/>
          <w:highlight w:val="none"/>
        </w:rPr>
      </w:pPr>
    </w:p>
    <w:p w14:paraId="2C880E5C">
      <w:pPr>
        <w:autoSpaceDE w:val="0"/>
        <w:autoSpaceDN w:val="0"/>
        <w:adjustRightInd w:val="0"/>
        <w:spacing w:line="360" w:lineRule="auto"/>
        <w:jc w:val="both"/>
        <w:rPr>
          <w:rFonts w:hint="eastAsia" w:asciiTheme="minorEastAsia" w:hAnsiTheme="minorEastAsia" w:eastAsiaTheme="minorEastAsia" w:cstheme="minorEastAsia"/>
          <w:b/>
          <w:color w:val="auto"/>
          <w:sz w:val="28"/>
          <w:szCs w:val="28"/>
          <w:highlight w:val="none"/>
        </w:rPr>
      </w:pPr>
    </w:p>
    <w:p w14:paraId="351C0ACB">
      <w:pPr>
        <w:autoSpaceDE w:val="0"/>
        <w:autoSpaceDN w:val="0"/>
        <w:adjustRightInd w:val="0"/>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代理/经销证明（如有）</w:t>
      </w:r>
    </w:p>
    <w:p w14:paraId="7027ED5E">
      <w:pPr>
        <w:autoSpaceDE w:val="0"/>
        <w:autoSpaceDN w:val="0"/>
        <w:adjustRightInd w:val="0"/>
        <w:spacing w:line="360" w:lineRule="auto"/>
        <w:jc w:val="both"/>
        <w:rPr>
          <w:rFonts w:hint="eastAsia" w:asciiTheme="minorEastAsia" w:hAnsiTheme="minorEastAsia" w:eastAsiaTheme="minorEastAsia" w:cstheme="minorEastAsia"/>
          <w:b/>
          <w:color w:val="auto"/>
          <w:sz w:val="28"/>
          <w:szCs w:val="16"/>
          <w:highlight w:val="none"/>
        </w:rPr>
      </w:pPr>
    </w:p>
    <w:p w14:paraId="191398CE">
      <w:pPr>
        <w:autoSpaceDE w:val="0"/>
        <w:autoSpaceDN w:val="0"/>
        <w:adjustRightInd w:val="0"/>
        <w:spacing w:line="360" w:lineRule="auto"/>
        <w:jc w:val="both"/>
        <w:rPr>
          <w:rFonts w:hint="eastAsia" w:asciiTheme="minorEastAsia" w:hAnsiTheme="minorEastAsia" w:eastAsiaTheme="minorEastAsia" w:cstheme="minorEastAsia"/>
          <w:b/>
          <w:color w:val="auto"/>
          <w:sz w:val="28"/>
          <w:szCs w:val="16"/>
          <w:highlight w:val="none"/>
        </w:rPr>
      </w:pPr>
    </w:p>
    <w:p w14:paraId="04085CF2">
      <w:pPr>
        <w:autoSpaceDE w:val="0"/>
        <w:autoSpaceDN w:val="0"/>
        <w:adjustRightInd w:val="0"/>
        <w:spacing w:line="360" w:lineRule="auto"/>
        <w:jc w:val="both"/>
        <w:rPr>
          <w:rFonts w:hint="eastAsia" w:asciiTheme="minorEastAsia" w:hAnsiTheme="minorEastAsia" w:eastAsiaTheme="minorEastAsia" w:cstheme="minorEastAsia"/>
          <w:b/>
          <w:color w:val="auto"/>
          <w:sz w:val="28"/>
          <w:szCs w:val="16"/>
          <w:highlight w:val="none"/>
        </w:rPr>
      </w:pPr>
    </w:p>
    <w:p w14:paraId="51361A1C">
      <w:pPr>
        <w:autoSpaceDE w:val="0"/>
        <w:autoSpaceDN w:val="0"/>
        <w:adjustRightInd w:val="0"/>
        <w:spacing w:line="360" w:lineRule="auto"/>
        <w:jc w:val="both"/>
        <w:rPr>
          <w:rFonts w:hint="eastAsia" w:asciiTheme="minorEastAsia" w:hAnsiTheme="minorEastAsia" w:eastAsiaTheme="minorEastAsia" w:cstheme="minorEastAsia"/>
          <w:b/>
          <w:color w:val="auto"/>
          <w:sz w:val="28"/>
          <w:szCs w:val="16"/>
          <w:highlight w:val="none"/>
        </w:rPr>
      </w:pPr>
    </w:p>
    <w:p w14:paraId="018A269C">
      <w:pPr>
        <w:autoSpaceDE w:val="0"/>
        <w:autoSpaceDN w:val="0"/>
        <w:adjustRightInd w:val="0"/>
        <w:spacing w:line="360" w:lineRule="auto"/>
        <w:jc w:val="both"/>
        <w:rPr>
          <w:rFonts w:hint="eastAsia" w:asciiTheme="minorEastAsia" w:hAnsiTheme="minorEastAsia" w:eastAsiaTheme="minorEastAsia" w:cstheme="minorEastAsia"/>
          <w:b/>
          <w:color w:val="auto"/>
          <w:sz w:val="28"/>
          <w:szCs w:val="16"/>
          <w:highlight w:val="none"/>
        </w:rPr>
      </w:pPr>
    </w:p>
    <w:p w14:paraId="728DA786">
      <w:pPr>
        <w:autoSpaceDE w:val="0"/>
        <w:autoSpaceDN w:val="0"/>
        <w:adjustRightInd w:val="0"/>
        <w:spacing w:line="360" w:lineRule="auto"/>
        <w:jc w:val="both"/>
        <w:rPr>
          <w:rFonts w:hint="eastAsia" w:asciiTheme="minorEastAsia" w:hAnsiTheme="minorEastAsia" w:eastAsiaTheme="minorEastAsia" w:cstheme="minorEastAsia"/>
          <w:b/>
          <w:color w:val="auto"/>
          <w:sz w:val="28"/>
          <w:szCs w:val="16"/>
          <w:highlight w:val="none"/>
        </w:rPr>
      </w:pPr>
    </w:p>
    <w:p w14:paraId="2C231273">
      <w:pPr>
        <w:autoSpaceDE w:val="0"/>
        <w:autoSpaceDN w:val="0"/>
        <w:adjustRightInd w:val="0"/>
        <w:spacing w:line="360" w:lineRule="auto"/>
        <w:jc w:val="both"/>
        <w:rPr>
          <w:rFonts w:hint="eastAsia" w:asciiTheme="minorEastAsia" w:hAnsiTheme="minorEastAsia" w:eastAsiaTheme="minorEastAsia" w:cstheme="minorEastAsia"/>
          <w:b/>
          <w:color w:val="auto"/>
          <w:sz w:val="28"/>
          <w:szCs w:val="16"/>
          <w:highlight w:val="none"/>
        </w:rPr>
      </w:pPr>
    </w:p>
    <w:p w14:paraId="343F9323">
      <w:pPr>
        <w:autoSpaceDE w:val="0"/>
        <w:autoSpaceDN w:val="0"/>
        <w:adjustRightInd w:val="0"/>
        <w:spacing w:line="360" w:lineRule="auto"/>
        <w:jc w:val="both"/>
        <w:rPr>
          <w:rFonts w:hint="eastAsia" w:asciiTheme="minorEastAsia" w:hAnsiTheme="minorEastAsia" w:eastAsiaTheme="minorEastAsia" w:cstheme="minorEastAsia"/>
          <w:b/>
          <w:color w:val="auto"/>
          <w:sz w:val="28"/>
          <w:szCs w:val="16"/>
          <w:highlight w:val="none"/>
        </w:rPr>
      </w:pPr>
    </w:p>
    <w:p w14:paraId="7A04F9E5">
      <w:pPr>
        <w:autoSpaceDE w:val="0"/>
        <w:autoSpaceDN w:val="0"/>
        <w:adjustRightInd w:val="0"/>
        <w:spacing w:line="360" w:lineRule="auto"/>
        <w:jc w:val="both"/>
        <w:rPr>
          <w:rFonts w:hint="eastAsia" w:asciiTheme="minorEastAsia" w:hAnsiTheme="minorEastAsia" w:eastAsiaTheme="minorEastAsia" w:cstheme="minorEastAsia"/>
          <w:b/>
          <w:color w:val="auto"/>
          <w:sz w:val="28"/>
          <w:szCs w:val="16"/>
          <w:highlight w:val="none"/>
        </w:rPr>
      </w:pPr>
    </w:p>
    <w:p w14:paraId="263FEFDA">
      <w:pPr>
        <w:autoSpaceDE w:val="0"/>
        <w:autoSpaceDN w:val="0"/>
        <w:adjustRightInd w:val="0"/>
        <w:spacing w:line="360" w:lineRule="auto"/>
        <w:jc w:val="both"/>
        <w:rPr>
          <w:rFonts w:hint="eastAsia" w:asciiTheme="minorEastAsia" w:hAnsiTheme="minorEastAsia" w:eastAsiaTheme="minorEastAsia" w:cstheme="minorEastAsia"/>
          <w:b/>
          <w:color w:val="auto"/>
          <w:sz w:val="28"/>
          <w:szCs w:val="16"/>
          <w:highlight w:val="none"/>
        </w:rPr>
      </w:pPr>
    </w:p>
    <w:p w14:paraId="00984478">
      <w:pPr>
        <w:autoSpaceDE w:val="0"/>
        <w:autoSpaceDN w:val="0"/>
        <w:adjustRightInd w:val="0"/>
        <w:spacing w:line="360" w:lineRule="auto"/>
        <w:jc w:val="both"/>
        <w:rPr>
          <w:rFonts w:hint="eastAsia" w:asciiTheme="minorEastAsia" w:hAnsiTheme="minorEastAsia" w:eastAsiaTheme="minorEastAsia" w:cstheme="minorEastAsia"/>
          <w:b/>
          <w:color w:val="auto"/>
          <w:sz w:val="28"/>
          <w:szCs w:val="16"/>
          <w:highlight w:val="none"/>
        </w:rPr>
      </w:pPr>
    </w:p>
    <w:p w14:paraId="5DD4B69B">
      <w:pPr>
        <w:autoSpaceDE w:val="0"/>
        <w:autoSpaceDN w:val="0"/>
        <w:adjustRightInd w:val="0"/>
        <w:spacing w:line="360" w:lineRule="auto"/>
        <w:jc w:val="both"/>
        <w:rPr>
          <w:rFonts w:hint="eastAsia" w:asciiTheme="minorEastAsia" w:hAnsiTheme="minorEastAsia" w:eastAsiaTheme="minorEastAsia" w:cstheme="minorEastAsia"/>
          <w:b/>
          <w:color w:val="auto"/>
          <w:sz w:val="28"/>
          <w:szCs w:val="16"/>
          <w:highlight w:val="none"/>
        </w:rPr>
      </w:pPr>
    </w:p>
    <w:p w14:paraId="0C1DAC4B">
      <w:pPr>
        <w:autoSpaceDE w:val="0"/>
        <w:autoSpaceDN w:val="0"/>
        <w:adjustRightInd w:val="0"/>
        <w:spacing w:line="360" w:lineRule="auto"/>
        <w:jc w:val="both"/>
        <w:rPr>
          <w:rFonts w:hint="eastAsia" w:asciiTheme="minorEastAsia" w:hAnsiTheme="minorEastAsia" w:eastAsiaTheme="minorEastAsia" w:cstheme="minorEastAsia"/>
          <w:b/>
          <w:color w:val="auto"/>
          <w:sz w:val="28"/>
          <w:szCs w:val="16"/>
          <w:highlight w:val="none"/>
        </w:rPr>
      </w:pPr>
    </w:p>
    <w:p w14:paraId="458FA810">
      <w:pPr>
        <w:autoSpaceDE w:val="0"/>
        <w:autoSpaceDN w:val="0"/>
        <w:adjustRightInd w:val="0"/>
        <w:spacing w:line="360" w:lineRule="auto"/>
        <w:jc w:val="both"/>
        <w:rPr>
          <w:rFonts w:hint="eastAsia" w:asciiTheme="minorEastAsia" w:hAnsiTheme="minorEastAsia" w:eastAsiaTheme="minorEastAsia" w:cstheme="minorEastAsia"/>
          <w:b/>
          <w:color w:val="auto"/>
          <w:sz w:val="28"/>
          <w:szCs w:val="16"/>
          <w:highlight w:val="none"/>
        </w:rPr>
      </w:pPr>
    </w:p>
    <w:p w14:paraId="3988DCB7">
      <w:pPr>
        <w:autoSpaceDE w:val="0"/>
        <w:autoSpaceDN w:val="0"/>
        <w:adjustRightInd w:val="0"/>
        <w:spacing w:line="360" w:lineRule="auto"/>
        <w:jc w:val="both"/>
        <w:rPr>
          <w:rFonts w:hint="eastAsia" w:asciiTheme="minorEastAsia" w:hAnsiTheme="minorEastAsia" w:eastAsiaTheme="minorEastAsia" w:cstheme="minorEastAsia"/>
          <w:b/>
          <w:color w:val="auto"/>
          <w:sz w:val="28"/>
          <w:szCs w:val="16"/>
          <w:highlight w:val="none"/>
        </w:rPr>
      </w:pPr>
    </w:p>
    <w:p w14:paraId="6DD617C6">
      <w:pPr>
        <w:autoSpaceDE w:val="0"/>
        <w:autoSpaceDN w:val="0"/>
        <w:adjustRightInd w:val="0"/>
        <w:spacing w:line="360" w:lineRule="auto"/>
        <w:jc w:val="both"/>
        <w:rPr>
          <w:rFonts w:hint="eastAsia" w:asciiTheme="minorEastAsia" w:hAnsiTheme="minorEastAsia" w:eastAsiaTheme="minorEastAsia" w:cstheme="minorEastAsia"/>
          <w:b/>
          <w:color w:val="auto"/>
          <w:sz w:val="28"/>
          <w:szCs w:val="16"/>
          <w:highlight w:val="none"/>
        </w:rPr>
      </w:pPr>
    </w:p>
    <w:p w14:paraId="669A27D4">
      <w:pPr>
        <w:autoSpaceDE w:val="0"/>
        <w:autoSpaceDN w:val="0"/>
        <w:adjustRightInd w:val="0"/>
        <w:spacing w:line="360" w:lineRule="auto"/>
        <w:jc w:val="both"/>
        <w:rPr>
          <w:rFonts w:hint="eastAsia" w:asciiTheme="minorEastAsia" w:hAnsiTheme="minorEastAsia" w:eastAsiaTheme="minorEastAsia" w:cstheme="minorEastAsia"/>
          <w:b/>
          <w:color w:val="auto"/>
          <w:sz w:val="28"/>
          <w:szCs w:val="16"/>
          <w:highlight w:val="none"/>
        </w:rPr>
      </w:pPr>
    </w:p>
    <w:p w14:paraId="475FB44F">
      <w:pPr>
        <w:autoSpaceDE w:val="0"/>
        <w:autoSpaceDN w:val="0"/>
        <w:adjustRightInd w:val="0"/>
        <w:spacing w:line="360" w:lineRule="auto"/>
        <w:jc w:val="both"/>
        <w:rPr>
          <w:rFonts w:hint="eastAsia" w:asciiTheme="minorEastAsia" w:hAnsiTheme="minorEastAsia" w:eastAsiaTheme="minorEastAsia" w:cstheme="minorEastAsia"/>
          <w:b/>
          <w:color w:val="auto"/>
          <w:sz w:val="28"/>
          <w:szCs w:val="16"/>
          <w:highlight w:val="none"/>
        </w:rPr>
      </w:pPr>
    </w:p>
    <w:p w14:paraId="545449D3">
      <w:pPr>
        <w:autoSpaceDE w:val="0"/>
        <w:autoSpaceDN w:val="0"/>
        <w:adjustRightInd w:val="0"/>
        <w:spacing w:line="360" w:lineRule="auto"/>
        <w:jc w:val="both"/>
        <w:rPr>
          <w:rFonts w:hint="eastAsia" w:asciiTheme="minorEastAsia" w:hAnsiTheme="minorEastAsia" w:eastAsiaTheme="minorEastAsia" w:cstheme="minorEastAsia"/>
          <w:b/>
          <w:color w:val="auto"/>
          <w:sz w:val="28"/>
          <w:szCs w:val="16"/>
          <w:highlight w:val="none"/>
        </w:rPr>
      </w:pPr>
    </w:p>
    <w:p w14:paraId="02BA049E">
      <w:pPr>
        <w:autoSpaceDE w:val="0"/>
        <w:autoSpaceDN w:val="0"/>
        <w:adjustRightInd w:val="0"/>
        <w:spacing w:line="360" w:lineRule="auto"/>
        <w:jc w:val="both"/>
        <w:rPr>
          <w:rFonts w:hint="eastAsia" w:asciiTheme="minorEastAsia" w:hAnsiTheme="minorEastAsia" w:eastAsiaTheme="minorEastAsia" w:cstheme="minorEastAsia"/>
          <w:b/>
          <w:color w:val="auto"/>
          <w:sz w:val="28"/>
          <w:szCs w:val="16"/>
          <w:highlight w:val="none"/>
        </w:rPr>
      </w:pPr>
    </w:p>
    <w:p w14:paraId="30584A03">
      <w:pPr>
        <w:autoSpaceDE w:val="0"/>
        <w:autoSpaceDN w:val="0"/>
        <w:adjustRightInd w:val="0"/>
        <w:spacing w:line="360" w:lineRule="auto"/>
        <w:jc w:val="both"/>
        <w:rPr>
          <w:rFonts w:hint="eastAsia" w:asciiTheme="minorEastAsia" w:hAnsiTheme="minorEastAsia" w:eastAsiaTheme="minorEastAsia" w:cstheme="minorEastAsia"/>
          <w:b/>
          <w:color w:val="auto"/>
          <w:sz w:val="28"/>
          <w:szCs w:val="16"/>
          <w:highlight w:val="none"/>
        </w:rPr>
      </w:pPr>
    </w:p>
    <w:p w14:paraId="5A1EFE0E">
      <w:pPr>
        <w:autoSpaceDE w:val="0"/>
        <w:autoSpaceDN w:val="0"/>
        <w:adjustRightInd w:val="0"/>
        <w:spacing w:line="360" w:lineRule="auto"/>
        <w:jc w:val="both"/>
        <w:rPr>
          <w:rFonts w:hint="eastAsia" w:asciiTheme="minorEastAsia" w:hAnsiTheme="minorEastAsia" w:eastAsiaTheme="minorEastAsia" w:cstheme="minorEastAsia"/>
          <w:b/>
          <w:color w:val="auto"/>
          <w:sz w:val="28"/>
          <w:szCs w:val="16"/>
          <w:highlight w:val="none"/>
        </w:rPr>
      </w:pPr>
    </w:p>
    <w:p w14:paraId="3733789D">
      <w:pPr>
        <w:autoSpaceDE w:val="0"/>
        <w:autoSpaceDN w:val="0"/>
        <w:adjustRightInd w:val="0"/>
        <w:spacing w:line="360" w:lineRule="auto"/>
        <w:jc w:val="both"/>
        <w:rPr>
          <w:rFonts w:hint="eastAsia" w:asciiTheme="minorEastAsia" w:hAnsiTheme="minorEastAsia" w:eastAsiaTheme="minorEastAsia" w:cstheme="minorEastAsia"/>
          <w:b/>
          <w:color w:val="auto"/>
          <w:sz w:val="28"/>
          <w:szCs w:val="16"/>
          <w:highlight w:val="none"/>
        </w:rPr>
      </w:pPr>
    </w:p>
    <w:p w14:paraId="4FFB72ED">
      <w:pPr>
        <w:autoSpaceDE w:val="0"/>
        <w:autoSpaceDN w:val="0"/>
        <w:adjustRightInd w:val="0"/>
        <w:spacing w:line="360" w:lineRule="auto"/>
        <w:jc w:val="both"/>
        <w:rPr>
          <w:rFonts w:hint="eastAsia" w:asciiTheme="minorEastAsia" w:hAnsiTheme="minorEastAsia" w:eastAsiaTheme="minorEastAsia" w:cstheme="minorEastAsia"/>
          <w:b/>
          <w:color w:val="auto"/>
          <w:sz w:val="28"/>
          <w:szCs w:val="16"/>
          <w:highlight w:val="none"/>
        </w:rPr>
      </w:pPr>
    </w:p>
    <w:p w14:paraId="3DBD9043">
      <w:pPr>
        <w:autoSpaceDE w:val="0"/>
        <w:autoSpaceDN w:val="0"/>
        <w:adjustRightInd w:val="0"/>
        <w:spacing w:line="360" w:lineRule="auto"/>
        <w:jc w:val="both"/>
        <w:rPr>
          <w:rFonts w:hint="eastAsia" w:asciiTheme="minorEastAsia" w:hAnsiTheme="minorEastAsia" w:eastAsiaTheme="minorEastAsia" w:cstheme="minorEastAsia"/>
          <w:b/>
          <w:color w:val="auto"/>
          <w:sz w:val="28"/>
          <w:szCs w:val="16"/>
          <w:highlight w:val="none"/>
        </w:rPr>
      </w:pPr>
    </w:p>
    <w:p w14:paraId="644C6315">
      <w:pPr>
        <w:autoSpaceDE w:val="0"/>
        <w:autoSpaceDN w:val="0"/>
        <w:adjustRightInd w:val="0"/>
        <w:spacing w:line="360" w:lineRule="auto"/>
        <w:jc w:val="center"/>
        <w:rPr>
          <w:rFonts w:hint="eastAsia" w:asciiTheme="minorEastAsia" w:hAnsiTheme="minorEastAsia" w:eastAsiaTheme="minorEastAsia" w:cstheme="minorEastAsia"/>
          <w:b/>
          <w:color w:val="auto"/>
          <w:sz w:val="28"/>
          <w:szCs w:val="16"/>
          <w:highlight w:val="none"/>
        </w:rPr>
      </w:pPr>
      <w:r>
        <w:rPr>
          <w:rFonts w:hint="eastAsia" w:asciiTheme="minorEastAsia" w:hAnsiTheme="minorEastAsia" w:eastAsiaTheme="minorEastAsia" w:cstheme="minorEastAsia"/>
          <w:b/>
          <w:color w:val="auto"/>
          <w:sz w:val="28"/>
          <w:szCs w:val="16"/>
          <w:highlight w:val="none"/>
        </w:rPr>
        <w:t>（3）财务要求</w:t>
      </w:r>
    </w:p>
    <w:p w14:paraId="634445A4">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77121E4A">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4DC83EB3">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14AD6E19">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4E8731F3">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535AA9C4">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5888D7A1">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1385F253">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3AA7485F">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2D9FDF84">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0146AEB7">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3FE2FB61">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0060CFE6">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2A8D6E90">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6CB3BBE3">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40426CAD">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6A55066A">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4A9BB599">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4C870CD4">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601035FD">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32651FBE">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71E4FA22">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4206A5FD">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1DE8521E">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4B87BAC3">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398E3828">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60C7AFFF">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248635EE">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65F1F314">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23FCE451">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75304A0A">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728D6F44">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55BEC889">
      <w:pPr>
        <w:autoSpaceDE w:val="0"/>
        <w:autoSpaceDN w:val="0"/>
        <w:adjustRightInd w:val="0"/>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
          <w:color w:val="auto"/>
          <w:sz w:val="28"/>
          <w:szCs w:val="28"/>
          <w:highlight w:val="none"/>
        </w:rPr>
        <w:t>（4）纳税及社保要求</w:t>
      </w:r>
    </w:p>
    <w:p w14:paraId="701BE8D5">
      <w:pPr>
        <w:autoSpaceDE w:val="0"/>
        <w:autoSpaceDN w:val="0"/>
        <w:adjustRightInd w:val="0"/>
        <w:jc w:val="center"/>
        <w:rPr>
          <w:rFonts w:hint="eastAsia" w:asciiTheme="minorEastAsia" w:hAnsiTheme="minorEastAsia" w:eastAsiaTheme="minorEastAsia" w:cstheme="minorEastAsia"/>
          <w:bCs/>
          <w:color w:val="auto"/>
          <w:szCs w:val="21"/>
          <w:highlight w:val="none"/>
        </w:rPr>
      </w:pPr>
    </w:p>
    <w:p w14:paraId="7E8D185C">
      <w:pPr>
        <w:autoSpaceDE w:val="0"/>
        <w:autoSpaceDN w:val="0"/>
        <w:adjustRightInd w:val="0"/>
        <w:jc w:val="center"/>
        <w:rPr>
          <w:rFonts w:hint="eastAsia" w:asciiTheme="minorEastAsia" w:hAnsiTheme="minorEastAsia" w:eastAsiaTheme="minorEastAsia" w:cstheme="minorEastAsia"/>
          <w:bCs/>
          <w:color w:val="auto"/>
          <w:szCs w:val="21"/>
          <w:highlight w:val="none"/>
        </w:rPr>
      </w:pPr>
    </w:p>
    <w:p w14:paraId="7BA6DF17">
      <w:pPr>
        <w:autoSpaceDE w:val="0"/>
        <w:autoSpaceDN w:val="0"/>
        <w:adjustRightInd w:val="0"/>
        <w:jc w:val="center"/>
        <w:rPr>
          <w:rFonts w:hint="eastAsia" w:asciiTheme="minorEastAsia" w:hAnsiTheme="minorEastAsia" w:eastAsiaTheme="minorEastAsia" w:cstheme="minorEastAsia"/>
          <w:bCs/>
          <w:color w:val="auto"/>
          <w:szCs w:val="21"/>
          <w:highlight w:val="none"/>
        </w:rPr>
      </w:pPr>
    </w:p>
    <w:p w14:paraId="7CB6B324">
      <w:pPr>
        <w:autoSpaceDE w:val="0"/>
        <w:autoSpaceDN w:val="0"/>
        <w:adjustRightInd w:val="0"/>
        <w:jc w:val="center"/>
        <w:rPr>
          <w:rFonts w:hint="eastAsia" w:asciiTheme="minorEastAsia" w:hAnsiTheme="minorEastAsia" w:eastAsiaTheme="minorEastAsia" w:cstheme="minorEastAsia"/>
          <w:bCs/>
          <w:color w:val="auto"/>
          <w:szCs w:val="21"/>
          <w:highlight w:val="none"/>
        </w:rPr>
      </w:pPr>
    </w:p>
    <w:p w14:paraId="4C412B53">
      <w:pPr>
        <w:autoSpaceDE w:val="0"/>
        <w:autoSpaceDN w:val="0"/>
        <w:adjustRightInd w:val="0"/>
        <w:jc w:val="center"/>
        <w:rPr>
          <w:rFonts w:hint="eastAsia" w:asciiTheme="minorEastAsia" w:hAnsiTheme="minorEastAsia" w:eastAsiaTheme="minorEastAsia" w:cstheme="minorEastAsia"/>
          <w:bCs/>
          <w:color w:val="auto"/>
          <w:szCs w:val="21"/>
          <w:highlight w:val="none"/>
        </w:rPr>
      </w:pPr>
    </w:p>
    <w:p w14:paraId="1CEA961C">
      <w:pPr>
        <w:autoSpaceDE w:val="0"/>
        <w:autoSpaceDN w:val="0"/>
        <w:adjustRightInd w:val="0"/>
        <w:jc w:val="center"/>
        <w:rPr>
          <w:rFonts w:hint="eastAsia" w:asciiTheme="minorEastAsia" w:hAnsiTheme="minorEastAsia" w:eastAsiaTheme="minorEastAsia" w:cstheme="minorEastAsia"/>
          <w:bCs/>
          <w:color w:val="auto"/>
          <w:szCs w:val="21"/>
          <w:highlight w:val="none"/>
        </w:rPr>
      </w:pPr>
    </w:p>
    <w:p w14:paraId="587BE6D7">
      <w:pPr>
        <w:autoSpaceDE w:val="0"/>
        <w:autoSpaceDN w:val="0"/>
        <w:adjustRightInd w:val="0"/>
        <w:jc w:val="center"/>
        <w:rPr>
          <w:rFonts w:hint="eastAsia" w:asciiTheme="minorEastAsia" w:hAnsiTheme="minorEastAsia" w:eastAsiaTheme="minorEastAsia" w:cstheme="minorEastAsia"/>
          <w:bCs/>
          <w:color w:val="auto"/>
          <w:szCs w:val="21"/>
          <w:highlight w:val="none"/>
        </w:rPr>
      </w:pPr>
    </w:p>
    <w:p w14:paraId="145DCDFB">
      <w:pPr>
        <w:autoSpaceDE w:val="0"/>
        <w:autoSpaceDN w:val="0"/>
        <w:adjustRightInd w:val="0"/>
        <w:jc w:val="center"/>
        <w:rPr>
          <w:rFonts w:hint="eastAsia" w:asciiTheme="minorEastAsia" w:hAnsiTheme="minorEastAsia" w:eastAsiaTheme="minorEastAsia" w:cstheme="minorEastAsia"/>
          <w:bCs/>
          <w:color w:val="auto"/>
          <w:szCs w:val="21"/>
          <w:highlight w:val="none"/>
        </w:rPr>
      </w:pPr>
    </w:p>
    <w:p w14:paraId="26418627">
      <w:pPr>
        <w:autoSpaceDE w:val="0"/>
        <w:autoSpaceDN w:val="0"/>
        <w:adjustRightInd w:val="0"/>
        <w:jc w:val="center"/>
        <w:rPr>
          <w:rFonts w:hint="eastAsia" w:asciiTheme="minorEastAsia" w:hAnsiTheme="minorEastAsia" w:eastAsiaTheme="minorEastAsia" w:cstheme="minorEastAsia"/>
          <w:bCs/>
          <w:color w:val="auto"/>
          <w:szCs w:val="21"/>
          <w:highlight w:val="none"/>
        </w:rPr>
      </w:pPr>
    </w:p>
    <w:p w14:paraId="7B37DDAF">
      <w:pPr>
        <w:autoSpaceDE w:val="0"/>
        <w:autoSpaceDN w:val="0"/>
        <w:adjustRightInd w:val="0"/>
        <w:jc w:val="center"/>
        <w:rPr>
          <w:rFonts w:hint="eastAsia" w:asciiTheme="minorEastAsia" w:hAnsiTheme="minorEastAsia" w:eastAsiaTheme="minorEastAsia" w:cstheme="minorEastAsia"/>
          <w:bCs/>
          <w:color w:val="auto"/>
          <w:szCs w:val="21"/>
          <w:highlight w:val="none"/>
        </w:rPr>
      </w:pPr>
    </w:p>
    <w:p w14:paraId="03334146">
      <w:pPr>
        <w:autoSpaceDE w:val="0"/>
        <w:autoSpaceDN w:val="0"/>
        <w:adjustRightInd w:val="0"/>
        <w:jc w:val="center"/>
        <w:rPr>
          <w:rFonts w:hint="eastAsia" w:asciiTheme="minorEastAsia" w:hAnsiTheme="minorEastAsia" w:eastAsiaTheme="minorEastAsia" w:cstheme="minorEastAsia"/>
          <w:bCs/>
          <w:color w:val="auto"/>
          <w:szCs w:val="21"/>
          <w:highlight w:val="none"/>
        </w:rPr>
      </w:pPr>
    </w:p>
    <w:p w14:paraId="3F3D1A12">
      <w:pPr>
        <w:autoSpaceDE w:val="0"/>
        <w:autoSpaceDN w:val="0"/>
        <w:adjustRightInd w:val="0"/>
        <w:jc w:val="center"/>
        <w:rPr>
          <w:rFonts w:hint="eastAsia" w:asciiTheme="minorEastAsia" w:hAnsiTheme="minorEastAsia" w:eastAsiaTheme="minorEastAsia" w:cstheme="minorEastAsia"/>
          <w:bCs/>
          <w:color w:val="auto"/>
          <w:szCs w:val="21"/>
          <w:highlight w:val="none"/>
        </w:rPr>
      </w:pPr>
    </w:p>
    <w:p w14:paraId="6C60985E">
      <w:pPr>
        <w:autoSpaceDE w:val="0"/>
        <w:autoSpaceDN w:val="0"/>
        <w:adjustRightInd w:val="0"/>
        <w:jc w:val="center"/>
        <w:rPr>
          <w:rFonts w:hint="eastAsia" w:asciiTheme="minorEastAsia" w:hAnsiTheme="minorEastAsia" w:eastAsiaTheme="minorEastAsia" w:cstheme="minorEastAsia"/>
          <w:bCs/>
          <w:color w:val="auto"/>
          <w:szCs w:val="21"/>
          <w:highlight w:val="none"/>
        </w:rPr>
      </w:pPr>
    </w:p>
    <w:p w14:paraId="5DCB4118">
      <w:pPr>
        <w:autoSpaceDE w:val="0"/>
        <w:autoSpaceDN w:val="0"/>
        <w:adjustRightInd w:val="0"/>
        <w:jc w:val="center"/>
        <w:rPr>
          <w:rFonts w:hint="eastAsia" w:asciiTheme="minorEastAsia" w:hAnsiTheme="minorEastAsia" w:eastAsiaTheme="minorEastAsia" w:cstheme="minorEastAsia"/>
          <w:bCs/>
          <w:color w:val="auto"/>
          <w:szCs w:val="21"/>
          <w:highlight w:val="none"/>
        </w:rPr>
      </w:pPr>
    </w:p>
    <w:p w14:paraId="588EAD13">
      <w:pPr>
        <w:autoSpaceDE w:val="0"/>
        <w:autoSpaceDN w:val="0"/>
        <w:adjustRightInd w:val="0"/>
        <w:jc w:val="center"/>
        <w:rPr>
          <w:rFonts w:hint="eastAsia" w:asciiTheme="minorEastAsia" w:hAnsiTheme="minorEastAsia" w:eastAsiaTheme="minorEastAsia" w:cstheme="minorEastAsia"/>
          <w:bCs/>
          <w:color w:val="auto"/>
          <w:szCs w:val="21"/>
          <w:highlight w:val="none"/>
        </w:rPr>
      </w:pPr>
    </w:p>
    <w:p w14:paraId="41E80D7A">
      <w:pPr>
        <w:autoSpaceDE w:val="0"/>
        <w:autoSpaceDN w:val="0"/>
        <w:adjustRightInd w:val="0"/>
        <w:jc w:val="center"/>
        <w:rPr>
          <w:rFonts w:hint="eastAsia" w:asciiTheme="minorEastAsia" w:hAnsiTheme="minorEastAsia" w:eastAsiaTheme="minorEastAsia" w:cstheme="minorEastAsia"/>
          <w:bCs/>
          <w:color w:val="auto"/>
          <w:szCs w:val="21"/>
          <w:highlight w:val="none"/>
        </w:rPr>
      </w:pPr>
    </w:p>
    <w:p w14:paraId="379523D1">
      <w:pPr>
        <w:autoSpaceDE w:val="0"/>
        <w:autoSpaceDN w:val="0"/>
        <w:adjustRightInd w:val="0"/>
        <w:jc w:val="center"/>
        <w:rPr>
          <w:rFonts w:hint="eastAsia" w:asciiTheme="minorEastAsia" w:hAnsiTheme="minorEastAsia" w:eastAsiaTheme="minorEastAsia" w:cstheme="minorEastAsia"/>
          <w:bCs/>
          <w:color w:val="auto"/>
          <w:szCs w:val="21"/>
          <w:highlight w:val="none"/>
        </w:rPr>
      </w:pPr>
    </w:p>
    <w:p w14:paraId="029ED4BF">
      <w:pPr>
        <w:autoSpaceDE w:val="0"/>
        <w:autoSpaceDN w:val="0"/>
        <w:adjustRightInd w:val="0"/>
        <w:jc w:val="center"/>
        <w:rPr>
          <w:rFonts w:hint="eastAsia" w:asciiTheme="minorEastAsia" w:hAnsiTheme="minorEastAsia" w:eastAsiaTheme="minorEastAsia" w:cstheme="minorEastAsia"/>
          <w:bCs/>
          <w:color w:val="auto"/>
          <w:szCs w:val="21"/>
          <w:highlight w:val="none"/>
        </w:rPr>
      </w:pPr>
    </w:p>
    <w:p w14:paraId="31146F1D">
      <w:pPr>
        <w:autoSpaceDE w:val="0"/>
        <w:autoSpaceDN w:val="0"/>
        <w:adjustRightInd w:val="0"/>
        <w:jc w:val="center"/>
        <w:rPr>
          <w:rFonts w:hint="eastAsia" w:asciiTheme="minorEastAsia" w:hAnsiTheme="minorEastAsia" w:eastAsiaTheme="minorEastAsia" w:cstheme="minorEastAsia"/>
          <w:bCs/>
          <w:color w:val="auto"/>
          <w:szCs w:val="21"/>
          <w:highlight w:val="none"/>
        </w:rPr>
      </w:pPr>
    </w:p>
    <w:p w14:paraId="6FEA6630">
      <w:pPr>
        <w:autoSpaceDE w:val="0"/>
        <w:autoSpaceDN w:val="0"/>
        <w:adjustRightInd w:val="0"/>
        <w:jc w:val="center"/>
        <w:rPr>
          <w:rFonts w:hint="eastAsia" w:asciiTheme="minorEastAsia" w:hAnsiTheme="minorEastAsia" w:eastAsiaTheme="minorEastAsia" w:cstheme="minorEastAsia"/>
          <w:bCs/>
          <w:color w:val="auto"/>
          <w:szCs w:val="21"/>
          <w:highlight w:val="none"/>
        </w:rPr>
      </w:pPr>
    </w:p>
    <w:p w14:paraId="67F61B56">
      <w:pPr>
        <w:autoSpaceDE w:val="0"/>
        <w:autoSpaceDN w:val="0"/>
        <w:adjustRightInd w:val="0"/>
        <w:jc w:val="center"/>
        <w:rPr>
          <w:rFonts w:hint="eastAsia" w:asciiTheme="minorEastAsia" w:hAnsiTheme="minorEastAsia" w:eastAsiaTheme="minorEastAsia" w:cstheme="minorEastAsia"/>
          <w:bCs/>
          <w:color w:val="auto"/>
          <w:szCs w:val="21"/>
          <w:highlight w:val="none"/>
        </w:rPr>
      </w:pPr>
    </w:p>
    <w:p w14:paraId="360DCBFC">
      <w:pPr>
        <w:autoSpaceDE w:val="0"/>
        <w:autoSpaceDN w:val="0"/>
        <w:adjustRightInd w:val="0"/>
        <w:jc w:val="center"/>
        <w:rPr>
          <w:rFonts w:hint="eastAsia" w:asciiTheme="minorEastAsia" w:hAnsiTheme="minorEastAsia" w:eastAsiaTheme="minorEastAsia" w:cstheme="minorEastAsia"/>
          <w:bCs/>
          <w:color w:val="auto"/>
          <w:szCs w:val="21"/>
          <w:highlight w:val="none"/>
        </w:rPr>
      </w:pPr>
    </w:p>
    <w:p w14:paraId="6CC0C439">
      <w:pPr>
        <w:autoSpaceDE w:val="0"/>
        <w:autoSpaceDN w:val="0"/>
        <w:adjustRightInd w:val="0"/>
        <w:jc w:val="center"/>
        <w:rPr>
          <w:rFonts w:hint="eastAsia" w:asciiTheme="minorEastAsia" w:hAnsiTheme="minorEastAsia" w:eastAsiaTheme="minorEastAsia" w:cstheme="minorEastAsia"/>
          <w:bCs/>
          <w:color w:val="auto"/>
          <w:szCs w:val="21"/>
          <w:highlight w:val="none"/>
        </w:rPr>
      </w:pPr>
    </w:p>
    <w:p w14:paraId="34728B71">
      <w:pPr>
        <w:autoSpaceDE w:val="0"/>
        <w:autoSpaceDN w:val="0"/>
        <w:adjustRightInd w:val="0"/>
        <w:jc w:val="center"/>
        <w:rPr>
          <w:rFonts w:hint="eastAsia" w:asciiTheme="minorEastAsia" w:hAnsiTheme="minorEastAsia" w:eastAsiaTheme="minorEastAsia" w:cstheme="minorEastAsia"/>
          <w:bCs/>
          <w:color w:val="auto"/>
          <w:szCs w:val="21"/>
          <w:highlight w:val="none"/>
        </w:rPr>
      </w:pPr>
    </w:p>
    <w:p w14:paraId="0ACD4AE8">
      <w:pPr>
        <w:autoSpaceDE w:val="0"/>
        <w:autoSpaceDN w:val="0"/>
        <w:adjustRightInd w:val="0"/>
        <w:jc w:val="center"/>
        <w:rPr>
          <w:rFonts w:hint="eastAsia" w:asciiTheme="minorEastAsia" w:hAnsiTheme="minorEastAsia" w:eastAsiaTheme="minorEastAsia" w:cstheme="minorEastAsia"/>
          <w:bCs/>
          <w:color w:val="auto"/>
          <w:szCs w:val="21"/>
          <w:highlight w:val="none"/>
        </w:rPr>
      </w:pPr>
    </w:p>
    <w:p w14:paraId="61E26926">
      <w:pPr>
        <w:autoSpaceDE w:val="0"/>
        <w:autoSpaceDN w:val="0"/>
        <w:adjustRightInd w:val="0"/>
        <w:jc w:val="center"/>
        <w:rPr>
          <w:rFonts w:hint="eastAsia" w:asciiTheme="minorEastAsia" w:hAnsiTheme="minorEastAsia" w:eastAsiaTheme="minorEastAsia" w:cstheme="minorEastAsia"/>
          <w:bCs/>
          <w:color w:val="auto"/>
          <w:szCs w:val="21"/>
          <w:highlight w:val="none"/>
        </w:rPr>
      </w:pPr>
    </w:p>
    <w:p w14:paraId="133178A1">
      <w:pPr>
        <w:autoSpaceDE w:val="0"/>
        <w:autoSpaceDN w:val="0"/>
        <w:adjustRightInd w:val="0"/>
        <w:jc w:val="center"/>
        <w:rPr>
          <w:rFonts w:hint="eastAsia" w:asciiTheme="minorEastAsia" w:hAnsiTheme="minorEastAsia" w:eastAsiaTheme="minorEastAsia" w:cstheme="minorEastAsia"/>
          <w:bCs/>
          <w:color w:val="auto"/>
          <w:szCs w:val="21"/>
          <w:highlight w:val="none"/>
        </w:rPr>
      </w:pPr>
    </w:p>
    <w:p w14:paraId="72A2517E">
      <w:pPr>
        <w:autoSpaceDE w:val="0"/>
        <w:autoSpaceDN w:val="0"/>
        <w:adjustRightInd w:val="0"/>
        <w:jc w:val="center"/>
        <w:rPr>
          <w:rFonts w:hint="eastAsia" w:asciiTheme="minorEastAsia" w:hAnsiTheme="minorEastAsia" w:eastAsiaTheme="minorEastAsia" w:cstheme="minorEastAsia"/>
          <w:bCs/>
          <w:color w:val="auto"/>
          <w:szCs w:val="21"/>
          <w:highlight w:val="none"/>
        </w:rPr>
      </w:pPr>
    </w:p>
    <w:p w14:paraId="26E632CF">
      <w:pPr>
        <w:autoSpaceDE w:val="0"/>
        <w:autoSpaceDN w:val="0"/>
        <w:adjustRightInd w:val="0"/>
        <w:jc w:val="center"/>
        <w:rPr>
          <w:rFonts w:hint="eastAsia" w:asciiTheme="minorEastAsia" w:hAnsiTheme="minorEastAsia" w:eastAsiaTheme="minorEastAsia" w:cstheme="minorEastAsia"/>
          <w:bCs/>
          <w:color w:val="auto"/>
          <w:szCs w:val="21"/>
          <w:highlight w:val="none"/>
        </w:rPr>
      </w:pPr>
    </w:p>
    <w:p w14:paraId="74C28B99">
      <w:pPr>
        <w:autoSpaceDE w:val="0"/>
        <w:autoSpaceDN w:val="0"/>
        <w:adjustRightInd w:val="0"/>
        <w:jc w:val="center"/>
        <w:rPr>
          <w:rFonts w:hint="eastAsia" w:asciiTheme="minorEastAsia" w:hAnsiTheme="minorEastAsia" w:eastAsiaTheme="minorEastAsia" w:cstheme="minorEastAsia"/>
          <w:bCs/>
          <w:color w:val="auto"/>
          <w:szCs w:val="21"/>
          <w:highlight w:val="none"/>
        </w:rPr>
      </w:pPr>
    </w:p>
    <w:p w14:paraId="5C8AB016">
      <w:pPr>
        <w:autoSpaceDE w:val="0"/>
        <w:autoSpaceDN w:val="0"/>
        <w:adjustRightInd w:val="0"/>
        <w:jc w:val="center"/>
        <w:rPr>
          <w:rFonts w:hint="eastAsia" w:asciiTheme="minorEastAsia" w:hAnsiTheme="minorEastAsia" w:eastAsiaTheme="minorEastAsia" w:cstheme="minorEastAsia"/>
          <w:bCs/>
          <w:color w:val="auto"/>
          <w:szCs w:val="21"/>
          <w:highlight w:val="none"/>
        </w:rPr>
      </w:pPr>
    </w:p>
    <w:p w14:paraId="0975A971">
      <w:pPr>
        <w:autoSpaceDE w:val="0"/>
        <w:autoSpaceDN w:val="0"/>
        <w:adjustRightInd w:val="0"/>
        <w:jc w:val="center"/>
        <w:rPr>
          <w:rFonts w:hint="eastAsia" w:asciiTheme="minorEastAsia" w:hAnsiTheme="minorEastAsia" w:eastAsiaTheme="minorEastAsia" w:cstheme="minorEastAsia"/>
          <w:bCs/>
          <w:color w:val="auto"/>
          <w:szCs w:val="21"/>
          <w:highlight w:val="none"/>
        </w:rPr>
      </w:pPr>
    </w:p>
    <w:p w14:paraId="527FCFAB">
      <w:pPr>
        <w:autoSpaceDE w:val="0"/>
        <w:autoSpaceDN w:val="0"/>
        <w:adjustRightInd w:val="0"/>
        <w:jc w:val="center"/>
        <w:rPr>
          <w:rFonts w:hint="eastAsia" w:asciiTheme="minorEastAsia" w:hAnsiTheme="minorEastAsia" w:eastAsiaTheme="minorEastAsia" w:cstheme="minorEastAsia"/>
          <w:bCs/>
          <w:color w:val="auto"/>
          <w:szCs w:val="21"/>
          <w:highlight w:val="none"/>
        </w:rPr>
      </w:pPr>
    </w:p>
    <w:p w14:paraId="06F8A520">
      <w:pPr>
        <w:autoSpaceDE w:val="0"/>
        <w:autoSpaceDN w:val="0"/>
        <w:adjustRightInd w:val="0"/>
        <w:jc w:val="center"/>
        <w:rPr>
          <w:rFonts w:hint="eastAsia" w:asciiTheme="minorEastAsia" w:hAnsiTheme="minorEastAsia" w:eastAsiaTheme="minorEastAsia" w:cstheme="minorEastAsia"/>
          <w:bCs/>
          <w:color w:val="auto"/>
          <w:szCs w:val="21"/>
          <w:highlight w:val="none"/>
        </w:rPr>
      </w:pPr>
    </w:p>
    <w:p w14:paraId="35AE3AC7">
      <w:pPr>
        <w:autoSpaceDE w:val="0"/>
        <w:autoSpaceDN w:val="0"/>
        <w:adjustRightInd w:val="0"/>
        <w:jc w:val="center"/>
        <w:rPr>
          <w:rFonts w:hint="eastAsia" w:asciiTheme="minorEastAsia" w:hAnsiTheme="minorEastAsia" w:eastAsiaTheme="minorEastAsia" w:cstheme="minorEastAsia"/>
          <w:bCs/>
          <w:color w:val="auto"/>
          <w:szCs w:val="21"/>
          <w:highlight w:val="none"/>
        </w:rPr>
      </w:pPr>
    </w:p>
    <w:p w14:paraId="583A11BC">
      <w:pPr>
        <w:autoSpaceDE w:val="0"/>
        <w:autoSpaceDN w:val="0"/>
        <w:adjustRightInd w:val="0"/>
        <w:jc w:val="center"/>
        <w:rPr>
          <w:rFonts w:hint="eastAsia" w:asciiTheme="minorEastAsia" w:hAnsiTheme="minorEastAsia" w:eastAsiaTheme="minorEastAsia" w:cstheme="minorEastAsia"/>
          <w:bCs/>
          <w:color w:val="auto"/>
          <w:szCs w:val="21"/>
          <w:highlight w:val="none"/>
        </w:rPr>
      </w:pPr>
    </w:p>
    <w:p w14:paraId="57A96499">
      <w:pPr>
        <w:autoSpaceDE w:val="0"/>
        <w:autoSpaceDN w:val="0"/>
        <w:adjustRightInd w:val="0"/>
        <w:jc w:val="center"/>
        <w:rPr>
          <w:rFonts w:hint="eastAsia" w:asciiTheme="minorEastAsia" w:hAnsiTheme="minorEastAsia" w:eastAsiaTheme="minorEastAsia" w:cstheme="minorEastAsia"/>
          <w:bCs/>
          <w:color w:val="auto"/>
          <w:szCs w:val="21"/>
          <w:highlight w:val="none"/>
        </w:rPr>
      </w:pPr>
    </w:p>
    <w:p w14:paraId="5BA45F4F">
      <w:pPr>
        <w:autoSpaceDE w:val="0"/>
        <w:autoSpaceDN w:val="0"/>
        <w:adjustRightInd w:val="0"/>
        <w:jc w:val="center"/>
        <w:rPr>
          <w:rFonts w:hint="eastAsia" w:asciiTheme="minorEastAsia" w:hAnsiTheme="minorEastAsia" w:eastAsiaTheme="minorEastAsia" w:cstheme="minorEastAsia"/>
          <w:bCs/>
          <w:color w:val="auto"/>
          <w:szCs w:val="21"/>
          <w:highlight w:val="none"/>
        </w:rPr>
      </w:pPr>
    </w:p>
    <w:p w14:paraId="65C8FCCF">
      <w:pPr>
        <w:autoSpaceDE w:val="0"/>
        <w:autoSpaceDN w:val="0"/>
        <w:adjustRightInd w:val="0"/>
        <w:jc w:val="center"/>
        <w:rPr>
          <w:rFonts w:hint="eastAsia" w:asciiTheme="minorEastAsia" w:hAnsiTheme="minorEastAsia" w:eastAsiaTheme="minorEastAsia" w:cstheme="minorEastAsia"/>
          <w:bCs/>
          <w:color w:val="auto"/>
          <w:szCs w:val="21"/>
          <w:highlight w:val="none"/>
        </w:rPr>
      </w:pPr>
    </w:p>
    <w:p w14:paraId="255EBC10">
      <w:pPr>
        <w:autoSpaceDE w:val="0"/>
        <w:autoSpaceDN w:val="0"/>
        <w:adjustRightInd w:val="0"/>
        <w:jc w:val="center"/>
        <w:rPr>
          <w:rFonts w:hint="eastAsia" w:asciiTheme="minorEastAsia" w:hAnsiTheme="minorEastAsia" w:eastAsiaTheme="minorEastAsia" w:cstheme="minorEastAsia"/>
          <w:bCs/>
          <w:color w:val="auto"/>
          <w:szCs w:val="21"/>
          <w:highlight w:val="none"/>
        </w:rPr>
      </w:pPr>
    </w:p>
    <w:p w14:paraId="082E0590">
      <w:pPr>
        <w:autoSpaceDE w:val="0"/>
        <w:autoSpaceDN w:val="0"/>
        <w:adjustRightInd w:val="0"/>
        <w:jc w:val="center"/>
        <w:rPr>
          <w:rFonts w:hint="eastAsia" w:asciiTheme="minorEastAsia" w:hAnsiTheme="minorEastAsia" w:eastAsiaTheme="minorEastAsia" w:cstheme="minorEastAsia"/>
          <w:bCs/>
          <w:color w:val="auto"/>
          <w:szCs w:val="21"/>
          <w:highlight w:val="none"/>
        </w:rPr>
      </w:pPr>
    </w:p>
    <w:p w14:paraId="37129685">
      <w:pPr>
        <w:autoSpaceDE w:val="0"/>
        <w:autoSpaceDN w:val="0"/>
        <w:adjustRightInd w:val="0"/>
        <w:jc w:val="center"/>
        <w:rPr>
          <w:rFonts w:hint="eastAsia" w:asciiTheme="minorEastAsia" w:hAnsiTheme="minorEastAsia" w:eastAsiaTheme="minorEastAsia" w:cstheme="minorEastAsia"/>
          <w:bCs/>
          <w:color w:val="auto"/>
          <w:szCs w:val="21"/>
          <w:highlight w:val="none"/>
        </w:rPr>
      </w:pPr>
    </w:p>
    <w:p w14:paraId="5949CA5E">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0B858BE3">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7F950197">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0B26C038">
      <w:pPr>
        <w:pStyle w:val="16"/>
        <w:rPr>
          <w:color w:val="auto"/>
          <w:highlight w:val="none"/>
        </w:rPr>
      </w:pPr>
    </w:p>
    <w:p w14:paraId="2CBD8A14">
      <w:pPr>
        <w:spacing w:line="360" w:lineRule="exact"/>
        <w:rPr>
          <w:rFonts w:hint="eastAsia" w:asciiTheme="minorEastAsia" w:hAnsiTheme="minorEastAsia" w:eastAsiaTheme="minorEastAsia" w:cstheme="minorEastAsia"/>
          <w:b/>
          <w:color w:val="auto"/>
          <w:sz w:val="28"/>
          <w:szCs w:val="28"/>
          <w:highlight w:val="none"/>
        </w:rPr>
      </w:pPr>
    </w:p>
    <w:p w14:paraId="5AB69DD2">
      <w:pPr>
        <w:spacing w:line="360" w:lineRule="exact"/>
        <w:rPr>
          <w:rFonts w:hint="eastAsia" w:asciiTheme="minorEastAsia" w:hAnsiTheme="minorEastAsia" w:eastAsiaTheme="minorEastAsia" w:cstheme="minorEastAsia"/>
          <w:b/>
          <w:color w:val="auto"/>
          <w:sz w:val="28"/>
          <w:szCs w:val="28"/>
          <w:highlight w:val="none"/>
        </w:rPr>
      </w:pPr>
    </w:p>
    <w:p w14:paraId="23A0DA9C">
      <w:pPr>
        <w:spacing w:line="360" w:lineRule="exact"/>
        <w:rPr>
          <w:rFonts w:hint="eastAsia" w:asciiTheme="minorEastAsia" w:hAnsiTheme="minorEastAsia" w:eastAsiaTheme="minorEastAsia" w:cstheme="minorEastAsia"/>
          <w:b/>
          <w:color w:val="auto"/>
          <w:sz w:val="28"/>
          <w:szCs w:val="28"/>
          <w:highlight w:val="none"/>
        </w:rPr>
      </w:pPr>
    </w:p>
    <w:p w14:paraId="770B9345">
      <w:pPr>
        <w:spacing w:line="360" w:lineRule="exact"/>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（5）信誉要求</w:t>
      </w:r>
    </w:p>
    <w:p w14:paraId="75FA5BC4">
      <w:pPr>
        <w:spacing w:line="360" w:lineRule="exact"/>
        <w:rPr>
          <w:rFonts w:hint="eastAsia" w:asciiTheme="minorEastAsia" w:hAnsiTheme="minorEastAsia" w:eastAsiaTheme="minorEastAsia" w:cstheme="minorEastAsia"/>
          <w:b/>
          <w:color w:val="auto"/>
          <w:sz w:val="28"/>
          <w:szCs w:val="28"/>
          <w:highlight w:val="none"/>
        </w:rPr>
      </w:pPr>
    </w:p>
    <w:p w14:paraId="65AB884C">
      <w:pPr>
        <w:spacing w:line="360" w:lineRule="exact"/>
        <w:rPr>
          <w:rFonts w:hint="eastAsia" w:asciiTheme="minorEastAsia" w:hAnsiTheme="minorEastAsia" w:eastAsiaTheme="minorEastAsia" w:cstheme="minorEastAsia"/>
          <w:b/>
          <w:color w:val="auto"/>
          <w:sz w:val="28"/>
          <w:szCs w:val="28"/>
          <w:highlight w:val="none"/>
        </w:rPr>
      </w:pPr>
    </w:p>
    <w:p w14:paraId="3BD78FE0">
      <w:pPr>
        <w:spacing w:line="360" w:lineRule="exact"/>
        <w:rPr>
          <w:rFonts w:hint="eastAsia" w:asciiTheme="minorEastAsia" w:hAnsiTheme="minorEastAsia" w:eastAsiaTheme="minorEastAsia" w:cstheme="minorEastAsia"/>
          <w:b/>
          <w:color w:val="auto"/>
          <w:sz w:val="28"/>
          <w:szCs w:val="28"/>
          <w:highlight w:val="none"/>
        </w:rPr>
      </w:pPr>
    </w:p>
    <w:p w14:paraId="7F40CD5C">
      <w:pPr>
        <w:spacing w:line="360" w:lineRule="exact"/>
        <w:rPr>
          <w:rFonts w:hint="eastAsia" w:asciiTheme="minorEastAsia" w:hAnsiTheme="minorEastAsia" w:eastAsiaTheme="minorEastAsia" w:cstheme="minorEastAsia"/>
          <w:b/>
          <w:color w:val="auto"/>
          <w:sz w:val="28"/>
          <w:szCs w:val="28"/>
          <w:highlight w:val="none"/>
        </w:rPr>
      </w:pPr>
    </w:p>
    <w:p w14:paraId="0C22C154">
      <w:pPr>
        <w:spacing w:line="360" w:lineRule="exact"/>
        <w:rPr>
          <w:rFonts w:hint="eastAsia" w:asciiTheme="minorEastAsia" w:hAnsiTheme="minorEastAsia" w:eastAsiaTheme="minorEastAsia" w:cstheme="minorEastAsia"/>
          <w:b/>
          <w:color w:val="auto"/>
          <w:sz w:val="28"/>
          <w:szCs w:val="28"/>
          <w:highlight w:val="none"/>
        </w:rPr>
      </w:pPr>
    </w:p>
    <w:p w14:paraId="0975FE9D">
      <w:pPr>
        <w:spacing w:line="360" w:lineRule="exact"/>
        <w:rPr>
          <w:rFonts w:hint="eastAsia" w:asciiTheme="minorEastAsia" w:hAnsiTheme="minorEastAsia" w:eastAsiaTheme="minorEastAsia" w:cstheme="minorEastAsia"/>
          <w:b/>
          <w:color w:val="auto"/>
          <w:sz w:val="28"/>
          <w:szCs w:val="28"/>
          <w:highlight w:val="none"/>
        </w:rPr>
      </w:pPr>
    </w:p>
    <w:p w14:paraId="7A3C79F3">
      <w:pPr>
        <w:spacing w:line="360" w:lineRule="exact"/>
        <w:rPr>
          <w:rFonts w:hint="eastAsia" w:asciiTheme="minorEastAsia" w:hAnsiTheme="minorEastAsia" w:eastAsiaTheme="minorEastAsia" w:cstheme="minorEastAsia"/>
          <w:b/>
          <w:color w:val="auto"/>
          <w:sz w:val="28"/>
          <w:szCs w:val="28"/>
          <w:highlight w:val="none"/>
        </w:rPr>
      </w:pPr>
    </w:p>
    <w:p w14:paraId="5B5E1A5E">
      <w:pPr>
        <w:spacing w:line="360" w:lineRule="exact"/>
        <w:rPr>
          <w:rFonts w:hint="eastAsia" w:asciiTheme="minorEastAsia" w:hAnsiTheme="minorEastAsia" w:eastAsiaTheme="minorEastAsia" w:cstheme="minorEastAsia"/>
          <w:b/>
          <w:color w:val="auto"/>
          <w:sz w:val="28"/>
          <w:szCs w:val="28"/>
          <w:highlight w:val="none"/>
        </w:rPr>
      </w:pPr>
    </w:p>
    <w:p w14:paraId="4DF29D01">
      <w:pPr>
        <w:spacing w:line="360" w:lineRule="exact"/>
        <w:rPr>
          <w:rFonts w:hint="eastAsia" w:asciiTheme="minorEastAsia" w:hAnsiTheme="minorEastAsia" w:eastAsiaTheme="minorEastAsia" w:cstheme="minorEastAsia"/>
          <w:b/>
          <w:color w:val="auto"/>
          <w:sz w:val="28"/>
          <w:szCs w:val="28"/>
          <w:highlight w:val="none"/>
        </w:rPr>
      </w:pPr>
    </w:p>
    <w:p w14:paraId="67FDFF0C">
      <w:pPr>
        <w:spacing w:line="360" w:lineRule="exact"/>
        <w:rPr>
          <w:rFonts w:hint="eastAsia" w:asciiTheme="minorEastAsia" w:hAnsiTheme="minorEastAsia" w:eastAsiaTheme="minorEastAsia" w:cstheme="minorEastAsia"/>
          <w:b/>
          <w:color w:val="auto"/>
          <w:sz w:val="28"/>
          <w:szCs w:val="28"/>
          <w:highlight w:val="none"/>
        </w:rPr>
      </w:pPr>
    </w:p>
    <w:p w14:paraId="5F15B750">
      <w:pPr>
        <w:spacing w:line="360" w:lineRule="exact"/>
        <w:rPr>
          <w:rFonts w:hint="eastAsia" w:asciiTheme="minorEastAsia" w:hAnsiTheme="minorEastAsia" w:eastAsiaTheme="minorEastAsia" w:cstheme="minorEastAsia"/>
          <w:b/>
          <w:color w:val="auto"/>
          <w:sz w:val="28"/>
          <w:szCs w:val="28"/>
          <w:highlight w:val="none"/>
        </w:rPr>
      </w:pPr>
    </w:p>
    <w:p w14:paraId="0C31285A">
      <w:pPr>
        <w:spacing w:line="360" w:lineRule="exact"/>
        <w:rPr>
          <w:rFonts w:hint="eastAsia" w:asciiTheme="minorEastAsia" w:hAnsiTheme="minorEastAsia" w:eastAsiaTheme="minorEastAsia" w:cstheme="minorEastAsia"/>
          <w:b/>
          <w:color w:val="auto"/>
          <w:sz w:val="28"/>
          <w:szCs w:val="28"/>
          <w:highlight w:val="none"/>
        </w:rPr>
      </w:pPr>
    </w:p>
    <w:p w14:paraId="39C3B872">
      <w:pPr>
        <w:spacing w:line="360" w:lineRule="exact"/>
        <w:rPr>
          <w:rFonts w:hint="eastAsia" w:asciiTheme="minorEastAsia" w:hAnsiTheme="minorEastAsia" w:eastAsiaTheme="minorEastAsia" w:cstheme="minorEastAsia"/>
          <w:b/>
          <w:color w:val="auto"/>
          <w:sz w:val="28"/>
          <w:szCs w:val="28"/>
          <w:highlight w:val="none"/>
        </w:rPr>
      </w:pPr>
    </w:p>
    <w:p w14:paraId="358DB627">
      <w:pPr>
        <w:spacing w:line="360" w:lineRule="exact"/>
        <w:rPr>
          <w:rFonts w:hint="eastAsia" w:asciiTheme="minorEastAsia" w:hAnsiTheme="minorEastAsia" w:eastAsiaTheme="minorEastAsia" w:cstheme="minorEastAsia"/>
          <w:b/>
          <w:color w:val="auto"/>
          <w:sz w:val="28"/>
          <w:szCs w:val="28"/>
          <w:highlight w:val="none"/>
        </w:rPr>
      </w:pPr>
    </w:p>
    <w:p w14:paraId="18B1AE7E">
      <w:pPr>
        <w:spacing w:line="360" w:lineRule="exact"/>
        <w:rPr>
          <w:rFonts w:hint="eastAsia" w:asciiTheme="minorEastAsia" w:hAnsiTheme="minorEastAsia" w:eastAsiaTheme="minorEastAsia" w:cstheme="minorEastAsia"/>
          <w:b/>
          <w:color w:val="auto"/>
          <w:sz w:val="28"/>
          <w:szCs w:val="28"/>
          <w:highlight w:val="none"/>
        </w:rPr>
      </w:pPr>
    </w:p>
    <w:p w14:paraId="58EC7034">
      <w:pPr>
        <w:spacing w:line="360" w:lineRule="exact"/>
        <w:rPr>
          <w:rFonts w:hint="eastAsia" w:asciiTheme="minorEastAsia" w:hAnsiTheme="minorEastAsia" w:eastAsiaTheme="minorEastAsia" w:cstheme="minorEastAsia"/>
          <w:b/>
          <w:color w:val="auto"/>
          <w:sz w:val="28"/>
          <w:szCs w:val="28"/>
          <w:highlight w:val="none"/>
        </w:rPr>
      </w:pPr>
    </w:p>
    <w:p w14:paraId="13CDDEE1">
      <w:pPr>
        <w:spacing w:line="360" w:lineRule="exact"/>
        <w:rPr>
          <w:rFonts w:hint="eastAsia" w:asciiTheme="minorEastAsia" w:hAnsiTheme="minorEastAsia" w:eastAsiaTheme="minorEastAsia" w:cstheme="minorEastAsia"/>
          <w:b/>
          <w:color w:val="auto"/>
          <w:sz w:val="28"/>
          <w:szCs w:val="28"/>
          <w:highlight w:val="none"/>
        </w:rPr>
      </w:pPr>
    </w:p>
    <w:p w14:paraId="6C10D8E8">
      <w:pPr>
        <w:spacing w:line="360" w:lineRule="exact"/>
        <w:rPr>
          <w:rFonts w:hint="eastAsia" w:asciiTheme="minorEastAsia" w:hAnsiTheme="minorEastAsia" w:eastAsiaTheme="minorEastAsia" w:cstheme="minorEastAsia"/>
          <w:b/>
          <w:color w:val="auto"/>
          <w:sz w:val="28"/>
          <w:szCs w:val="28"/>
          <w:highlight w:val="none"/>
        </w:rPr>
      </w:pPr>
    </w:p>
    <w:p w14:paraId="7E0E0C7E">
      <w:pPr>
        <w:spacing w:line="360" w:lineRule="exact"/>
        <w:rPr>
          <w:rFonts w:hint="eastAsia" w:asciiTheme="minorEastAsia" w:hAnsiTheme="minorEastAsia" w:eastAsiaTheme="minorEastAsia" w:cstheme="minorEastAsia"/>
          <w:b/>
          <w:color w:val="auto"/>
          <w:sz w:val="28"/>
          <w:szCs w:val="28"/>
          <w:highlight w:val="none"/>
        </w:rPr>
      </w:pPr>
    </w:p>
    <w:p w14:paraId="6FC3D42D">
      <w:pPr>
        <w:spacing w:line="360" w:lineRule="exact"/>
        <w:rPr>
          <w:rFonts w:hint="eastAsia" w:asciiTheme="minorEastAsia" w:hAnsiTheme="minorEastAsia" w:eastAsiaTheme="minorEastAsia" w:cstheme="minorEastAsia"/>
          <w:b/>
          <w:color w:val="auto"/>
          <w:sz w:val="28"/>
          <w:szCs w:val="28"/>
          <w:highlight w:val="none"/>
        </w:rPr>
      </w:pPr>
    </w:p>
    <w:p w14:paraId="02F74F50">
      <w:pPr>
        <w:spacing w:line="360" w:lineRule="exact"/>
        <w:rPr>
          <w:rFonts w:hint="eastAsia" w:asciiTheme="minorEastAsia" w:hAnsiTheme="minorEastAsia" w:eastAsiaTheme="minorEastAsia" w:cstheme="minorEastAsia"/>
          <w:b/>
          <w:color w:val="auto"/>
          <w:sz w:val="28"/>
          <w:szCs w:val="28"/>
          <w:highlight w:val="none"/>
        </w:rPr>
      </w:pPr>
    </w:p>
    <w:p w14:paraId="05009C9B">
      <w:pPr>
        <w:spacing w:line="360" w:lineRule="exact"/>
        <w:rPr>
          <w:rFonts w:hint="eastAsia" w:asciiTheme="minorEastAsia" w:hAnsiTheme="minorEastAsia" w:eastAsiaTheme="minorEastAsia" w:cstheme="minorEastAsia"/>
          <w:b/>
          <w:color w:val="auto"/>
          <w:sz w:val="28"/>
          <w:szCs w:val="28"/>
          <w:highlight w:val="none"/>
        </w:rPr>
      </w:pPr>
    </w:p>
    <w:p w14:paraId="44CE6E4F">
      <w:pPr>
        <w:spacing w:line="360" w:lineRule="exact"/>
        <w:rPr>
          <w:rFonts w:hint="eastAsia" w:asciiTheme="minorEastAsia" w:hAnsiTheme="minorEastAsia" w:eastAsiaTheme="minorEastAsia" w:cstheme="minorEastAsia"/>
          <w:b/>
          <w:color w:val="auto"/>
          <w:sz w:val="28"/>
          <w:szCs w:val="28"/>
          <w:highlight w:val="none"/>
        </w:rPr>
      </w:pPr>
    </w:p>
    <w:p w14:paraId="6B9E6817">
      <w:pPr>
        <w:spacing w:line="360" w:lineRule="exact"/>
        <w:rPr>
          <w:rFonts w:hint="eastAsia" w:asciiTheme="minorEastAsia" w:hAnsiTheme="minorEastAsia" w:eastAsiaTheme="minorEastAsia" w:cstheme="minorEastAsia"/>
          <w:b/>
          <w:color w:val="auto"/>
          <w:sz w:val="28"/>
          <w:szCs w:val="28"/>
          <w:highlight w:val="none"/>
        </w:rPr>
      </w:pPr>
    </w:p>
    <w:p w14:paraId="653B3712">
      <w:pPr>
        <w:spacing w:line="360" w:lineRule="exact"/>
        <w:rPr>
          <w:rFonts w:hint="eastAsia" w:asciiTheme="minorEastAsia" w:hAnsiTheme="minorEastAsia" w:eastAsiaTheme="minorEastAsia" w:cstheme="minorEastAsia"/>
          <w:b/>
          <w:color w:val="auto"/>
          <w:sz w:val="28"/>
          <w:szCs w:val="28"/>
          <w:highlight w:val="none"/>
        </w:rPr>
      </w:pPr>
    </w:p>
    <w:p w14:paraId="17791369">
      <w:pPr>
        <w:spacing w:line="360" w:lineRule="exact"/>
        <w:rPr>
          <w:rFonts w:hint="eastAsia" w:asciiTheme="minorEastAsia" w:hAnsiTheme="minorEastAsia" w:eastAsiaTheme="minorEastAsia" w:cstheme="minorEastAsia"/>
          <w:b/>
          <w:color w:val="auto"/>
          <w:sz w:val="28"/>
          <w:szCs w:val="28"/>
          <w:highlight w:val="none"/>
        </w:rPr>
      </w:pPr>
    </w:p>
    <w:p w14:paraId="524A7139">
      <w:pPr>
        <w:spacing w:line="360" w:lineRule="exact"/>
        <w:rPr>
          <w:rFonts w:hint="eastAsia" w:asciiTheme="minorEastAsia" w:hAnsiTheme="minorEastAsia" w:eastAsiaTheme="minorEastAsia" w:cstheme="minorEastAsia"/>
          <w:b/>
          <w:color w:val="auto"/>
          <w:sz w:val="28"/>
          <w:szCs w:val="28"/>
          <w:highlight w:val="none"/>
        </w:rPr>
      </w:pPr>
    </w:p>
    <w:p w14:paraId="237AEB70">
      <w:pPr>
        <w:spacing w:line="360" w:lineRule="exact"/>
        <w:rPr>
          <w:rFonts w:hint="eastAsia" w:asciiTheme="minorEastAsia" w:hAnsiTheme="minorEastAsia" w:eastAsiaTheme="minorEastAsia" w:cstheme="minorEastAsia"/>
          <w:b/>
          <w:color w:val="auto"/>
          <w:sz w:val="28"/>
          <w:szCs w:val="28"/>
          <w:highlight w:val="none"/>
        </w:rPr>
      </w:pPr>
    </w:p>
    <w:p w14:paraId="1E6BDAED">
      <w:pPr>
        <w:spacing w:line="360" w:lineRule="exact"/>
        <w:rPr>
          <w:rFonts w:hint="eastAsia" w:asciiTheme="minorEastAsia" w:hAnsiTheme="minorEastAsia" w:eastAsiaTheme="minorEastAsia" w:cstheme="minorEastAsia"/>
          <w:b/>
          <w:color w:val="auto"/>
          <w:sz w:val="28"/>
          <w:szCs w:val="28"/>
          <w:highlight w:val="none"/>
        </w:rPr>
      </w:pPr>
    </w:p>
    <w:p w14:paraId="0C6E08A7">
      <w:pPr>
        <w:spacing w:line="360" w:lineRule="exact"/>
        <w:rPr>
          <w:rFonts w:hint="eastAsia" w:asciiTheme="minorEastAsia" w:hAnsiTheme="minorEastAsia" w:eastAsiaTheme="minorEastAsia" w:cstheme="minorEastAsia"/>
          <w:b/>
          <w:color w:val="auto"/>
          <w:sz w:val="28"/>
          <w:szCs w:val="28"/>
          <w:highlight w:val="none"/>
        </w:rPr>
      </w:pPr>
    </w:p>
    <w:p w14:paraId="1FF5EE1B">
      <w:pPr>
        <w:spacing w:line="360" w:lineRule="exact"/>
        <w:rPr>
          <w:rFonts w:hint="eastAsia" w:asciiTheme="minorEastAsia" w:hAnsiTheme="minorEastAsia" w:eastAsiaTheme="minorEastAsia" w:cstheme="minorEastAsia"/>
          <w:b/>
          <w:color w:val="auto"/>
          <w:sz w:val="28"/>
          <w:szCs w:val="28"/>
          <w:highlight w:val="none"/>
        </w:rPr>
      </w:pPr>
    </w:p>
    <w:p w14:paraId="748F99FA">
      <w:pPr>
        <w:spacing w:line="360" w:lineRule="exact"/>
        <w:rPr>
          <w:rFonts w:hint="eastAsia" w:asciiTheme="minorEastAsia" w:hAnsiTheme="minorEastAsia" w:eastAsiaTheme="minorEastAsia" w:cstheme="minorEastAsia"/>
          <w:b/>
          <w:color w:val="auto"/>
          <w:sz w:val="28"/>
          <w:szCs w:val="28"/>
          <w:highlight w:val="none"/>
        </w:rPr>
      </w:pPr>
    </w:p>
    <w:p w14:paraId="2105EB04">
      <w:pPr>
        <w:spacing w:line="360" w:lineRule="exact"/>
        <w:rPr>
          <w:rFonts w:hint="eastAsia" w:asciiTheme="minorEastAsia" w:hAnsiTheme="minorEastAsia" w:eastAsiaTheme="minorEastAsia" w:cstheme="minorEastAsia"/>
          <w:b/>
          <w:color w:val="auto"/>
          <w:sz w:val="28"/>
          <w:szCs w:val="28"/>
          <w:highlight w:val="none"/>
        </w:rPr>
      </w:pPr>
    </w:p>
    <w:p w14:paraId="444D6C61">
      <w:pPr>
        <w:spacing w:line="360" w:lineRule="exact"/>
        <w:rPr>
          <w:rFonts w:hint="eastAsia" w:asciiTheme="minorEastAsia" w:hAnsiTheme="minorEastAsia" w:eastAsiaTheme="minorEastAsia" w:cstheme="minorEastAsia"/>
          <w:b/>
          <w:color w:val="auto"/>
          <w:sz w:val="28"/>
          <w:szCs w:val="28"/>
          <w:highlight w:val="none"/>
        </w:rPr>
      </w:pPr>
    </w:p>
    <w:p w14:paraId="23EA2767">
      <w:pPr>
        <w:spacing w:line="360" w:lineRule="exact"/>
        <w:rPr>
          <w:rFonts w:hint="eastAsia" w:asciiTheme="minorEastAsia" w:hAnsiTheme="minorEastAsia" w:eastAsiaTheme="minorEastAsia" w:cstheme="minorEastAsia"/>
          <w:b/>
          <w:color w:val="auto"/>
          <w:sz w:val="28"/>
          <w:szCs w:val="28"/>
          <w:highlight w:val="none"/>
        </w:rPr>
      </w:pPr>
    </w:p>
    <w:p w14:paraId="4F343F36">
      <w:pPr>
        <w:spacing w:line="360" w:lineRule="exact"/>
        <w:rPr>
          <w:rFonts w:hint="eastAsia" w:asciiTheme="minorEastAsia" w:hAnsiTheme="minorEastAsia" w:eastAsiaTheme="minorEastAsia" w:cstheme="minorEastAsia"/>
          <w:b/>
          <w:color w:val="auto"/>
          <w:sz w:val="28"/>
          <w:szCs w:val="28"/>
          <w:highlight w:val="none"/>
        </w:rPr>
      </w:pPr>
    </w:p>
    <w:p w14:paraId="489B6FA7">
      <w:pPr>
        <w:spacing w:line="360" w:lineRule="exact"/>
        <w:rPr>
          <w:rFonts w:hint="eastAsia" w:asciiTheme="minorEastAsia" w:hAnsiTheme="minorEastAsia" w:eastAsiaTheme="minorEastAsia" w:cstheme="minorEastAsia"/>
          <w:b/>
          <w:color w:val="auto"/>
          <w:sz w:val="28"/>
          <w:szCs w:val="28"/>
          <w:highlight w:val="none"/>
        </w:rPr>
      </w:pPr>
    </w:p>
    <w:p w14:paraId="3ABFCF20">
      <w:pPr>
        <w:spacing w:line="360" w:lineRule="exact"/>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（6）不得存在的情形</w:t>
      </w:r>
    </w:p>
    <w:p w14:paraId="2BF7996F">
      <w:pPr>
        <w:spacing w:line="360" w:lineRule="exact"/>
        <w:jc w:val="center"/>
        <w:rPr>
          <w:rFonts w:hint="eastAsia" w:asciiTheme="minorEastAsia" w:hAnsiTheme="minorEastAsia" w:eastAsiaTheme="minorEastAsia" w:cstheme="minorEastAsia"/>
          <w:b/>
          <w:color w:val="auto"/>
          <w:sz w:val="28"/>
          <w:szCs w:val="28"/>
          <w:highlight w:val="none"/>
        </w:rPr>
      </w:pPr>
    </w:p>
    <w:p w14:paraId="20655741">
      <w:pPr>
        <w:spacing w:line="360" w:lineRule="exact"/>
        <w:jc w:val="center"/>
        <w:rPr>
          <w:rFonts w:hint="eastAsia" w:asciiTheme="minorEastAsia" w:hAnsiTheme="minorEastAsia" w:eastAsiaTheme="minorEastAsia" w:cstheme="minorEastAsia"/>
          <w:b/>
          <w:color w:val="auto"/>
          <w:sz w:val="28"/>
          <w:szCs w:val="28"/>
          <w:highlight w:val="none"/>
        </w:rPr>
      </w:pPr>
    </w:p>
    <w:p w14:paraId="135EFA7D">
      <w:pPr>
        <w:spacing w:line="360" w:lineRule="exact"/>
        <w:jc w:val="center"/>
        <w:rPr>
          <w:rFonts w:hint="eastAsia" w:asciiTheme="minorEastAsia" w:hAnsiTheme="minorEastAsia" w:eastAsiaTheme="minorEastAsia" w:cstheme="minorEastAsia"/>
          <w:b/>
          <w:color w:val="auto"/>
          <w:sz w:val="28"/>
          <w:szCs w:val="28"/>
          <w:highlight w:val="none"/>
        </w:rPr>
      </w:pPr>
    </w:p>
    <w:p w14:paraId="5788B968">
      <w:pPr>
        <w:spacing w:line="360" w:lineRule="exact"/>
        <w:jc w:val="center"/>
        <w:rPr>
          <w:rFonts w:hint="eastAsia" w:asciiTheme="minorEastAsia" w:hAnsiTheme="minorEastAsia" w:eastAsiaTheme="minorEastAsia" w:cstheme="minorEastAsia"/>
          <w:b/>
          <w:color w:val="auto"/>
          <w:sz w:val="28"/>
          <w:szCs w:val="28"/>
          <w:highlight w:val="none"/>
        </w:rPr>
      </w:pPr>
    </w:p>
    <w:p w14:paraId="483CFC82">
      <w:pPr>
        <w:spacing w:line="360" w:lineRule="exact"/>
        <w:jc w:val="center"/>
        <w:rPr>
          <w:rFonts w:hint="eastAsia" w:asciiTheme="minorEastAsia" w:hAnsiTheme="minorEastAsia" w:eastAsiaTheme="minorEastAsia" w:cstheme="minorEastAsia"/>
          <w:b/>
          <w:color w:val="auto"/>
          <w:sz w:val="28"/>
          <w:szCs w:val="28"/>
          <w:highlight w:val="none"/>
        </w:rPr>
      </w:pPr>
    </w:p>
    <w:p w14:paraId="38651536">
      <w:pPr>
        <w:spacing w:line="360" w:lineRule="exact"/>
        <w:jc w:val="center"/>
        <w:rPr>
          <w:rFonts w:hint="eastAsia" w:asciiTheme="minorEastAsia" w:hAnsiTheme="minorEastAsia" w:eastAsiaTheme="minorEastAsia" w:cstheme="minorEastAsia"/>
          <w:b/>
          <w:color w:val="auto"/>
          <w:sz w:val="28"/>
          <w:szCs w:val="28"/>
          <w:highlight w:val="none"/>
        </w:rPr>
      </w:pPr>
    </w:p>
    <w:p w14:paraId="2599BCBE">
      <w:pPr>
        <w:spacing w:line="360" w:lineRule="exact"/>
        <w:jc w:val="center"/>
        <w:rPr>
          <w:rFonts w:hint="eastAsia" w:asciiTheme="minorEastAsia" w:hAnsiTheme="minorEastAsia" w:eastAsiaTheme="minorEastAsia" w:cstheme="minorEastAsia"/>
          <w:b/>
          <w:color w:val="auto"/>
          <w:sz w:val="28"/>
          <w:szCs w:val="28"/>
          <w:highlight w:val="none"/>
        </w:rPr>
      </w:pPr>
    </w:p>
    <w:p w14:paraId="3B23F360">
      <w:pPr>
        <w:spacing w:line="360" w:lineRule="exact"/>
        <w:jc w:val="center"/>
        <w:rPr>
          <w:rFonts w:hint="eastAsia" w:asciiTheme="minorEastAsia" w:hAnsiTheme="minorEastAsia" w:eastAsiaTheme="minorEastAsia" w:cstheme="minorEastAsia"/>
          <w:b/>
          <w:color w:val="auto"/>
          <w:sz w:val="28"/>
          <w:szCs w:val="28"/>
          <w:highlight w:val="none"/>
        </w:rPr>
      </w:pPr>
    </w:p>
    <w:p w14:paraId="614A2946">
      <w:pPr>
        <w:spacing w:line="360" w:lineRule="exact"/>
        <w:jc w:val="center"/>
        <w:rPr>
          <w:rFonts w:hint="eastAsia" w:asciiTheme="minorEastAsia" w:hAnsiTheme="minorEastAsia" w:eastAsiaTheme="minorEastAsia" w:cstheme="minorEastAsia"/>
          <w:b/>
          <w:color w:val="auto"/>
          <w:sz w:val="28"/>
          <w:szCs w:val="28"/>
          <w:highlight w:val="none"/>
        </w:rPr>
      </w:pPr>
    </w:p>
    <w:p w14:paraId="3B3D8AEF">
      <w:pPr>
        <w:spacing w:line="360" w:lineRule="exact"/>
        <w:jc w:val="center"/>
        <w:rPr>
          <w:rFonts w:hint="eastAsia" w:asciiTheme="minorEastAsia" w:hAnsiTheme="minorEastAsia" w:eastAsiaTheme="minorEastAsia" w:cstheme="minorEastAsia"/>
          <w:b/>
          <w:color w:val="auto"/>
          <w:sz w:val="28"/>
          <w:szCs w:val="28"/>
          <w:highlight w:val="none"/>
        </w:rPr>
      </w:pPr>
    </w:p>
    <w:p w14:paraId="79A9E5D2">
      <w:pPr>
        <w:spacing w:line="360" w:lineRule="exact"/>
        <w:jc w:val="center"/>
        <w:rPr>
          <w:rFonts w:hint="eastAsia" w:asciiTheme="minorEastAsia" w:hAnsiTheme="minorEastAsia" w:eastAsiaTheme="minorEastAsia" w:cstheme="minorEastAsia"/>
          <w:b/>
          <w:color w:val="auto"/>
          <w:sz w:val="28"/>
          <w:szCs w:val="28"/>
          <w:highlight w:val="none"/>
        </w:rPr>
      </w:pPr>
    </w:p>
    <w:p w14:paraId="316250AE">
      <w:pPr>
        <w:spacing w:line="360" w:lineRule="exact"/>
        <w:jc w:val="center"/>
        <w:rPr>
          <w:rFonts w:hint="eastAsia" w:asciiTheme="minorEastAsia" w:hAnsiTheme="minorEastAsia" w:eastAsiaTheme="minorEastAsia" w:cstheme="minorEastAsia"/>
          <w:b/>
          <w:color w:val="auto"/>
          <w:sz w:val="28"/>
          <w:szCs w:val="28"/>
          <w:highlight w:val="none"/>
        </w:rPr>
      </w:pPr>
    </w:p>
    <w:p w14:paraId="67979ECE">
      <w:pPr>
        <w:spacing w:line="360" w:lineRule="exact"/>
        <w:jc w:val="center"/>
        <w:rPr>
          <w:rFonts w:hint="eastAsia" w:asciiTheme="minorEastAsia" w:hAnsiTheme="minorEastAsia" w:eastAsiaTheme="minorEastAsia" w:cstheme="minorEastAsia"/>
          <w:b/>
          <w:color w:val="auto"/>
          <w:sz w:val="28"/>
          <w:szCs w:val="28"/>
          <w:highlight w:val="none"/>
        </w:rPr>
      </w:pPr>
    </w:p>
    <w:p w14:paraId="18E453F7">
      <w:pPr>
        <w:spacing w:line="360" w:lineRule="exact"/>
        <w:jc w:val="center"/>
        <w:rPr>
          <w:rFonts w:hint="eastAsia" w:asciiTheme="minorEastAsia" w:hAnsiTheme="minorEastAsia" w:eastAsiaTheme="minorEastAsia" w:cstheme="minorEastAsia"/>
          <w:b/>
          <w:color w:val="auto"/>
          <w:sz w:val="28"/>
          <w:szCs w:val="28"/>
          <w:highlight w:val="none"/>
        </w:rPr>
      </w:pPr>
    </w:p>
    <w:p w14:paraId="42D0E2A6">
      <w:pPr>
        <w:spacing w:line="360" w:lineRule="exact"/>
        <w:jc w:val="center"/>
        <w:rPr>
          <w:rFonts w:hint="eastAsia" w:asciiTheme="minorEastAsia" w:hAnsiTheme="minorEastAsia" w:eastAsiaTheme="minorEastAsia" w:cstheme="minorEastAsia"/>
          <w:b/>
          <w:color w:val="auto"/>
          <w:sz w:val="28"/>
          <w:szCs w:val="28"/>
          <w:highlight w:val="none"/>
        </w:rPr>
      </w:pPr>
    </w:p>
    <w:p w14:paraId="40BE75B9">
      <w:pPr>
        <w:spacing w:line="360" w:lineRule="exact"/>
        <w:jc w:val="center"/>
        <w:rPr>
          <w:rFonts w:hint="eastAsia" w:asciiTheme="minorEastAsia" w:hAnsiTheme="minorEastAsia" w:eastAsiaTheme="minorEastAsia" w:cstheme="minorEastAsia"/>
          <w:b/>
          <w:color w:val="auto"/>
          <w:sz w:val="28"/>
          <w:szCs w:val="28"/>
          <w:highlight w:val="none"/>
        </w:rPr>
      </w:pPr>
    </w:p>
    <w:p w14:paraId="31B9202C">
      <w:pPr>
        <w:spacing w:line="360" w:lineRule="exact"/>
        <w:jc w:val="center"/>
        <w:rPr>
          <w:rFonts w:hint="eastAsia" w:asciiTheme="minorEastAsia" w:hAnsiTheme="minorEastAsia" w:eastAsiaTheme="minorEastAsia" w:cstheme="minorEastAsia"/>
          <w:b/>
          <w:color w:val="auto"/>
          <w:sz w:val="28"/>
          <w:szCs w:val="28"/>
          <w:highlight w:val="none"/>
        </w:rPr>
      </w:pPr>
    </w:p>
    <w:p w14:paraId="6F3DB223">
      <w:pPr>
        <w:spacing w:line="360" w:lineRule="exact"/>
        <w:jc w:val="center"/>
        <w:rPr>
          <w:rFonts w:hint="eastAsia" w:asciiTheme="minorEastAsia" w:hAnsiTheme="minorEastAsia" w:eastAsiaTheme="minorEastAsia" w:cstheme="minorEastAsia"/>
          <w:b/>
          <w:color w:val="auto"/>
          <w:sz w:val="28"/>
          <w:szCs w:val="28"/>
          <w:highlight w:val="none"/>
        </w:rPr>
      </w:pPr>
    </w:p>
    <w:p w14:paraId="28DB9CC0">
      <w:pPr>
        <w:spacing w:line="360" w:lineRule="exact"/>
        <w:jc w:val="center"/>
        <w:rPr>
          <w:rFonts w:hint="eastAsia" w:asciiTheme="minorEastAsia" w:hAnsiTheme="minorEastAsia" w:eastAsiaTheme="minorEastAsia" w:cstheme="minorEastAsia"/>
          <w:b/>
          <w:color w:val="auto"/>
          <w:sz w:val="28"/>
          <w:szCs w:val="28"/>
          <w:highlight w:val="none"/>
        </w:rPr>
      </w:pPr>
    </w:p>
    <w:p w14:paraId="591F098E">
      <w:pPr>
        <w:spacing w:line="360" w:lineRule="exact"/>
        <w:jc w:val="center"/>
        <w:rPr>
          <w:rFonts w:hint="eastAsia" w:asciiTheme="minorEastAsia" w:hAnsiTheme="minorEastAsia" w:eastAsiaTheme="minorEastAsia" w:cstheme="minorEastAsia"/>
          <w:b/>
          <w:color w:val="auto"/>
          <w:sz w:val="28"/>
          <w:szCs w:val="28"/>
          <w:highlight w:val="none"/>
        </w:rPr>
      </w:pPr>
    </w:p>
    <w:p w14:paraId="2833431B">
      <w:pPr>
        <w:spacing w:line="360" w:lineRule="exact"/>
        <w:jc w:val="center"/>
        <w:rPr>
          <w:rFonts w:hint="eastAsia" w:asciiTheme="minorEastAsia" w:hAnsiTheme="minorEastAsia" w:eastAsiaTheme="minorEastAsia" w:cstheme="minorEastAsia"/>
          <w:b/>
          <w:color w:val="auto"/>
          <w:sz w:val="28"/>
          <w:szCs w:val="28"/>
          <w:highlight w:val="none"/>
        </w:rPr>
      </w:pPr>
    </w:p>
    <w:p w14:paraId="38508230">
      <w:pPr>
        <w:spacing w:line="360" w:lineRule="exact"/>
        <w:jc w:val="center"/>
        <w:rPr>
          <w:rFonts w:hint="eastAsia" w:asciiTheme="minorEastAsia" w:hAnsiTheme="minorEastAsia" w:eastAsiaTheme="minorEastAsia" w:cstheme="minorEastAsia"/>
          <w:b/>
          <w:color w:val="auto"/>
          <w:sz w:val="28"/>
          <w:szCs w:val="28"/>
          <w:highlight w:val="none"/>
        </w:rPr>
      </w:pPr>
    </w:p>
    <w:p w14:paraId="2854D0CC">
      <w:pPr>
        <w:spacing w:line="360" w:lineRule="exact"/>
        <w:jc w:val="center"/>
        <w:rPr>
          <w:rFonts w:hint="eastAsia" w:asciiTheme="minorEastAsia" w:hAnsiTheme="minorEastAsia" w:eastAsiaTheme="minorEastAsia" w:cstheme="minorEastAsia"/>
          <w:b/>
          <w:color w:val="auto"/>
          <w:sz w:val="28"/>
          <w:szCs w:val="28"/>
          <w:highlight w:val="none"/>
        </w:rPr>
      </w:pPr>
    </w:p>
    <w:p w14:paraId="0B26A69A">
      <w:pPr>
        <w:spacing w:line="360" w:lineRule="exact"/>
        <w:jc w:val="center"/>
        <w:rPr>
          <w:rFonts w:hint="eastAsia" w:asciiTheme="minorEastAsia" w:hAnsiTheme="minorEastAsia" w:eastAsiaTheme="minorEastAsia" w:cstheme="minorEastAsia"/>
          <w:b/>
          <w:color w:val="auto"/>
          <w:sz w:val="28"/>
          <w:szCs w:val="28"/>
          <w:highlight w:val="none"/>
        </w:rPr>
      </w:pPr>
    </w:p>
    <w:p w14:paraId="13A426DF">
      <w:pPr>
        <w:spacing w:line="360" w:lineRule="exact"/>
        <w:jc w:val="center"/>
        <w:rPr>
          <w:rFonts w:hint="eastAsia" w:asciiTheme="minorEastAsia" w:hAnsiTheme="minorEastAsia" w:eastAsiaTheme="minorEastAsia" w:cstheme="minorEastAsia"/>
          <w:b/>
          <w:color w:val="auto"/>
          <w:sz w:val="28"/>
          <w:szCs w:val="28"/>
          <w:highlight w:val="none"/>
        </w:rPr>
      </w:pPr>
    </w:p>
    <w:p w14:paraId="1DC75056">
      <w:pPr>
        <w:spacing w:line="360" w:lineRule="exact"/>
        <w:jc w:val="center"/>
        <w:rPr>
          <w:rFonts w:hint="eastAsia" w:asciiTheme="minorEastAsia" w:hAnsiTheme="minorEastAsia" w:eastAsiaTheme="minorEastAsia" w:cstheme="minorEastAsia"/>
          <w:b/>
          <w:color w:val="auto"/>
          <w:sz w:val="28"/>
          <w:szCs w:val="28"/>
          <w:highlight w:val="none"/>
        </w:rPr>
      </w:pPr>
    </w:p>
    <w:p w14:paraId="44C8AE39">
      <w:pPr>
        <w:spacing w:line="360" w:lineRule="exact"/>
        <w:jc w:val="center"/>
        <w:rPr>
          <w:rFonts w:hint="eastAsia" w:asciiTheme="minorEastAsia" w:hAnsiTheme="minorEastAsia" w:eastAsiaTheme="minorEastAsia" w:cstheme="minorEastAsia"/>
          <w:b/>
          <w:color w:val="auto"/>
          <w:sz w:val="28"/>
          <w:szCs w:val="28"/>
          <w:highlight w:val="none"/>
        </w:rPr>
      </w:pPr>
    </w:p>
    <w:p w14:paraId="7350E250">
      <w:pPr>
        <w:spacing w:line="360" w:lineRule="exact"/>
        <w:jc w:val="center"/>
        <w:rPr>
          <w:rFonts w:hint="eastAsia" w:asciiTheme="minorEastAsia" w:hAnsiTheme="minorEastAsia" w:eastAsiaTheme="minorEastAsia" w:cstheme="minorEastAsia"/>
          <w:b/>
          <w:color w:val="auto"/>
          <w:sz w:val="28"/>
          <w:szCs w:val="28"/>
          <w:highlight w:val="none"/>
        </w:rPr>
      </w:pPr>
    </w:p>
    <w:p w14:paraId="2E6BB277">
      <w:pPr>
        <w:spacing w:line="360" w:lineRule="exact"/>
        <w:jc w:val="center"/>
        <w:rPr>
          <w:rFonts w:hint="eastAsia" w:asciiTheme="minorEastAsia" w:hAnsiTheme="minorEastAsia" w:eastAsiaTheme="minorEastAsia" w:cstheme="minorEastAsia"/>
          <w:b/>
          <w:color w:val="auto"/>
          <w:sz w:val="28"/>
          <w:szCs w:val="28"/>
          <w:highlight w:val="none"/>
        </w:rPr>
      </w:pPr>
    </w:p>
    <w:p w14:paraId="34516E88">
      <w:pPr>
        <w:spacing w:line="360" w:lineRule="exact"/>
        <w:jc w:val="center"/>
        <w:rPr>
          <w:rFonts w:hint="eastAsia" w:asciiTheme="minorEastAsia" w:hAnsiTheme="minorEastAsia" w:eastAsiaTheme="minorEastAsia" w:cstheme="minorEastAsia"/>
          <w:b/>
          <w:color w:val="auto"/>
          <w:sz w:val="28"/>
          <w:szCs w:val="28"/>
          <w:highlight w:val="none"/>
        </w:rPr>
      </w:pPr>
    </w:p>
    <w:p w14:paraId="3A145484">
      <w:pPr>
        <w:spacing w:line="360" w:lineRule="exact"/>
        <w:jc w:val="center"/>
        <w:rPr>
          <w:rFonts w:hint="eastAsia" w:asciiTheme="minorEastAsia" w:hAnsiTheme="minorEastAsia" w:eastAsiaTheme="minorEastAsia" w:cstheme="minorEastAsia"/>
          <w:b/>
          <w:color w:val="auto"/>
          <w:sz w:val="28"/>
          <w:szCs w:val="28"/>
          <w:highlight w:val="none"/>
        </w:rPr>
      </w:pPr>
    </w:p>
    <w:p w14:paraId="216959DD">
      <w:pPr>
        <w:spacing w:line="360" w:lineRule="exact"/>
        <w:jc w:val="center"/>
        <w:rPr>
          <w:rFonts w:hint="eastAsia" w:asciiTheme="minorEastAsia" w:hAnsiTheme="minorEastAsia" w:eastAsiaTheme="minorEastAsia" w:cstheme="minorEastAsia"/>
          <w:b/>
          <w:color w:val="auto"/>
          <w:sz w:val="28"/>
          <w:szCs w:val="28"/>
          <w:highlight w:val="none"/>
        </w:rPr>
      </w:pPr>
    </w:p>
    <w:p w14:paraId="3543F4DE">
      <w:pPr>
        <w:spacing w:line="360" w:lineRule="exact"/>
        <w:jc w:val="center"/>
        <w:rPr>
          <w:rFonts w:hint="eastAsia" w:asciiTheme="minorEastAsia" w:hAnsiTheme="minorEastAsia" w:eastAsiaTheme="minorEastAsia" w:cstheme="minorEastAsia"/>
          <w:b/>
          <w:color w:val="auto"/>
          <w:sz w:val="28"/>
          <w:szCs w:val="28"/>
          <w:highlight w:val="none"/>
        </w:rPr>
      </w:pPr>
    </w:p>
    <w:p w14:paraId="7238BC07">
      <w:pPr>
        <w:spacing w:line="360" w:lineRule="exact"/>
        <w:jc w:val="center"/>
        <w:rPr>
          <w:rFonts w:hint="eastAsia" w:asciiTheme="minorEastAsia" w:hAnsiTheme="minorEastAsia" w:eastAsiaTheme="minorEastAsia" w:cstheme="minorEastAsia"/>
          <w:b/>
          <w:color w:val="auto"/>
          <w:sz w:val="28"/>
          <w:szCs w:val="28"/>
          <w:highlight w:val="none"/>
        </w:rPr>
      </w:pPr>
    </w:p>
    <w:p w14:paraId="6F4AB132">
      <w:pPr>
        <w:spacing w:line="360" w:lineRule="exact"/>
        <w:jc w:val="center"/>
        <w:rPr>
          <w:rFonts w:hint="eastAsia" w:asciiTheme="minorEastAsia" w:hAnsiTheme="minorEastAsia" w:eastAsiaTheme="minorEastAsia" w:cstheme="minorEastAsia"/>
          <w:b/>
          <w:color w:val="auto"/>
          <w:sz w:val="28"/>
          <w:szCs w:val="28"/>
          <w:highlight w:val="none"/>
        </w:rPr>
      </w:pPr>
    </w:p>
    <w:p w14:paraId="0C5BAEB6">
      <w:pPr>
        <w:spacing w:line="360" w:lineRule="exact"/>
        <w:jc w:val="center"/>
        <w:rPr>
          <w:rFonts w:hint="eastAsia" w:asciiTheme="minorEastAsia" w:hAnsiTheme="minorEastAsia" w:eastAsiaTheme="minorEastAsia" w:cstheme="minorEastAsia"/>
          <w:b/>
          <w:color w:val="auto"/>
          <w:sz w:val="28"/>
          <w:szCs w:val="28"/>
          <w:highlight w:val="none"/>
        </w:rPr>
      </w:pPr>
    </w:p>
    <w:p w14:paraId="7A541748">
      <w:pPr>
        <w:spacing w:line="360" w:lineRule="exact"/>
        <w:jc w:val="center"/>
        <w:rPr>
          <w:rFonts w:hint="eastAsia" w:asciiTheme="minorEastAsia" w:hAnsiTheme="minorEastAsia" w:eastAsiaTheme="minorEastAsia" w:cstheme="minorEastAsia"/>
          <w:b/>
          <w:color w:val="auto"/>
          <w:sz w:val="28"/>
          <w:szCs w:val="28"/>
          <w:highlight w:val="none"/>
        </w:rPr>
      </w:pPr>
    </w:p>
    <w:p w14:paraId="1DD58A75">
      <w:pPr>
        <w:spacing w:line="360" w:lineRule="exact"/>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28"/>
          <w:szCs w:val="28"/>
          <w:highlight w:val="none"/>
        </w:rPr>
        <w:t>（7）参加采购活动前3年内在经营活动中没有重大违法记录的书面声明</w:t>
      </w:r>
    </w:p>
    <w:p w14:paraId="66CC8450">
      <w:pPr>
        <w:spacing w:line="360" w:lineRule="exact"/>
        <w:jc w:val="center"/>
        <w:rPr>
          <w:rFonts w:hint="eastAsia" w:asciiTheme="minorEastAsia" w:hAnsiTheme="minorEastAsia" w:eastAsiaTheme="minorEastAsia" w:cstheme="minorEastAsia"/>
          <w:b/>
          <w:color w:val="auto"/>
          <w:sz w:val="32"/>
          <w:szCs w:val="32"/>
          <w:highlight w:val="none"/>
        </w:rPr>
      </w:pPr>
    </w:p>
    <w:p w14:paraId="5BEE52DD">
      <w:pPr>
        <w:spacing w:line="360" w:lineRule="exact"/>
        <w:jc w:val="center"/>
        <w:rPr>
          <w:rFonts w:hint="eastAsia" w:asciiTheme="minorEastAsia" w:hAnsiTheme="minorEastAsia" w:eastAsiaTheme="minorEastAsia" w:cstheme="minorEastAsia"/>
          <w:b/>
          <w:color w:val="auto"/>
          <w:sz w:val="32"/>
          <w:szCs w:val="32"/>
          <w:highlight w:val="none"/>
        </w:rPr>
      </w:pPr>
    </w:p>
    <w:p w14:paraId="01474393">
      <w:pPr>
        <w:spacing w:line="360" w:lineRule="exact"/>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（格式自拟）</w:t>
      </w:r>
    </w:p>
    <w:p w14:paraId="6390FB1A">
      <w:pPr>
        <w:spacing w:line="360" w:lineRule="exact"/>
        <w:jc w:val="center"/>
        <w:rPr>
          <w:rFonts w:hint="eastAsia" w:asciiTheme="minorEastAsia" w:hAnsiTheme="minorEastAsia" w:eastAsiaTheme="minorEastAsia" w:cstheme="minorEastAsia"/>
          <w:b/>
          <w:color w:val="auto"/>
          <w:sz w:val="32"/>
          <w:szCs w:val="32"/>
          <w:highlight w:val="none"/>
        </w:rPr>
      </w:pPr>
    </w:p>
    <w:p w14:paraId="077A753C">
      <w:pPr>
        <w:spacing w:line="360" w:lineRule="exact"/>
        <w:jc w:val="center"/>
        <w:rPr>
          <w:rFonts w:hint="eastAsia" w:asciiTheme="minorEastAsia" w:hAnsiTheme="minorEastAsia" w:eastAsiaTheme="minorEastAsia" w:cstheme="minorEastAsia"/>
          <w:b/>
          <w:color w:val="auto"/>
          <w:sz w:val="32"/>
          <w:szCs w:val="32"/>
          <w:highlight w:val="none"/>
        </w:rPr>
      </w:pPr>
    </w:p>
    <w:p w14:paraId="3F9E9646">
      <w:pPr>
        <w:spacing w:line="360" w:lineRule="exact"/>
        <w:jc w:val="center"/>
        <w:rPr>
          <w:rFonts w:hint="eastAsia" w:asciiTheme="minorEastAsia" w:hAnsiTheme="minorEastAsia" w:eastAsiaTheme="minorEastAsia" w:cstheme="minorEastAsia"/>
          <w:b/>
          <w:color w:val="auto"/>
          <w:sz w:val="32"/>
          <w:szCs w:val="32"/>
          <w:highlight w:val="none"/>
        </w:rPr>
      </w:pPr>
    </w:p>
    <w:p w14:paraId="493968F1">
      <w:pPr>
        <w:spacing w:line="360" w:lineRule="exact"/>
        <w:jc w:val="center"/>
        <w:rPr>
          <w:rFonts w:hint="eastAsia" w:asciiTheme="minorEastAsia" w:hAnsiTheme="minorEastAsia" w:eastAsiaTheme="minorEastAsia" w:cstheme="minorEastAsia"/>
          <w:b/>
          <w:color w:val="auto"/>
          <w:sz w:val="32"/>
          <w:szCs w:val="32"/>
          <w:highlight w:val="none"/>
        </w:rPr>
      </w:pPr>
    </w:p>
    <w:p w14:paraId="27463840">
      <w:pPr>
        <w:spacing w:line="360" w:lineRule="exact"/>
        <w:jc w:val="center"/>
        <w:rPr>
          <w:rFonts w:hint="eastAsia" w:asciiTheme="minorEastAsia" w:hAnsiTheme="minorEastAsia" w:eastAsiaTheme="minorEastAsia" w:cstheme="minorEastAsia"/>
          <w:b/>
          <w:color w:val="auto"/>
          <w:sz w:val="32"/>
          <w:szCs w:val="32"/>
          <w:highlight w:val="none"/>
        </w:rPr>
      </w:pPr>
    </w:p>
    <w:p w14:paraId="501A2BE9">
      <w:pPr>
        <w:spacing w:line="360" w:lineRule="exact"/>
        <w:jc w:val="center"/>
        <w:rPr>
          <w:rFonts w:hint="eastAsia" w:asciiTheme="minorEastAsia" w:hAnsiTheme="minorEastAsia" w:eastAsiaTheme="minorEastAsia" w:cstheme="minorEastAsia"/>
          <w:b/>
          <w:color w:val="auto"/>
          <w:sz w:val="32"/>
          <w:szCs w:val="32"/>
          <w:highlight w:val="none"/>
        </w:rPr>
      </w:pPr>
    </w:p>
    <w:p w14:paraId="6E8945FC">
      <w:pPr>
        <w:spacing w:line="360" w:lineRule="exact"/>
        <w:jc w:val="center"/>
        <w:rPr>
          <w:rFonts w:hint="eastAsia" w:asciiTheme="minorEastAsia" w:hAnsiTheme="minorEastAsia" w:eastAsiaTheme="minorEastAsia" w:cstheme="minorEastAsia"/>
          <w:b/>
          <w:color w:val="auto"/>
          <w:sz w:val="32"/>
          <w:szCs w:val="32"/>
          <w:highlight w:val="none"/>
        </w:rPr>
      </w:pPr>
    </w:p>
    <w:p w14:paraId="66FD1F8B">
      <w:pPr>
        <w:spacing w:line="360" w:lineRule="exact"/>
        <w:jc w:val="center"/>
        <w:rPr>
          <w:rFonts w:hint="eastAsia" w:asciiTheme="minorEastAsia" w:hAnsiTheme="minorEastAsia" w:eastAsiaTheme="minorEastAsia" w:cstheme="minorEastAsia"/>
          <w:b/>
          <w:color w:val="auto"/>
          <w:sz w:val="32"/>
          <w:szCs w:val="32"/>
          <w:highlight w:val="none"/>
        </w:rPr>
      </w:pPr>
    </w:p>
    <w:p w14:paraId="10EDA2D9">
      <w:pPr>
        <w:spacing w:line="360" w:lineRule="exact"/>
        <w:jc w:val="center"/>
        <w:rPr>
          <w:rFonts w:hint="eastAsia" w:asciiTheme="minorEastAsia" w:hAnsiTheme="minorEastAsia" w:eastAsiaTheme="minorEastAsia" w:cstheme="minorEastAsia"/>
          <w:b/>
          <w:color w:val="auto"/>
          <w:sz w:val="32"/>
          <w:szCs w:val="32"/>
          <w:highlight w:val="none"/>
        </w:rPr>
      </w:pPr>
    </w:p>
    <w:p w14:paraId="6F0299EF">
      <w:pPr>
        <w:spacing w:line="360" w:lineRule="exact"/>
        <w:jc w:val="center"/>
        <w:rPr>
          <w:rFonts w:hint="eastAsia" w:asciiTheme="minorEastAsia" w:hAnsiTheme="minorEastAsia" w:eastAsiaTheme="minorEastAsia" w:cstheme="minorEastAsia"/>
          <w:b/>
          <w:color w:val="auto"/>
          <w:sz w:val="32"/>
          <w:szCs w:val="32"/>
          <w:highlight w:val="none"/>
        </w:rPr>
      </w:pPr>
    </w:p>
    <w:p w14:paraId="459C11EB">
      <w:pPr>
        <w:spacing w:line="360" w:lineRule="exact"/>
        <w:jc w:val="center"/>
        <w:rPr>
          <w:rFonts w:hint="eastAsia" w:asciiTheme="minorEastAsia" w:hAnsiTheme="minorEastAsia" w:eastAsiaTheme="minorEastAsia" w:cstheme="minorEastAsia"/>
          <w:b/>
          <w:color w:val="auto"/>
          <w:sz w:val="32"/>
          <w:szCs w:val="32"/>
          <w:highlight w:val="none"/>
        </w:rPr>
      </w:pPr>
    </w:p>
    <w:p w14:paraId="6690A58A">
      <w:pPr>
        <w:spacing w:line="360" w:lineRule="exact"/>
        <w:jc w:val="center"/>
        <w:rPr>
          <w:rFonts w:hint="eastAsia" w:asciiTheme="minorEastAsia" w:hAnsiTheme="minorEastAsia" w:eastAsiaTheme="minorEastAsia" w:cstheme="minorEastAsia"/>
          <w:b/>
          <w:color w:val="auto"/>
          <w:sz w:val="32"/>
          <w:szCs w:val="32"/>
          <w:highlight w:val="none"/>
        </w:rPr>
      </w:pPr>
    </w:p>
    <w:p w14:paraId="7A0AD14C">
      <w:pPr>
        <w:spacing w:line="360" w:lineRule="exact"/>
        <w:jc w:val="center"/>
        <w:rPr>
          <w:rFonts w:hint="eastAsia" w:asciiTheme="minorEastAsia" w:hAnsiTheme="minorEastAsia" w:eastAsiaTheme="minorEastAsia" w:cstheme="minorEastAsia"/>
          <w:b/>
          <w:color w:val="auto"/>
          <w:sz w:val="32"/>
          <w:szCs w:val="32"/>
          <w:highlight w:val="none"/>
        </w:rPr>
      </w:pPr>
    </w:p>
    <w:p w14:paraId="58355CF6">
      <w:pPr>
        <w:spacing w:line="360" w:lineRule="exact"/>
        <w:jc w:val="center"/>
        <w:rPr>
          <w:rFonts w:hint="eastAsia" w:asciiTheme="minorEastAsia" w:hAnsiTheme="minorEastAsia" w:eastAsiaTheme="minorEastAsia" w:cstheme="minorEastAsia"/>
          <w:b/>
          <w:color w:val="auto"/>
          <w:sz w:val="32"/>
          <w:szCs w:val="32"/>
          <w:highlight w:val="none"/>
        </w:rPr>
      </w:pPr>
    </w:p>
    <w:p w14:paraId="0AEC8BC5">
      <w:pPr>
        <w:spacing w:line="360" w:lineRule="exact"/>
        <w:jc w:val="center"/>
        <w:rPr>
          <w:rFonts w:hint="eastAsia" w:asciiTheme="minorEastAsia" w:hAnsiTheme="minorEastAsia" w:eastAsiaTheme="minorEastAsia" w:cstheme="minorEastAsia"/>
          <w:b/>
          <w:color w:val="auto"/>
          <w:sz w:val="32"/>
          <w:szCs w:val="32"/>
          <w:highlight w:val="none"/>
        </w:rPr>
      </w:pPr>
    </w:p>
    <w:p w14:paraId="1B43C286">
      <w:pPr>
        <w:spacing w:line="360" w:lineRule="exact"/>
        <w:jc w:val="center"/>
        <w:rPr>
          <w:rFonts w:hint="eastAsia" w:asciiTheme="minorEastAsia" w:hAnsiTheme="minorEastAsia" w:eastAsiaTheme="minorEastAsia" w:cstheme="minorEastAsia"/>
          <w:b/>
          <w:color w:val="auto"/>
          <w:sz w:val="32"/>
          <w:szCs w:val="32"/>
          <w:highlight w:val="none"/>
        </w:rPr>
      </w:pPr>
    </w:p>
    <w:p w14:paraId="30C51BCD">
      <w:pPr>
        <w:spacing w:line="360" w:lineRule="exact"/>
        <w:jc w:val="center"/>
        <w:rPr>
          <w:rFonts w:hint="eastAsia" w:asciiTheme="minorEastAsia" w:hAnsiTheme="minorEastAsia" w:eastAsiaTheme="minorEastAsia" w:cstheme="minorEastAsia"/>
          <w:b/>
          <w:color w:val="auto"/>
          <w:sz w:val="32"/>
          <w:szCs w:val="32"/>
          <w:highlight w:val="none"/>
        </w:rPr>
      </w:pPr>
    </w:p>
    <w:p w14:paraId="666F75DE">
      <w:pPr>
        <w:spacing w:line="360" w:lineRule="exact"/>
        <w:jc w:val="center"/>
        <w:rPr>
          <w:rFonts w:hint="eastAsia" w:asciiTheme="minorEastAsia" w:hAnsiTheme="minorEastAsia" w:eastAsiaTheme="minorEastAsia" w:cstheme="minorEastAsia"/>
          <w:b/>
          <w:color w:val="auto"/>
          <w:sz w:val="32"/>
          <w:szCs w:val="32"/>
          <w:highlight w:val="none"/>
        </w:rPr>
      </w:pPr>
    </w:p>
    <w:p w14:paraId="42F7280A">
      <w:pPr>
        <w:spacing w:line="360" w:lineRule="exact"/>
        <w:jc w:val="center"/>
        <w:rPr>
          <w:rFonts w:hint="eastAsia" w:asciiTheme="minorEastAsia" w:hAnsiTheme="minorEastAsia" w:eastAsiaTheme="minorEastAsia" w:cstheme="minorEastAsia"/>
          <w:b/>
          <w:color w:val="auto"/>
          <w:sz w:val="32"/>
          <w:szCs w:val="32"/>
          <w:highlight w:val="none"/>
        </w:rPr>
      </w:pPr>
    </w:p>
    <w:p w14:paraId="711C81AF">
      <w:pPr>
        <w:spacing w:line="360" w:lineRule="exact"/>
        <w:jc w:val="center"/>
        <w:rPr>
          <w:rFonts w:hint="eastAsia" w:asciiTheme="minorEastAsia" w:hAnsiTheme="minorEastAsia" w:eastAsiaTheme="minorEastAsia" w:cstheme="minorEastAsia"/>
          <w:b/>
          <w:color w:val="auto"/>
          <w:sz w:val="32"/>
          <w:szCs w:val="32"/>
          <w:highlight w:val="none"/>
        </w:rPr>
      </w:pPr>
    </w:p>
    <w:p w14:paraId="63C81C64">
      <w:pPr>
        <w:spacing w:line="360" w:lineRule="exact"/>
        <w:jc w:val="center"/>
        <w:rPr>
          <w:rFonts w:hint="eastAsia" w:asciiTheme="minorEastAsia" w:hAnsiTheme="minorEastAsia" w:eastAsiaTheme="minorEastAsia" w:cstheme="minorEastAsia"/>
          <w:b/>
          <w:color w:val="auto"/>
          <w:sz w:val="32"/>
          <w:szCs w:val="32"/>
          <w:highlight w:val="none"/>
        </w:rPr>
      </w:pPr>
    </w:p>
    <w:p w14:paraId="63143614">
      <w:pPr>
        <w:spacing w:line="360" w:lineRule="exact"/>
        <w:jc w:val="center"/>
        <w:rPr>
          <w:rFonts w:hint="eastAsia" w:asciiTheme="minorEastAsia" w:hAnsiTheme="minorEastAsia" w:eastAsiaTheme="minorEastAsia" w:cstheme="minorEastAsia"/>
          <w:b/>
          <w:color w:val="auto"/>
          <w:sz w:val="32"/>
          <w:szCs w:val="32"/>
          <w:highlight w:val="none"/>
        </w:rPr>
      </w:pPr>
    </w:p>
    <w:p w14:paraId="7798452E">
      <w:pPr>
        <w:autoSpaceDE w:val="0"/>
        <w:autoSpaceDN w:val="0"/>
        <w:adjustRightInd w:val="0"/>
        <w:spacing w:line="360" w:lineRule="auto"/>
        <w:ind w:firstLine="48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lang w:val="zh-CN"/>
        </w:rPr>
        <w:t>供应商名称全称：</w:t>
      </w:r>
    </w:p>
    <w:p w14:paraId="5447CCC1">
      <w:pPr>
        <w:autoSpaceDE w:val="0"/>
        <w:autoSpaceDN w:val="0"/>
        <w:adjustRightInd w:val="0"/>
        <w:spacing w:line="360" w:lineRule="auto"/>
        <w:ind w:firstLine="48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lang w:val="zh-CN"/>
        </w:rPr>
        <w:t>供应商单位公章：</w:t>
      </w:r>
    </w:p>
    <w:p w14:paraId="3B0D1C75">
      <w:pPr>
        <w:autoSpaceDE w:val="0"/>
        <w:autoSpaceDN w:val="0"/>
        <w:adjustRightInd w:val="0"/>
        <w:spacing w:line="360" w:lineRule="auto"/>
        <w:ind w:firstLine="48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lang w:val="zh-CN"/>
        </w:rPr>
        <w:t>法定代表人（或被授权人）签字</w:t>
      </w:r>
      <w:r>
        <w:rPr>
          <w:rFonts w:hint="eastAsia" w:asciiTheme="minorEastAsia" w:hAnsiTheme="minorEastAsia" w:eastAsiaTheme="minorEastAsia" w:cstheme="minorEastAsia"/>
          <w:color w:val="auto"/>
          <w:sz w:val="24"/>
          <w:highlight w:val="none"/>
        </w:rPr>
        <w:t>或盖章</w:t>
      </w:r>
      <w:r>
        <w:rPr>
          <w:rFonts w:hint="eastAsia" w:asciiTheme="minorEastAsia" w:hAnsiTheme="minorEastAsia" w:eastAsiaTheme="minorEastAsia" w:cstheme="minorEastAsia"/>
          <w:color w:val="auto"/>
          <w:sz w:val="24"/>
          <w:highlight w:val="none"/>
          <w:lang w:val="zh-CN"/>
        </w:rPr>
        <w:t>：</w:t>
      </w:r>
    </w:p>
    <w:p w14:paraId="0DE2515C">
      <w:pPr>
        <w:autoSpaceDE w:val="0"/>
        <w:autoSpaceDN w:val="0"/>
        <w:adjustRightInd w:val="0"/>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时间：年月日</w:t>
      </w:r>
    </w:p>
    <w:p w14:paraId="386DB351">
      <w:pPr>
        <w:autoSpaceDE w:val="0"/>
        <w:autoSpaceDN w:val="0"/>
        <w:adjustRightInd w:val="0"/>
        <w:ind w:firstLine="480"/>
        <w:rPr>
          <w:rFonts w:hint="eastAsia" w:asciiTheme="minorEastAsia" w:hAnsiTheme="minorEastAsia" w:eastAsiaTheme="minorEastAsia" w:cstheme="minorEastAsia"/>
          <w:color w:val="auto"/>
          <w:sz w:val="24"/>
          <w:highlight w:val="none"/>
        </w:rPr>
      </w:pPr>
    </w:p>
    <w:p w14:paraId="2DF5C9B6">
      <w:pPr>
        <w:spacing w:line="360" w:lineRule="exact"/>
        <w:jc w:val="center"/>
        <w:rPr>
          <w:rFonts w:hint="eastAsia" w:asciiTheme="minorEastAsia" w:hAnsiTheme="minorEastAsia" w:eastAsiaTheme="minorEastAsia" w:cstheme="minorEastAsia"/>
          <w:b/>
          <w:color w:val="auto"/>
          <w:sz w:val="32"/>
          <w:szCs w:val="32"/>
          <w:highlight w:val="none"/>
        </w:rPr>
      </w:pPr>
    </w:p>
    <w:p w14:paraId="4B6F6CEF">
      <w:pPr>
        <w:spacing w:line="360" w:lineRule="exact"/>
        <w:jc w:val="center"/>
        <w:rPr>
          <w:rFonts w:hint="eastAsia" w:asciiTheme="minorEastAsia" w:hAnsiTheme="minorEastAsia" w:eastAsiaTheme="minorEastAsia" w:cstheme="minorEastAsia"/>
          <w:b/>
          <w:color w:val="auto"/>
          <w:sz w:val="32"/>
          <w:szCs w:val="32"/>
          <w:highlight w:val="none"/>
        </w:rPr>
      </w:pPr>
    </w:p>
    <w:p w14:paraId="58D5F0F7">
      <w:pPr>
        <w:spacing w:line="360" w:lineRule="exact"/>
        <w:jc w:val="center"/>
        <w:rPr>
          <w:rFonts w:hint="eastAsia" w:asciiTheme="minorEastAsia" w:hAnsiTheme="minorEastAsia" w:eastAsiaTheme="minorEastAsia" w:cstheme="minorEastAsia"/>
          <w:b/>
          <w:color w:val="auto"/>
          <w:sz w:val="32"/>
          <w:szCs w:val="32"/>
          <w:highlight w:val="none"/>
        </w:rPr>
      </w:pPr>
    </w:p>
    <w:p w14:paraId="5CDD05EA">
      <w:pPr>
        <w:spacing w:line="360" w:lineRule="exact"/>
        <w:jc w:val="center"/>
        <w:rPr>
          <w:rFonts w:hint="eastAsia" w:asciiTheme="minorEastAsia" w:hAnsiTheme="minorEastAsia" w:eastAsiaTheme="minorEastAsia" w:cstheme="minorEastAsia"/>
          <w:b/>
          <w:color w:val="auto"/>
          <w:sz w:val="32"/>
          <w:szCs w:val="32"/>
          <w:highlight w:val="none"/>
        </w:rPr>
      </w:pPr>
    </w:p>
    <w:p w14:paraId="54C5171D">
      <w:pPr>
        <w:spacing w:line="360" w:lineRule="exact"/>
        <w:jc w:val="center"/>
        <w:rPr>
          <w:rFonts w:hint="eastAsia" w:asciiTheme="minorEastAsia" w:hAnsiTheme="minorEastAsia" w:eastAsiaTheme="minorEastAsia" w:cstheme="minorEastAsia"/>
          <w:b/>
          <w:color w:val="auto"/>
          <w:sz w:val="32"/>
          <w:szCs w:val="32"/>
          <w:highlight w:val="none"/>
        </w:rPr>
      </w:pPr>
    </w:p>
    <w:p w14:paraId="6E56C86B">
      <w:pPr>
        <w:spacing w:line="360" w:lineRule="exact"/>
        <w:jc w:val="center"/>
        <w:rPr>
          <w:rFonts w:hint="eastAsia" w:asciiTheme="minorEastAsia" w:hAnsiTheme="minorEastAsia" w:eastAsiaTheme="minorEastAsia" w:cstheme="minorEastAsia"/>
          <w:b/>
          <w:color w:val="auto"/>
          <w:sz w:val="32"/>
          <w:szCs w:val="32"/>
          <w:highlight w:val="none"/>
        </w:rPr>
      </w:pPr>
    </w:p>
    <w:p w14:paraId="6BE3A30C">
      <w:pPr>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（8）商务条款偏离表</w:t>
      </w:r>
    </w:p>
    <w:p w14:paraId="3C386D92">
      <w:pPr>
        <w:pStyle w:val="186"/>
        <w:ind w:firstLine="0" w:firstLineChars="0"/>
        <w:rPr>
          <w:color w:val="auto"/>
          <w:highlight w:val="none"/>
        </w:rPr>
      </w:pPr>
    </w:p>
    <w:p w14:paraId="0EF23A30">
      <w:pPr>
        <w:pStyle w:val="186"/>
        <w:ind w:firstLine="0" w:firstLineChars="0"/>
        <w:rPr>
          <w:color w:val="auto"/>
          <w:highlight w:val="none"/>
        </w:rPr>
      </w:pPr>
    </w:p>
    <w:p w14:paraId="64031B56">
      <w:pPr>
        <w:pStyle w:val="186"/>
        <w:ind w:firstLine="0" w:firstLineChars="0"/>
        <w:rPr>
          <w:color w:val="auto"/>
          <w:highlight w:val="none"/>
        </w:rPr>
      </w:pPr>
    </w:p>
    <w:p w14:paraId="5F0CDA8A">
      <w:pPr>
        <w:pStyle w:val="186"/>
        <w:ind w:firstLine="0" w:firstLineChars="0"/>
        <w:rPr>
          <w:color w:val="auto"/>
          <w:highlight w:val="none"/>
        </w:rPr>
      </w:pPr>
    </w:p>
    <w:tbl>
      <w:tblPr>
        <w:tblStyle w:val="45"/>
        <w:tblW w:w="98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1"/>
        <w:gridCol w:w="1200"/>
        <w:gridCol w:w="2893"/>
        <w:gridCol w:w="2936"/>
        <w:gridCol w:w="2060"/>
      </w:tblGrid>
      <w:tr w14:paraId="28DF54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4A95C920">
            <w:pPr>
              <w:wordWrap w:val="0"/>
              <w:spacing w:line="440" w:lineRule="exact"/>
              <w:jc w:val="center"/>
              <w:rPr>
                <w:rFonts w:hint="eastAsia" w:ascii="宋体" w:hAnsi="宋体" w:cs="宋体"/>
                <w:b/>
                <w:color w:val="auto"/>
                <w:sz w:val="24"/>
                <w:highlight w:val="none"/>
              </w:rPr>
            </w:pPr>
            <w:bookmarkStart w:id="60" w:name="_Toc492451841"/>
            <w:bookmarkStart w:id="61" w:name="_Toc16858225"/>
            <w:bookmarkStart w:id="62" w:name="_Toc11340"/>
            <w:bookmarkStart w:id="63" w:name="_Toc16666392"/>
            <w:bookmarkStart w:id="64" w:name="_Toc9156"/>
            <w:bookmarkStart w:id="65" w:name="_Toc10451"/>
            <w:bookmarkStart w:id="66" w:name="_Toc23541"/>
            <w:r>
              <w:rPr>
                <w:rFonts w:hint="eastAsia" w:ascii="宋体" w:hAnsi="宋体" w:cs="宋体"/>
                <w:b/>
                <w:color w:val="auto"/>
                <w:sz w:val="24"/>
                <w:highlight w:val="none"/>
              </w:rPr>
              <w:t>序号</w:t>
            </w:r>
            <w:bookmarkEnd w:id="60"/>
            <w:bookmarkEnd w:id="61"/>
            <w:bookmarkEnd w:id="62"/>
            <w:bookmarkEnd w:id="63"/>
            <w:bookmarkEnd w:id="64"/>
            <w:bookmarkEnd w:id="65"/>
            <w:bookmarkEnd w:id="66"/>
          </w:p>
        </w:tc>
        <w:tc>
          <w:tcPr>
            <w:tcW w:w="1200" w:type="dxa"/>
            <w:tcBorders>
              <w:top w:val="single" w:color="auto" w:sz="4" w:space="0"/>
              <w:left w:val="single" w:color="auto" w:sz="4" w:space="0"/>
              <w:bottom w:val="single" w:color="auto" w:sz="4" w:space="0"/>
              <w:right w:val="single" w:color="auto" w:sz="4" w:space="0"/>
            </w:tcBorders>
            <w:vAlign w:val="center"/>
          </w:tcPr>
          <w:p w14:paraId="0305803C">
            <w:pPr>
              <w:wordWrap w:val="0"/>
              <w:spacing w:line="440" w:lineRule="exact"/>
              <w:jc w:val="center"/>
              <w:rPr>
                <w:rFonts w:hint="eastAsia" w:ascii="宋体" w:hAnsi="宋体" w:cs="宋体"/>
                <w:b/>
                <w:color w:val="auto"/>
                <w:sz w:val="24"/>
                <w:highlight w:val="none"/>
              </w:rPr>
            </w:pPr>
            <w:bookmarkStart w:id="67" w:name="_Toc4669"/>
            <w:bookmarkStart w:id="68" w:name="_Toc16858226"/>
            <w:bookmarkStart w:id="69" w:name="_Toc16666393"/>
            <w:bookmarkStart w:id="70" w:name="_Toc26098"/>
            <w:bookmarkStart w:id="71" w:name="_Toc492451842"/>
            <w:bookmarkStart w:id="72" w:name="_Toc15409"/>
            <w:bookmarkStart w:id="73" w:name="_Toc7422"/>
            <w:r>
              <w:rPr>
                <w:rFonts w:hint="eastAsia" w:ascii="宋体" w:hAnsi="宋体" w:cs="宋体"/>
                <w:b/>
                <w:color w:val="auto"/>
                <w:sz w:val="24"/>
                <w:highlight w:val="none"/>
              </w:rPr>
              <w:t>货物名称</w:t>
            </w:r>
            <w:bookmarkEnd w:id="67"/>
            <w:bookmarkEnd w:id="68"/>
            <w:bookmarkEnd w:id="69"/>
            <w:bookmarkEnd w:id="70"/>
            <w:bookmarkEnd w:id="71"/>
            <w:bookmarkEnd w:id="72"/>
            <w:bookmarkEnd w:id="73"/>
          </w:p>
        </w:tc>
        <w:tc>
          <w:tcPr>
            <w:tcW w:w="2893" w:type="dxa"/>
            <w:tcBorders>
              <w:top w:val="single" w:color="auto" w:sz="4" w:space="0"/>
              <w:left w:val="single" w:color="auto" w:sz="4" w:space="0"/>
              <w:bottom w:val="single" w:color="auto" w:sz="4" w:space="0"/>
              <w:right w:val="single" w:color="auto" w:sz="4" w:space="0"/>
            </w:tcBorders>
            <w:vAlign w:val="center"/>
          </w:tcPr>
          <w:p w14:paraId="79008F6E">
            <w:pPr>
              <w:wordWrap w:val="0"/>
              <w:spacing w:line="440" w:lineRule="exact"/>
              <w:jc w:val="center"/>
              <w:rPr>
                <w:rFonts w:hint="eastAsia" w:ascii="宋体" w:hAnsi="宋体" w:cs="宋体"/>
                <w:b/>
                <w:color w:val="auto"/>
                <w:sz w:val="24"/>
                <w:highlight w:val="none"/>
              </w:rPr>
            </w:pPr>
            <w:bookmarkStart w:id="74" w:name="_Toc3291"/>
            <w:bookmarkStart w:id="75" w:name="_Toc16666394"/>
            <w:bookmarkStart w:id="76" w:name="_Toc25441"/>
            <w:bookmarkStart w:id="77" w:name="_Toc19811"/>
            <w:bookmarkStart w:id="78" w:name="_Toc492451843"/>
            <w:bookmarkStart w:id="79" w:name="_Toc10148"/>
            <w:bookmarkStart w:id="80" w:name="_Toc6174"/>
            <w:bookmarkStart w:id="81" w:name="_Toc16858227"/>
            <w:r>
              <w:rPr>
                <w:rFonts w:hint="eastAsia" w:ascii="宋体" w:hAnsi="宋体" w:cs="宋体"/>
                <w:b/>
                <w:color w:val="auto"/>
                <w:sz w:val="24"/>
                <w:highlight w:val="none"/>
              </w:rPr>
              <w:t>招标文件规定的商务条款</w:t>
            </w:r>
            <w:bookmarkEnd w:id="74"/>
            <w:bookmarkEnd w:id="75"/>
            <w:bookmarkEnd w:id="76"/>
            <w:bookmarkEnd w:id="77"/>
            <w:bookmarkEnd w:id="78"/>
            <w:bookmarkEnd w:id="79"/>
            <w:bookmarkEnd w:id="80"/>
            <w:bookmarkEnd w:id="81"/>
          </w:p>
        </w:tc>
        <w:tc>
          <w:tcPr>
            <w:tcW w:w="2936" w:type="dxa"/>
            <w:tcBorders>
              <w:top w:val="single" w:color="auto" w:sz="4" w:space="0"/>
              <w:left w:val="single" w:color="auto" w:sz="4" w:space="0"/>
              <w:bottom w:val="single" w:color="auto" w:sz="4" w:space="0"/>
              <w:right w:val="single" w:color="auto" w:sz="4" w:space="0"/>
            </w:tcBorders>
            <w:vAlign w:val="center"/>
          </w:tcPr>
          <w:p w14:paraId="3DF50302">
            <w:pPr>
              <w:wordWrap w:val="0"/>
              <w:spacing w:line="440" w:lineRule="exact"/>
              <w:jc w:val="center"/>
              <w:rPr>
                <w:rFonts w:hint="eastAsia" w:ascii="宋体" w:hAnsi="宋体" w:cs="宋体"/>
                <w:b/>
                <w:color w:val="auto"/>
                <w:sz w:val="24"/>
                <w:highlight w:val="none"/>
              </w:rPr>
            </w:pPr>
            <w:bookmarkStart w:id="82" w:name="_Toc21331"/>
            <w:bookmarkStart w:id="83" w:name="_Toc16666395"/>
            <w:bookmarkStart w:id="84" w:name="_Toc18316"/>
            <w:bookmarkStart w:id="85" w:name="_Toc343"/>
            <w:bookmarkStart w:id="86" w:name="_Toc492451844"/>
            <w:bookmarkStart w:id="87" w:name="_Toc16858228"/>
            <w:bookmarkStart w:id="88" w:name="_Toc30914"/>
            <w:bookmarkStart w:id="89" w:name="_Toc6683"/>
            <w:r>
              <w:rPr>
                <w:rFonts w:hint="eastAsia" w:ascii="宋体" w:hAnsi="宋体" w:cs="宋体"/>
                <w:b/>
                <w:color w:val="auto"/>
                <w:sz w:val="24"/>
                <w:highlight w:val="none"/>
              </w:rPr>
              <w:t>投标文件对应的商务条款</w:t>
            </w:r>
            <w:bookmarkEnd w:id="82"/>
            <w:bookmarkEnd w:id="83"/>
            <w:bookmarkEnd w:id="84"/>
            <w:bookmarkEnd w:id="85"/>
            <w:bookmarkEnd w:id="86"/>
            <w:bookmarkEnd w:id="87"/>
            <w:bookmarkEnd w:id="88"/>
            <w:bookmarkEnd w:id="89"/>
          </w:p>
        </w:tc>
        <w:tc>
          <w:tcPr>
            <w:tcW w:w="2060" w:type="dxa"/>
            <w:tcBorders>
              <w:top w:val="single" w:color="auto" w:sz="4" w:space="0"/>
              <w:left w:val="single" w:color="auto" w:sz="4" w:space="0"/>
              <w:bottom w:val="single" w:color="auto" w:sz="4" w:space="0"/>
              <w:right w:val="single" w:color="auto" w:sz="4" w:space="0"/>
            </w:tcBorders>
            <w:vAlign w:val="center"/>
          </w:tcPr>
          <w:p w14:paraId="00717142">
            <w:pPr>
              <w:wordWrap w:val="0"/>
              <w:spacing w:line="440" w:lineRule="exact"/>
              <w:jc w:val="center"/>
              <w:rPr>
                <w:rFonts w:hint="eastAsia" w:ascii="宋体" w:hAnsi="宋体" w:cs="宋体"/>
                <w:b/>
                <w:color w:val="auto"/>
                <w:sz w:val="24"/>
                <w:highlight w:val="none"/>
              </w:rPr>
            </w:pPr>
            <w:r>
              <w:rPr>
                <w:rFonts w:hint="eastAsia" w:ascii="宋体" w:hAnsi="宋体" w:cs="宋体"/>
                <w:b/>
                <w:color w:val="auto"/>
                <w:sz w:val="24"/>
                <w:highlight w:val="none"/>
              </w:rPr>
              <w:t>偏离部分（正/无/负）情况说明</w:t>
            </w:r>
          </w:p>
        </w:tc>
      </w:tr>
      <w:tr w14:paraId="2974F1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7596DC47">
            <w:pPr>
              <w:wordWrap w:val="0"/>
              <w:spacing w:line="440" w:lineRule="exact"/>
              <w:jc w:val="center"/>
              <w:rPr>
                <w:rFonts w:hint="eastAsia" w:ascii="宋体" w:hAnsi="宋体" w:cs="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14AAE7F9">
            <w:pPr>
              <w:pStyle w:val="25"/>
              <w:wordWrap w:val="0"/>
              <w:spacing w:line="440" w:lineRule="exact"/>
              <w:ind w:left="5250"/>
              <w:jc w:val="center"/>
              <w:rPr>
                <w:rFonts w:hint="eastAsia" w:ascii="宋体" w:hAnsi="宋体" w:cs="宋体"/>
                <w:color w:val="auto"/>
                <w:szCs w:val="24"/>
                <w:highlight w:val="none"/>
              </w:rPr>
            </w:pPr>
          </w:p>
        </w:tc>
        <w:tc>
          <w:tcPr>
            <w:tcW w:w="2893" w:type="dxa"/>
            <w:tcBorders>
              <w:top w:val="single" w:color="auto" w:sz="4" w:space="0"/>
              <w:left w:val="single" w:color="auto" w:sz="4" w:space="0"/>
              <w:bottom w:val="single" w:color="auto" w:sz="4" w:space="0"/>
              <w:right w:val="single" w:color="auto" w:sz="4" w:space="0"/>
            </w:tcBorders>
            <w:vAlign w:val="center"/>
          </w:tcPr>
          <w:p w14:paraId="08A674F1">
            <w:pPr>
              <w:wordWrap w:val="0"/>
              <w:spacing w:line="440" w:lineRule="exact"/>
              <w:jc w:val="center"/>
              <w:rPr>
                <w:rFonts w:hint="eastAsia" w:ascii="宋体" w:hAnsi="宋体" w:cs="宋体"/>
                <w:color w:val="auto"/>
                <w:sz w:val="24"/>
                <w:highlight w:val="none"/>
              </w:rPr>
            </w:pPr>
          </w:p>
        </w:tc>
        <w:tc>
          <w:tcPr>
            <w:tcW w:w="2936" w:type="dxa"/>
            <w:tcBorders>
              <w:top w:val="single" w:color="auto" w:sz="4" w:space="0"/>
              <w:left w:val="single" w:color="auto" w:sz="4" w:space="0"/>
              <w:bottom w:val="single" w:color="auto" w:sz="4" w:space="0"/>
              <w:right w:val="single" w:color="auto" w:sz="4" w:space="0"/>
            </w:tcBorders>
            <w:vAlign w:val="center"/>
          </w:tcPr>
          <w:p w14:paraId="0575C438">
            <w:pPr>
              <w:wordWrap w:val="0"/>
              <w:spacing w:line="440" w:lineRule="exact"/>
              <w:jc w:val="center"/>
              <w:rPr>
                <w:rFonts w:hint="eastAsia" w:ascii="宋体" w:hAnsi="宋体" w:cs="宋体"/>
                <w:color w:val="auto"/>
                <w:sz w:val="24"/>
                <w:highlight w:val="none"/>
              </w:rPr>
            </w:pPr>
          </w:p>
        </w:tc>
        <w:tc>
          <w:tcPr>
            <w:tcW w:w="2060" w:type="dxa"/>
            <w:tcBorders>
              <w:top w:val="single" w:color="auto" w:sz="4" w:space="0"/>
              <w:left w:val="single" w:color="auto" w:sz="4" w:space="0"/>
              <w:bottom w:val="single" w:color="auto" w:sz="4" w:space="0"/>
              <w:right w:val="single" w:color="auto" w:sz="4" w:space="0"/>
            </w:tcBorders>
            <w:vAlign w:val="center"/>
          </w:tcPr>
          <w:p w14:paraId="1C516EE0">
            <w:pPr>
              <w:wordWrap w:val="0"/>
              <w:spacing w:line="440" w:lineRule="exact"/>
              <w:jc w:val="center"/>
              <w:rPr>
                <w:rFonts w:hint="eastAsia" w:ascii="宋体" w:hAnsi="宋体" w:cs="宋体"/>
                <w:color w:val="auto"/>
                <w:sz w:val="24"/>
                <w:highlight w:val="none"/>
              </w:rPr>
            </w:pPr>
          </w:p>
        </w:tc>
      </w:tr>
      <w:tr w14:paraId="1E16B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310B64C6">
            <w:pPr>
              <w:wordWrap w:val="0"/>
              <w:spacing w:line="440" w:lineRule="exact"/>
              <w:jc w:val="center"/>
              <w:rPr>
                <w:rFonts w:hint="eastAsia" w:ascii="宋体" w:hAnsi="宋体" w:cs="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4625BDB9">
            <w:pPr>
              <w:wordWrap w:val="0"/>
              <w:spacing w:line="440" w:lineRule="exact"/>
              <w:jc w:val="center"/>
              <w:rPr>
                <w:rFonts w:hint="eastAsia" w:ascii="宋体" w:hAnsi="宋体" w:cs="宋体"/>
                <w:color w:val="auto"/>
                <w:sz w:val="24"/>
                <w:highlight w:val="none"/>
              </w:rPr>
            </w:pPr>
          </w:p>
        </w:tc>
        <w:tc>
          <w:tcPr>
            <w:tcW w:w="2893" w:type="dxa"/>
            <w:tcBorders>
              <w:top w:val="single" w:color="auto" w:sz="4" w:space="0"/>
              <w:left w:val="single" w:color="auto" w:sz="4" w:space="0"/>
              <w:bottom w:val="single" w:color="auto" w:sz="4" w:space="0"/>
              <w:right w:val="single" w:color="auto" w:sz="4" w:space="0"/>
            </w:tcBorders>
            <w:vAlign w:val="center"/>
          </w:tcPr>
          <w:p w14:paraId="36ECD162">
            <w:pPr>
              <w:wordWrap w:val="0"/>
              <w:spacing w:line="440" w:lineRule="exact"/>
              <w:jc w:val="center"/>
              <w:rPr>
                <w:rFonts w:hint="eastAsia" w:ascii="宋体" w:hAnsi="宋体" w:cs="宋体"/>
                <w:color w:val="auto"/>
                <w:sz w:val="24"/>
                <w:highlight w:val="none"/>
              </w:rPr>
            </w:pPr>
          </w:p>
        </w:tc>
        <w:tc>
          <w:tcPr>
            <w:tcW w:w="2936" w:type="dxa"/>
            <w:tcBorders>
              <w:top w:val="single" w:color="auto" w:sz="4" w:space="0"/>
              <w:left w:val="single" w:color="auto" w:sz="4" w:space="0"/>
              <w:bottom w:val="single" w:color="auto" w:sz="4" w:space="0"/>
              <w:right w:val="single" w:color="auto" w:sz="4" w:space="0"/>
            </w:tcBorders>
            <w:vAlign w:val="center"/>
          </w:tcPr>
          <w:p w14:paraId="1101B4E6">
            <w:pPr>
              <w:wordWrap w:val="0"/>
              <w:spacing w:line="440" w:lineRule="exact"/>
              <w:jc w:val="center"/>
              <w:rPr>
                <w:rFonts w:hint="eastAsia" w:ascii="宋体" w:hAnsi="宋体" w:cs="宋体"/>
                <w:color w:val="auto"/>
                <w:sz w:val="24"/>
                <w:highlight w:val="none"/>
              </w:rPr>
            </w:pPr>
          </w:p>
        </w:tc>
        <w:tc>
          <w:tcPr>
            <w:tcW w:w="2060" w:type="dxa"/>
            <w:tcBorders>
              <w:top w:val="single" w:color="auto" w:sz="4" w:space="0"/>
              <w:left w:val="single" w:color="auto" w:sz="4" w:space="0"/>
              <w:bottom w:val="single" w:color="auto" w:sz="4" w:space="0"/>
              <w:right w:val="single" w:color="auto" w:sz="4" w:space="0"/>
            </w:tcBorders>
            <w:vAlign w:val="center"/>
          </w:tcPr>
          <w:p w14:paraId="5821F7B5">
            <w:pPr>
              <w:wordWrap w:val="0"/>
              <w:spacing w:line="440" w:lineRule="exact"/>
              <w:jc w:val="center"/>
              <w:rPr>
                <w:rFonts w:hint="eastAsia" w:ascii="宋体" w:hAnsi="宋体" w:cs="宋体"/>
                <w:color w:val="auto"/>
                <w:sz w:val="24"/>
                <w:highlight w:val="none"/>
              </w:rPr>
            </w:pPr>
          </w:p>
        </w:tc>
      </w:tr>
      <w:tr w14:paraId="358379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630752C7">
            <w:pPr>
              <w:wordWrap w:val="0"/>
              <w:spacing w:line="440" w:lineRule="exact"/>
              <w:jc w:val="center"/>
              <w:rPr>
                <w:rFonts w:hint="eastAsia" w:ascii="宋体" w:hAnsi="宋体" w:cs="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6ED7F61F">
            <w:pPr>
              <w:wordWrap w:val="0"/>
              <w:spacing w:line="440" w:lineRule="exact"/>
              <w:jc w:val="center"/>
              <w:rPr>
                <w:rFonts w:hint="eastAsia" w:ascii="宋体" w:hAnsi="宋体" w:cs="宋体"/>
                <w:color w:val="auto"/>
                <w:sz w:val="24"/>
                <w:highlight w:val="none"/>
              </w:rPr>
            </w:pPr>
          </w:p>
        </w:tc>
        <w:tc>
          <w:tcPr>
            <w:tcW w:w="2893" w:type="dxa"/>
            <w:tcBorders>
              <w:top w:val="single" w:color="auto" w:sz="4" w:space="0"/>
              <w:left w:val="single" w:color="auto" w:sz="4" w:space="0"/>
              <w:bottom w:val="single" w:color="auto" w:sz="4" w:space="0"/>
              <w:right w:val="single" w:color="auto" w:sz="4" w:space="0"/>
            </w:tcBorders>
            <w:vAlign w:val="center"/>
          </w:tcPr>
          <w:p w14:paraId="51578237">
            <w:pPr>
              <w:wordWrap w:val="0"/>
              <w:spacing w:line="440" w:lineRule="exact"/>
              <w:jc w:val="center"/>
              <w:rPr>
                <w:rFonts w:hint="eastAsia" w:ascii="宋体" w:hAnsi="宋体" w:cs="宋体"/>
                <w:color w:val="auto"/>
                <w:sz w:val="24"/>
                <w:highlight w:val="none"/>
              </w:rPr>
            </w:pPr>
          </w:p>
        </w:tc>
        <w:tc>
          <w:tcPr>
            <w:tcW w:w="2936" w:type="dxa"/>
            <w:tcBorders>
              <w:top w:val="single" w:color="auto" w:sz="4" w:space="0"/>
              <w:left w:val="single" w:color="auto" w:sz="4" w:space="0"/>
              <w:bottom w:val="single" w:color="auto" w:sz="4" w:space="0"/>
              <w:right w:val="single" w:color="auto" w:sz="4" w:space="0"/>
            </w:tcBorders>
            <w:vAlign w:val="center"/>
          </w:tcPr>
          <w:p w14:paraId="578066C0">
            <w:pPr>
              <w:wordWrap w:val="0"/>
              <w:spacing w:line="440" w:lineRule="exact"/>
              <w:jc w:val="center"/>
              <w:rPr>
                <w:rFonts w:hint="eastAsia" w:ascii="宋体" w:hAnsi="宋体" w:cs="宋体"/>
                <w:color w:val="auto"/>
                <w:sz w:val="24"/>
                <w:highlight w:val="none"/>
              </w:rPr>
            </w:pPr>
          </w:p>
        </w:tc>
        <w:tc>
          <w:tcPr>
            <w:tcW w:w="2060" w:type="dxa"/>
            <w:tcBorders>
              <w:top w:val="single" w:color="auto" w:sz="4" w:space="0"/>
              <w:left w:val="single" w:color="auto" w:sz="4" w:space="0"/>
              <w:bottom w:val="single" w:color="auto" w:sz="4" w:space="0"/>
              <w:right w:val="single" w:color="auto" w:sz="4" w:space="0"/>
            </w:tcBorders>
            <w:vAlign w:val="center"/>
          </w:tcPr>
          <w:p w14:paraId="2FF7958D">
            <w:pPr>
              <w:wordWrap w:val="0"/>
              <w:spacing w:line="440" w:lineRule="exact"/>
              <w:jc w:val="center"/>
              <w:rPr>
                <w:rFonts w:hint="eastAsia" w:ascii="宋体" w:hAnsi="宋体" w:cs="宋体"/>
                <w:color w:val="auto"/>
                <w:sz w:val="24"/>
                <w:highlight w:val="none"/>
              </w:rPr>
            </w:pPr>
          </w:p>
        </w:tc>
      </w:tr>
      <w:tr w14:paraId="0B67CF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091E7747">
            <w:pPr>
              <w:wordWrap w:val="0"/>
              <w:spacing w:line="440" w:lineRule="exact"/>
              <w:jc w:val="center"/>
              <w:rPr>
                <w:rFonts w:hint="eastAsia" w:ascii="宋体" w:hAnsi="宋体" w:cs="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0C354692">
            <w:pPr>
              <w:wordWrap w:val="0"/>
              <w:spacing w:line="440" w:lineRule="exact"/>
              <w:jc w:val="center"/>
              <w:rPr>
                <w:rFonts w:hint="eastAsia" w:ascii="宋体" w:hAnsi="宋体" w:cs="宋体"/>
                <w:color w:val="auto"/>
                <w:sz w:val="24"/>
                <w:highlight w:val="none"/>
              </w:rPr>
            </w:pPr>
          </w:p>
        </w:tc>
        <w:tc>
          <w:tcPr>
            <w:tcW w:w="2893" w:type="dxa"/>
            <w:tcBorders>
              <w:top w:val="single" w:color="auto" w:sz="4" w:space="0"/>
              <w:left w:val="single" w:color="auto" w:sz="4" w:space="0"/>
              <w:bottom w:val="single" w:color="auto" w:sz="4" w:space="0"/>
              <w:right w:val="single" w:color="auto" w:sz="4" w:space="0"/>
            </w:tcBorders>
            <w:vAlign w:val="center"/>
          </w:tcPr>
          <w:p w14:paraId="68FC4B8E">
            <w:pPr>
              <w:wordWrap w:val="0"/>
              <w:spacing w:line="440" w:lineRule="exact"/>
              <w:jc w:val="center"/>
              <w:rPr>
                <w:rFonts w:hint="eastAsia" w:ascii="宋体" w:hAnsi="宋体" w:cs="宋体"/>
                <w:color w:val="auto"/>
                <w:sz w:val="24"/>
                <w:highlight w:val="none"/>
              </w:rPr>
            </w:pPr>
          </w:p>
        </w:tc>
        <w:tc>
          <w:tcPr>
            <w:tcW w:w="2936" w:type="dxa"/>
            <w:tcBorders>
              <w:top w:val="single" w:color="auto" w:sz="4" w:space="0"/>
              <w:left w:val="single" w:color="auto" w:sz="4" w:space="0"/>
              <w:bottom w:val="single" w:color="auto" w:sz="4" w:space="0"/>
              <w:right w:val="single" w:color="auto" w:sz="4" w:space="0"/>
            </w:tcBorders>
            <w:vAlign w:val="center"/>
          </w:tcPr>
          <w:p w14:paraId="1B9CAA5F">
            <w:pPr>
              <w:wordWrap w:val="0"/>
              <w:spacing w:line="440" w:lineRule="exact"/>
              <w:jc w:val="center"/>
              <w:rPr>
                <w:rFonts w:hint="eastAsia" w:ascii="宋体" w:hAnsi="宋体" w:cs="宋体"/>
                <w:color w:val="auto"/>
                <w:sz w:val="24"/>
                <w:highlight w:val="none"/>
              </w:rPr>
            </w:pPr>
          </w:p>
        </w:tc>
        <w:tc>
          <w:tcPr>
            <w:tcW w:w="2060" w:type="dxa"/>
            <w:tcBorders>
              <w:top w:val="single" w:color="auto" w:sz="4" w:space="0"/>
              <w:left w:val="single" w:color="auto" w:sz="4" w:space="0"/>
              <w:bottom w:val="single" w:color="auto" w:sz="4" w:space="0"/>
              <w:right w:val="single" w:color="auto" w:sz="4" w:space="0"/>
            </w:tcBorders>
            <w:vAlign w:val="center"/>
          </w:tcPr>
          <w:p w14:paraId="60F15AE9">
            <w:pPr>
              <w:wordWrap w:val="0"/>
              <w:spacing w:line="440" w:lineRule="exact"/>
              <w:jc w:val="center"/>
              <w:rPr>
                <w:rFonts w:hint="eastAsia" w:ascii="宋体" w:hAnsi="宋体" w:cs="宋体"/>
                <w:color w:val="auto"/>
                <w:sz w:val="24"/>
                <w:highlight w:val="none"/>
              </w:rPr>
            </w:pPr>
          </w:p>
        </w:tc>
      </w:tr>
      <w:tr w14:paraId="0E667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002BB5A6">
            <w:pPr>
              <w:wordWrap w:val="0"/>
              <w:spacing w:line="440" w:lineRule="exact"/>
              <w:jc w:val="center"/>
              <w:rPr>
                <w:rFonts w:hint="eastAsia" w:ascii="宋体" w:hAnsi="宋体" w:cs="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14:paraId="4902C8D5">
            <w:pPr>
              <w:wordWrap w:val="0"/>
              <w:spacing w:line="440" w:lineRule="exact"/>
              <w:jc w:val="center"/>
              <w:rPr>
                <w:rFonts w:hint="eastAsia" w:ascii="宋体" w:hAnsi="宋体" w:cs="宋体"/>
                <w:color w:val="auto"/>
                <w:sz w:val="24"/>
                <w:highlight w:val="none"/>
              </w:rPr>
            </w:pPr>
          </w:p>
        </w:tc>
        <w:tc>
          <w:tcPr>
            <w:tcW w:w="2893" w:type="dxa"/>
            <w:tcBorders>
              <w:top w:val="single" w:color="auto" w:sz="4" w:space="0"/>
              <w:left w:val="single" w:color="auto" w:sz="4" w:space="0"/>
              <w:bottom w:val="single" w:color="auto" w:sz="4" w:space="0"/>
              <w:right w:val="single" w:color="auto" w:sz="4" w:space="0"/>
            </w:tcBorders>
            <w:vAlign w:val="center"/>
          </w:tcPr>
          <w:p w14:paraId="3968B050">
            <w:pPr>
              <w:wordWrap w:val="0"/>
              <w:spacing w:line="440" w:lineRule="exact"/>
              <w:jc w:val="center"/>
              <w:rPr>
                <w:rFonts w:hint="eastAsia" w:ascii="宋体" w:hAnsi="宋体" w:cs="宋体"/>
                <w:color w:val="auto"/>
                <w:sz w:val="24"/>
                <w:highlight w:val="none"/>
              </w:rPr>
            </w:pPr>
          </w:p>
        </w:tc>
        <w:tc>
          <w:tcPr>
            <w:tcW w:w="2936" w:type="dxa"/>
            <w:tcBorders>
              <w:top w:val="single" w:color="auto" w:sz="4" w:space="0"/>
              <w:left w:val="single" w:color="auto" w:sz="4" w:space="0"/>
              <w:bottom w:val="single" w:color="auto" w:sz="4" w:space="0"/>
              <w:right w:val="single" w:color="auto" w:sz="4" w:space="0"/>
            </w:tcBorders>
            <w:vAlign w:val="center"/>
          </w:tcPr>
          <w:p w14:paraId="505C3933">
            <w:pPr>
              <w:wordWrap w:val="0"/>
              <w:spacing w:line="440" w:lineRule="exact"/>
              <w:jc w:val="center"/>
              <w:rPr>
                <w:rFonts w:hint="eastAsia" w:ascii="宋体" w:hAnsi="宋体" w:cs="宋体"/>
                <w:color w:val="auto"/>
                <w:sz w:val="24"/>
                <w:highlight w:val="none"/>
              </w:rPr>
            </w:pPr>
          </w:p>
        </w:tc>
        <w:tc>
          <w:tcPr>
            <w:tcW w:w="2060" w:type="dxa"/>
            <w:tcBorders>
              <w:top w:val="single" w:color="auto" w:sz="4" w:space="0"/>
              <w:left w:val="single" w:color="auto" w:sz="4" w:space="0"/>
              <w:bottom w:val="single" w:color="auto" w:sz="4" w:space="0"/>
              <w:right w:val="single" w:color="auto" w:sz="4" w:space="0"/>
            </w:tcBorders>
            <w:vAlign w:val="center"/>
          </w:tcPr>
          <w:p w14:paraId="30DD4247">
            <w:pPr>
              <w:wordWrap w:val="0"/>
              <w:spacing w:line="440" w:lineRule="exact"/>
              <w:jc w:val="center"/>
              <w:rPr>
                <w:rFonts w:hint="eastAsia" w:ascii="宋体" w:hAnsi="宋体" w:cs="宋体"/>
                <w:color w:val="auto"/>
                <w:sz w:val="24"/>
                <w:highlight w:val="none"/>
              </w:rPr>
            </w:pPr>
          </w:p>
        </w:tc>
      </w:tr>
    </w:tbl>
    <w:p w14:paraId="7FF0CFA1">
      <w:pPr>
        <w:pStyle w:val="11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我公司确认，除以上表格中列明的偏离外，我公司接受采购文件固定的所有商务条款，无其他负偏离。</w:t>
      </w:r>
    </w:p>
    <w:p w14:paraId="191CD116">
      <w:pPr>
        <w:spacing w:line="360" w:lineRule="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供应商名称（盖章）：</w:t>
      </w:r>
    </w:p>
    <w:p w14:paraId="2F4D60B4">
      <w:pPr>
        <w:spacing w:line="360" w:lineRule="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供应商代表签字或盖章：</w:t>
      </w:r>
    </w:p>
    <w:p w14:paraId="6C6DC7DE">
      <w:pPr>
        <w:spacing w:line="360" w:lineRule="auto"/>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日期：年月日</w:t>
      </w:r>
    </w:p>
    <w:p w14:paraId="35D607C9">
      <w:pPr>
        <w:autoSpaceDE w:val="0"/>
        <w:autoSpaceDN w:val="0"/>
        <w:adjustRightInd w:val="0"/>
        <w:jc w:val="center"/>
        <w:rPr>
          <w:rFonts w:hint="eastAsia" w:asciiTheme="minorEastAsia" w:hAnsiTheme="minorEastAsia" w:eastAsiaTheme="minorEastAsia" w:cstheme="minorEastAsia"/>
          <w:b/>
          <w:color w:val="auto"/>
          <w:sz w:val="21"/>
          <w:szCs w:val="21"/>
          <w:highlight w:val="none"/>
        </w:rPr>
      </w:pPr>
    </w:p>
    <w:p w14:paraId="0AE92FDF">
      <w:pPr>
        <w:pStyle w:val="16"/>
        <w:spacing w:line="360" w:lineRule="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注：1、如供应商对采购文件商务部分有任何负偏离，则必须在该表中全部列明，否则将认为供应商接受采购文件的要求。</w:t>
      </w:r>
      <w:r>
        <w:rPr>
          <w:rFonts w:hint="eastAsia" w:asciiTheme="minorEastAsia" w:hAnsiTheme="minorEastAsia" w:eastAsiaTheme="minorEastAsia" w:cstheme="minorEastAsia"/>
          <w:b/>
          <w:color w:val="auto"/>
          <w:sz w:val="21"/>
          <w:szCs w:val="21"/>
          <w:highlight w:val="none"/>
          <w:u w:val="single"/>
        </w:rPr>
        <w:t>若无商务偏离，请只填写“无商务偏离”。不提供上述表格的投标将被拒绝。</w:t>
      </w:r>
    </w:p>
    <w:p w14:paraId="388CAA77">
      <w:pPr>
        <w:autoSpaceDE w:val="0"/>
        <w:autoSpaceDN w:val="0"/>
        <w:adjustRightInd w:val="0"/>
        <w:spacing w:line="480" w:lineRule="auto"/>
        <w:ind w:firstLine="42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2、供应商可调整上述表格。</w:t>
      </w:r>
    </w:p>
    <w:p w14:paraId="73F5268A">
      <w:pPr>
        <w:autoSpaceDE w:val="0"/>
        <w:autoSpaceDN w:val="0"/>
        <w:adjustRightInd w:val="0"/>
        <w:spacing w:line="480" w:lineRule="auto"/>
        <w:ind w:firstLine="420"/>
        <w:rPr>
          <w:rFonts w:hint="eastAsia" w:asciiTheme="minorEastAsia" w:hAnsiTheme="minorEastAsia" w:eastAsiaTheme="minorEastAsia" w:cstheme="minorEastAsia"/>
          <w:color w:val="auto"/>
          <w:sz w:val="24"/>
          <w:highlight w:val="none"/>
          <w:u w:val="single"/>
        </w:rPr>
      </w:pPr>
    </w:p>
    <w:p w14:paraId="6B8C80B6">
      <w:pPr>
        <w:spacing w:line="360" w:lineRule="exact"/>
        <w:ind w:firstLine="643" w:firstLineChars="200"/>
        <w:rPr>
          <w:rFonts w:hint="eastAsia" w:asciiTheme="minorEastAsia" w:hAnsiTheme="minorEastAsia" w:eastAsiaTheme="minorEastAsia" w:cstheme="minorEastAsia"/>
          <w:b/>
          <w:color w:val="auto"/>
          <w:sz w:val="32"/>
          <w:szCs w:val="32"/>
          <w:highlight w:val="none"/>
        </w:rPr>
      </w:pPr>
    </w:p>
    <w:p w14:paraId="6BFB90A9">
      <w:pPr>
        <w:spacing w:line="360" w:lineRule="exact"/>
        <w:ind w:firstLine="643" w:firstLineChars="200"/>
        <w:rPr>
          <w:rFonts w:hint="eastAsia" w:asciiTheme="minorEastAsia" w:hAnsiTheme="minorEastAsia" w:eastAsiaTheme="minorEastAsia" w:cstheme="minorEastAsia"/>
          <w:b/>
          <w:color w:val="auto"/>
          <w:sz w:val="32"/>
          <w:szCs w:val="32"/>
          <w:highlight w:val="none"/>
        </w:rPr>
      </w:pPr>
    </w:p>
    <w:p w14:paraId="693B5783">
      <w:pPr>
        <w:spacing w:line="360" w:lineRule="exact"/>
        <w:ind w:firstLine="562" w:firstLineChars="200"/>
        <w:jc w:val="center"/>
        <w:rPr>
          <w:rFonts w:hint="eastAsia" w:asciiTheme="minorEastAsia" w:hAnsiTheme="minorEastAsia" w:eastAsiaTheme="minorEastAsia" w:cstheme="minorEastAsia"/>
          <w:b/>
          <w:color w:val="auto"/>
          <w:sz w:val="28"/>
          <w:szCs w:val="28"/>
          <w:highlight w:val="none"/>
        </w:rPr>
      </w:pPr>
    </w:p>
    <w:p w14:paraId="32D66BD5">
      <w:pPr>
        <w:spacing w:line="360" w:lineRule="exact"/>
        <w:ind w:firstLine="562" w:firstLineChars="200"/>
        <w:jc w:val="center"/>
        <w:rPr>
          <w:rFonts w:hint="eastAsia" w:asciiTheme="minorEastAsia" w:hAnsiTheme="minorEastAsia" w:eastAsiaTheme="minorEastAsia" w:cstheme="minorEastAsia"/>
          <w:b/>
          <w:color w:val="auto"/>
          <w:sz w:val="28"/>
          <w:szCs w:val="28"/>
          <w:highlight w:val="none"/>
        </w:rPr>
      </w:pPr>
    </w:p>
    <w:p w14:paraId="7AA48885">
      <w:pPr>
        <w:spacing w:line="360" w:lineRule="exact"/>
        <w:ind w:firstLine="562" w:firstLineChars="200"/>
        <w:jc w:val="center"/>
        <w:rPr>
          <w:rFonts w:hint="eastAsia" w:asciiTheme="minorEastAsia" w:hAnsiTheme="minorEastAsia" w:eastAsiaTheme="minorEastAsia" w:cstheme="minorEastAsia"/>
          <w:b/>
          <w:color w:val="auto"/>
          <w:sz w:val="28"/>
          <w:szCs w:val="28"/>
          <w:highlight w:val="none"/>
        </w:rPr>
      </w:pPr>
    </w:p>
    <w:p w14:paraId="707215FF">
      <w:pPr>
        <w:spacing w:line="360" w:lineRule="exact"/>
        <w:ind w:firstLine="562" w:firstLineChars="200"/>
        <w:jc w:val="center"/>
        <w:rPr>
          <w:rFonts w:hint="eastAsia" w:asciiTheme="minorEastAsia" w:hAnsiTheme="minorEastAsia" w:eastAsiaTheme="minorEastAsia" w:cstheme="minorEastAsia"/>
          <w:b/>
          <w:color w:val="auto"/>
          <w:sz w:val="28"/>
          <w:szCs w:val="28"/>
          <w:highlight w:val="none"/>
        </w:rPr>
      </w:pPr>
    </w:p>
    <w:p w14:paraId="01B56887">
      <w:pPr>
        <w:spacing w:line="360" w:lineRule="exact"/>
        <w:ind w:firstLine="562" w:firstLineChars="200"/>
        <w:jc w:val="center"/>
        <w:rPr>
          <w:rFonts w:hint="eastAsia" w:asciiTheme="minorEastAsia" w:hAnsiTheme="minorEastAsia" w:eastAsiaTheme="minorEastAsia" w:cstheme="minorEastAsia"/>
          <w:b/>
          <w:color w:val="auto"/>
          <w:sz w:val="28"/>
          <w:szCs w:val="28"/>
          <w:highlight w:val="none"/>
        </w:rPr>
      </w:pPr>
    </w:p>
    <w:p w14:paraId="6B1D01EF">
      <w:pPr>
        <w:spacing w:line="360" w:lineRule="exact"/>
        <w:ind w:firstLine="562" w:firstLineChars="200"/>
        <w:jc w:val="center"/>
        <w:rPr>
          <w:rFonts w:hint="eastAsia" w:asciiTheme="minorEastAsia" w:hAnsiTheme="minorEastAsia" w:eastAsiaTheme="minorEastAsia" w:cstheme="minorEastAsia"/>
          <w:b/>
          <w:color w:val="auto"/>
          <w:sz w:val="28"/>
          <w:szCs w:val="28"/>
          <w:highlight w:val="none"/>
        </w:rPr>
      </w:pPr>
    </w:p>
    <w:p w14:paraId="4D17491F">
      <w:pPr>
        <w:spacing w:line="360" w:lineRule="exact"/>
        <w:ind w:firstLine="562" w:firstLineChars="200"/>
        <w:jc w:val="center"/>
        <w:rPr>
          <w:rFonts w:hint="eastAsia" w:asciiTheme="minorEastAsia" w:hAnsiTheme="minorEastAsia" w:eastAsiaTheme="minorEastAsia" w:cstheme="minorEastAsia"/>
          <w:b/>
          <w:color w:val="auto"/>
          <w:sz w:val="28"/>
          <w:szCs w:val="28"/>
          <w:highlight w:val="none"/>
        </w:rPr>
      </w:pPr>
    </w:p>
    <w:p w14:paraId="7C28C391">
      <w:pPr>
        <w:spacing w:line="360" w:lineRule="exact"/>
        <w:ind w:firstLine="562" w:firstLineChars="200"/>
        <w:jc w:val="center"/>
        <w:rPr>
          <w:rFonts w:hint="eastAsia" w:asciiTheme="minorEastAsia" w:hAnsiTheme="minorEastAsia" w:eastAsiaTheme="minorEastAsia" w:cstheme="minorEastAsia"/>
          <w:b/>
          <w:color w:val="auto"/>
          <w:sz w:val="28"/>
          <w:szCs w:val="28"/>
          <w:highlight w:val="none"/>
        </w:rPr>
      </w:pPr>
    </w:p>
    <w:p w14:paraId="66F68F84">
      <w:pPr>
        <w:spacing w:line="360" w:lineRule="exact"/>
        <w:ind w:firstLine="562" w:firstLineChars="200"/>
        <w:jc w:val="center"/>
        <w:rPr>
          <w:rFonts w:hint="eastAsia" w:asciiTheme="minorEastAsia" w:hAnsiTheme="minorEastAsia" w:eastAsiaTheme="minorEastAsia" w:cstheme="minorEastAsia"/>
          <w:b/>
          <w:color w:val="auto"/>
          <w:sz w:val="28"/>
          <w:szCs w:val="28"/>
          <w:highlight w:val="none"/>
        </w:rPr>
      </w:pPr>
    </w:p>
    <w:p w14:paraId="7F01F91B">
      <w:pPr>
        <w:spacing w:line="360" w:lineRule="exact"/>
        <w:ind w:firstLine="562" w:firstLineChars="200"/>
        <w:jc w:val="center"/>
        <w:rPr>
          <w:rFonts w:hint="eastAsia" w:asciiTheme="minorEastAsia" w:hAnsiTheme="minorEastAsia" w:eastAsiaTheme="minorEastAsia" w:cstheme="minorEastAsia"/>
          <w:b/>
          <w:color w:val="auto"/>
          <w:sz w:val="28"/>
          <w:szCs w:val="28"/>
          <w:highlight w:val="none"/>
        </w:rPr>
      </w:pPr>
    </w:p>
    <w:p w14:paraId="3DB55129">
      <w:pPr>
        <w:spacing w:line="360" w:lineRule="exact"/>
        <w:ind w:firstLine="562" w:firstLineChars="200"/>
        <w:jc w:val="center"/>
        <w:rPr>
          <w:rFonts w:hint="eastAsia" w:asciiTheme="minorEastAsia" w:hAnsiTheme="minorEastAsia" w:eastAsiaTheme="minorEastAsia" w:cstheme="minorEastAsia"/>
          <w:b/>
          <w:color w:val="auto"/>
          <w:sz w:val="28"/>
          <w:szCs w:val="28"/>
          <w:highlight w:val="none"/>
        </w:rPr>
      </w:pPr>
    </w:p>
    <w:p w14:paraId="5DDE8E41">
      <w:pPr>
        <w:spacing w:line="360" w:lineRule="exact"/>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（9）采购文件规定或供应商认为有必要提供的其他材料</w:t>
      </w:r>
    </w:p>
    <w:p w14:paraId="70D0C949">
      <w:pPr>
        <w:autoSpaceDE w:val="0"/>
        <w:autoSpaceDN w:val="0"/>
        <w:adjustRightInd w:val="0"/>
        <w:spacing w:line="480" w:lineRule="auto"/>
        <w:rPr>
          <w:rFonts w:hint="eastAsia" w:asciiTheme="minorEastAsia" w:hAnsiTheme="minorEastAsia" w:eastAsiaTheme="minorEastAsia" w:cstheme="minorEastAsia"/>
          <w:color w:val="auto"/>
          <w:szCs w:val="21"/>
          <w:highlight w:val="none"/>
        </w:rPr>
      </w:pPr>
    </w:p>
    <w:p w14:paraId="7085500E">
      <w:pPr>
        <w:autoSpaceDE w:val="0"/>
        <w:autoSpaceDN w:val="0"/>
        <w:adjustRightInd w:val="0"/>
        <w:spacing w:line="48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采购文件规定的、与供应商资格审查有关的其他资料。若附其他文件， 请详列如下（供应商不应在其响应文件中附有宣传性材料，这些材料在资格评审时将不被考虑）。</w:t>
      </w:r>
    </w:p>
    <w:p w14:paraId="6E8A7F04">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27B2423B">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66EA7520">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6AA8018D">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6C0E73E5">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33A20AB3">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5D1E9063">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73DBB633">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52D8FFF4">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535D0652">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3D391222">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35F7D89C">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0F0C2BEB">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108AA431">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05784A6A">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52D5AD33">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34B1E389">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65F62F91">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2454C8A3">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26A51B13">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7E7B21FE">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6AB73365">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5402EAFC">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22314DF2">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6D1B83A4">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635A37D6">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164C291B">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29A27D7B">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p>
    <w:p w14:paraId="1BDB3B0E">
      <w:pPr>
        <w:pStyle w:val="23"/>
        <w:spacing w:line="280" w:lineRule="exact"/>
        <w:rPr>
          <w:rFonts w:hint="eastAsia" w:asciiTheme="minorEastAsia" w:hAnsiTheme="minorEastAsia" w:eastAsiaTheme="minorEastAsia" w:cstheme="minorEastAsia"/>
          <w:color w:val="auto"/>
          <w:highlight w:val="none"/>
        </w:rPr>
      </w:pPr>
    </w:p>
    <w:p w14:paraId="3C313B7B">
      <w:pPr>
        <w:spacing w:before="100" w:beforeAutospacing="1" w:after="100" w:afterAutospacing="1"/>
        <w:jc w:val="center"/>
        <w:rPr>
          <w:rFonts w:hint="eastAsia" w:ascii="??" w:hAnsi="??" w:cs="宋体"/>
          <w:b/>
          <w:bCs/>
          <w:color w:val="auto"/>
          <w:kern w:val="2"/>
          <w:sz w:val="28"/>
          <w:szCs w:val="28"/>
          <w:highlight w:val="none"/>
          <w:lang w:val="zh-CN"/>
        </w:rPr>
      </w:pPr>
      <w:r>
        <w:rPr>
          <w:rFonts w:hint="eastAsia" w:ascii="宋体" w:hAnsi="宋体" w:cs="宋体"/>
          <w:b/>
          <w:bCs/>
          <w:color w:val="auto"/>
          <w:kern w:val="2"/>
          <w:sz w:val="28"/>
          <w:szCs w:val="28"/>
          <w:highlight w:val="none"/>
          <w:lang w:val="zh-CN"/>
        </w:rPr>
        <w:t>（</w:t>
      </w:r>
      <w:r>
        <w:rPr>
          <w:rFonts w:hint="eastAsia" w:ascii="宋体" w:hAnsi="宋体" w:cs="宋体"/>
          <w:b/>
          <w:bCs/>
          <w:color w:val="auto"/>
          <w:kern w:val="2"/>
          <w:sz w:val="28"/>
          <w:szCs w:val="28"/>
          <w:highlight w:val="none"/>
        </w:rPr>
        <w:t>10</w:t>
      </w:r>
      <w:r>
        <w:rPr>
          <w:rFonts w:hint="eastAsia" w:ascii="宋体" w:hAnsi="宋体" w:cs="宋体"/>
          <w:b/>
          <w:bCs/>
          <w:color w:val="auto"/>
          <w:kern w:val="2"/>
          <w:sz w:val="28"/>
          <w:szCs w:val="28"/>
          <w:highlight w:val="none"/>
          <w:lang w:val="zh-CN"/>
        </w:rPr>
        <w:t>）中小企业声明函</w:t>
      </w:r>
    </w:p>
    <w:p w14:paraId="0E7764CA">
      <w:pPr>
        <w:widowControl w:val="0"/>
        <w:jc w:val="center"/>
        <w:rPr>
          <w:rFonts w:hint="eastAsia" w:ascii="宋体" w:hAnsi="宋体" w:cs="宋体"/>
          <w:color w:val="auto"/>
          <w:kern w:val="2"/>
          <w:sz w:val="21"/>
          <w:szCs w:val="21"/>
          <w:highlight w:val="none"/>
          <w:u w:val="single"/>
        </w:rPr>
      </w:pPr>
    </w:p>
    <w:p w14:paraId="1EBEE3CC">
      <w:pPr>
        <w:pStyle w:val="16"/>
        <w:wordWrap w:val="0"/>
        <w:autoSpaceDE w:val="0"/>
        <w:autoSpaceDN w:val="0"/>
        <w:adjustRightInd w:val="0"/>
        <w:spacing w:after="0" w:line="440" w:lineRule="exact"/>
        <w:ind w:firstLine="472" w:firstLineChars="200"/>
        <w:rPr>
          <w:rFonts w:hint="eastAsia" w:ascii="宋体" w:hAnsi="宋体" w:cs="宋体"/>
          <w:color w:val="auto"/>
          <w:spacing w:val="-2"/>
          <w:sz w:val="24"/>
          <w:szCs w:val="24"/>
          <w:highlight w:val="none"/>
          <w:lang w:val="zh-CN" w:bidi="zh-CN"/>
        </w:rPr>
      </w:pPr>
      <w:r>
        <w:rPr>
          <w:rFonts w:hint="eastAsia" w:ascii="宋体" w:hAnsi="宋体" w:cs="宋体"/>
          <w:color w:val="auto"/>
          <w:spacing w:val="-2"/>
          <w:sz w:val="24"/>
          <w:szCs w:val="24"/>
          <w:highlight w:val="none"/>
        </w:rPr>
        <w:t>本公司</w:t>
      </w:r>
      <w:r>
        <w:rPr>
          <w:rFonts w:hint="eastAsia" w:ascii="宋体" w:hAnsi="宋体" w:cs="宋体"/>
          <w:color w:val="auto"/>
          <w:sz w:val="24"/>
          <w:szCs w:val="24"/>
          <w:highlight w:val="none"/>
        </w:rPr>
        <w:t>（联合体</w:t>
      </w:r>
      <w:r>
        <w:rPr>
          <w:rFonts w:hint="eastAsia" w:ascii="宋体" w:hAnsi="宋体" w:cs="宋体"/>
          <w:color w:val="auto"/>
          <w:spacing w:val="-5"/>
          <w:sz w:val="24"/>
          <w:szCs w:val="24"/>
          <w:highlight w:val="none"/>
        </w:rPr>
        <w:t>）</w:t>
      </w:r>
      <w:r>
        <w:rPr>
          <w:rFonts w:hint="eastAsia" w:ascii="宋体" w:hAnsi="宋体" w:cs="宋体"/>
          <w:color w:val="auto"/>
          <w:spacing w:val="-2"/>
          <w:sz w:val="24"/>
          <w:szCs w:val="24"/>
          <w:highlight w:val="none"/>
        </w:rPr>
        <w:t>郑重声明，根据《政府采购促进中小</w:t>
      </w:r>
      <w:r>
        <w:rPr>
          <w:rFonts w:hint="eastAsia" w:ascii="宋体" w:hAnsi="宋体" w:cs="宋体"/>
          <w:color w:val="auto"/>
          <w:spacing w:val="-18"/>
          <w:sz w:val="24"/>
          <w:szCs w:val="24"/>
          <w:highlight w:val="none"/>
        </w:rPr>
        <w:t>企业发展管理办法》</w:t>
      </w:r>
      <w:r>
        <w:rPr>
          <w:rFonts w:hint="eastAsia" w:ascii="宋体" w:hAnsi="宋体" w:cs="宋体"/>
          <w:color w:val="auto"/>
          <w:sz w:val="24"/>
          <w:szCs w:val="24"/>
          <w:highlight w:val="none"/>
        </w:rPr>
        <w:t>（</w:t>
      </w:r>
      <w:r>
        <w:rPr>
          <w:rFonts w:hint="eastAsia" w:ascii="宋体" w:hAnsi="宋体" w:cs="宋体"/>
          <w:color w:val="auto"/>
          <w:spacing w:val="5"/>
          <w:sz w:val="24"/>
          <w:szCs w:val="24"/>
          <w:highlight w:val="none"/>
        </w:rPr>
        <w:t>财库</w:t>
      </w:r>
      <w:r>
        <w:rPr>
          <w:rFonts w:hint="eastAsia" w:ascii="宋体" w:hAnsi="宋体" w:cs="宋体"/>
          <w:color w:val="auto"/>
          <w:sz w:val="24"/>
          <w:szCs w:val="24"/>
          <w:highlight w:val="none"/>
        </w:rPr>
        <w:t>﹝2020﹞46</w:t>
      </w:r>
      <w:r>
        <w:rPr>
          <w:rFonts w:hint="eastAsia" w:ascii="宋体" w:hAnsi="宋体" w:cs="宋体"/>
          <w:color w:val="auto"/>
          <w:spacing w:val="-38"/>
          <w:sz w:val="24"/>
          <w:szCs w:val="24"/>
          <w:highlight w:val="none"/>
        </w:rPr>
        <w:t>号</w:t>
      </w:r>
      <w:r>
        <w:rPr>
          <w:rFonts w:hint="eastAsia" w:ascii="宋体" w:hAnsi="宋体" w:cs="宋体"/>
          <w:color w:val="auto"/>
          <w:spacing w:val="5"/>
          <w:sz w:val="24"/>
          <w:szCs w:val="24"/>
          <w:highlight w:val="none"/>
        </w:rPr>
        <w:t>）</w:t>
      </w:r>
      <w:r>
        <w:rPr>
          <w:rFonts w:hint="eastAsia" w:ascii="宋体" w:hAnsi="宋体" w:cs="宋体"/>
          <w:color w:val="auto"/>
          <w:sz w:val="24"/>
          <w:szCs w:val="24"/>
          <w:highlight w:val="none"/>
        </w:rPr>
        <w:t>的规定，本公司（联合体）</w:t>
      </w:r>
      <w:r>
        <w:rPr>
          <w:rFonts w:hint="eastAsia" w:ascii="宋体" w:hAnsi="宋体" w:cs="宋体"/>
          <w:color w:val="auto"/>
          <w:spacing w:val="-2"/>
          <w:sz w:val="24"/>
          <w:szCs w:val="24"/>
          <w:highlight w:val="none"/>
          <w:lang w:val="zh-CN" w:bidi="zh-CN"/>
        </w:rPr>
        <w:t>参加</w:t>
      </w:r>
      <w:r>
        <w:rPr>
          <w:rFonts w:hint="eastAsia" w:ascii="宋体" w:hAnsi="宋体" w:cs="宋体"/>
          <w:color w:val="auto"/>
          <w:spacing w:val="-2"/>
          <w:sz w:val="24"/>
          <w:szCs w:val="24"/>
          <w:highlight w:val="none"/>
          <w:u w:val="single"/>
          <w:lang w:val="zh-CN" w:bidi="zh-CN"/>
        </w:rPr>
        <w:t>（单位名称）</w:t>
      </w:r>
      <w:r>
        <w:rPr>
          <w:rFonts w:hint="eastAsia" w:ascii="宋体" w:hAnsi="宋体" w:cs="宋体"/>
          <w:color w:val="auto"/>
          <w:spacing w:val="-2"/>
          <w:sz w:val="24"/>
          <w:szCs w:val="24"/>
          <w:highlight w:val="none"/>
          <w:lang w:val="zh-CN" w:bidi="zh-CN"/>
        </w:rPr>
        <w:t>的</w:t>
      </w:r>
      <w:r>
        <w:rPr>
          <w:rFonts w:hint="eastAsia" w:ascii="宋体" w:hAnsi="宋体" w:cs="宋体"/>
          <w:color w:val="auto"/>
          <w:spacing w:val="-2"/>
          <w:sz w:val="24"/>
          <w:szCs w:val="24"/>
          <w:highlight w:val="none"/>
          <w:u w:val="single"/>
          <w:lang w:val="zh-CN" w:bidi="zh-CN"/>
        </w:rPr>
        <w:t>（项目名称）</w:t>
      </w:r>
      <w:r>
        <w:rPr>
          <w:rFonts w:hint="eastAsia" w:ascii="宋体" w:hAnsi="宋体" w:cs="宋体"/>
          <w:color w:val="auto"/>
          <w:spacing w:val="-2"/>
          <w:sz w:val="24"/>
          <w:szCs w:val="24"/>
          <w:highlight w:val="none"/>
          <w:lang w:val="zh-CN" w:bidi="zh-CN"/>
        </w:rPr>
        <w:t>采购活动，提供的货物全部由符合政策要求的中小企业制造。相关企业（含联合体中的中小企业、签订分包意向协议的中小企业）的具体情况如下：</w:t>
      </w:r>
    </w:p>
    <w:p w14:paraId="56331176">
      <w:pPr>
        <w:pStyle w:val="16"/>
        <w:wordWrap w:val="0"/>
        <w:autoSpaceDE w:val="0"/>
        <w:autoSpaceDN w:val="0"/>
        <w:adjustRightInd w:val="0"/>
        <w:spacing w:after="0" w:line="440" w:lineRule="exact"/>
        <w:ind w:firstLine="472" w:firstLineChars="200"/>
        <w:rPr>
          <w:rFonts w:hint="eastAsia" w:ascii="宋体" w:hAnsi="宋体" w:cs="宋体"/>
          <w:color w:val="auto"/>
          <w:spacing w:val="-2"/>
          <w:sz w:val="24"/>
          <w:szCs w:val="24"/>
          <w:highlight w:val="none"/>
          <w:lang w:val="zh-CN"/>
        </w:rPr>
      </w:pPr>
      <w:r>
        <w:rPr>
          <w:rFonts w:hint="eastAsia" w:ascii="宋体" w:hAnsi="宋体" w:cs="宋体"/>
          <w:color w:val="auto"/>
          <w:spacing w:val="-2"/>
          <w:sz w:val="24"/>
          <w:szCs w:val="24"/>
          <w:highlight w:val="none"/>
        </w:rPr>
        <w:t>1、</w:t>
      </w:r>
      <w:r>
        <w:rPr>
          <w:rFonts w:hint="eastAsia" w:ascii="宋体" w:hAnsi="宋体" w:cs="宋体"/>
          <w:color w:val="auto"/>
          <w:spacing w:val="-2"/>
          <w:sz w:val="24"/>
          <w:szCs w:val="24"/>
          <w:highlight w:val="none"/>
          <w:u w:val="single"/>
          <w:lang w:val="zh-CN"/>
        </w:rPr>
        <w:t>（标的名称）</w:t>
      </w:r>
      <w:r>
        <w:rPr>
          <w:rFonts w:hint="eastAsia" w:ascii="宋体" w:hAnsi="宋体" w:cs="宋体"/>
          <w:color w:val="auto"/>
          <w:spacing w:val="-2"/>
          <w:sz w:val="24"/>
          <w:szCs w:val="24"/>
          <w:highlight w:val="none"/>
          <w:lang w:val="zh-CN"/>
        </w:rPr>
        <w:t>，属于</w:t>
      </w:r>
      <w:r>
        <w:rPr>
          <w:rFonts w:hint="eastAsia" w:ascii="宋体" w:hAnsi="宋体" w:cs="宋体"/>
          <w:color w:val="auto"/>
          <w:spacing w:val="-2"/>
          <w:sz w:val="24"/>
          <w:szCs w:val="24"/>
          <w:highlight w:val="none"/>
          <w:u w:val="single"/>
          <w:lang w:val="zh-CN"/>
        </w:rPr>
        <w:t>（采购文件中明确的所属行业）</w:t>
      </w:r>
      <w:r>
        <w:rPr>
          <w:rFonts w:hint="eastAsia" w:ascii="宋体" w:hAnsi="宋体" w:cs="宋体"/>
          <w:color w:val="auto"/>
          <w:spacing w:val="-2"/>
          <w:sz w:val="24"/>
          <w:szCs w:val="24"/>
          <w:highlight w:val="none"/>
          <w:lang w:val="zh-CN"/>
        </w:rPr>
        <w:t>行业；制造商为</w:t>
      </w:r>
      <w:r>
        <w:rPr>
          <w:rFonts w:hint="eastAsia" w:ascii="宋体" w:hAnsi="宋体" w:cs="宋体"/>
          <w:color w:val="auto"/>
          <w:spacing w:val="-2"/>
          <w:sz w:val="24"/>
          <w:szCs w:val="24"/>
          <w:highlight w:val="none"/>
          <w:u w:val="single"/>
          <w:lang w:val="zh-CN"/>
        </w:rPr>
        <w:t>（企业名称）</w:t>
      </w:r>
      <w:r>
        <w:rPr>
          <w:rFonts w:hint="eastAsia" w:ascii="宋体" w:hAnsi="宋体" w:cs="宋体"/>
          <w:color w:val="auto"/>
          <w:spacing w:val="-2"/>
          <w:sz w:val="24"/>
          <w:szCs w:val="24"/>
          <w:highlight w:val="none"/>
          <w:lang w:val="zh-CN"/>
        </w:rPr>
        <w:t>，从业人员</w:t>
      </w:r>
      <w:r>
        <w:rPr>
          <w:rFonts w:hint="eastAsia" w:ascii="宋体" w:hAnsi="宋体" w:cs="宋体"/>
          <w:color w:val="auto"/>
          <w:spacing w:val="-2"/>
          <w:sz w:val="24"/>
          <w:szCs w:val="24"/>
          <w:highlight w:val="none"/>
          <w:u w:val="single"/>
        </w:rPr>
        <w:t xml:space="preserve">     </w:t>
      </w:r>
      <w:r>
        <w:rPr>
          <w:rFonts w:hint="eastAsia" w:ascii="宋体" w:hAnsi="宋体" w:cs="宋体"/>
          <w:color w:val="auto"/>
          <w:spacing w:val="-2"/>
          <w:sz w:val="24"/>
          <w:szCs w:val="24"/>
          <w:highlight w:val="none"/>
          <w:lang w:val="zh-CN"/>
        </w:rPr>
        <w:t>人，营业收入为</w:t>
      </w:r>
      <w:r>
        <w:rPr>
          <w:rFonts w:hint="eastAsia" w:ascii="宋体" w:hAnsi="宋体" w:cs="宋体"/>
          <w:color w:val="auto"/>
          <w:spacing w:val="-2"/>
          <w:sz w:val="24"/>
          <w:szCs w:val="24"/>
          <w:highlight w:val="none"/>
          <w:u w:val="single"/>
        </w:rPr>
        <w:t xml:space="preserve">     </w:t>
      </w:r>
      <w:r>
        <w:rPr>
          <w:rFonts w:hint="eastAsia" w:ascii="宋体" w:hAnsi="宋体" w:cs="宋体"/>
          <w:color w:val="auto"/>
          <w:spacing w:val="-2"/>
          <w:sz w:val="24"/>
          <w:szCs w:val="24"/>
          <w:highlight w:val="none"/>
          <w:lang w:val="zh-CN"/>
        </w:rPr>
        <w:t>万元，资产总额为</w:t>
      </w:r>
      <w:r>
        <w:rPr>
          <w:rFonts w:hint="eastAsia" w:ascii="宋体" w:hAnsi="宋体" w:cs="宋体"/>
          <w:color w:val="auto"/>
          <w:spacing w:val="-2"/>
          <w:sz w:val="24"/>
          <w:szCs w:val="24"/>
          <w:highlight w:val="none"/>
          <w:u w:val="single"/>
        </w:rPr>
        <w:t xml:space="preserve">     </w:t>
      </w:r>
      <w:r>
        <w:rPr>
          <w:rFonts w:hint="eastAsia" w:ascii="宋体" w:hAnsi="宋体" w:cs="宋体"/>
          <w:color w:val="auto"/>
          <w:spacing w:val="-2"/>
          <w:sz w:val="24"/>
          <w:szCs w:val="24"/>
          <w:highlight w:val="none"/>
          <w:lang w:val="zh-CN"/>
        </w:rPr>
        <w:t>万元</w:t>
      </w:r>
      <w:r>
        <w:rPr>
          <w:color w:val="auto"/>
          <w:highlight w:val="none"/>
        </w:rPr>
        <w:fldChar w:fldCharType="begin"/>
      </w:r>
      <w:r>
        <w:rPr>
          <w:color w:val="auto"/>
          <w:highlight w:val="none"/>
        </w:rPr>
        <w:instrText xml:space="preserve"> HYPERLINK \l "_bookmark0" </w:instrText>
      </w:r>
      <w:r>
        <w:rPr>
          <w:color w:val="auto"/>
          <w:highlight w:val="none"/>
        </w:rPr>
        <w:fldChar w:fldCharType="separate"/>
      </w:r>
      <w:r>
        <w:rPr>
          <w:rFonts w:hint="eastAsia" w:ascii="宋体" w:hAnsi="宋体" w:cs="宋体"/>
          <w:color w:val="auto"/>
          <w:spacing w:val="-2"/>
          <w:sz w:val="24"/>
          <w:szCs w:val="24"/>
          <w:highlight w:val="none"/>
          <w:vertAlign w:val="superscript"/>
          <w:lang w:val="zh-CN"/>
        </w:rPr>
        <w:t>1</w:t>
      </w:r>
      <w:r>
        <w:rPr>
          <w:rFonts w:hint="eastAsia" w:ascii="宋体" w:hAnsi="宋体" w:cs="宋体"/>
          <w:color w:val="auto"/>
          <w:spacing w:val="-2"/>
          <w:sz w:val="24"/>
          <w:szCs w:val="24"/>
          <w:highlight w:val="none"/>
          <w:vertAlign w:val="superscript"/>
          <w:lang w:val="zh-CN"/>
        </w:rPr>
        <w:fldChar w:fldCharType="end"/>
      </w:r>
      <w:r>
        <w:rPr>
          <w:rFonts w:hint="eastAsia" w:ascii="宋体" w:hAnsi="宋体" w:cs="宋体"/>
          <w:color w:val="auto"/>
          <w:spacing w:val="-2"/>
          <w:sz w:val="24"/>
          <w:szCs w:val="24"/>
          <w:highlight w:val="none"/>
          <w:lang w:val="zh-CN"/>
        </w:rPr>
        <w:t>，属于</w:t>
      </w:r>
      <w:r>
        <w:rPr>
          <w:rFonts w:hint="eastAsia" w:ascii="宋体" w:hAnsi="宋体" w:cs="宋体"/>
          <w:color w:val="auto"/>
          <w:spacing w:val="-2"/>
          <w:sz w:val="24"/>
          <w:szCs w:val="24"/>
          <w:highlight w:val="none"/>
          <w:u w:val="single"/>
          <w:lang w:val="zh-CN"/>
        </w:rPr>
        <w:t>（中型企业、小型企业、微型企业）</w:t>
      </w:r>
      <w:r>
        <w:rPr>
          <w:rFonts w:hint="eastAsia" w:ascii="宋体" w:hAnsi="宋体" w:cs="宋体"/>
          <w:color w:val="auto"/>
          <w:spacing w:val="-2"/>
          <w:sz w:val="24"/>
          <w:szCs w:val="24"/>
          <w:highlight w:val="none"/>
          <w:lang w:val="zh-CN"/>
        </w:rPr>
        <w:t>；</w:t>
      </w:r>
    </w:p>
    <w:p w14:paraId="4C57E7C1">
      <w:pPr>
        <w:pStyle w:val="112"/>
        <w:tabs>
          <w:tab w:val="left" w:pos="1165"/>
          <w:tab w:val="left" w:pos="1183"/>
          <w:tab w:val="left" w:pos="4362"/>
          <w:tab w:val="left" w:pos="6577"/>
        </w:tabs>
        <w:autoSpaceDE w:val="0"/>
        <w:autoSpaceDN w:val="0"/>
        <w:adjustRightInd w:val="0"/>
        <w:spacing w:line="440" w:lineRule="exact"/>
        <w:ind w:firstLine="472"/>
        <w:rPr>
          <w:rFonts w:hint="eastAsia" w:ascii="宋体" w:hAnsi="宋体" w:cs="宋体"/>
          <w:color w:val="auto"/>
          <w:spacing w:val="-2"/>
          <w:sz w:val="24"/>
          <w:szCs w:val="24"/>
          <w:highlight w:val="none"/>
          <w:lang w:val="zh-CN" w:bidi="zh-CN"/>
        </w:rPr>
      </w:pPr>
      <w:r>
        <w:rPr>
          <w:rFonts w:hint="eastAsia" w:ascii="宋体" w:hAnsi="宋体" w:cs="宋体"/>
          <w:color w:val="auto"/>
          <w:spacing w:val="-2"/>
          <w:sz w:val="24"/>
          <w:szCs w:val="24"/>
          <w:highlight w:val="none"/>
          <w:lang w:bidi="zh-CN"/>
        </w:rPr>
        <w:t>2、</w:t>
      </w:r>
      <w:r>
        <w:rPr>
          <w:rFonts w:hint="eastAsia" w:ascii="宋体" w:hAnsi="宋体" w:cs="宋体"/>
          <w:color w:val="auto"/>
          <w:spacing w:val="-2"/>
          <w:sz w:val="24"/>
          <w:szCs w:val="24"/>
          <w:highlight w:val="none"/>
          <w:u w:val="single"/>
          <w:lang w:bidi="zh-CN"/>
        </w:rPr>
        <w:t>（标的名称）</w:t>
      </w:r>
      <w:r>
        <w:rPr>
          <w:rFonts w:hint="eastAsia" w:ascii="宋体" w:hAnsi="宋体" w:cs="宋体"/>
          <w:color w:val="auto"/>
          <w:spacing w:val="-2"/>
          <w:sz w:val="24"/>
          <w:szCs w:val="24"/>
          <w:highlight w:val="none"/>
          <w:lang w:bidi="zh-CN"/>
        </w:rPr>
        <w:t>，属于</w:t>
      </w:r>
      <w:r>
        <w:rPr>
          <w:rFonts w:hint="eastAsia" w:ascii="宋体" w:hAnsi="宋体" w:cs="宋体"/>
          <w:color w:val="auto"/>
          <w:spacing w:val="-2"/>
          <w:sz w:val="24"/>
          <w:szCs w:val="24"/>
          <w:highlight w:val="none"/>
          <w:u w:val="single"/>
          <w:lang w:bidi="zh-CN"/>
        </w:rPr>
        <w:t>（采购文件中明确的所属行业）</w:t>
      </w:r>
      <w:r>
        <w:rPr>
          <w:rFonts w:hint="eastAsia" w:ascii="宋体" w:hAnsi="宋体" w:cs="宋体"/>
          <w:color w:val="auto"/>
          <w:spacing w:val="-2"/>
          <w:sz w:val="24"/>
          <w:szCs w:val="24"/>
          <w:highlight w:val="none"/>
          <w:lang w:bidi="zh-CN"/>
        </w:rPr>
        <w:t>行业；制造商为</w:t>
      </w:r>
      <w:r>
        <w:rPr>
          <w:rFonts w:hint="eastAsia" w:ascii="宋体" w:hAnsi="宋体" w:cs="宋体"/>
          <w:color w:val="auto"/>
          <w:spacing w:val="-2"/>
          <w:sz w:val="24"/>
          <w:szCs w:val="24"/>
          <w:highlight w:val="none"/>
          <w:u w:val="single"/>
          <w:lang w:bidi="zh-CN"/>
        </w:rPr>
        <w:t>（企业名称）</w:t>
      </w:r>
      <w:r>
        <w:rPr>
          <w:rFonts w:hint="eastAsia" w:ascii="宋体" w:hAnsi="宋体" w:cs="宋体"/>
          <w:color w:val="auto"/>
          <w:spacing w:val="-2"/>
          <w:sz w:val="24"/>
          <w:szCs w:val="24"/>
          <w:highlight w:val="none"/>
          <w:lang w:bidi="zh-CN"/>
        </w:rPr>
        <w:t>，从业人员</w:t>
      </w:r>
      <w:r>
        <w:rPr>
          <w:rFonts w:hint="eastAsia" w:ascii="宋体" w:hAnsi="宋体" w:cs="宋体"/>
          <w:color w:val="auto"/>
          <w:spacing w:val="-2"/>
          <w:sz w:val="24"/>
          <w:szCs w:val="24"/>
          <w:highlight w:val="none"/>
          <w:u w:val="single"/>
          <w:lang w:bidi="zh-CN"/>
        </w:rPr>
        <w:t xml:space="preserve">     </w:t>
      </w:r>
      <w:r>
        <w:rPr>
          <w:rFonts w:hint="eastAsia" w:ascii="宋体" w:hAnsi="宋体" w:cs="宋体"/>
          <w:color w:val="auto"/>
          <w:spacing w:val="-2"/>
          <w:sz w:val="24"/>
          <w:szCs w:val="24"/>
          <w:highlight w:val="none"/>
          <w:lang w:bidi="zh-CN"/>
        </w:rPr>
        <w:t>人，营业收入为</w:t>
      </w:r>
      <w:r>
        <w:rPr>
          <w:rFonts w:hint="eastAsia" w:ascii="宋体" w:hAnsi="宋体" w:cs="宋体"/>
          <w:color w:val="auto"/>
          <w:spacing w:val="-2"/>
          <w:sz w:val="24"/>
          <w:szCs w:val="24"/>
          <w:highlight w:val="none"/>
          <w:u w:val="single"/>
          <w:lang w:bidi="zh-CN"/>
        </w:rPr>
        <w:t xml:space="preserve">     </w:t>
      </w:r>
      <w:r>
        <w:rPr>
          <w:rFonts w:hint="eastAsia" w:ascii="宋体" w:hAnsi="宋体" w:cs="宋体"/>
          <w:color w:val="auto"/>
          <w:spacing w:val="-2"/>
          <w:sz w:val="24"/>
          <w:szCs w:val="24"/>
          <w:highlight w:val="none"/>
          <w:lang w:bidi="zh-CN"/>
        </w:rPr>
        <w:t>万元，资产总额为</w:t>
      </w:r>
      <w:r>
        <w:rPr>
          <w:rFonts w:hint="eastAsia" w:ascii="宋体" w:hAnsi="宋体" w:cs="宋体"/>
          <w:color w:val="auto"/>
          <w:spacing w:val="-2"/>
          <w:sz w:val="24"/>
          <w:szCs w:val="24"/>
          <w:highlight w:val="none"/>
          <w:u w:val="single"/>
          <w:lang w:bidi="zh-CN"/>
        </w:rPr>
        <w:t xml:space="preserve">     </w:t>
      </w:r>
      <w:r>
        <w:rPr>
          <w:rFonts w:hint="eastAsia" w:ascii="宋体" w:hAnsi="宋体" w:cs="宋体"/>
          <w:color w:val="auto"/>
          <w:spacing w:val="-2"/>
          <w:sz w:val="24"/>
          <w:szCs w:val="24"/>
          <w:highlight w:val="none"/>
          <w:lang w:bidi="zh-CN"/>
        </w:rPr>
        <w:t>万元，属于</w:t>
      </w:r>
      <w:r>
        <w:rPr>
          <w:rFonts w:hint="eastAsia" w:ascii="宋体" w:hAnsi="宋体" w:cs="宋体"/>
          <w:color w:val="auto"/>
          <w:spacing w:val="-2"/>
          <w:sz w:val="24"/>
          <w:szCs w:val="24"/>
          <w:highlight w:val="none"/>
          <w:u w:val="single"/>
          <w:lang w:bidi="zh-CN"/>
        </w:rPr>
        <w:t>（中型企业、小型企业、微型企业）</w:t>
      </w:r>
      <w:r>
        <w:rPr>
          <w:rFonts w:hint="eastAsia" w:ascii="宋体" w:hAnsi="宋体" w:cs="宋体"/>
          <w:color w:val="auto"/>
          <w:spacing w:val="-2"/>
          <w:sz w:val="24"/>
          <w:szCs w:val="24"/>
          <w:highlight w:val="none"/>
          <w:lang w:bidi="zh-CN"/>
        </w:rPr>
        <w:t>；</w:t>
      </w:r>
    </w:p>
    <w:p w14:paraId="345465A4">
      <w:pPr>
        <w:pStyle w:val="16"/>
        <w:autoSpaceDE w:val="0"/>
        <w:autoSpaceDN w:val="0"/>
        <w:adjustRightInd w:val="0"/>
        <w:spacing w:after="0" w:line="440" w:lineRule="exact"/>
        <w:ind w:firstLine="472" w:firstLineChars="200"/>
        <w:rPr>
          <w:rFonts w:hint="eastAsia" w:ascii="宋体" w:hAnsi="宋体" w:cs="宋体"/>
          <w:color w:val="auto"/>
          <w:spacing w:val="-2"/>
          <w:sz w:val="24"/>
          <w:szCs w:val="24"/>
          <w:highlight w:val="none"/>
          <w:lang w:val="zh-CN" w:bidi="zh-CN"/>
        </w:rPr>
      </w:pPr>
      <w:r>
        <w:rPr>
          <w:rFonts w:hint="eastAsia" w:ascii="宋体" w:hAnsi="宋体" w:cs="宋体"/>
          <w:color w:val="auto"/>
          <w:spacing w:val="-2"/>
          <w:sz w:val="24"/>
          <w:szCs w:val="24"/>
          <w:highlight w:val="none"/>
          <w:lang w:val="zh-CN" w:bidi="zh-CN"/>
        </w:rPr>
        <w:t>……</w:t>
      </w:r>
    </w:p>
    <w:p w14:paraId="6C86E605">
      <w:pPr>
        <w:pStyle w:val="16"/>
        <w:autoSpaceDE w:val="0"/>
        <w:autoSpaceDN w:val="0"/>
        <w:adjustRightInd w:val="0"/>
        <w:spacing w:after="0" w:line="440" w:lineRule="exact"/>
        <w:ind w:firstLine="472" w:firstLineChars="200"/>
        <w:rPr>
          <w:rFonts w:hint="eastAsia" w:ascii="宋体" w:hAnsi="宋体" w:cs="宋体"/>
          <w:color w:val="auto"/>
          <w:spacing w:val="-2"/>
          <w:sz w:val="24"/>
          <w:szCs w:val="24"/>
          <w:highlight w:val="none"/>
          <w:lang w:val="zh-CN" w:bidi="zh-CN"/>
        </w:rPr>
      </w:pPr>
      <w:r>
        <w:rPr>
          <w:rFonts w:hint="eastAsia" w:ascii="宋体" w:hAnsi="宋体" w:cs="宋体"/>
          <w:color w:val="auto"/>
          <w:spacing w:val="-2"/>
          <w:sz w:val="24"/>
          <w:szCs w:val="24"/>
          <w:highlight w:val="none"/>
          <w:lang w:val="zh-CN" w:bidi="zh-CN"/>
        </w:rPr>
        <w:t>以上企业，不属于大企业的分支机构，不存在控股股东为大企业的情形，也不存在与大企业的负责人为实性负责。如有虚假，将依法承担相应责任。</w:t>
      </w:r>
    </w:p>
    <w:p w14:paraId="491EFBAF">
      <w:pPr>
        <w:pStyle w:val="16"/>
        <w:autoSpaceDE w:val="0"/>
        <w:autoSpaceDN w:val="0"/>
        <w:adjustRightInd w:val="0"/>
        <w:spacing w:line="440" w:lineRule="exact"/>
        <w:ind w:firstLine="472" w:firstLineChars="200"/>
        <w:rPr>
          <w:rFonts w:hint="eastAsia" w:ascii="宋体" w:hAnsi="宋体" w:cs="宋体"/>
          <w:color w:val="auto"/>
          <w:spacing w:val="-2"/>
          <w:sz w:val="24"/>
          <w:szCs w:val="24"/>
          <w:highlight w:val="none"/>
          <w:lang w:val="zh-CN" w:bidi="zh-CN"/>
        </w:rPr>
      </w:pPr>
    </w:p>
    <w:p w14:paraId="79F782ED">
      <w:pPr>
        <w:autoSpaceDE w:val="0"/>
        <w:autoSpaceDN w:val="0"/>
        <w:adjustRightInd w:val="0"/>
        <w:spacing w:line="440" w:lineRule="exact"/>
        <w:ind w:firstLine="3776" w:firstLineChars="1600"/>
        <w:rPr>
          <w:rFonts w:hint="eastAsia" w:ascii="宋体" w:hAnsi="宋体" w:cs="宋体"/>
          <w:color w:val="auto"/>
          <w:spacing w:val="-2"/>
          <w:sz w:val="24"/>
          <w:szCs w:val="24"/>
          <w:highlight w:val="none"/>
          <w:lang w:val="zh-CN" w:bidi="zh-CN"/>
        </w:rPr>
      </w:pPr>
      <w:r>
        <w:rPr>
          <w:rFonts w:hint="eastAsia" w:ascii="宋体" w:hAnsi="宋体" w:cs="宋体"/>
          <w:color w:val="auto"/>
          <w:spacing w:val="-2"/>
          <w:sz w:val="24"/>
          <w:szCs w:val="24"/>
          <w:highlight w:val="none"/>
          <w:lang w:val="zh-CN" w:bidi="zh-CN"/>
        </w:rPr>
        <w:t>企业名称（盖章）：</w:t>
      </w:r>
    </w:p>
    <w:p w14:paraId="3996FE1C">
      <w:pPr>
        <w:pStyle w:val="16"/>
        <w:autoSpaceDE w:val="0"/>
        <w:autoSpaceDN w:val="0"/>
        <w:adjustRightInd w:val="0"/>
        <w:spacing w:line="440" w:lineRule="exact"/>
        <w:ind w:firstLine="3776" w:firstLineChars="1600"/>
        <w:rPr>
          <w:rFonts w:hint="eastAsia" w:ascii="宋体" w:hAnsi="宋体" w:cs="宋体"/>
          <w:color w:val="auto"/>
          <w:spacing w:val="-2"/>
          <w:sz w:val="28"/>
          <w:szCs w:val="28"/>
          <w:highlight w:val="none"/>
          <w:lang w:val="zh-CN" w:bidi="zh-CN"/>
        </w:rPr>
      </w:pPr>
      <w:r>
        <w:rPr>
          <w:rFonts w:hint="eastAsia" w:ascii="宋体" w:hAnsi="宋体" w:cs="宋体"/>
          <w:color w:val="auto"/>
          <w:spacing w:val="-2"/>
          <w:sz w:val="24"/>
          <w:szCs w:val="24"/>
          <w:highlight w:val="none"/>
          <w:lang w:val="zh-CN" w:bidi="zh-CN"/>
        </w:rPr>
        <w:t>日期：</w:t>
      </w:r>
    </w:p>
    <w:p w14:paraId="2598F562">
      <w:pPr>
        <w:tabs>
          <w:tab w:val="left" w:pos="0"/>
        </w:tabs>
        <w:wordWrap w:val="0"/>
        <w:spacing w:line="360" w:lineRule="auto"/>
        <w:jc w:val="center"/>
        <w:rPr>
          <w:rFonts w:hint="eastAsia" w:ascii="宋体" w:hAnsi="宋体" w:cs="宋体"/>
          <w:b/>
          <w:color w:val="auto"/>
          <w:sz w:val="32"/>
          <w:szCs w:val="32"/>
          <w:highlight w:val="none"/>
        </w:rPr>
      </w:pPr>
    </w:p>
    <w:p w14:paraId="7A382FFB">
      <w:pPr>
        <w:jc w:val="center"/>
        <w:rPr>
          <w:rFonts w:hint="eastAsia" w:ascii="宋体" w:hAnsi="宋体" w:cs="宋体"/>
          <w:b/>
          <w:color w:val="auto"/>
          <w:sz w:val="32"/>
          <w:szCs w:val="32"/>
          <w:highlight w:val="none"/>
        </w:rPr>
      </w:pPr>
    </w:p>
    <w:p w14:paraId="3382F654">
      <w:pPr>
        <w:pStyle w:val="16"/>
        <w:autoSpaceDE w:val="0"/>
        <w:autoSpaceDN w:val="0"/>
        <w:adjustRightInd w:val="0"/>
        <w:spacing w:after="0" w:line="440" w:lineRule="exact"/>
        <w:ind w:firstLine="472" w:firstLineChars="200"/>
        <w:rPr>
          <w:rFonts w:hint="eastAsia" w:ascii="宋体" w:hAnsi="宋体" w:cs="宋体"/>
          <w:color w:val="auto"/>
          <w:spacing w:val="-2"/>
          <w:sz w:val="24"/>
          <w:szCs w:val="24"/>
          <w:highlight w:val="none"/>
          <w:lang w:val="zh-CN" w:bidi="zh-CN"/>
        </w:rPr>
      </w:pPr>
      <w:r>
        <w:rPr>
          <w:rFonts w:hint="eastAsia" w:ascii="宋体" w:hAnsi="宋体" w:cs="宋体"/>
          <w:color w:val="auto"/>
          <w:spacing w:val="-2"/>
          <w:sz w:val="24"/>
          <w:szCs w:val="24"/>
          <w:highlight w:val="none"/>
          <w:lang w:val="zh-CN" w:bidi="zh-CN"/>
        </w:rPr>
        <w:t>注1：从业人员、营业收入、资产总额填报上一年度数据，无上一年度数据的新成立企业可不填报。</w:t>
      </w:r>
    </w:p>
    <w:p w14:paraId="52CB43B3">
      <w:pPr>
        <w:widowControl w:val="0"/>
        <w:autoSpaceDE w:val="0"/>
        <w:autoSpaceDN w:val="0"/>
        <w:adjustRightInd w:val="0"/>
        <w:spacing w:line="360" w:lineRule="auto"/>
        <w:ind w:firstLine="472" w:firstLineChars="200"/>
        <w:jc w:val="both"/>
        <w:rPr>
          <w:rFonts w:hint="eastAsia" w:ascii="宋体" w:hAnsi="宋体" w:cs="宋体"/>
          <w:color w:val="auto"/>
          <w:kern w:val="2"/>
          <w:sz w:val="24"/>
          <w:szCs w:val="24"/>
          <w:highlight w:val="none"/>
        </w:rPr>
      </w:pPr>
      <w:r>
        <w:rPr>
          <w:rFonts w:hint="eastAsia" w:ascii="宋体" w:hAnsi="宋体" w:cs="宋体"/>
          <w:color w:val="auto"/>
          <w:spacing w:val="-2"/>
          <w:sz w:val="24"/>
          <w:szCs w:val="24"/>
          <w:highlight w:val="none"/>
          <w:lang w:val="zh-CN" w:bidi="zh-CN"/>
        </w:rPr>
        <w:t>注</w:t>
      </w:r>
      <w:r>
        <w:rPr>
          <w:rFonts w:hint="eastAsia" w:ascii="宋体" w:hAnsi="宋体" w:cs="宋体"/>
          <w:color w:val="auto"/>
          <w:spacing w:val="-2"/>
          <w:sz w:val="24"/>
          <w:szCs w:val="24"/>
          <w:highlight w:val="none"/>
          <w:lang w:bidi="zh-CN"/>
        </w:rPr>
        <w:t>2</w:t>
      </w:r>
      <w:r>
        <w:rPr>
          <w:rFonts w:hint="eastAsia" w:ascii="宋体" w:hAnsi="宋体" w:cs="宋体"/>
          <w:color w:val="auto"/>
          <w:spacing w:val="-2"/>
          <w:sz w:val="24"/>
          <w:szCs w:val="24"/>
          <w:highlight w:val="none"/>
          <w:lang w:val="zh-CN" w:bidi="zh-CN"/>
        </w:rPr>
        <w:t>：投标</w:t>
      </w:r>
      <w:r>
        <w:rPr>
          <w:rFonts w:hint="eastAsia" w:ascii="宋体" w:hAnsi="宋体" w:cs="宋体"/>
          <w:color w:val="auto"/>
          <w:spacing w:val="-2"/>
          <w:sz w:val="24"/>
          <w:szCs w:val="24"/>
          <w:highlight w:val="none"/>
          <w:lang w:bidi="zh-CN"/>
        </w:rPr>
        <w:t>供应商</w:t>
      </w:r>
      <w:r>
        <w:rPr>
          <w:rFonts w:hint="eastAsia" w:ascii="宋体" w:hAnsi="宋体" w:cs="宋体"/>
          <w:color w:val="auto"/>
          <w:spacing w:val="-2"/>
          <w:sz w:val="24"/>
          <w:szCs w:val="24"/>
          <w:highlight w:val="none"/>
          <w:lang w:val="zh-CN" w:bidi="zh-CN"/>
        </w:rPr>
        <w:t>根据《工业和信息化部、国家统计局、国家发展和改革委员会、财政部关于印发中小企业划型标准规定的通知》（工信部联企业[2011]300号）确定企业类型；也可在工业和信息化部网站（https：//www.miit.gov.cn/）的“中小企业规模类型自测小程序”自助查询到企业类型</w:t>
      </w:r>
    </w:p>
    <w:p w14:paraId="25739D01">
      <w:pPr>
        <w:pStyle w:val="16"/>
        <w:widowControl w:val="0"/>
        <w:spacing w:line="0" w:lineRule="atLeast"/>
        <w:jc w:val="both"/>
        <w:rPr>
          <w:color w:val="auto"/>
          <w:highlight w:val="none"/>
        </w:rPr>
      </w:pPr>
    </w:p>
    <w:p w14:paraId="5327BBBA">
      <w:pPr>
        <w:pStyle w:val="61"/>
        <w:rPr>
          <w:color w:val="auto"/>
          <w:highlight w:val="none"/>
        </w:rPr>
      </w:pPr>
    </w:p>
    <w:p w14:paraId="7BEA7EA0">
      <w:pPr>
        <w:rPr>
          <w:color w:val="auto"/>
          <w:highlight w:val="none"/>
        </w:rPr>
      </w:pPr>
    </w:p>
    <w:p w14:paraId="10628A82">
      <w:pPr>
        <w:pStyle w:val="16"/>
        <w:rPr>
          <w:color w:val="auto"/>
          <w:highlight w:val="none"/>
        </w:rPr>
      </w:pPr>
    </w:p>
    <w:p w14:paraId="77333FB2">
      <w:pPr>
        <w:pStyle w:val="61"/>
        <w:rPr>
          <w:color w:val="auto"/>
          <w:highlight w:val="none"/>
        </w:rPr>
      </w:pPr>
    </w:p>
    <w:p w14:paraId="3A9FBBB5">
      <w:pPr>
        <w:pStyle w:val="61"/>
        <w:rPr>
          <w:color w:val="auto"/>
          <w:highlight w:val="none"/>
        </w:rPr>
      </w:pPr>
    </w:p>
    <w:p w14:paraId="154A35BA">
      <w:pPr>
        <w:pStyle w:val="23"/>
        <w:spacing w:line="280" w:lineRule="exact"/>
        <w:rPr>
          <w:rFonts w:hint="eastAsia" w:asciiTheme="minorEastAsia" w:hAnsiTheme="minorEastAsia" w:eastAsiaTheme="minorEastAsia" w:cstheme="minorEastAsia"/>
          <w:color w:val="auto"/>
          <w:highlight w:val="none"/>
        </w:rPr>
      </w:pPr>
    </w:p>
    <w:p w14:paraId="1655A5B0">
      <w:pPr>
        <w:autoSpaceDE w:val="0"/>
        <w:autoSpaceDN w:val="0"/>
        <w:adjustRightInd w:val="0"/>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第二部分  技术部分</w:t>
      </w:r>
    </w:p>
    <w:bookmarkEnd w:id="58"/>
    <w:bookmarkEnd w:id="59"/>
    <w:p w14:paraId="357106E9">
      <w:pPr>
        <w:jc w:val="center"/>
        <w:rPr>
          <w:rFonts w:hint="eastAsia" w:asciiTheme="minorEastAsia" w:hAnsiTheme="minorEastAsia" w:eastAsiaTheme="minorEastAsia" w:cstheme="minorEastAsia"/>
          <w:b/>
          <w:color w:val="auto"/>
          <w:sz w:val="30"/>
          <w:highlight w:val="none"/>
        </w:rPr>
      </w:pPr>
      <w:bookmarkStart w:id="90" w:name="_Toc415662814"/>
      <w:bookmarkStart w:id="91" w:name="_Toc415662697"/>
    </w:p>
    <w:p w14:paraId="39240058">
      <w:pPr>
        <w:jc w:val="center"/>
        <w:rPr>
          <w:rFonts w:hint="eastAsia" w:asciiTheme="minorEastAsia" w:hAnsiTheme="minorEastAsia" w:eastAsiaTheme="minorEastAsia" w:cstheme="minorEastAsia"/>
          <w:b/>
          <w:color w:val="auto"/>
          <w:sz w:val="30"/>
          <w:highlight w:val="none"/>
        </w:rPr>
      </w:pPr>
    </w:p>
    <w:p w14:paraId="776CAFCE">
      <w:pPr>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（1）技术资料及说明</w:t>
      </w:r>
      <w:bookmarkEnd w:id="90"/>
      <w:bookmarkEnd w:id="91"/>
    </w:p>
    <w:p w14:paraId="1DF620D4">
      <w:pPr>
        <w:jc w:val="center"/>
        <w:rPr>
          <w:rFonts w:hint="eastAsia" w:asciiTheme="minorEastAsia" w:hAnsiTheme="minorEastAsia" w:eastAsiaTheme="minorEastAsia" w:cstheme="minorEastAsia"/>
          <w:b/>
          <w:color w:val="auto"/>
          <w:sz w:val="30"/>
          <w:highlight w:val="none"/>
        </w:rPr>
      </w:pPr>
    </w:p>
    <w:p w14:paraId="6D697CA7">
      <w:pPr>
        <w:spacing w:line="360" w:lineRule="auto"/>
        <w:textAlignment w:val="center"/>
        <w:rPr>
          <w:rFonts w:hint="eastAsia" w:asciiTheme="minorEastAsia" w:hAnsiTheme="minorEastAsia" w:eastAsiaTheme="minorEastAsia" w:cstheme="minorEastAsia"/>
          <w:b/>
          <w:bCs/>
          <w:snapToGrid w:val="0"/>
          <w:color w:val="auto"/>
          <w:sz w:val="21"/>
          <w:szCs w:val="16"/>
          <w:highlight w:val="none"/>
        </w:rPr>
      </w:pPr>
      <w:r>
        <w:rPr>
          <w:rFonts w:hint="eastAsia" w:asciiTheme="minorEastAsia" w:hAnsiTheme="minorEastAsia" w:eastAsiaTheme="minorEastAsia" w:cstheme="minorEastAsia"/>
          <w:b/>
          <w:bCs/>
          <w:snapToGrid w:val="0"/>
          <w:color w:val="auto"/>
          <w:sz w:val="21"/>
          <w:szCs w:val="16"/>
          <w:highlight w:val="none"/>
        </w:rPr>
        <w:t>注：按采购货物清单及技术参数的相关提供。</w:t>
      </w:r>
    </w:p>
    <w:p w14:paraId="0A7F0205">
      <w:pPr>
        <w:spacing w:line="360" w:lineRule="auto"/>
        <w:textAlignment w:val="center"/>
        <w:rPr>
          <w:rFonts w:hint="eastAsia" w:asciiTheme="minorEastAsia" w:hAnsiTheme="minorEastAsia" w:eastAsiaTheme="minorEastAsia" w:cstheme="minorEastAsia"/>
          <w:b/>
          <w:bCs/>
          <w:snapToGrid w:val="0"/>
          <w:color w:val="auto"/>
          <w:sz w:val="21"/>
          <w:szCs w:val="16"/>
          <w:highlight w:val="none"/>
        </w:rPr>
      </w:pPr>
      <w:r>
        <w:rPr>
          <w:rFonts w:hint="eastAsia" w:asciiTheme="minorEastAsia" w:hAnsiTheme="minorEastAsia" w:eastAsiaTheme="minorEastAsia" w:cstheme="minorEastAsia"/>
          <w:color w:val="auto"/>
          <w:sz w:val="21"/>
          <w:szCs w:val="16"/>
          <w:highlight w:val="none"/>
        </w:rPr>
        <w:t>具备履行合同所必需的设备和专业技术能力的证明材料，</w:t>
      </w:r>
      <w:r>
        <w:rPr>
          <w:rFonts w:hint="eastAsia" w:asciiTheme="minorEastAsia" w:hAnsiTheme="minorEastAsia" w:eastAsiaTheme="minorEastAsia" w:cstheme="minorEastAsia"/>
          <w:b/>
          <w:bCs/>
          <w:snapToGrid w:val="0"/>
          <w:color w:val="auto"/>
          <w:sz w:val="21"/>
          <w:szCs w:val="16"/>
          <w:highlight w:val="none"/>
        </w:rPr>
        <w:t>包括但不限于以下内容：</w:t>
      </w:r>
    </w:p>
    <w:p w14:paraId="3943BE59">
      <w:pPr>
        <w:spacing w:line="360" w:lineRule="auto"/>
        <w:rPr>
          <w:rFonts w:hint="eastAsia" w:asciiTheme="minorEastAsia" w:hAnsiTheme="minorEastAsia" w:eastAsiaTheme="minorEastAsia" w:cstheme="minorEastAsia"/>
          <w:color w:val="auto"/>
          <w:sz w:val="21"/>
          <w:szCs w:val="16"/>
          <w:highlight w:val="none"/>
        </w:rPr>
      </w:pPr>
      <w:r>
        <w:rPr>
          <w:rFonts w:hint="eastAsia" w:asciiTheme="minorEastAsia" w:hAnsiTheme="minorEastAsia" w:eastAsiaTheme="minorEastAsia" w:cstheme="minorEastAsia"/>
          <w:color w:val="auto"/>
          <w:sz w:val="21"/>
          <w:szCs w:val="16"/>
          <w:highlight w:val="none"/>
        </w:rPr>
        <w:t>1、供货内容和范围；</w:t>
      </w:r>
    </w:p>
    <w:p w14:paraId="057CE561">
      <w:pPr>
        <w:spacing w:line="360" w:lineRule="auto"/>
        <w:rPr>
          <w:rFonts w:hint="eastAsia" w:asciiTheme="minorEastAsia" w:hAnsiTheme="minorEastAsia" w:eastAsiaTheme="minorEastAsia" w:cstheme="minorEastAsia"/>
          <w:color w:val="auto"/>
          <w:sz w:val="21"/>
          <w:szCs w:val="16"/>
          <w:highlight w:val="none"/>
        </w:rPr>
      </w:pPr>
      <w:r>
        <w:rPr>
          <w:rFonts w:hint="eastAsia" w:asciiTheme="minorEastAsia" w:hAnsiTheme="minorEastAsia" w:eastAsiaTheme="minorEastAsia" w:cstheme="minorEastAsia"/>
          <w:color w:val="auto"/>
          <w:sz w:val="21"/>
          <w:szCs w:val="16"/>
          <w:highlight w:val="none"/>
        </w:rPr>
        <w:t>2、采购范围内的货物的详细技术规格与配置的描述，提供制造商(代理商）出具的产品中文说明书、彩页、照片；</w:t>
      </w:r>
    </w:p>
    <w:p w14:paraId="1FF2FBD5">
      <w:pPr>
        <w:spacing w:line="360" w:lineRule="auto"/>
        <w:rPr>
          <w:rFonts w:hint="eastAsia" w:asciiTheme="minorEastAsia" w:hAnsiTheme="minorEastAsia" w:eastAsiaTheme="minorEastAsia" w:cstheme="minorEastAsia"/>
          <w:color w:val="auto"/>
          <w:sz w:val="21"/>
          <w:szCs w:val="16"/>
          <w:highlight w:val="none"/>
        </w:rPr>
      </w:pPr>
      <w:r>
        <w:rPr>
          <w:rFonts w:hint="eastAsia" w:asciiTheme="minorEastAsia" w:hAnsiTheme="minorEastAsia" w:eastAsiaTheme="minorEastAsia" w:cstheme="minorEastAsia"/>
          <w:color w:val="auto"/>
          <w:sz w:val="21"/>
          <w:szCs w:val="16"/>
          <w:highlight w:val="none"/>
        </w:rPr>
        <w:t>3、专利和（或）专有技术的内容及相关资料的交付计划（如有）；</w:t>
      </w:r>
    </w:p>
    <w:p w14:paraId="322C40A1">
      <w:pPr>
        <w:spacing w:line="360" w:lineRule="auto"/>
        <w:rPr>
          <w:rFonts w:hint="eastAsia" w:asciiTheme="minorEastAsia" w:hAnsiTheme="minorEastAsia" w:eastAsiaTheme="minorEastAsia" w:cstheme="minorEastAsia"/>
          <w:color w:val="auto"/>
          <w:sz w:val="21"/>
          <w:szCs w:val="16"/>
          <w:highlight w:val="none"/>
        </w:rPr>
      </w:pPr>
      <w:r>
        <w:rPr>
          <w:rFonts w:hint="eastAsia" w:asciiTheme="minorEastAsia" w:hAnsiTheme="minorEastAsia" w:eastAsiaTheme="minorEastAsia" w:cstheme="minorEastAsia"/>
          <w:color w:val="auto"/>
          <w:sz w:val="21"/>
          <w:szCs w:val="16"/>
          <w:highlight w:val="none"/>
        </w:rPr>
        <w:t>4、合同货物的规格、性能的保障措施；</w:t>
      </w:r>
    </w:p>
    <w:p w14:paraId="00CA42B1">
      <w:pPr>
        <w:spacing w:line="360" w:lineRule="auto"/>
        <w:rPr>
          <w:rFonts w:hint="eastAsia" w:asciiTheme="minorEastAsia" w:hAnsiTheme="minorEastAsia" w:eastAsiaTheme="minorEastAsia" w:cstheme="minorEastAsia"/>
          <w:color w:val="auto"/>
          <w:sz w:val="21"/>
          <w:szCs w:val="16"/>
          <w:highlight w:val="none"/>
        </w:rPr>
      </w:pPr>
      <w:r>
        <w:rPr>
          <w:rFonts w:hint="eastAsia" w:asciiTheme="minorEastAsia" w:hAnsiTheme="minorEastAsia" w:eastAsiaTheme="minorEastAsia" w:cstheme="minorEastAsia"/>
          <w:color w:val="auto"/>
          <w:sz w:val="21"/>
          <w:szCs w:val="16"/>
          <w:highlight w:val="none"/>
        </w:rPr>
        <w:t>5、合同货物的交付计划及保障措施；</w:t>
      </w:r>
    </w:p>
    <w:p w14:paraId="0CD6AF8B">
      <w:pPr>
        <w:spacing w:line="360" w:lineRule="auto"/>
        <w:rPr>
          <w:rFonts w:hint="eastAsia" w:asciiTheme="minorEastAsia" w:hAnsiTheme="minorEastAsia" w:eastAsiaTheme="minorEastAsia" w:cstheme="minorEastAsia"/>
          <w:color w:val="auto"/>
          <w:sz w:val="21"/>
          <w:szCs w:val="16"/>
          <w:highlight w:val="none"/>
        </w:rPr>
      </w:pPr>
      <w:r>
        <w:rPr>
          <w:rFonts w:hint="eastAsia" w:asciiTheme="minorEastAsia" w:hAnsiTheme="minorEastAsia" w:eastAsiaTheme="minorEastAsia" w:cstheme="minorEastAsia"/>
          <w:color w:val="auto"/>
          <w:sz w:val="21"/>
          <w:szCs w:val="16"/>
          <w:highlight w:val="none"/>
        </w:rPr>
        <w:t>6、关于安装及验收的安排；货物组装调试及验收措施；</w:t>
      </w:r>
    </w:p>
    <w:p w14:paraId="3D667D3C">
      <w:pPr>
        <w:spacing w:line="360" w:lineRule="auto"/>
        <w:rPr>
          <w:rFonts w:hint="eastAsia" w:asciiTheme="minorEastAsia" w:hAnsiTheme="minorEastAsia" w:eastAsiaTheme="minorEastAsia" w:cstheme="minorEastAsia"/>
          <w:color w:val="auto"/>
          <w:sz w:val="21"/>
          <w:szCs w:val="16"/>
          <w:highlight w:val="none"/>
        </w:rPr>
      </w:pPr>
      <w:r>
        <w:rPr>
          <w:rFonts w:hint="eastAsia" w:asciiTheme="minorEastAsia" w:hAnsiTheme="minorEastAsia" w:eastAsiaTheme="minorEastAsia" w:cstheme="minorEastAsia"/>
          <w:color w:val="auto"/>
          <w:sz w:val="21"/>
          <w:szCs w:val="16"/>
          <w:highlight w:val="none"/>
        </w:rPr>
        <w:t>7、技术服务内容；</w:t>
      </w:r>
    </w:p>
    <w:p w14:paraId="78E1DC51">
      <w:pPr>
        <w:spacing w:line="360" w:lineRule="auto"/>
        <w:rPr>
          <w:rFonts w:hint="eastAsia" w:asciiTheme="minorEastAsia" w:hAnsiTheme="minorEastAsia" w:eastAsiaTheme="minorEastAsia" w:cstheme="minorEastAsia"/>
          <w:color w:val="auto"/>
          <w:sz w:val="21"/>
          <w:szCs w:val="16"/>
          <w:highlight w:val="none"/>
        </w:rPr>
      </w:pPr>
      <w:r>
        <w:rPr>
          <w:rFonts w:hint="eastAsia" w:asciiTheme="minorEastAsia" w:hAnsiTheme="minorEastAsia" w:eastAsiaTheme="minorEastAsia" w:cstheme="minorEastAsia"/>
          <w:color w:val="auto"/>
          <w:sz w:val="21"/>
          <w:szCs w:val="16"/>
          <w:highlight w:val="none"/>
        </w:rPr>
        <w:t>8、质量保证、备件供应、售后服务等措施计划的详细内容；</w:t>
      </w:r>
    </w:p>
    <w:p w14:paraId="10931CAD">
      <w:pPr>
        <w:spacing w:line="360" w:lineRule="auto"/>
        <w:rPr>
          <w:rFonts w:hint="eastAsia" w:asciiTheme="minorEastAsia" w:hAnsiTheme="minorEastAsia" w:eastAsiaTheme="minorEastAsia" w:cstheme="minorEastAsia"/>
          <w:color w:val="auto"/>
          <w:sz w:val="21"/>
          <w:szCs w:val="16"/>
          <w:highlight w:val="none"/>
        </w:rPr>
      </w:pPr>
      <w:r>
        <w:rPr>
          <w:rFonts w:hint="eastAsia" w:asciiTheme="minorEastAsia" w:hAnsiTheme="minorEastAsia" w:eastAsiaTheme="minorEastAsia" w:cstheme="minorEastAsia"/>
          <w:color w:val="auto"/>
          <w:sz w:val="21"/>
          <w:szCs w:val="16"/>
          <w:highlight w:val="none"/>
        </w:rPr>
        <w:t>9、采购文件第四章“采购货物清单及技术参数”要求的其他服务或承诺内容。</w:t>
      </w:r>
    </w:p>
    <w:p w14:paraId="20809D96">
      <w:pPr>
        <w:spacing w:line="360" w:lineRule="auto"/>
        <w:rPr>
          <w:rFonts w:hint="eastAsia" w:asciiTheme="minorEastAsia" w:hAnsiTheme="minorEastAsia" w:eastAsiaTheme="minorEastAsia" w:cstheme="minorEastAsia"/>
          <w:color w:val="auto"/>
          <w:sz w:val="21"/>
          <w:szCs w:val="16"/>
          <w:highlight w:val="none"/>
        </w:rPr>
      </w:pPr>
      <w:r>
        <w:rPr>
          <w:rFonts w:hint="eastAsia" w:asciiTheme="minorEastAsia" w:hAnsiTheme="minorEastAsia" w:eastAsiaTheme="minorEastAsia" w:cstheme="minorEastAsia"/>
          <w:color w:val="auto"/>
          <w:sz w:val="21"/>
          <w:szCs w:val="16"/>
          <w:highlight w:val="none"/>
        </w:rPr>
        <w:t>（以上1-9项无固定格式，由供应商自行填写。）</w:t>
      </w:r>
    </w:p>
    <w:p w14:paraId="539915E6">
      <w:pPr>
        <w:spacing w:line="360" w:lineRule="auto"/>
        <w:rPr>
          <w:rFonts w:hint="eastAsia" w:asciiTheme="minorEastAsia" w:hAnsiTheme="minorEastAsia" w:eastAsiaTheme="minorEastAsia" w:cstheme="minorEastAsia"/>
          <w:color w:val="auto"/>
          <w:sz w:val="21"/>
          <w:szCs w:val="16"/>
          <w:highlight w:val="none"/>
        </w:rPr>
      </w:pPr>
    </w:p>
    <w:p w14:paraId="5FC1FCF6">
      <w:pPr>
        <w:spacing w:line="360" w:lineRule="auto"/>
        <w:rPr>
          <w:rFonts w:hint="eastAsia" w:asciiTheme="minorEastAsia" w:hAnsiTheme="minorEastAsia" w:eastAsiaTheme="minorEastAsia" w:cstheme="minorEastAsia"/>
          <w:color w:val="auto"/>
          <w:sz w:val="24"/>
          <w:highlight w:val="none"/>
        </w:rPr>
      </w:pPr>
    </w:p>
    <w:p w14:paraId="23D15F37">
      <w:pPr>
        <w:spacing w:line="360" w:lineRule="auto"/>
        <w:rPr>
          <w:rFonts w:hint="eastAsia" w:asciiTheme="minorEastAsia" w:hAnsiTheme="minorEastAsia" w:eastAsiaTheme="minorEastAsia" w:cstheme="minorEastAsia"/>
          <w:color w:val="auto"/>
          <w:sz w:val="24"/>
          <w:highlight w:val="none"/>
        </w:rPr>
      </w:pPr>
    </w:p>
    <w:p w14:paraId="6394474E">
      <w:pPr>
        <w:spacing w:line="360" w:lineRule="auto"/>
        <w:rPr>
          <w:rFonts w:hint="eastAsia" w:asciiTheme="minorEastAsia" w:hAnsiTheme="minorEastAsia" w:eastAsiaTheme="minorEastAsia" w:cstheme="minorEastAsia"/>
          <w:color w:val="auto"/>
          <w:sz w:val="24"/>
          <w:highlight w:val="none"/>
        </w:rPr>
      </w:pPr>
    </w:p>
    <w:p w14:paraId="52A3CA09">
      <w:pPr>
        <w:spacing w:line="360" w:lineRule="auto"/>
        <w:rPr>
          <w:rFonts w:hint="eastAsia" w:asciiTheme="minorEastAsia" w:hAnsiTheme="minorEastAsia" w:eastAsiaTheme="minorEastAsia" w:cstheme="minorEastAsia"/>
          <w:color w:val="auto"/>
          <w:sz w:val="24"/>
          <w:highlight w:val="none"/>
        </w:rPr>
      </w:pPr>
    </w:p>
    <w:p w14:paraId="061C6C72">
      <w:pPr>
        <w:spacing w:line="360" w:lineRule="auto"/>
        <w:rPr>
          <w:rFonts w:hint="eastAsia" w:asciiTheme="minorEastAsia" w:hAnsiTheme="minorEastAsia" w:eastAsiaTheme="minorEastAsia" w:cstheme="minorEastAsia"/>
          <w:color w:val="auto"/>
          <w:sz w:val="24"/>
          <w:highlight w:val="none"/>
        </w:rPr>
      </w:pPr>
    </w:p>
    <w:p w14:paraId="6B22C800">
      <w:pPr>
        <w:spacing w:line="360" w:lineRule="auto"/>
        <w:rPr>
          <w:rFonts w:hint="eastAsia" w:asciiTheme="minorEastAsia" w:hAnsiTheme="minorEastAsia" w:eastAsiaTheme="minorEastAsia" w:cstheme="minorEastAsia"/>
          <w:color w:val="auto"/>
          <w:sz w:val="24"/>
          <w:highlight w:val="none"/>
        </w:rPr>
      </w:pPr>
    </w:p>
    <w:p w14:paraId="65F83F83">
      <w:pPr>
        <w:spacing w:line="360" w:lineRule="auto"/>
        <w:rPr>
          <w:rFonts w:hint="eastAsia" w:asciiTheme="minorEastAsia" w:hAnsiTheme="minorEastAsia" w:eastAsiaTheme="minorEastAsia" w:cstheme="minorEastAsia"/>
          <w:color w:val="auto"/>
          <w:sz w:val="24"/>
          <w:highlight w:val="none"/>
        </w:rPr>
      </w:pPr>
    </w:p>
    <w:p w14:paraId="622A7755">
      <w:pPr>
        <w:spacing w:line="360" w:lineRule="auto"/>
        <w:rPr>
          <w:rFonts w:hint="eastAsia" w:asciiTheme="minorEastAsia" w:hAnsiTheme="minorEastAsia" w:eastAsiaTheme="minorEastAsia" w:cstheme="minorEastAsia"/>
          <w:color w:val="auto"/>
          <w:sz w:val="24"/>
          <w:highlight w:val="none"/>
        </w:rPr>
      </w:pPr>
    </w:p>
    <w:p w14:paraId="7828806D">
      <w:pPr>
        <w:spacing w:line="360" w:lineRule="auto"/>
        <w:rPr>
          <w:rFonts w:hint="eastAsia" w:asciiTheme="minorEastAsia" w:hAnsiTheme="minorEastAsia" w:eastAsiaTheme="minorEastAsia" w:cstheme="minorEastAsia"/>
          <w:color w:val="auto"/>
          <w:sz w:val="24"/>
          <w:highlight w:val="none"/>
        </w:rPr>
      </w:pPr>
    </w:p>
    <w:p w14:paraId="11674FB5">
      <w:pPr>
        <w:spacing w:line="360" w:lineRule="auto"/>
        <w:rPr>
          <w:rFonts w:hint="eastAsia" w:asciiTheme="minorEastAsia" w:hAnsiTheme="minorEastAsia" w:eastAsiaTheme="minorEastAsia" w:cstheme="minorEastAsia"/>
          <w:color w:val="auto"/>
          <w:sz w:val="24"/>
          <w:highlight w:val="none"/>
        </w:rPr>
      </w:pPr>
    </w:p>
    <w:p w14:paraId="656DA6A4">
      <w:pPr>
        <w:spacing w:line="360" w:lineRule="auto"/>
        <w:rPr>
          <w:rFonts w:hint="eastAsia" w:asciiTheme="minorEastAsia" w:hAnsiTheme="minorEastAsia" w:eastAsiaTheme="minorEastAsia" w:cstheme="minorEastAsia"/>
          <w:color w:val="auto"/>
          <w:sz w:val="24"/>
          <w:highlight w:val="none"/>
        </w:rPr>
      </w:pPr>
    </w:p>
    <w:p w14:paraId="4E9A3C84">
      <w:pPr>
        <w:spacing w:line="360" w:lineRule="auto"/>
        <w:rPr>
          <w:rFonts w:hint="eastAsia" w:asciiTheme="minorEastAsia" w:hAnsiTheme="minorEastAsia" w:eastAsiaTheme="minorEastAsia" w:cstheme="minorEastAsia"/>
          <w:color w:val="auto"/>
          <w:sz w:val="24"/>
          <w:highlight w:val="none"/>
        </w:rPr>
      </w:pPr>
    </w:p>
    <w:p w14:paraId="316291B1">
      <w:pPr>
        <w:spacing w:line="360" w:lineRule="auto"/>
        <w:rPr>
          <w:rFonts w:hint="eastAsia" w:asciiTheme="minorEastAsia" w:hAnsiTheme="minorEastAsia" w:eastAsiaTheme="minorEastAsia" w:cstheme="minorEastAsia"/>
          <w:color w:val="auto"/>
          <w:sz w:val="24"/>
          <w:highlight w:val="none"/>
        </w:rPr>
      </w:pPr>
    </w:p>
    <w:p w14:paraId="7C4C6B77">
      <w:pPr>
        <w:pStyle w:val="16"/>
        <w:rPr>
          <w:color w:val="auto"/>
          <w:highlight w:val="none"/>
        </w:rPr>
      </w:pPr>
    </w:p>
    <w:p w14:paraId="1C57BF76">
      <w:pPr>
        <w:pStyle w:val="25"/>
        <w:ind w:left="94" w:leftChars="47" w:firstLine="2951" w:firstLineChars="105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（2）售后服务承诺书</w:t>
      </w:r>
    </w:p>
    <w:p w14:paraId="0E0D1A6D">
      <w:pPr>
        <w:rPr>
          <w:rFonts w:hint="eastAsia" w:asciiTheme="minorEastAsia" w:hAnsiTheme="minorEastAsia" w:eastAsiaTheme="minorEastAsia" w:cstheme="minorEastAsia"/>
          <w:bCs/>
          <w:color w:val="auto"/>
          <w:sz w:val="24"/>
          <w:highlight w:val="none"/>
        </w:rPr>
      </w:pPr>
    </w:p>
    <w:p w14:paraId="13DB2AF1">
      <w:pPr>
        <w:wordWrap w:val="0"/>
        <w:adjustRightInd w:val="0"/>
        <w:spacing w:line="44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（采购人、采购代理机构）</w:t>
      </w:r>
    </w:p>
    <w:p w14:paraId="6EFE57D6">
      <w:pPr>
        <w:wordWrap w:val="0"/>
        <w:adjustRightInd w:val="0"/>
        <w:spacing w:line="440" w:lineRule="exact"/>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我公司自愿参加</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项目（项目编号：</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）的投标。我公司郑重承诺，如果我公司的投标被评定为中标，我公司对于中标货物，除完全响应招标文件对伴随服务和售后服务的所有要求外，还将按照以下条款提供优质和完善的售后服务：</w:t>
      </w:r>
    </w:p>
    <w:p w14:paraId="602FE260">
      <w:pPr>
        <w:wordWrap w:val="0"/>
        <w:adjustRightInd w:val="0"/>
        <w:spacing w:line="440" w:lineRule="exact"/>
        <w:ind w:firstLine="482"/>
        <w:rPr>
          <w:rFonts w:hint="eastAsia" w:ascii="宋体" w:hAnsi="宋体" w:cs="宋体"/>
          <w:color w:val="auto"/>
          <w:sz w:val="24"/>
          <w:highlight w:val="none"/>
          <w:lang w:val="zh-CN"/>
        </w:rPr>
      </w:pPr>
      <w:r>
        <w:rPr>
          <w:rFonts w:hint="eastAsia" w:ascii="宋体" w:hAnsi="宋体" w:cs="宋体"/>
          <w:color w:val="auto"/>
          <w:sz w:val="24"/>
          <w:highlight w:val="none"/>
          <w:lang w:val="zh-CN"/>
        </w:rPr>
        <w:t>1、我公司中标后将为采购人提供下列售后服务项目：</w:t>
      </w:r>
    </w:p>
    <w:p w14:paraId="76A9978F">
      <w:pPr>
        <w:wordWrap w:val="0"/>
        <w:adjustRightInd w:val="0"/>
        <w:spacing w:line="440" w:lineRule="exact"/>
        <w:ind w:firstLine="482"/>
        <w:rPr>
          <w:rFonts w:hint="eastAsia" w:ascii="宋体" w:hAnsi="宋体" w:cs="宋体"/>
          <w:color w:val="auto"/>
          <w:sz w:val="24"/>
          <w:highlight w:val="none"/>
          <w:lang w:val="zh-CN"/>
        </w:rPr>
      </w:pPr>
      <w:r>
        <w:rPr>
          <w:rFonts w:hint="eastAsia" w:ascii="宋体" w:hAnsi="宋体" w:cs="宋体"/>
          <w:color w:val="auto"/>
          <w:sz w:val="24"/>
          <w:highlight w:val="none"/>
          <w:lang w:val="zh-CN"/>
        </w:rPr>
        <w:t>2、我公司的售后服务响应及到达现场的时间（包括质保期内免费维修和/或更换有缺陷的货物或部件的响应时间）：</w:t>
      </w:r>
    </w:p>
    <w:p w14:paraId="306C51DF">
      <w:pPr>
        <w:wordWrap w:val="0"/>
        <w:adjustRightInd w:val="0"/>
        <w:spacing w:line="440" w:lineRule="exact"/>
        <w:ind w:firstLine="482"/>
        <w:rPr>
          <w:rFonts w:hint="eastAsia" w:ascii="宋体" w:hAnsi="宋体" w:cs="宋体"/>
          <w:color w:val="auto"/>
          <w:sz w:val="24"/>
          <w:highlight w:val="none"/>
          <w:lang w:val="zh-CN"/>
        </w:rPr>
      </w:pPr>
      <w:r>
        <w:rPr>
          <w:rFonts w:hint="eastAsia" w:ascii="宋体" w:hAnsi="宋体" w:cs="宋体"/>
          <w:color w:val="auto"/>
          <w:sz w:val="24"/>
          <w:highlight w:val="none"/>
          <w:lang w:val="zh-CN"/>
        </w:rPr>
        <w:t>3、我公司对本项目的技术培训安排：</w:t>
      </w:r>
    </w:p>
    <w:p w14:paraId="6DB7EA39">
      <w:pPr>
        <w:wordWrap w:val="0"/>
        <w:adjustRightInd w:val="0"/>
        <w:spacing w:line="440" w:lineRule="exact"/>
        <w:ind w:firstLine="482"/>
        <w:rPr>
          <w:rFonts w:hint="eastAsia" w:ascii="宋体" w:hAnsi="宋体" w:cs="宋体"/>
          <w:color w:val="auto"/>
          <w:sz w:val="24"/>
          <w:highlight w:val="none"/>
          <w:lang w:val="zh-CN"/>
        </w:rPr>
      </w:pPr>
      <w:r>
        <w:rPr>
          <w:rFonts w:hint="eastAsia" w:ascii="宋体" w:hAnsi="宋体" w:cs="宋体"/>
          <w:color w:val="auto"/>
          <w:sz w:val="24"/>
          <w:highlight w:val="none"/>
          <w:lang w:val="zh-CN"/>
        </w:rPr>
        <w:t>4、我公司用于本项目的维修技术人员及设备情况、备品备件供应的保证措施及收费标准：</w:t>
      </w:r>
    </w:p>
    <w:p w14:paraId="169E6370">
      <w:pPr>
        <w:wordWrap w:val="0"/>
        <w:adjustRightInd w:val="0"/>
        <w:spacing w:line="440" w:lineRule="exact"/>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5、制造厂商和我公司在本项目所在地（实施地）设置的售后服务网点明细表及相关情况：</w:t>
      </w:r>
    </w:p>
    <w:p w14:paraId="1C62BF69">
      <w:pPr>
        <w:wordWrap w:val="0"/>
        <w:adjustRightInd w:val="0"/>
        <w:spacing w:after="120" w:afterLines="50" w:line="440" w:lineRule="exact"/>
        <w:ind w:firstLine="482"/>
        <w:rPr>
          <w:rFonts w:hint="eastAsia" w:ascii="宋体" w:hAnsi="宋体" w:cs="宋体"/>
          <w:color w:val="auto"/>
          <w:sz w:val="24"/>
          <w:highlight w:val="none"/>
          <w:lang w:val="zh-CN"/>
        </w:rPr>
      </w:pPr>
      <w:bookmarkStart w:id="92" w:name="_Toc332217855"/>
      <w:bookmarkStart w:id="93" w:name="_Toc332735796"/>
      <w:bookmarkStart w:id="94" w:name="_Toc332735964"/>
      <w:bookmarkStart w:id="95" w:name="_Toc238185768"/>
      <w:bookmarkStart w:id="96" w:name="_Toc237236998"/>
      <w:bookmarkStart w:id="97" w:name="_Toc237328731"/>
      <w:bookmarkStart w:id="98" w:name="_Toc237329053"/>
      <w:bookmarkStart w:id="99" w:name="_Toc237199967"/>
      <w:bookmarkStart w:id="100" w:name="_Toc237200210"/>
      <w:bookmarkStart w:id="101" w:name="_Toc237200086"/>
      <w:r>
        <w:rPr>
          <w:rFonts w:hint="eastAsia" w:ascii="宋体" w:hAnsi="宋体" w:cs="宋体"/>
          <w:color w:val="auto"/>
          <w:sz w:val="24"/>
          <w:highlight w:val="none"/>
          <w:lang w:val="zh-CN"/>
        </w:rPr>
        <w:t>制造厂商和我公司在本项目所在地（实施地）设立的售后服务机构一览表</w:t>
      </w:r>
      <w:bookmarkEnd w:id="92"/>
      <w:bookmarkEnd w:id="93"/>
      <w:bookmarkEnd w:id="94"/>
      <w:bookmarkEnd w:id="95"/>
      <w:bookmarkEnd w:id="96"/>
      <w:bookmarkEnd w:id="97"/>
      <w:bookmarkEnd w:id="98"/>
      <w:bookmarkEnd w:id="99"/>
      <w:bookmarkEnd w:id="100"/>
      <w:bookmarkEnd w:id="101"/>
    </w:p>
    <w:tbl>
      <w:tblPr>
        <w:tblStyle w:val="45"/>
        <w:tblW w:w="0" w:type="auto"/>
        <w:jc w:val="center"/>
        <w:tblLayout w:type="fixed"/>
        <w:tblCellMar>
          <w:top w:w="0" w:type="dxa"/>
          <w:left w:w="108" w:type="dxa"/>
          <w:bottom w:w="0" w:type="dxa"/>
          <w:right w:w="108" w:type="dxa"/>
        </w:tblCellMar>
      </w:tblPr>
      <w:tblGrid>
        <w:gridCol w:w="819"/>
        <w:gridCol w:w="2296"/>
        <w:gridCol w:w="2726"/>
        <w:gridCol w:w="1005"/>
        <w:gridCol w:w="1345"/>
        <w:gridCol w:w="1539"/>
      </w:tblGrid>
      <w:tr w14:paraId="0780A335">
        <w:tblPrEx>
          <w:tblCellMar>
            <w:top w:w="0" w:type="dxa"/>
            <w:left w:w="108" w:type="dxa"/>
            <w:bottom w:w="0" w:type="dxa"/>
            <w:right w:w="108" w:type="dxa"/>
          </w:tblCellMar>
        </w:tblPrEx>
        <w:trPr>
          <w:trHeight w:val="716" w:hRule="atLeast"/>
          <w:jc w:val="center"/>
        </w:trPr>
        <w:tc>
          <w:tcPr>
            <w:tcW w:w="819" w:type="dxa"/>
            <w:tcBorders>
              <w:top w:val="single" w:color="auto" w:sz="6" w:space="0"/>
              <w:left w:val="single" w:color="auto" w:sz="6" w:space="0"/>
              <w:bottom w:val="single" w:color="auto" w:sz="6" w:space="0"/>
              <w:right w:val="single" w:color="auto" w:sz="6" w:space="0"/>
            </w:tcBorders>
            <w:vAlign w:val="center"/>
          </w:tcPr>
          <w:p w14:paraId="30EC3580">
            <w:pPr>
              <w:wordWrap w:val="0"/>
              <w:adjustRightIn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lang w:val="zh-CN"/>
              </w:rPr>
              <w:t>序号</w:t>
            </w:r>
          </w:p>
        </w:tc>
        <w:tc>
          <w:tcPr>
            <w:tcW w:w="2296" w:type="dxa"/>
            <w:tcBorders>
              <w:top w:val="single" w:color="auto" w:sz="6" w:space="0"/>
              <w:left w:val="single" w:color="auto" w:sz="6" w:space="0"/>
              <w:bottom w:val="single" w:color="auto" w:sz="6" w:space="0"/>
              <w:right w:val="single" w:color="auto" w:sz="6" w:space="0"/>
            </w:tcBorders>
            <w:vAlign w:val="center"/>
          </w:tcPr>
          <w:p w14:paraId="724D66A7">
            <w:pPr>
              <w:wordWrap w:val="0"/>
              <w:adjustRightIn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lang w:val="zh-CN"/>
              </w:rPr>
              <w:t>售后服务机构名称</w:t>
            </w:r>
          </w:p>
        </w:tc>
        <w:tc>
          <w:tcPr>
            <w:tcW w:w="2726" w:type="dxa"/>
            <w:tcBorders>
              <w:top w:val="single" w:color="auto" w:sz="6" w:space="0"/>
              <w:left w:val="single" w:color="auto" w:sz="6" w:space="0"/>
              <w:bottom w:val="single" w:color="auto" w:sz="6" w:space="0"/>
              <w:right w:val="single" w:color="auto" w:sz="6" w:space="0"/>
            </w:tcBorders>
            <w:vAlign w:val="center"/>
          </w:tcPr>
          <w:p w14:paraId="5F7A1B2F">
            <w:pPr>
              <w:wordWrap w:val="0"/>
              <w:adjustRightIn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lang w:val="zh-CN"/>
              </w:rPr>
              <w:t>所在市县及街区门牌号</w:t>
            </w:r>
          </w:p>
        </w:tc>
        <w:tc>
          <w:tcPr>
            <w:tcW w:w="1005" w:type="dxa"/>
            <w:tcBorders>
              <w:top w:val="single" w:color="auto" w:sz="6" w:space="0"/>
              <w:left w:val="single" w:color="auto" w:sz="6" w:space="0"/>
              <w:bottom w:val="single" w:color="auto" w:sz="6" w:space="0"/>
              <w:right w:val="single" w:color="auto" w:sz="6" w:space="0"/>
            </w:tcBorders>
            <w:vAlign w:val="center"/>
          </w:tcPr>
          <w:p w14:paraId="175A704D">
            <w:pPr>
              <w:wordWrap w:val="0"/>
              <w:adjustRightIn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lang w:val="zh-CN"/>
              </w:rPr>
              <w:t>联系人</w:t>
            </w:r>
          </w:p>
        </w:tc>
        <w:tc>
          <w:tcPr>
            <w:tcW w:w="1345" w:type="dxa"/>
            <w:tcBorders>
              <w:top w:val="single" w:color="auto" w:sz="6" w:space="0"/>
              <w:left w:val="single" w:color="auto" w:sz="6" w:space="0"/>
              <w:bottom w:val="single" w:color="auto" w:sz="6" w:space="0"/>
              <w:right w:val="single" w:color="auto" w:sz="6" w:space="0"/>
            </w:tcBorders>
            <w:vAlign w:val="center"/>
          </w:tcPr>
          <w:p w14:paraId="16B38066">
            <w:pPr>
              <w:wordWrap w:val="0"/>
              <w:adjustRightIn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lang w:val="zh-CN"/>
              </w:rPr>
              <w:t>移动电话</w:t>
            </w:r>
          </w:p>
        </w:tc>
        <w:tc>
          <w:tcPr>
            <w:tcW w:w="1539" w:type="dxa"/>
            <w:tcBorders>
              <w:top w:val="single" w:color="auto" w:sz="6" w:space="0"/>
              <w:left w:val="single" w:color="auto" w:sz="6" w:space="0"/>
              <w:bottom w:val="single" w:color="auto" w:sz="6" w:space="0"/>
              <w:right w:val="single" w:color="auto" w:sz="6" w:space="0"/>
            </w:tcBorders>
            <w:vAlign w:val="center"/>
          </w:tcPr>
          <w:p w14:paraId="5EEFD5D7">
            <w:pPr>
              <w:wordWrap w:val="0"/>
              <w:adjustRightInd w:val="0"/>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lang w:val="zh-CN"/>
              </w:rPr>
              <w:t>固定电话</w:t>
            </w:r>
          </w:p>
        </w:tc>
      </w:tr>
      <w:tr w14:paraId="286E8F13">
        <w:tblPrEx>
          <w:tblCellMar>
            <w:top w:w="0" w:type="dxa"/>
            <w:left w:w="108" w:type="dxa"/>
            <w:bottom w:w="0" w:type="dxa"/>
            <w:right w:w="108" w:type="dxa"/>
          </w:tblCellMar>
        </w:tblPrEx>
        <w:trPr>
          <w:trHeight w:val="716" w:hRule="atLeast"/>
          <w:jc w:val="center"/>
        </w:trPr>
        <w:tc>
          <w:tcPr>
            <w:tcW w:w="819" w:type="dxa"/>
            <w:tcBorders>
              <w:top w:val="single" w:color="auto" w:sz="6" w:space="0"/>
              <w:left w:val="single" w:color="auto" w:sz="6" w:space="0"/>
              <w:bottom w:val="single" w:color="auto" w:sz="6" w:space="0"/>
              <w:right w:val="single" w:color="auto" w:sz="6" w:space="0"/>
            </w:tcBorders>
            <w:vAlign w:val="center"/>
          </w:tcPr>
          <w:p w14:paraId="7BAC806A">
            <w:pPr>
              <w:wordWrap w:val="0"/>
              <w:adjustRightInd w:val="0"/>
              <w:spacing w:line="440" w:lineRule="exact"/>
              <w:jc w:val="center"/>
              <w:rPr>
                <w:rFonts w:hint="eastAsia" w:ascii="宋体" w:hAnsi="宋体" w:cs="宋体"/>
                <w:color w:val="auto"/>
                <w:sz w:val="24"/>
                <w:highlight w:val="none"/>
              </w:rPr>
            </w:pPr>
          </w:p>
        </w:tc>
        <w:tc>
          <w:tcPr>
            <w:tcW w:w="2296" w:type="dxa"/>
            <w:tcBorders>
              <w:top w:val="single" w:color="auto" w:sz="6" w:space="0"/>
              <w:left w:val="single" w:color="auto" w:sz="6" w:space="0"/>
              <w:bottom w:val="single" w:color="auto" w:sz="6" w:space="0"/>
              <w:right w:val="single" w:color="auto" w:sz="6" w:space="0"/>
            </w:tcBorders>
            <w:vAlign w:val="center"/>
          </w:tcPr>
          <w:p w14:paraId="6080ACF7">
            <w:pPr>
              <w:wordWrap w:val="0"/>
              <w:adjustRightInd w:val="0"/>
              <w:spacing w:line="440" w:lineRule="exact"/>
              <w:jc w:val="center"/>
              <w:rPr>
                <w:rFonts w:hint="eastAsia" w:ascii="宋体" w:hAnsi="宋体" w:cs="宋体"/>
                <w:color w:val="auto"/>
                <w:sz w:val="24"/>
                <w:highlight w:val="none"/>
              </w:rPr>
            </w:pPr>
          </w:p>
        </w:tc>
        <w:tc>
          <w:tcPr>
            <w:tcW w:w="2726" w:type="dxa"/>
            <w:tcBorders>
              <w:top w:val="single" w:color="auto" w:sz="6" w:space="0"/>
              <w:left w:val="single" w:color="auto" w:sz="6" w:space="0"/>
              <w:bottom w:val="single" w:color="auto" w:sz="6" w:space="0"/>
              <w:right w:val="single" w:color="auto" w:sz="6" w:space="0"/>
            </w:tcBorders>
            <w:vAlign w:val="center"/>
          </w:tcPr>
          <w:p w14:paraId="67E52288">
            <w:pPr>
              <w:wordWrap w:val="0"/>
              <w:adjustRightInd w:val="0"/>
              <w:spacing w:line="440" w:lineRule="exact"/>
              <w:jc w:val="center"/>
              <w:rPr>
                <w:rFonts w:hint="eastAsia" w:ascii="宋体" w:hAnsi="宋体" w:cs="宋体"/>
                <w:color w:val="auto"/>
                <w:sz w:val="24"/>
                <w:highlight w:val="none"/>
              </w:rPr>
            </w:pPr>
          </w:p>
        </w:tc>
        <w:tc>
          <w:tcPr>
            <w:tcW w:w="1005" w:type="dxa"/>
            <w:tcBorders>
              <w:top w:val="single" w:color="auto" w:sz="6" w:space="0"/>
              <w:left w:val="single" w:color="auto" w:sz="6" w:space="0"/>
              <w:bottom w:val="single" w:color="auto" w:sz="6" w:space="0"/>
              <w:right w:val="single" w:color="auto" w:sz="6" w:space="0"/>
            </w:tcBorders>
            <w:vAlign w:val="center"/>
          </w:tcPr>
          <w:p w14:paraId="0181A634">
            <w:pPr>
              <w:wordWrap w:val="0"/>
              <w:adjustRightInd w:val="0"/>
              <w:spacing w:line="440" w:lineRule="exact"/>
              <w:jc w:val="center"/>
              <w:rPr>
                <w:rFonts w:hint="eastAsia" w:ascii="宋体" w:hAnsi="宋体" w:cs="宋体"/>
                <w:color w:val="auto"/>
                <w:sz w:val="24"/>
                <w:highlight w:val="none"/>
              </w:rPr>
            </w:pPr>
          </w:p>
        </w:tc>
        <w:tc>
          <w:tcPr>
            <w:tcW w:w="1345" w:type="dxa"/>
            <w:tcBorders>
              <w:top w:val="single" w:color="auto" w:sz="6" w:space="0"/>
              <w:left w:val="single" w:color="auto" w:sz="6" w:space="0"/>
              <w:bottom w:val="single" w:color="auto" w:sz="6" w:space="0"/>
              <w:right w:val="single" w:color="auto" w:sz="6" w:space="0"/>
            </w:tcBorders>
            <w:vAlign w:val="center"/>
          </w:tcPr>
          <w:p w14:paraId="71BC74C9">
            <w:pPr>
              <w:wordWrap w:val="0"/>
              <w:adjustRightInd w:val="0"/>
              <w:spacing w:line="440" w:lineRule="exact"/>
              <w:jc w:val="center"/>
              <w:rPr>
                <w:rFonts w:hint="eastAsia" w:ascii="宋体" w:hAnsi="宋体" w:cs="宋体"/>
                <w:color w:val="auto"/>
                <w:sz w:val="24"/>
                <w:highlight w:val="none"/>
              </w:rPr>
            </w:pPr>
          </w:p>
        </w:tc>
        <w:tc>
          <w:tcPr>
            <w:tcW w:w="1539" w:type="dxa"/>
            <w:tcBorders>
              <w:top w:val="single" w:color="auto" w:sz="6" w:space="0"/>
              <w:left w:val="single" w:color="auto" w:sz="6" w:space="0"/>
              <w:bottom w:val="single" w:color="auto" w:sz="6" w:space="0"/>
              <w:right w:val="single" w:color="auto" w:sz="6" w:space="0"/>
            </w:tcBorders>
            <w:vAlign w:val="center"/>
          </w:tcPr>
          <w:p w14:paraId="65FDB7F5">
            <w:pPr>
              <w:wordWrap w:val="0"/>
              <w:adjustRightInd w:val="0"/>
              <w:spacing w:line="440" w:lineRule="exact"/>
              <w:jc w:val="center"/>
              <w:rPr>
                <w:rFonts w:hint="eastAsia" w:ascii="宋体" w:hAnsi="宋体" w:cs="宋体"/>
                <w:color w:val="auto"/>
                <w:sz w:val="24"/>
                <w:highlight w:val="none"/>
              </w:rPr>
            </w:pPr>
          </w:p>
        </w:tc>
      </w:tr>
    </w:tbl>
    <w:p w14:paraId="0F87252E">
      <w:pPr>
        <w:wordWrap w:val="0"/>
        <w:adjustRightInd w:val="0"/>
        <w:spacing w:line="440" w:lineRule="exact"/>
        <w:rPr>
          <w:rFonts w:hint="eastAsia" w:ascii="宋体" w:hAnsi="宋体" w:cs="宋体"/>
          <w:b/>
          <w:color w:val="auto"/>
          <w:sz w:val="24"/>
          <w:highlight w:val="none"/>
          <w:lang w:val="zh-CN"/>
        </w:rPr>
      </w:pPr>
      <w:r>
        <w:rPr>
          <w:rFonts w:hint="eastAsia" w:ascii="宋体" w:hAnsi="宋体" w:cs="宋体"/>
          <w:b/>
          <w:color w:val="auto"/>
          <w:sz w:val="24"/>
          <w:highlight w:val="none"/>
          <w:lang w:val="zh-CN"/>
        </w:rPr>
        <w:t>注：后附加盖公章的本地售后服务机构营业执照副本复印件或证明文件。</w:t>
      </w:r>
    </w:p>
    <w:p w14:paraId="45B60FBD">
      <w:pPr>
        <w:wordWrap w:val="0"/>
        <w:adjustRightInd w:val="0"/>
        <w:spacing w:line="440" w:lineRule="exact"/>
        <w:ind w:firstLine="480"/>
        <w:rPr>
          <w:rFonts w:hint="eastAsia" w:ascii="宋体" w:hAnsi="宋体" w:cs="宋体"/>
          <w:color w:val="auto"/>
          <w:sz w:val="24"/>
          <w:highlight w:val="none"/>
          <w:lang w:val="zh-CN"/>
        </w:rPr>
      </w:pPr>
      <w:r>
        <w:rPr>
          <w:rFonts w:hint="eastAsia" w:ascii="宋体" w:hAnsi="宋体" w:cs="宋体"/>
          <w:color w:val="auto"/>
          <w:sz w:val="24"/>
          <w:highlight w:val="none"/>
          <w:lang w:val="zh-CN"/>
        </w:rPr>
        <w:t>6、附件：制造厂商和我公司的售后服务体系情况及现行规定文件。</w:t>
      </w:r>
    </w:p>
    <w:p w14:paraId="6C5625EE">
      <w:pPr>
        <w:wordWrap w:val="0"/>
        <w:spacing w:line="480" w:lineRule="auto"/>
        <w:ind w:firstLine="2880" w:firstLineChars="1200"/>
        <w:rPr>
          <w:rFonts w:hint="eastAsia" w:ascii="宋体" w:hAnsi="宋体" w:cs="宋体"/>
          <w:color w:val="auto"/>
          <w:sz w:val="24"/>
          <w:highlight w:val="none"/>
        </w:rPr>
      </w:pPr>
    </w:p>
    <w:p w14:paraId="64A8B5DC">
      <w:pPr>
        <w:wordWrap w:val="0"/>
        <w:spacing w:line="480" w:lineRule="auto"/>
        <w:ind w:firstLine="2880" w:firstLineChars="1200"/>
        <w:rPr>
          <w:rFonts w:hint="eastAsia" w:ascii="宋体" w:hAnsi="宋体" w:cs="宋体"/>
          <w:color w:val="auto"/>
          <w:sz w:val="24"/>
          <w:highlight w:val="none"/>
        </w:rPr>
      </w:pPr>
      <w:r>
        <w:rPr>
          <w:rFonts w:hint="eastAsia" w:ascii="宋体" w:hAnsi="宋体" w:cs="宋体"/>
          <w:color w:val="auto"/>
          <w:sz w:val="24"/>
          <w:szCs w:val="24"/>
          <w:highlight w:val="none"/>
        </w:rPr>
        <w:t>供应商</w:t>
      </w:r>
      <w:r>
        <w:rPr>
          <w:rFonts w:hint="eastAsia" w:ascii="宋体" w:hAnsi="宋体" w:cs="宋体"/>
          <w:color w:val="auto"/>
          <w:sz w:val="24"/>
          <w:highlight w:val="none"/>
        </w:rPr>
        <w:t>：</w:t>
      </w:r>
      <w:r>
        <w:rPr>
          <w:rFonts w:hint="eastAsia" w:ascii="宋体" w:hAnsi="宋体" w:cs="宋体"/>
          <w:color w:val="auto"/>
          <w:sz w:val="24"/>
          <w:szCs w:val="21"/>
          <w:highlight w:val="none"/>
          <w:u w:val="single"/>
        </w:rPr>
        <w:t xml:space="preserve">                      </w:t>
      </w:r>
      <w:r>
        <w:rPr>
          <w:rFonts w:hint="eastAsia" w:ascii="宋体" w:hAnsi="宋体" w:cs="宋体"/>
          <w:color w:val="auto"/>
          <w:sz w:val="24"/>
          <w:highlight w:val="none"/>
        </w:rPr>
        <w:t>（盖单位公章）</w:t>
      </w:r>
    </w:p>
    <w:p w14:paraId="01F64A29">
      <w:pPr>
        <w:wordWrap w:val="0"/>
        <w:spacing w:line="480" w:lineRule="auto"/>
        <w:ind w:firstLine="2880" w:firstLineChars="1200"/>
        <w:rPr>
          <w:rFonts w:hint="eastAsia" w:ascii="宋体" w:hAnsi="宋体" w:cs="宋体"/>
          <w:color w:val="auto"/>
          <w:sz w:val="24"/>
          <w:highlight w:val="none"/>
        </w:rPr>
      </w:pPr>
      <w:r>
        <w:rPr>
          <w:rFonts w:hint="eastAsia" w:ascii="宋体" w:hAnsi="宋体" w:cs="宋体"/>
          <w:bCs/>
          <w:color w:val="auto"/>
          <w:sz w:val="24"/>
          <w:highlight w:val="none"/>
        </w:rPr>
        <w:t>法定代表人或委托代理人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（签字或盖章）</w:t>
      </w:r>
    </w:p>
    <w:p w14:paraId="213C39C1">
      <w:pPr>
        <w:wordWrap w:val="0"/>
        <w:spacing w:line="480" w:lineRule="auto"/>
        <w:ind w:firstLine="4800" w:firstLineChars="2000"/>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2804F12">
      <w:pPr>
        <w:spacing w:line="360" w:lineRule="auto"/>
        <w:textAlignment w:val="center"/>
        <w:rPr>
          <w:rFonts w:hint="eastAsia" w:asciiTheme="minorEastAsia" w:hAnsiTheme="minorEastAsia" w:eastAsiaTheme="minorEastAsia" w:cstheme="minorEastAsia"/>
          <w:b/>
          <w:bCs/>
          <w:snapToGrid w:val="0"/>
          <w:color w:val="auto"/>
          <w:sz w:val="24"/>
          <w:highlight w:val="none"/>
          <w:lang w:val="en-GB"/>
        </w:rPr>
      </w:pPr>
      <w:r>
        <w:rPr>
          <w:rFonts w:hint="eastAsia" w:ascii="宋体" w:hAnsi="宋体" w:cs="宋体"/>
          <w:color w:val="auto"/>
          <w:sz w:val="24"/>
          <w:highlight w:val="none"/>
        </w:rPr>
        <w:t>备注：投标人应对应详细评审标准对以上内容进行细化编写。</w:t>
      </w:r>
    </w:p>
    <w:p w14:paraId="43B8A61A">
      <w:pPr>
        <w:spacing w:line="360" w:lineRule="auto"/>
        <w:textAlignment w:val="center"/>
        <w:rPr>
          <w:rFonts w:hint="eastAsia" w:asciiTheme="minorEastAsia" w:hAnsiTheme="minorEastAsia" w:eastAsiaTheme="minorEastAsia" w:cstheme="minorEastAsia"/>
          <w:b/>
          <w:bCs/>
          <w:snapToGrid w:val="0"/>
          <w:color w:val="auto"/>
          <w:sz w:val="24"/>
          <w:highlight w:val="none"/>
        </w:rPr>
        <w:sectPr>
          <w:footerReference r:id="rId22" w:type="default"/>
          <w:headerReference r:id="rId21" w:type="even"/>
          <w:footerReference r:id="rId23" w:type="even"/>
          <w:pgSz w:w="11906" w:h="16838"/>
          <w:pgMar w:top="1418" w:right="1134" w:bottom="1418" w:left="1276" w:header="851" w:footer="992" w:gutter="0"/>
          <w:cols w:space="720" w:num="1"/>
          <w:docGrid w:linePitch="312" w:charSpace="0"/>
        </w:sectPr>
      </w:pPr>
    </w:p>
    <w:p w14:paraId="5F78700F">
      <w:pPr>
        <w:autoSpaceDE w:val="0"/>
        <w:autoSpaceDN w:val="0"/>
        <w:adjustRightInd w:val="0"/>
        <w:jc w:val="center"/>
        <w:rPr>
          <w:rFonts w:hint="eastAsia" w:asciiTheme="minorEastAsia" w:hAnsiTheme="minorEastAsia" w:eastAsiaTheme="minorEastAsia" w:cstheme="minorEastAsia"/>
          <w:b/>
          <w:color w:val="auto"/>
          <w:sz w:val="28"/>
          <w:szCs w:val="28"/>
          <w:highlight w:val="none"/>
        </w:rPr>
      </w:pPr>
      <w:bookmarkStart w:id="102" w:name="_Toc270184114"/>
      <w:bookmarkStart w:id="103" w:name="_Toc29875"/>
      <w:r>
        <w:rPr>
          <w:rFonts w:hint="eastAsia" w:asciiTheme="minorEastAsia" w:hAnsiTheme="minorEastAsia" w:eastAsiaTheme="minorEastAsia" w:cstheme="minorEastAsia"/>
          <w:b/>
          <w:color w:val="auto"/>
          <w:sz w:val="28"/>
          <w:szCs w:val="28"/>
          <w:highlight w:val="none"/>
        </w:rPr>
        <w:t>（3）技术/服务响应及偏离表</w:t>
      </w:r>
      <w:bookmarkEnd w:id="102"/>
      <w:bookmarkEnd w:id="103"/>
    </w:p>
    <w:p w14:paraId="1C13DA5A">
      <w:pPr>
        <w:spacing w:line="520" w:lineRule="exact"/>
        <w:jc w:val="center"/>
        <w:rPr>
          <w:rFonts w:hint="eastAsia" w:asciiTheme="minorEastAsia" w:hAnsiTheme="minorEastAsia" w:eastAsiaTheme="minorEastAsia" w:cstheme="minorEastAsia"/>
          <w:color w:val="auto"/>
          <w:sz w:val="36"/>
          <w:highlight w:val="none"/>
        </w:rPr>
      </w:pPr>
    </w:p>
    <w:tbl>
      <w:tblPr>
        <w:tblStyle w:val="45"/>
        <w:tblW w:w="99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1590"/>
        <w:gridCol w:w="2079"/>
        <w:gridCol w:w="2075"/>
        <w:gridCol w:w="2444"/>
        <w:gridCol w:w="872"/>
      </w:tblGrid>
      <w:tr w14:paraId="71B98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505922F">
            <w:pPr>
              <w:wordWrap w:val="0"/>
              <w:spacing w:line="440" w:lineRule="exact"/>
              <w:jc w:val="center"/>
              <w:rPr>
                <w:rFonts w:hint="eastAsia" w:ascii="宋体" w:hAnsi="宋体" w:cs="宋体"/>
                <w:b/>
                <w:bCs/>
                <w:color w:val="auto"/>
                <w:sz w:val="24"/>
                <w:highlight w:val="none"/>
              </w:rPr>
            </w:pPr>
            <w:bookmarkStart w:id="104" w:name="_Toc10809"/>
            <w:bookmarkStart w:id="105" w:name="_Toc492451847"/>
            <w:bookmarkStart w:id="106" w:name="_Toc11797"/>
            <w:bookmarkStart w:id="107" w:name="_Toc11"/>
            <w:bookmarkStart w:id="108" w:name="_Toc21933"/>
            <w:bookmarkStart w:id="109" w:name="_Toc16858231"/>
            <w:bookmarkStart w:id="110" w:name="_Toc420593292"/>
            <w:bookmarkStart w:id="111" w:name="_Toc24288"/>
            <w:bookmarkStart w:id="112" w:name="_Toc16666398"/>
            <w:r>
              <w:rPr>
                <w:rFonts w:hint="eastAsia" w:ascii="宋体" w:hAnsi="宋体" w:cs="宋体"/>
                <w:b/>
                <w:bCs/>
                <w:color w:val="auto"/>
                <w:sz w:val="24"/>
                <w:highlight w:val="none"/>
              </w:rPr>
              <w:t>序号</w:t>
            </w:r>
            <w:bookmarkEnd w:id="104"/>
            <w:bookmarkEnd w:id="105"/>
            <w:bookmarkEnd w:id="106"/>
            <w:bookmarkEnd w:id="107"/>
            <w:bookmarkEnd w:id="108"/>
            <w:bookmarkEnd w:id="109"/>
            <w:bookmarkEnd w:id="110"/>
            <w:bookmarkEnd w:id="111"/>
            <w:bookmarkEnd w:id="112"/>
          </w:p>
        </w:tc>
        <w:tc>
          <w:tcPr>
            <w:tcW w:w="1590" w:type="dxa"/>
            <w:tcBorders>
              <w:top w:val="single" w:color="auto" w:sz="4" w:space="0"/>
              <w:left w:val="single" w:color="auto" w:sz="4" w:space="0"/>
              <w:bottom w:val="single" w:color="auto" w:sz="4" w:space="0"/>
              <w:right w:val="single" w:color="auto" w:sz="4" w:space="0"/>
            </w:tcBorders>
            <w:vAlign w:val="center"/>
          </w:tcPr>
          <w:p w14:paraId="7D0737CA">
            <w:pPr>
              <w:wordWrap w:val="0"/>
              <w:spacing w:line="440" w:lineRule="exact"/>
              <w:jc w:val="center"/>
              <w:rPr>
                <w:rFonts w:hint="eastAsia" w:ascii="宋体" w:hAnsi="宋体" w:cs="宋体"/>
                <w:b/>
                <w:bCs/>
                <w:color w:val="auto"/>
                <w:sz w:val="24"/>
                <w:highlight w:val="none"/>
              </w:rPr>
            </w:pPr>
            <w:bookmarkStart w:id="113" w:name="_Toc21924"/>
            <w:bookmarkStart w:id="114" w:name="_Toc26210"/>
            <w:bookmarkStart w:id="115" w:name="_Toc4074"/>
            <w:bookmarkStart w:id="116" w:name="_Toc492451848"/>
            <w:bookmarkStart w:id="117" w:name="_Toc11780"/>
            <w:bookmarkStart w:id="118" w:name="_Toc420593293"/>
            <w:bookmarkStart w:id="119" w:name="_Toc16666399"/>
            <w:bookmarkStart w:id="120" w:name="_Toc27788"/>
            <w:bookmarkStart w:id="121" w:name="_Toc16858232"/>
            <w:r>
              <w:rPr>
                <w:rFonts w:hint="eastAsia" w:ascii="宋体" w:hAnsi="宋体" w:cs="宋体"/>
                <w:b/>
                <w:bCs/>
                <w:color w:val="auto"/>
                <w:sz w:val="24"/>
                <w:highlight w:val="none"/>
              </w:rPr>
              <w:t>货物名称</w:t>
            </w:r>
            <w:bookmarkEnd w:id="113"/>
            <w:bookmarkEnd w:id="114"/>
            <w:bookmarkEnd w:id="115"/>
            <w:bookmarkEnd w:id="116"/>
            <w:bookmarkEnd w:id="117"/>
            <w:bookmarkEnd w:id="118"/>
            <w:bookmarkEnd w:id="119"/>
            <w:bookmarkEnd w:id="120"/>
            <w:bookmarkEnd w:id="121"/>
          </w:p>
        </w:tc>
        <w:tc>
          <w:tcPr>
            <w:tcW w:w="2079" w:type="dxa"/>
            <w:tcBorders>
              <w:top w:val="single" w:color="auto" w:sz="4" w:space="0"/>
              <w:left w:val="single" w:color="auto" w:sz="4" w:space="0"/>
              <w:bottom w:val="single" w:color="auto" w:sz="4" w:space="0"/>
              <w:right w:val="single" w:color="auto" w:sz="4" w:space="0"/>
            </w:tcBorders>
            <w:vAlign w:val="center"/>
          </w:tcPr>
          <w:p w14:paraId="33F844F5">
            <w:pPr>
              <w:wordWrap w:val="0"/>
              <w:spacing w:line="440" w:lineRule="exact"/>
              <w:jc w:val="center"/>
              <w:rPr>
                <w:rFonts w:hint="eastAsia" w:ascii="宋体" w:hAnsi="宋体" w:cs="宋体"/>
                <w:b/>
                <w:bCs/>
                <w:color w:val="auto"/>
                <w:sz w:val="24"/>
                <w:highlight w:val="none"/>
              </w:rPr>
            </w:pPr>
            <w:bookmarkStart w:id="122" w:name="_Toc2647"/>
            <w:bookmarkStart w:id="123" w:name="_Toc420593294"/>
            <w:bookmarkStart w:id="124" w:name="_Toc492451849"/>
            <w:bookmarkStart w:id="125" w:name="_Toc12732"/>
            <w:bookmarkStart w:id="126" w:name="_Toc5005"/>
            <w:bookmarkStart w:id="127" w:name="_Toc18583"/>
            <w:bookmarkStart w:id="128" w:name="_Toc4729"/>
            <w:bookmarkStart w:id="129" w:name="_Toc16858233"/>
            <w:bookmarkStart w:id="130" w:name="_Toc16666400"/>
            <w:r>
              <w:rPr>
                <w:rFonts w:hint="eastAsia" w:ascii="宋体" w:hAnsi="宋体" w:cs="宋体"/>
                <w:b/>
                <w:bCs/>
                <w:color w:val="auto"/>
                <w:sz w:val="24"/>
                <w:highlight w:val="none"/>
              </w:rPr>
              <w:t>招标文件规定的技术</w:t>
            </w:r>
            <w:bookmarkEnd w:id="122"/>
            <w:bookmarkEnd w:id="123"/>
            <w:bookmarkEnd w:id="124"/>
            <w:r>
              <w:rPr>
                <w:rFonts w:hint="eastAsia" w:ascii="宋体" w:hAnsi="宋体" w:cs="宋体"/>
                <w:b/>
                <w:bCs/>
                <w:color w:val="auto"/>
                <w:sz w:val="24"/>
                <w:highlight w:val="none"/>
              </w:rPr>
              <w:t>规格及要求</w:t>
            </w:r>
            <w:bookmarkEnd w:id="125"/>
            <w:bookmarkEnd w:id="126"/>
            <w:bookmarkEnd w:id="127"/>
            <w:bookmarkEnd w:id="128"/>
            <w:bookmarkEnd w:id="129"/>
            <w:bookmarkEnd w:id="130"/>
          </w:p>
        </w:tc>
        <w:tc>
          <w:tcPr>
            <w:tcW w:w="2075" w:type="dxa"/>
            <w:tcBorders>
              <w:top w:val="single" w:color="auto" w:sz="4" w:space="0"/>
              <w:left w:val="single" w:color="auto" w:sz="4" w:space="0"/>
              <w:bottom w:val="single" w:color="auto" w:sz="4" w:space="0"/>
              <w:right w:val="single" w:color="auto" w:sz="4" w:space="0"/>
            </w:tcBorders>
            <w:vAlign w:val="center"/>
          </w:tcPr>
          <w:p w14:paraId="574A32FF">
            <w:pPr>
              <w:wordWrap w:val="0"/>
              <w:spacing w:line="440" w:lineRule="exact"/>
              <w:jc w:val="center"/>
              <w:rPr>
                <w:rFonts w:hint="eastAsia" w:ascii="宋体" w:hAnsi="宋体" w:cs="宋体"/>
                <w:b/>
                <w:bCs/>
                <w:color w:val="auto"/>
                <w:sz w:val="24"/>
                <w:highlight w:val="none"/>
              </w:rPr>
            </w:pPr>
            <w:bookmarkStart w:id="131" w:name="_Toc31317"/>
            <w:bookmarkStart w:id="132" w:name="_Toc492451850"/>
            <w:bookmarkStart w:id="133" w:name="_Toc420593295"/>
            <w:bookmarkStart w:id="134" w:name="_Toc12680"/>
            <w:bookmarkStart w:id="135" w:name="_Toc16258"/>
            <w:bookmarkStart w:id="136" w:name="_Toc16666401"/>
            <w:bookmarkStart w:id="137" w:name="_Toc2807"/>
            <w:bookmarkStart w:id="138" w:name="_Toc23866"/>
            <w:bookmarkStart w:id="139" w:name="_Toc16858234"/>
            <w:r>
              <w:rPr>
                <w:rFonts w:hint="eastAsia" w:ascii="宋体" w:hAnsi="宋体" w:cs="宋体"/>
                <w:b/>
                <w:bCs/>
                <w:color w:val="auto"/>
                <w:sz w:val="24"/>
                <w:highlight w:val="none"/>
              </w:rPr>
              <w:t>投标产品对应的</w:t>
            </w:r>
            <w:bookmarkEnd w:id="131"/>
            <w:bookmarkEnd w:id="132"/>
            <w:bookmarkEnd w:id="133"/>
            <w:r>
              <w:rPr>
                <w:rFonts w:hint="eastAsia" w:ascii="宋体" w:hAnsi="宋体" w:cs="宋体"/>
                <w:b/>
                <w:bCs/>
                <w:color w:val="auto"/>
                <w:sz w:val="24"/>
                <w:highlight w:val="none"/>
              </w:rPr>
              <w:t>技术规格及要求</w:t>
            </w:r>
            <w:bookmarkEnd w:id="134"/>
            <w:bookmarkEnd w:id="135"/>
            <w:bookmarkEnd w:id="136"/>
            <w:bookmarkEnd w:id="137"/>
            <w:bookmarkEnd w:id="138"/>
            <w:bookmarkEnd w:id="139"/>
          </w:p>
        </w:tc>
        <w:tc>
          <w:tcPr>
            <w:tcW w:w="2444" w:type="dxa"/>
            <w:tcBorders>
              <w:top w:val="single" w:color="auto" w:sz="4" w:space="0"/>
              <w:left w:val="single" w:color="auto" w:sz="4" w:space="0"/>
              <w:bottom w:val="single" w:color="auto" w:sz="4" w:space="0"/>
              <w:right w:val="single" w:color="auto" w:sz="4" w:space="0"/>
            </w:tcBorders>
            <w:vAlign w:val="center"/>
          </w:tcPr>
          <w:p w14:paraId="2F9BCC20">
            <w:pPr>
              <w:wordWrap w:val="0"/>
              <w:spacing w:line="440" w:lineRule="exact"/>
              <w:jc w:val="center"/>
              <w:rPr>
                <w:rFonts w:hint="eastAsia" w:ascii="宋体" w:hAnsi="宋体" w:cs="宋体"/>
                <w:b/>
                <w:bCs/>
                <w:color w:val="auto"/>
                <w:sz w:val="24"/>
                <w:highlight w:val="none"/>
              </w:rPr>
            </w:pPr>
            <w:bookmarkStart w:id="140" w:name="_Toc3951"/>
            <w:bookmarkStart w:id="141" w:name="_Toc420593296"/>
            <w:bookmarkStart w:id="142" w:name="_Toc492451851"/>
            <w:bookmarkStart w:id="143" w:name="_Toc20300"/>
            <w:bookmarkStart w:id="144" w:name="_Toc16858235"/>
            <w:bookmarkStart w:id="145" w:name="_Toc23363"/>
            <w:bookmarkStart w:id="146" w:name="_Toc22555"/>
            <w:bookmarkStart w:id="147" w:name="_Toc16666402"/>
            <w:bookmarkStart w:id="148" w:name="_Toc27957"/>
            <w:r>
              <w:rPr>
                <w:rFonts w:hint="eastAsia" w:ascii="宋体" w:hAnsi="宋体" w:cs="宋体"/>
                <w:b/>
                <w:bCs/>
                <w:color w:val="auto"/>
                <w:sz w:val="24"/>
                <w:highlight w:val="none"/>
              </w:rPr>
              <w:t>偏离</w:t>
            </w:r>
            <w:bookmarkEnd w:id="140"/>
            <w:bookmarkEnd w:id="141"/>
            <w:bookmarkEnd w:id="142"/>
            <w:r>
              <w:rPr>
                <w:rFonts w:hint="eastAsia" w:ascii="宋体" w:hAnsi="宋体" w:cs="宋体"/>
                <w:b/>
                <w:bCs/>
                <w:color w:val="auto"/>
                <w:sz w:val="24"/>
                <w:highlight w:val="none"/>
              </w:rPr>
              <w:t>部分（正/无/负）情况说明</w:t>
            </w:r>
            <w:bookmarkEnd w:id="143"/>
            <w:bookmarkEnd w:id="144"/>
            <w:bookmarkEnd w:id="145"/>
            <w:bookmarkEnd w:id="146"/>
            <w:bookmarkEnd w:id="147"/>
            <w:bookmarkEnd w:id="148"/>
          </w:p>
        </w:tc>
        <w:tc>
          <w:tcPr>
            <w:tcW w:w="872" w:type="dxa"/>
            <w:tcBorders>
              <w:top w:val="single" w:color="auto" w:sz="4" w:space="0"/>
              <w:left w:val="single" w:color="auto" w:sz="4" w:space="0"/>
              <w:bottom w:val="single" w:color="auto" w:sz="4" w:space="0"/>
              <w:right w:val="single" w:color="auto" w:sz="4" w:space="0"/>
            </w:tcBorders>
            <w:vAlign w:val="center"/>
          </w:tcPr>
          <w:p w14:paraId="105F41E7">
            <w:pPr>
              <w:wordWrap w:val="0"/>
              <w:spacing w:line="440" w:lineRule="exact"/>
              <w:jc w:val="center"/>
              <w:rPr>
                <w:rFonts w:hint="eastAsia" w:ascii="宋体" w:hAnsi="宋体" w:cs="宋体"/>
                <w:b/>
                <w:bCs/>
                <w:color w:val="auto"/>
                <w:sz w:val="24"/>
                <w:highlight w:val="none"/>
              </w:rPr>
            </w:pPr>
            <w:bookmarkStart w:id="149" w:name="_Toc17610"/>
            <w:bookmarkStart w:id="150" w:name="_Toc19619"/>
            <w:bookmarkStart w:id="151" w:name="_Toc31068"/>
            <w:bookmarkStart w:id="152" w:name="_Toc3290"/>
            <w:bookmarkStart w:id="153" w:name="_Toc7508"/>
            <w:bookmarkStart w:id="154" w:name="_Toc16858236"/>
            <w:bookmarkStart w:id="155" w:name="_Toc16666403"/>
            <w:bookmarkStart w:id="156" w:name="_Toc492451852"/>
            <w:bookmarkStart w:id="157" w:name="_Toc420593297"/>
            <w:r>
              <w:rPr>
                <w:rFonts w:hint="eastAsia" w:ascii="宋体" w:hAnsi="宋体" w:cs="宋体"/>
                <w:b/>
                <w:bCs/>
                <w:color w:val="auto"/>
                <w:sz w:val="24"/>
                <w:highlight w:val="none"/>
              </w:rPr>
              <w:t>备注</w:t>
            </w:r>
            <w:bookmarkEnd w:id="149"/>
            <w:bookmarkEnd w:id="150"/>
            <w:bookmarkEnd w:id="151"/>
            <w:bookmarkEnd w:id="152"/>
            <w:bookmarkEnd w:id="153"/>
            <w:bookmarkEnd w:id="154"/>
            <w:bookmarkEnd w:id="155"/>
            <w:bookmarkEnd w:id="156"/>
            <w:bookmarkEnd w:id="157"/>
          </w:p>
        </w:tc>
      </w:tr>
      <w:tr w14:paraId="39F3B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AAD125A">
            <w:pPr>
              <w:wordWrap w:val="0"/>
              <w:spacing w:line="440" w:lineRule="exact"/>
              <w:jc w:val="center"/>
              <w:rPr>
                <w:rFonts w:hint="eastAsia" w:ascii="宋体" w:hAnsi="宋体" w:cs="宋体"/>
                <w:color w:val="auto"/>
                <w:sz w:val="24"/>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03160675">
            <w:pPr>
              <w:pStyle w:val="25"/>
              <w:wordWrap w:val="0"/>
              <w:spacing w:line="440" w:lineRule="exact"/>
              <w:ind w:left="5250"/>
              <w:jc w:val="center"/>
              <w:rPr>
                <w:rFonts w:hint="eastAsia" w:ascii="宋体" w:hAnsi="宋体" w:cs="宋体"/>
                <w:color w:val="auto"/>
                <w:szCs w:val="24"/>
                <w:highlight w:val="none"/>
              </w:rPr>
            </w:pPr>
          </w:p>
        </w:tc>
        <w:tc>
          <w:tcPr>
            <w:tcW w:w="2079" w:type="dxa"/>
            <w:tcBorders>
              <w:top w:val="single" w:color="auto" w:sz="4" w:space="0"/>
              <w:left w:val="single" w:color="auto" w:sz="4" w:space="0"/>
              <w:bottom w:val="single" w:color="auto" w:sz="4" w:space="0"/>
              <w:right w:val="single" w:color="auto" w:sz="4" w:space="0"/>
            </w:tcBorders>
            <w:vAlign w:val="center"/>
          </w:tcPr>
          <w:p w14:paraId="4C14C12D">
            <w:pPr>
              <w:wordWrap w:val="0"/>
              <w:spacing w:line="440" w:lineRule="exact"/>
              <w:jc w:val="center"/>
              <w:rPr>
                <w:rFonts w:hint="eastAsia" w:ascii="宋体" w:hAnsi="宋体" w:cs="宋体"/>
                <w:color w:val="auto"/>
                <w:sz w:val="24"/>
                <w:highlight w:val="none"/>
              </w:rPr>
            </w:pPr>
          </w:p>
        </w:tc>
        <w:tc>
          <w:tcPr>
            <w:tcW w:w="2075" w:type="dxa"/>
            <w:tcBorders>
              <w:top w:val="single" w:color="auto" w:sz="4" w:space="0"/>
              <w:left w:val="single" w:color="auto" w:sz="4" w:space="0"/>
              <w:bottom w:val="single" w:color="auto" w:sz="4" w:space="0"/>
              <w:right w:val="single" w:color="auto" w:sz="4" w:space="0"/>
            </w:tcBorders>
            <w:vAlign w:val="center"/>
          </w:tcPr>
          <w:p w14:paraId="1F8B5985">
            <w:pPr>
              <w:wordWrap w:val="0"/>
              <w:spacing w:line="440" w:lineRule="exact"/>
              <w:jc w:val="center"/>
              <w:rPr>
                <w:rFonts w:hint="eastAsia" w:ascii="宋体" w:hAnsi="宋体" w:cs="宋体"/>
                <w:color w:val="auto"/>
                <w:sz w:val="24"/>
                <w:highlight w:val="none"/>
              </w:rPr>
            </w:pPr>
          </w:p>
        </w:tc>
        <w:tc>
          <w:tcPr>
            <w:tcW w:w="2444" w:type="dxa"/>
            <w:tcBorders>
              <w:top w:val="single" w:color="auto" w:sz="4" w:space="0"/>
              <w:left w:val="single" w:color="auto" w:sz="4" w:space="0"/>
              <w:bottom w:val="single" w:color="auto" w:sz="4" w:space="0"/>
              <w:right w:val="single" w:color="auto" w:sz="4" w:space="0"/>
            </w:tcBorders>
            <w:vAlign w:val="center"/>
          </w:tcPr>
          <w:p w14:paraId="352FED76">
            <w:pPr>
              <w:wordWrap w:val="0"/>
              <w:spacing w:line="440" w:lineRule="exact"/>
              <w:jc w:val="center"/>
              <w:rPr>
                <w:rFonts w:hint="eastAsia" w:ascii="宋体" w:hAnsi="宋体" w:cs="宋体"/>
                <w:color w:val="auto"/>
                <w:sz w:val="24"/>
                <w:highlight w:val="none"/>
              </w:rPr>
            </w:pPr>
          </w:p>
        </w:tc>
        <w:tc>
          <w:tcPr>
            <w:tcW w:w="872" w:type="dxa"/>
            <w:tcBorders>
              <w:top w:val="single" w:color="auto" w:sz="4" w:space="0"/>
              <w:left w:val="single" w:color="auto" w:sz="4" w:space="0"/>
              <w:bottom w:val="single" w:color="auto" w:sz="4" w:space="0"/>
              <w:right w:val="single" w:color="auto" w:sz="4" w:space="0"/>
            </w:tcBorders>
            <w:vAlign w:val="center"/>
          </w:tcPr>
          <w:p w14:paraId="4F8D9E38">
            <w:pPr>
              <w:wordWrap w:val="0"/>
              <w:spacing w:line="440" w:lineRule="exact"/>
              <w:jc w:val="center"/>
              <w:rPr>
                <w:rFonts w:hint="eastAsia" w:ascii="宋体" w:hAnsi="宋体" w:cs="宋体"/>
                <w:color w:val="auto"/>
                <w:sz w:val="24"/>
                <w:highlight w:val="none"/>
              </w:rPr>
            </w:pPr>
          </w:p>
        </w:tc>
      </w:tr>
      <w:tr w14:paraId="21193C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4FB204A">
            <w:pPr>
              <w:wordWrap w:val="0"/>
              <w:spacing w:line="440" w:lineRule="exact"/>
              <w:jc w:val="center"/>
              <w:rPr>
                <w:rFonts w:hint="eastAsia" w:ascii="宋体" w:hAnsi="宋体" w:cs="宋体"/>
                <w:color w:val="auto"/>
                <w:sz w:val="24"/>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45391C85">
            <w:pPr>
              <w:wordWrap w:val="0"/>
              <w:spacing w:line="440" w:lineRule="exact"/>
              <w:jc w:val="center"/>
              <w:rPr>
                <w:rFonts w:hint="eastAsia" w:ascii="宋体" w:hAnsi="宋体" w:cs="宋体"/>
                <w:color w:val="auto"/>
                <w:sz w:val="24"/>
                <w:highlight w:val="none"/>
              </w:rPr>
            </w:pPr>
          </w:p>
        </w:tc>
        <w:tc>
          <w:tcPr>
            <w:tcW w:w="2079" w:type="dxa"/>
            <w:tcBorders>
              <w:top w:val="single" w:color="auto" w:sz="4" w:space="0"/>
              <w:left w:val="single" w:color="auto" w:sz="4" w:space="0"/>
              <w:bottom w:val="single" w:color="auto" w:sz="4" w:space="0"/>
              <w:right w:val="single" w:color="auto" w:sz="4" w:space="0"/>
            </w:tcBorders>
            <w:vAlign w:val="center"/>
          </w:tcPr>
          <w:p w14:paraId="3F4FE176">
            <w:pPr>
              <w:wordWrap w:val="0"/>
              <w:spacing w:line="440" w:lineRule="exact"/>
              <w:jc w:val="center"/>
              <w:rPr>
                <w:rFonts w:hint="eastAsia" w:ascii="宋体" w:hAnsi="宋体" w:cs="宋体"/>
                <w:color w:val="auto"/>
                <w:sz w:val="24"/>
                <w:highlight w:val="none"/>
              </w:rPr>
            </w:pPr>
          </w:p>
        </w:tc>
        <w:tc>
          <w:tcPr>
            <w:tcW w:w="2075" w:type="dxa"/>
            <w:tcBorders>
              <w:top w:val="single" w:color="auto" w:sz="4" w:space="0"/>
              <w:left w:val="single" w:color="auto" w:sz="4" w:space="0"/>
              <w:bottom w:val="single" w:color="auto" w:sz="4" w:space="0"/>
              <w:right w:val="single" w:color="auto" w:sz="4" w:space="0"/>
            </w:tcBorders>
            <w:vAlign w:val="center"/>
          </w:tcPr>
          <w:p w14:paraId="5A7412C9">
            <w:pPr>
              <w:wordWrap w:val="0"/>
              <w:spacing w:line="440" w:lineRule="exact"/>
              <w:jc w:val="center"/>
              <w:rPr>
                <w:rFonts w:hint="eastAsia" w:ascii="宋体" w:hAnsi="宋体" w:cs="宋体"/>
                <w:color w:val="auto"/>
                <w:sz w:val="24"/>
                <w:highlight w:val="none"/>
              </w:rPr>
            </w:pPr>
          </w:p>
        </w:tc>
        <w:tc>
          <w:tcPr>
            <w:tcW w:w="2444" w:type="dxa"/>
            <w:tcBorders>
              <w:top w:val="single" w:color="auto" w:sz="4" w:space="0"/>
              <w:left w:val="single" w:color="auto" w:sz="4" w:space="0"/>
              <w:bottom w:val="single" w:color="auto" w:sz="4" w:space="0"/>
              <w:right w:val="single" w:color="auto" w:sz="4" w:space="0"/>
            </w:tcBorders>
            <w:vAlign w:val="center"/>
          </w:tcPr>
          <w:p w14:paraId="72CBB24E">
            <w:pPr>
              <w:wordWrap w:val="0"/>
              <w:spacing w:line="440" w:lineRule="exact"/>
              <w:jc w:val="center"/>
              <w:rPr>
                <w:rFonts w:hint="eastAsia" w:ascii="宋体" w:hAnsi="宋体" w:cs="宋体"/>
                <w:color w:val="auto"/>
                <w:sz w:val="24"/>
                <w:highlight w:val="none"/>
              </w:rPr>
            </w:pPr>
          </w:p>
        </w:tc>
        <w:tc>
          <w:tcPr>
            <w:tcW w:w="872" w:type="dxa"/>
            <w:tcBorders>
              <w:top w:val="single" w:color="auto" w:sz="4" w:space="0"/>
              <w:left w:val="single" w:color="auto" w:sz="4" w:space="0"/>
              <w:bottom w:val="single" w:color="auto" w:sz="4" w:space="0"/>
              <w:right w:val="single" w:color="auto" w:sz="4" w:space="0"/>
            </w:tcBorders>
            <w:vAlign w:val="center"/>
          </w:tcPr>
          <w:p w14:paraId="58ADC152">
            <w:pPr>
              <w:wordWrap w:val="0"/>
              <w:spacing w:line="440" w:lineRule="exact"/>
              <w:jc w:val="center"/>
              <w:rPr>
                <w:rFonts w:hint="eastAsia" w:ascii="宋体" w:hAnsi="宋体" w:cs="宋体"/>
                <w:color w:val="auto"/>
                <w:sz w:val="24"/>
                <w:highlight w:val="none"/>
              </w:rPr>
            </w:pPr>
          </w:p>
        </w:tc>
      </w:tr>
      <w:tr w14:paraId="351B6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59206096">
            <w:pPr>
              <w:wordWrap w:val="0"/>
              <w:spacing w:line="440" w:lineRule="exact"/>
              <w:jc w:val="center"/>
              <w:rPr>
                <w:rFonts w:hint="eastAsia" w:ascii="宋体" w:hAnsi="宋体" w:cs="宋体"/>
                <w:color w:val="auto"/>
                <w:sz w:val="24"/>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1E54B15B">
            <w:pPr>
              <w:wordWrap w:val="0"/>
              <w:spacing w:line="440" w:lineRule="exact"/>
              <w:jc w:val="center"/>
              <w:rPr>
                <w:rFonts w:hint="eastAsia" w:ascii="宋体" w:hAnsi="宋体" w:cs="宋体"/>
                <w:color w:val="auto"/>
                <w:sz w:val="24"/>
                <w:highlight w:val="none"/>
              </w:rPr>
            </w:pPr>
          </w:p>
        </w:tc>
        <w:tc>
          <w:tcPr>
            <w:tcW w:w="2079" w:type="dxa"/>
            <w:tcBorders>
              <w:top w:val="single" w:color="auto" w:sz="4" w:space="0"/>
              <w:left w:val="single" w:color="auto" w:sz="4" w:space="0"/>
              <w:bottom w:val="single" w:color="auto" w:sz="4" w:space="0"/>
              <w:right w:val="single" w:color="auto" w:sz="4" w:space="0"/>
            </w:tcBorders>
            <w:vAlign w:val="center"/>
          </w:tcPr>
          <w:p w14:paraId="24FFFB4D">
            <w:pPr>
              <w:wordWrap w:val="0"/>
              <w:spacing w:line="440" w:lineRule="exact"/>
              <w:jc w:val="center"/>
              <w:rPr>
                <w:rFonts w:hint="eastAsia" w:ascii="宋体" w:hAnsi="宋体" w:cs="宋体"/>
                <w:color w:val="auto"/>
                <w:sz w:val="24"/>
                <w:highlight w:val="none"/>
              </w:rPr>
            </w:pPr>
          </w:p>
        </w:tc>
        <w:tc>
          <w:tcPr>
            <w:tcW w:w="2075" w:type="dxa"/>
            <w:tcBorders>
              <w:top w:val="single" w:color="auto" w:sz="4" w:space="0"/>
              <w:left w:val="single" w:color="auto" w:sz="4" w:space="0"/>
              <w:bottom w:val="single" w:color="auto" w:sz="4" w:space="0"/>
              <w:right w:val="single" w:color="auto" w:sz="4" w:space="0"/>
            </w:tcBorders>
            <w:vAlign w:val="center"/>
          </w:tcPr>
          <w:p w14:paraId="46044CCD">
            <w:pPr>
              <w:wordWrap w:val="0"/>
              <w:spacing w:line="440" w:lineRule="exact"/>
              <w:jc w:val="center"/>
              <w:rPr>
                <w:rFonts w:hint="eastAsia" w:ascii="宋体" w:hAnsi="宋体" w:cs="宋体"/>
                <w:color w:val="auto"/>
                <w:sz w:val="24"/>
                <w:highlight w:val="none"/>
              </w:rPr>
            </w:pPr>
          </w:p>
        </w:tc>
        <w:tc>
          <w:tcPr>
            <w:tcW w:w="2444" w:type="dxa"/>
            <w:tcBorders>
              <w:top w:val="single" w:color="auto" w:sz="4" w:space="0"/>
              <w:left w:val="single" w:color="auto" w:sz="4" w:space="0"/>
              <w:bottom w:val="single" w:color="auto" w:sz="4" w:space="0"/>
              <w:right w:val="single" w:color="auto" w:sz="4" w:space="0"/>
            </w:tcBorders>
            <w:vAlign w:val="center"/>
          </w:tcPr>
          <w:p w14:paraId="3563B667">
            <w:pPr>
              <w:wordWrap w:val="0"/>
              <w:spacing w:line="440" w:lineRule="exact"/>
              <w:jc w:val="center"/>
              <w:rPr>
                <w:rFonts w:hint="eastAsia" w:ascii="宋体" w:hAnsi="宋体" w:cs="宋体"/>
                <w:color w:val="auto"/>
                <w:sz w:val="24"/>
                <w:highlight w:val="none"/>
              </w:rPr>
            </w:pPr>
          </w:p>
        </w:tc>
        <w:tc>
          <w:tcPr>
            <w:tcW w:w="872" w:type="dxa"/>
            <w:tcBorders>
              <w:top w:val="single" w:color="auto" w:sz="4" w:space="0"/>
              <w:left w:val="single" w:color="auto" w:sz="4" w:space="0"/>
              <w:bottom w:val="single" w:color="auto" w:sz="4" w:space="0"/>
              <w:right w:val="single" w:color="auto" w:sz="4" w:space="0"/>
            </w:tcBorders>
            <w:vAlign w:val="center"/>
          </w:tcPr>
          <w:p w14:paraId="64149BE3">
            <w:pPr>
              <w:wordWrap w:val="0"/>
              <w:spacing w:line="440" w:lineRule="exact"/>
              <w:jc w:val="center"/>
              <w:rPr>
                <w:rFonts w:hint="eastAsia" w:ascii="宋体" w:hAnsi="宋体" w:cs="宋体"/>
                <w:color w:val="auto"/>
                <w:sz w:val="24"/>
                <w:highlight w:val="none"/>
              </w:rPr>
            </w:pPr>
          </w:p>
        </w:tc>
      </w:tr>
      <w:tr w14:paraId="7B2B2E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9ABB112">
            <w:pPr>
              <w:wordWrap w:val="0"/>
              <w:spacing w:line="440" w:lineRule="exact"/>
              <w:jc w:val="center"/>
              <w:rPr>
                <w:rFonts w:hint="eastAsia" w:ascii="宋体" w:hAnsi="宋体" w:cs="宋体"/>
                <w:color w:val="auto"/>
                <w:sz w:val="24"/>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3EC2E411">
            <w:pPr>
              <w:wordWrap w:val="0"/>
              <w:spacing w:line="440" w:lineRule="exact"/>
              <w:jc w:val="center"/>
              <w:rPr>
                <w:rFonts w:hint="eastAsia" w:ascii="宋体" w:hAnsi="宋体" w:cs="宋体"/>
                <w:color w:val="auto"/>
                <w:sz w:val="24"/>
                <w:highlight w:val="none"/>
              </w:rPr>
            </w:pPr>
          </w:p>
        </w:tc>
        <w:tc>
          <w:tcPr>
            <w:tcW w:w="2079" w:type="dxa"/>
            <w:tcBorders>
              <w:top w:val="single" w:color="auto" w:sz="4" w:space="0"/>
              <w:left w:val="single" w:color="auto" w:sz="4" w:space="0"/>
              <w:bottom w:val="single" w:color="auto" w:sz="4" w:space="0"/>
              <w:right w:val="single" w:color="auto" w:sz="4" w:space="0"/>
            </w:tcBorders>
            <w:vAlign w:val="center"/>
          </w:tcPr>
          <w:p w14:paraId="668CFBCA">
            <w:pPr>
              <w:wordWrap w:val="0"/>
              <w:spacing w:line="440" w:lineRule="exact"/>
              <w:jc w:val="center"/>
              <w:rPr>
                <w:rFonts w:hint="eastAsia" w:ascii="宋体" w:hAnsi="宋体" w:cs="宋体"/>
                <w:color w:val="auto"/>
                <w:sz w:val="24"/>
                <w:highlight w:val="none"/>
              </w:rPr>
            </w:pPr>
          </w:p>
        </w:tc>
        <w:tc>
          <w:tcPr>
            <w:tcW w:w="2075" w:type="dxa"/>
            <w:tcBorders>
              <w:top w:val="single" w:color="auto" w:sz="4" w:space="0"/>
              <w:left w:val="single" w:color="auto" w:sz="4" w:space="0"/>
              <w:bottom w:val="single" w:color="auto" w:sz="4" w:space="0"/>
              <w:right w:val="single" w:color="auto" w:sz="4" w:space="0"/>
            </w:tcBorders>
            <w:vAlign w:val="center"/>
          </w:tcPr>
          <w:p w14:paraId="260AB8A0">
            <w:pPr>
              <w:wordWrap w:val="0"/>
              <w:spacing w:line="440" w:lineRule="exact"/>
              <w:jc w:val="center"/>
              <w:rPr>
                <w:rFonts w:hint="eastAsia" w:ascii="宋体" w:hAnsi="宋体" w:cs="宋体"/>
                <w:color w:val="auto"/>
                <w:sz w:val="24"/>
                <w:highlight w:val="none"/>
              </w:rPr>
            </w:pPr>
          </w:p>
        </w:tc>
        <w:tc>
          <w:tcPr>
            <w:tcW w:w="2444" w:type="dxa"/>
            <w:tcBorders>
              <w:top w:val="single" w:color="auto" w:sz="4" w:space="0"/>
              <w:left w:val="single" w:color="auto" w:sz="4" w:space="0"/>
              <w:bottom w:val="single" w:color="auto" w:sz="4" w:space="0"/>
              <w:right w:val="single" w:color="auto" w:sz="4" w:space="0"/>
            </w:tcBorders>
            <w:vAlign w:val="center"/>
          </w:tcPr>
          <w:p w14:paraId="7F5F7F13">
            <w:pPr>
              <w:wordWrap w:val="0"/>
              <w:spacing w:line="440" w:lineRule="exact"/>
              <w:jc w:val="center"/>
              <w:rPr>
                <w:rFonts w:hint="eastAsia" w:ascii="宋体" w:hAnsi="宋体" w:cs="宋体"/>
                <w:color w:val="auto"/>
                <w:sz w:val="24"/>
                <w:highlight w:val="none"/>
              </w:rPr>
            </w:pPr>
          </w:p>
        </w:tc>
        <w:tc>
          <w:tcPr>
            <w:tcW w:w="872" w:type="dxa"/>
            <w:tcBorders>
              <w:top w:val="single" w:color="auto" w:sz="4" w:space="0"/>
              <w:left w:val="single" w:color="auto" w:sz="4" w:space="0"/>
              <w:bottom w:val="single" w:color="auto" w:sz="4" w:space="0"/>
              <w:right w:val="single" w:color="auto" w:sz="4" w:space="0"/>
            </w:tcBorders>
            <w:vAlign w:val="center"/>
          </w:tcPr>
          <w:p w14:paraId="3B262104">
            <w:pPr>
              <w:wordWrap w:val="0"/>
              <w:spacing w:line="440" w:lineRule="exact"/>
              <w:jc w:val="center"/>
              <w:rPr>
                <w:rFonts w:hint="eastAsia" w:ascii="宋体" w:hAnsi="宋体" w:cs="宋体"/>
                <w:color w:val="auto"/>
                <w:sz w:val="24"/>
                <w:highlight w:val="none"/>
              </w:rPr>
            </w:pPr>
          </w:p>
        </w:tc>
      </w:tr>
      <w:tr w14:paraId="18E031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701FDEC">
            <w:pPr>
              <w:wordWrap w:val="0"/>
              <w:spacing w:line="440" w:lineRule="exact"/>
              <w:jc w:val="center"/>
              <w:rPr>
                <w:rFonts w:hint="eastAsia" w:ascii="宋体" w:hAnsi="宋体" w:cs="宋体"/>
                <w:color w:val="auto"/>
                <w:sz w:val="24"/>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69B48DD9">
            <w:pPr>
              <w:wordWrap w:val="0"/>
              <w:spacing w:line="440" w:lineRule="exact"/>
              <w:jc w:val="center"/>
              <w:rPr>
                <w:rFonts w:hint="eastAsia" w:ascii="宋体" w:hAnsi="宋体" w:cs="宋体"/>
                <w:color w:val="auto"/>
                <w:sz w:val="24"/>
                <w:highlight w:val="none"/>
              </w:rPr>
            </w:pPr>
          </w:p>
        </w:tc>
        <w:tc>
          <w:tcPr>
            <w:tcW w:w="2079" w:type="dxa"/>
            <w:tcBorders>
              <w:top w:val="single" w:color="auto" w:sz="4" w:space="0"/>
              <w:left w:val="single" w:color="auto" w:sz="4" w:space="0"/>
              <w:bottom w:val="single" w:color="auto" w:sz="4" w:space="0"/>
              <w:right w:val="single" w:color="auto" w:sz="4" w:space="0"/>
            </w:tcBorders>
            <w:vAlign w:val="center"/>
          </w:tcPr>
          <w:p w14:paraId="3B1BB970">
            <w:pPr>
              <w:wordWrap w:val="0"/>
              <w:spacing w:line="440" w:lineRule="exact"/>
              <w:jc w:val="center"/>
              <w:rPr>
                <w:rFonts w:hint="eastAsia" w:ascii="宋体" w:hAnsi="宋体" w:cs="宋体"/>
                <w:color w:val="auto"/>
                <w:sz w:val="24"/>
                <w:highlight w:val="none"/>
              </w:rPr>
            </w:pPr>
          </w:p>
        </w:tc>
        <w:tc>
          <w:tcPr>
            <w:tcW w:w="2075" w:type="dxa"/>
            <w:tcBorders>
              <w:top w:val="single" w:color="auto" w:sz="4" w:space="0"/>
              <w:left w:val="single" w:color="auto" w:sz="4" w:space="0"/>
              <w:bottom w:val="single" w:color="auto" w:sz="4" w:space="0"/>
              <w:right w:val="single" w:color="auto" w:sz="4" w:space="0"/>
            </w:tcBorders>
            <w:vAlign w:val="center"/>
          </w:tcPr>
          <w:p w14:paraId="3A7C0D6E">
            <w:pPr>
              <w:wordWrap w:val="0"/>
              <w:spacing w:line="440" w:lineRule="exact"/>
              <w:jc w:val="center"/>
              <w:rPr>
                <w:rFonts w:hint="eastAsia" w:ascii="宋体" w:hAnsi="宋体" w:cs="宋体"/>
                <w:color w:val="auto"/>
                <w:sz w:val="24"/>
                <w:highlight w:val="none"/>
              </w:rPr>
            </w:pPr>
          </w:p>
        </w:tc>
        <w:tc>
          <w:tcPr>
            <w:tcW w:w="2444" w:type="dxa"/>
            <w:tcBorders>
              <w:top w:val="single" w:color="auto" w:sz="4" w:space="0"/>
              <w:left w:val="single" w:color="auto" w:sz="4" w:space="0"/>
              <w:bottom w:val="single" w:color="auto" w:sz="4" w:space="0"/>
              <w:right w:val="single" w:color="auto" w:sz="4" w:space="0"/>
            </w:tcBorders>
            <w:vAlign w:val="center"/>
          </w:tcPr>
          <w:p w14:paraId="73C1B038">
            <w:pPr>
              <w:wordWrap w:val="0"/>
              <w:spacing w:line="440" w:lineRule="exact"/>
              <w:jc w:val="center"/>
              <w:rPr>
                <w:rFonts w:hint="eastAsia" w:ascii="宋体" w:hAnsi="宋体" w:cs="宋体"/>
                <w:color w:val="auto"/>
                <w:sz w:val="24"/>
                <w:highlight w:val="none"/>
              </w:rPr>
            </w:pPr>
          </w:p>
        </w:tc>
        <w:tc>
          <w:tcPr>
            <w:tcW w:w="872" w:type="dxa"/>
            <w:tcBorders>
              <w:top w:val="single" w:color="auto" w:sz="4" w:space="0"/>
              <w:left w:val="single" w:color="auto" w:sz="4" w:space="0"/>
              <w:bottom w:val="single" w:color="auto" w:sz="4" w:space="0"/>
              <w:right w:val="single" w:color="auto" w:sz="4" w:space="0"/>
            </w:tcBorders>
            <w:vAlign w:val="center"/>
          </w:tcPr>
          <w:p w14:paraId="4028B6A2">
            <w:pPr>
              <w:wordWrap w:val="0"/>
              <w:spacing w:line="440" w:lineRule="exact"/>
              <w:jc w:val="center"/>
              <w:rPr>
                <w:rFonts w:hint="eastAsia" w:ascii="宋体" w:hAnsi="宋体" w:cs="宋体"/>
                <w:color w:val="auto"/>
                <w:sz w:val="24"/>
                <w:highlight w:val="none"/>
              </w:rPr>
            </w:pPr>
          </w:p>
        </w:tc>
      </w:tr>
      <w:tr w14:paraId="04F7F6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A0971FB">
            <w:pPr>
              <w:wordWrap w:val="0"/>
              <w:spacing w:line="440" w:lineRule="exact"/>
              <w:jc w:val="center"/>
              <w:rPr>
                <w:rFonts w:hint="eastAsia" w:ascii="宋体" w:hAnsi="宋体" w:cs="宋体"/>
                <w:color w:val="auto"/>
                <w:sz w:val="24"/>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0BCBE46A">
            <w:pPr>
              <w:wordWrap w:val="0"/>
              <w:spacing w:line="440" w:lineRule="exact"/>
              <w:jc w:val="center"/>
              <w:rPr>
                <w:rFonts w:hint="eastAsia" w:ascii="宋体" w:hAnsi="宋体" w:cs="宋体"/>
                <w:color w:val="auto"/>
                <w:sz w:val="24"/>
                <w:highlight w:val="none"/>
              </w:rPr>
            </w:pPr>
          </w:p>
        </w:tc>
        <w:tc>
          <w:tcPr>
            <w:tcW w:w="2079" w:type="dxa"/>
            <w:tcBorders>
              <w:top w:val="single" w:color="auto" w:sz="4" w:space="0"/>
              <w:left w:val="single" w:color="auto" w:sz="4" w:space="0"/>
              <w:bottom w:val="single" w:color="auto" w:sz="4" w:space="0"/>
              <w:right w:val="single" w:color="auto" w:sz="4" w:space="0"/>
            </w:tcBorders>
            <w:vAlign w:val="center"/>
          </w:tcPr>
          <w:p w14:paraId="7D083C0F">
            <w:pPr>
              <w:wordWrap w:val="0"/>
              <w:spacing w:line="440" w:lineRule="exact"/>
              <w:jc w:val="center"/>
              <w:rPr>
                <w:rFonts w:hint="eastAsia" w:ascii="宋体" w:hAnsi="宋体" w:cs="宋体"/>
                <w:color w:val="auto"/>
                <w:sz w:val="24"/>
                <w:highlight w:val="none"/>
              </w:rPr>
            </w:pPr>
          </w:p>
        </w:tc>
        <w:tc>
          <w:tcPr>
            <w:tcW w:w="2075" w:type="dxa"/>
            <w:tcBorders>
              <w:top w:val="single" w:color="auto" w:sz="4" w:space="0"/>
              <w:left w:val="single" w:color="auto" w:sz="4" w:space="0"/>
              <w:bottom w:val="single" w:color="auto" w:sz="4" w:space="0"/>
              <w:right w:val="single" w:color="auto" w:sz="4" w:space="0"/>
            </w:tcBorders>
            <w:vAlign w:val="center"/>
          </w:tcPr>
          <w:p w14:paraId="25AE6710">
            <w:pPr>
              <w:wordWrap w:val="0"/>
              <w:spacing w:line="440" w:lineRule="exact"/>
              <w:jc w:val="center"/>
              <w:rPr>
                <w:rFonts w:hint="eastAsia" w:ascii="宋体" w:hAnsi="宋体" w:cs="宋体"/>
                <w:color w:val="auto"/>
                <w:sz w:val="24"/>
                <w:highlight w:val="none"/>
              </w:rPr>
            </w:pPr>
          </w:p>
        </w:tc>
        <w:tc>
          <w:tcPr>
            <w:tcW w:w="2444" w:type="dxa"/>
            <w:tcBorders>
              <w:top w:val="single" w:color="auto" w:sz="4" w:space="0"/>
              <w:left w:val="single" w:color="auto" w:sz="4" w:space="0"/>
              <w:bottom w:val="single" w:color="auto" w:sz="4" w:space="0"/>
              <w:right w:val="single" w:color="auto" w:sz="4" w:space="0"/>
            </w:tcBorders>
            <w:vAlign w:val="center"/>
          </w:tcPr>
          <w:p w14:paraId="385D3A32">
            <w:pPr>
              <w:wordWrap w:val="0"/>
              <w:spacing w:line="440" w:lineRule="exact"/>
              <w:jc w:val="center"/>
              <w:rPr>
                <w:rFonts w:hint="eastAsia" w:ascii="宋体" w:hAnsi="宋体" w:cs="宋体"/>
                <w:color w:val="auto"/>
                <w:sz w:val="24"/>
                <w:highlight w:val="none"/>
              </w:rPr>
            </w:pPr>
          </w:p>
        </w:tc>
        <w:tc>
          <w:tcPr>
            <w:tcW w:w="872" w:type="dxa"/>
            <w:tcBorders>
              <w:top w:val="single" w:color="auto" w:sz="4" w:space="0"/>
              <w:left w:val="single" w:color="auto" w:sz="4" w:space="0"/>
              <w:bottom w:val="single" w:color="auto" w:sz="4" w:space="0"/>
              <w:right w:val="single" w:color="auto" w:sz="4" w:space="0"/>
            </w:tcBorders>
            <w:vAlign w:val="center"/>
          </w:tcPr>
          <w:p w14:paraId="6F7B77B6">
            <w:pPr>
              <w:wordWrap w:val="0"/>
              <w:spacing w:line="440" w:lineRule="exact"/>
              <w:jc w:val="center"/>
              <w:rPr>
                <w:rFonts w:hint="eastAsia" w:ascii="宋体" w:hAnsi="宋体" w:cs="宋体"/>
                <w:color w:val="auto"/>
                <w:sz w:val="24"/>
                <w:highlight w:val="none"/>
              </w:rPr>
            </w:pPr>
          </w:p>
        </w:tc>
      </w:tr>
    </w:tbl>
    <w:p w14:paraId="0A69533B">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供应商名称（盖章）： _____________________ </w:t>
      </w:r>
    </w:p>
    <w:p w14:paraId="30BD7443">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供应商代表签字或盖章：____________</w:t>
      </w:r>
    </w:p>
    <w:p w14:paraId="56A8130A">
      <w:pPr>
        <w:autoSpaceDE w:val="0"/>
        <w:autoSpaceDN w:val="0"/>
        <w:adjustRightInd w:val="0"/>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日期：   年   月   日</w:t>
      </w:r>
    </w:p>
    <w:p w14:paraId="528BD379">
      <w:pPr>
        <w:autoSpaceDE w:val="0"/>
        <w:autoSpaceDN w:val="0"/>
        <w:adjustRightInd w:val="0"/>
        <w:jc w:val="center"/>
        <w:rPr>
          <w:rFonts w:hint="eastAsia" w:asciiTheme="minorEastAsia" w:hAnsiTheme="minorEastAsia" w:eastAsiaTheme="minorEastAsia" w:cstheme="minorEastAsia"/>
          <w:b/>
          <w:color w:val="auto"/>
          <w:sz w:val="21"/>
          <w:szCs w:val="21"/>
          <w:highlight w:val="none"/>
        </w:rPr>
      </w:pPr>
    </w:p>
    <w:p w14:paraId="73DFA9E2">
      <w:pPr>
        <w:pStyle w:val="16"/>
        <w:spacing w:line="360" w:lineRule="auto"/>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注：1如供应商人对采购文件技术部分有任何负偏离，则必须在该表中全部列明，否则将认为供应商接受采购文件的要求。</w:t>
      </w:r>
      <w:r>
        <w:rPr>
          <w:rFonts w:hint="eastAsia" w:asciiTheme="minorEastAsia" w:hAnsiTheme="minorEastAsia" w:eastAsiaTheme="minorEastAsia" w:cstheme="minorEastAsia"/>
          <w:b/>
          <w:color w:val="auto"/>
          <w:sz w:val="21"/>
          <w:szCs w:val="21"/>
          <w:highlight w:val="none"/>
          <w:u w:val="single"/>
        </w:rPr>
        <w:t>若无技术/服务偏离，请只填写“无技术/服务偏离”。不提供上述表格的投标将被拒绝。供应商应按照技术部分的要求，提供相应的技术证明文件。</w:t>
      </w:r>
    </w:p>
    <w:p w14:paraId="2776C199">
      <w:pPr>
        <w:autoSpaceDE w:val="0"/>
        <w:autoSpaceDN w:val="0"/>
        <w:adjustRightInd w:val="0"/>
        <w:spacing w:line="480" w:lineRule="auto"/>
        <w:ind w:firstLine="42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u w:val="single"/>
        </w:rPr>
        <w:t>2供应商可调整上述表格。</w:t>
      </w:r>
    </w:p>
    <w:p w14:paraId="0D94C92B">
      <w:pPr>
        <w:spacing w:line="400" w:lineRule="exact"/>
        <w:ind w:firstLine="2587" w:firstLineChars="1232"/>
        <w:rPr>
          <w:rFonts w:hint="eastAsia" w:asciiTheme="minorEastAsia" w:hAnsiTheme="minorEastAsia" w:eastAsiaTheme="minorEastAsia" w:cstheme="minorEastAsia"/>
          <w:color w:val="auto"/>
          <w:sz w:val="21"/>
          <w:szCs w:val="21"/>
          <w:highlight w:val="none"/>
        </w:rPr>
      </w:pPr>
    </w:p>
    <w:p w14:paraId="646C7960">
      <w:pPr>
        <w:pStyle w:val="23"/>
        <w:jc w:val="left"/>
        <w:rPr>
          <w:rFonts w:hint="eastAsia" w:asciiTheme="minorEastAsia" w:hAnsiTheme="minorEastAsia" w:eastAsiaTheme="minorEastAsia" w:cstheme="minorEastAsia"/>
          <w:b/>
          <w:bCs/>
          <w:color w:val="auto"/>
          <w:szCs w:val="21"/>
          <w:highlight w:val="none"/>
        </w:rPr>
      </w:pPr>
    </w:p>
    <w:p w14:paraId="75D4F0EB">
      <w:pPr>
        <w:pStyle w:val="23"/>
        <w:jc w:val="left"/>
        <w:rPr>
          <w:rFonts w:hint="eastAsia" w:asciiTheme="minorEastAsia" w:hAnsiTheme="minorEastAsia" w:eastAsiaTheme="minorEastAsia" w:cstheme="minorEastAsia"/>
          <w:b/>
          <w:bCs/>
          <w:color w:val="auto"/>
          <w:szCs w:val="21"/>
          <w:highlight w:val="none"/>
        </w:rPr>
      </w:pPr>
    </w:p>
    <w:p w14:paraId="70D97482">
      <w:pPr>
        <w:pStyle w:val="23"/>
        <w:jc w:val="left"/>
        <w:rPr>
          <w:rFonts w:hint="eastAsia" w:asciiTheme="minorEastAsia" w:hAnsiTheme="minorEastAsia" w:eastAsiaTheme="minorEastAsia" w:cstheme="minorEastAsia"/>
          <w:b/>
          <w:bCs/>
          <w:color w:val="auto"/>
          <w:szCs w:val="21"/>
          <w:highlight w:val="none"/>
        </w:rPr>
      </w:pPr>
    </w:p>
    <w:bookmarkEnd w:id="48"/>
    <w:p w14:paraId="43545A7B">
      <w:pPr>
        <w:jc w:val="center"/>
        <w:outlineLvl w:val="0"/>
        <w:rPr>
          <w:rFonts w:hint="eastAsia" w:asciiTheme="minorEastAsia" w:hAnsiTheme="minorEastAsia" w:eastAsiaTheme="minorEastAsia" w:cstheme="minorEastAsia"/>
          <w:b/>
          <w:color w:val="auto"/>
          <w:sz w:val="36"/>
          <w:szCs w:val="36"/>
          <w:highlight w:val="none"/>
        </w:rPr>
      </w:pPr>
      <w:bookmarkStart w:id="158" w:name="_Toc367975930"/>
      <w:bookmarkStart w:id="159" w:name="_Toc455213220"/>
    </w:p>
    <w:p w14:paraId="2D7DC899">
      <w:pPr>
        <w:jc w:val="center"/>
        <w:outlineLvl w:val="0"/>
        <w:rPr>
          <w:rFonts w:hint="eastAsia" w:asciiTheme="minorEastAsia" w:hAnsiTheme="minorEastAsia" w:eastAsiaTheme="minorEastAsia" w:cstheme="minorEastAsia"/>
          <w:b/>
          <w:color w:val="auto"/>
          <w:sz w:val="36"/>
          <w:szCs w:val="36"/>
          <w:highlight w:val="none"/>
        </w:rPr>
      </w:pPr>
    </w:p>
    <w:p w14:paraId="4FAAFF65">
      <w:pPr>
        <w:jc w:val="center"/>
        <w:outlineLvl w:val="0"/>
        <w:rPr>
          <w:rFonts w:hint="eastAsia" w:asciiTheme="minorEastAsia" w:hAnsiTheme="minorEastAsia" w:eastAsiaTheme="minorEastAsia" w:cstheme="minorEastAsia"/>
          <w:b/>
          <w:color w:val="auto"/>
          <w:sz w:val="36"/>
          <w:szCs w:val="36"/>
          <w:highlight w:val="none"/>
        </w:rPr>
      </w:pPr>
    </w:p>
    <w:p w14:paraId="502307BF">
      <w:pPr>
        <w:jc w:val="center"/>
        <w:outlineLvl w:val="0"/>
        <w:rPr>
          <w:rFonts w:hint="eastAsia" w:asciiTheme="minorEastAsia" w:hAnsiTheme="minorEastAsia" w:eastAsiaTheme="minorEastAsia" w:cstheme="minorEastAsia"/>
          <w:b/>
          <w:color w:val="auto"/>
          <w:sz w:val="36"/>
          <w:szCs w:val="36"/>
          <w:highlight w:val="none"/>
        </w:rPr>
      </w:pPr>
    </w:p>
    <w:p w14:paraId="210654A4">
      <w:pPr>
        <w:jc w:val="center"/>
        <w:outlineLvl w:val="0"/>
        <w:rPr>
          <w:rFonts w:hint="eastAsia" w:asciiTheme="minorEastAsia" w:hAnsiTheme="minorEastAsia" w:eastAsiaTheme="minorEastAsia" w:cstheme="minorEastAsia"/>
          <w:b/>
          <w:color w:val="auto"/>
          <w:sz w:val="36"/>
          <w:szCs w:val="36"/>
          <w:highlight w:val="none"/>
        </w:rPr>
      </w:pPr>
    </w:p>
    <w:p w14:paraId="1661EA36">
      <w:pPr>
        <w:jc w:val="center"/>
        <w:outlineLvl w:val="0"/>
        <w:rPr>
          <w:rFonts w:hint="eastAsia" w:asciiTheme="minorEastAsia" w:hAnsiTheme="minorEastAsia" w:eastAsiaTheme="minorEastAsia" w:cstheme="minorEastAsia"/>
          <w:b/>
          <w:color w:val="auto"/>
          <w:sz w:val="36"/>
          <w:szCs w:val="36"/>
          <w:highlight w:val="none"/>
        </w:rPr>
      </w:pPr>
    </w:p>
    <w:p w14:paraId="0215DC71">
      <w:pPr>
        <w:jc w:val="center"/>
        <w:outlineLvl w:val="0"/>
        <w:rPr>
          <w:rFonts w:hint="eastAsia" w:asciiTheme="minorEastAsia" w:hAnsiTheme="minorEastAsia" w:eastAsiaTheme="minorEastAsia" w:cstheme="minorEastAsia"/>
          <w:b/>
          <w:color w:val="auto"/>
          <w:sz w:val="36"/>
          <w:szCs w:val="36"/>
          <w:highlight w:val="none"/>
        </w:rPr>
      </w:pPr>
    </w:p>
    <w:p w14:paraId="6655C66E">
      <w:pPr>
        <w:jc w:val="center"/>
        <w:outlineLvl w:val="0"/>
        <w:rPr>
          <w:rFonts w:hint="eastAsia" w:asciiTheme="minorEastAsia" w:hAnsiTheme="minorEastAsia" w:eastAsiaTheme="minorEastAsia" w:cstheme="minorEastAsia"/>
          <w:b/>
          <w:color w:val="auto"/>
          <w:sz w:val="36"/>
          <w:szCs w:val="36"/>
          <w:highlight w:val="none"/>
        </w:rPr>
      </w:pPr>
    </w:p>
    <w:p w14:paraId="2E7BAA40">
      <w:pPr>
        <w:jc w:val="center"/>
        <w:outlineLvl w:val="0"/>
        <w:rPr>
          <w:rFonts w:hint="eastAsia" w:asciiTheme="minorEastAsia" w:hAnsiTheme="minorEastAsia" w:eastAsiaTheme="minorEastAsia" w:cstheme="minorEastAsia"/>
          <w:b/>
          <w:color w:val="auto"/>
          <w:sz w:val="36"/>
          <w:szCs w:val="36"/>
          <w:highlight w:val="none"/>
        </w:rPr>
      </w:pPr>
    </w:p>
    <w:p w14:paraId="0A29F207">
      <w:pPr>
        <w:jc w:val="center"/>
        <w:outlineLvl w:val="0"/>
        <w:rPr>
          <w:rFonts w:hint="eastAsia" w:asciiTheme="minorEastAsia" w:hAnsiTheme="minorEastAsia" w:eastAsiaTheme="minorEastAsia" w:cstheme="minorEastAsia"/>
          <w:b/>
          <w:color w:val="auto"/>
          <w:sz w:val="36"/>
          <w:szCs w:val="36"/>
          <w:highlight w:val="none"/>
        </w:rPr>
      </w:pPr>
      <w:bookmarkStart w:id="160" w:name="_Toc4931"/>
      <w:r>
        <w:rPr>
          <w:rFonts w:hint="eastAsia" w:asciiTheme="minorEastAsia" w:hAnsiTheme="minorEastAsia" w:eastAsiaTheme="minorEastAsia" w:cstheme="minorEastAsia"/>
          <w:b/>
          <w:color w:val="auto"/>
          <w:sz w:val="36"/>
          <w:szCs w:val="36"/>
          <w:highlight w:val="none"/>
        </w:rPr>
        <w:t>第七章 合同条款及格式</w:t>
      </w:r>
      <w:bookmarkEnd w:id="158"/>
      <w:bookmarkEnd w:id="159"/>
      <w:bookmarkEnd w:id="160"/>
    </w:p>
    <w:p w14:paraId="37C09A98">
      <w:pPr>
        <w:spacing w:line="240" w:lineRule="exact"/>
        <w:jc w:val="center"/>
        <w:rPr>
          <w:rFonts w:hint="eastAsia" w:asciiTheme="minorEastAsia" w:hAnsiTheme="minorEastAsia" w:eastAsiaTheme="minorEastAsia" w:cstheme="minorEastAsia"/>
          <w:b/>
          <w:bCs/>
          <w:color w:val="auto"/>
          <w:sz w:val="28"/>
          <w:highlight w:val="none"/>
        </w:rPr>
      </w:pPr>
    </w:p>
    <w:p w14:paraId="5A0408A9">
      <w:pPr>
        <w:autoSpaceDE w:val="0"/>
        <w:autoSpaceDN w:val="0"/>
        <w:adjustRightInd w:val="0"/>
        <w:spacing w:line="560" w:lineRule="exact"/>
        <w:ind w:firstLine="3847"/>
        <w:rPr>
          <w:rFonts w:hint="eastAsia" w:asciiTheme="minorEastAsia" w:hAnsiTheme="minorEastAsia" w:eastAsiaTheme="minorEastAsia" w:cstheme="minorEastAsia"/>
          <w:b/>
          <w:bCs/>
          <w:color w:val="auto"/>
          <w:sz w:val="32"/>
          <w:szCs w:val="32"/>
          <w:highlight w:val="none"/>
          <w:lang w:val="zh-CN"/>
        </w:rPr>
      </w:pPr>
    </w:p>
    <w:p w14:paraId="0862683F">
      <w:pPr>
        <w:autoSpaceDE w:val="0"/>
        <w:autoSpaceDN w:val="0"/>
        <w:adjustRightInd w:val="0"/>
        <w:spacing w:line="560" w:lineRule="exact"/>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color w:val="auto"/>
          <w:sz w:val="24"/>
          <w:szCs w:val="24"/>
          <w:highlight w:val="none"/>
        </w:rPr>
        <w:t>以实际签订为准</w:t>
      </w:r>
    </w:p>
    <w:p w14:paraId="4D51EB84">
      <w:pPr>
        <w:autoSpaceDE w:val="0"/>
        <w:autoSpaceDN w:val="0"/>
        <w:adjustRightInd w:val="0"/>
        <w:spacing w:line="560" w:lineRule="exact"/>
        <w:ind w:firstLine="3847"/>
        <w:rPr>
          <w:rFonts w:hint="eastAsia" w:asciiTheme="minorEastAsia" w:hAnsiTheme="minorEastAsia" w:eastAsiaTheme="minorEastAsia" w:cstheme="minorEastAsia"/>
          <w:b/>
          <w:bCs/>
          <w:color w:val="auto"/>
          <w:sz w:val="32"/>
          <w:szCs w:val="32"/>
          <w:highlight w:val="none"/>
          <w:lang w:val="zh-CN"/>
        </w:rPr>
      </w:pPr>
    </w:p>
    <w:p w14:paraId="3EC4C4AD">
      <w:pPr>
        <w:autoSpaceDE w:val="0"/>
        <w:autoSpaceDN w:val="0"/>
        <w:adjustRightInd w:val="0"/>
        <w:spacing w:line="560" w:lineRule="exact"/>
        <w:ind w:firstLine="3847"/>
        <w:rPr>
          <w:rFonts w:hint="eastAsia" w:asciiTheme="minorEastAsia" w:hAnsiTheme="minorEastAsia" w:eastAsiaTheme="minorEastAsia" w:cstheme="minorEastAsia"/>
          <w:b/>
          <w:bCs/>
          <w:color w:val="auto"/>
          <w:sz w:val="32"/>
          <w:szCs w:val="32"/>
          <w:highlight w:val="none"/>
          <w:lang w:val="zh-CN"/>
        </w:rPr>
      </w:pPr>
    </w:p>
    <w:p w14:paraId="404799F7">
      <w:pPr>
        <w:autoSpaceDE w:val="0"/>
        <w:autoSpaceDN w:val="0"/>
        <w:adjustRightInd w:val="0"/>
        <w:spacing w:line="560" w:lineRule="exact"/>
        <w:ind w:firstLine="3847"/>
        <w:rPr>
          <w:rFonts w:hint="eastAsia" w:asciiTheme="minorEastAsia" w:hAnsiTheme="minorEastAsia" w:eastAsiaTheme="minorEastAsia" w:cstheme="minorEastAsia"/>
          <w:b/>
          <w:bCs/>
          <w:color w:val="auto"/>
          <w:sz w:val="32"/>
          <w:szCs w:val="32"/>
          <w:highlight w:val="none"/>
          <w:lang w:val="zh-CN"/>
        </w:rPr>
      </w:pPr>
    </w:p>
    <w:p w14:paraId="07C78820">
      <w:pPr>
        <w:autoSpaceDE w:val="0"/>
        <w:autoSpaceDN w:val="0"/>
        <w:adjustRightInd w:val="0"/>
        <w:spacing w:line="560" w:lineRule="exact"/>
        <w:ind w:firstLine="3847"/>
        <w:rPr>
          <w:rFonts w:hint="eastAsia" w:asciiTheme="minorEastAsia" w:hAnsiTheme="minorEastAsia" w:eastAsiaTheme="minorEastAsia" w:cstheme="minorEastAsia"/>
          <w:b/>
          <w:bCs/>
          <w:color w:val="auto"/>
          <w:sz w:val="32"/>
          <w:szCs w:val="32"/>
          <w:highlight w:val="none"/>
          <w:lang w:val="zh-CN"/>
        </w:rPr>
      </w:pPr>
    </w:p>
    <w:p w14:paraId="457E5D9F">
      <w:pPr>
        <w:autoSpaceDE w:val="0"/>
        <w:autoSpaceDN w:val="0"/>
        <w:adjustRightInd w:val="0"/>
        <w:spacing w:line="560" w:lineRule="exact"/>
        <w:ind w:firstLine="3847"/>
        <w:rPr>
          <w:rFonts w:hint="eastAsia" w:asciiTheme="minorEastAsia" w:hAnsiTheme="minorEastAsia" w:eastAsiaTheme="minorEastAsia" w:cstheme="minorEastAsia"/>
          <w:b/>
          <w:bCs/>
          <w:color w:val="auto"/>
          <w:sz w:val="32"/>
          <w:szCs w:val="32"/>
          <w:highlight w:val="none"/>
          <w:lang w:val="zh-CN"/>
        </w:rPr>
      </w:pPr>
    </w:p>
    <w:p w14:paraId="022B63DD">
      <w:pPr>
        <w:autoSpaceDE w:val="0"/>
        <w:autoSpaceDN w:val="0"/>
        <w:adjustRightInd w:val="0"/>
        <w:spacing w:line="560" w:lineRule="exact"/>
        <w:ind w:firstLine="3847"/>
        <w:rPr>
          <w:rFonts w:hint="eastAsia" w:asciiTheme="minorEastAsia" w:hAnsiTheme="minorEastAsia" w:eastAsiaTheme="minorEastAsia" w:cstheme="minorEastAsia"/>
          <w:b/>
          <w:bCs/>
          <w:color w:val="auto"/>
          <w:sz w:val="32"/>
          <w:szCs w:val="32"/>
          <w:highlight w:val="none"/>
          <w:lang w:val="zh-CN"/>
        </w:rPr>
      </w:pPr>
    </w:p>
    <w:p w14:paraId="56C6748A">
      <w:pPr>
        <w:autoSpaceDE w:val="0"/>
        <w:autoSpaceDN w:val="0"/>
        <w:adjustRightInd w:val="0"/>
        <w:spacing w:line="560" w:lineRule="exact"/>
        <w:ind w:firstLine="3847"/>
        <w:rPr>
          <w:rFonts w:hint="eastAsia" w:asciiTheme="minorEastAsia" w:hAnsiTheme="minorEastAsia" w:eastAsiaTheme="minorEastAsia" w:cstheme="minorEastAsia"/>
          <w:b/>
          <w:bCs/>
          <w:color w:val="auto"/>
          <w:sz w:val="32"/>
          <w:szCs w:val="32"/>
          <w:highlight w:val="none"/>
          <w:lang w:val="zh-CN"/>
        </w:rPr>
      </w:pPr>
    </w:p>
    <w:p w14:paraId="4155AECC">
      <w:pPr>
        <w:autoSpaceDE w:val="0"/>
        <w:autoSpaceDN w:val="0"/>
        <w:adjustRightInd w:val="0"/>
        <w:spacing w:line="560" w:lineRule="exact"/>
        <w:ind w:firstLine="3847"/>
        <w:rPr>
          <w:rFonts w:hint="eastAsia" w:asciiTheme="minorEastAsia" w:hAnsiTheme="minorEastAsia" w:eastAsiaTheme="minorEastAsia" w:cstheme="minorEastAsia"/>
          <w:b/>
          <w:bCs/>
          <w:color w:val="auto"/>
          <w:sz w:val="32"/>
          <w:szCs w:val="32"/>
          <w:highlight w:val="none"/>
          <w:lang w:val="zh-CN"/>
        </w:rPr>
      </w:pPr>
    </w:p>
    <w:p w14:paraId="313D0309">
      <w:pPr>
        <w:autoSpaceDE w:val="0"/>
        <w:autoSpaceDN w:val="0"/>
        <w:adjustRightInd w:val="0"/>
        <w:spacing w:line="560" w:lineRule="exact"/>
        <w:ind w:firstLine="3847"/>
        <w:rPr>
          <w:rFonts w:hint="eastAsia" w:asciiTheme="minorEastAsia" w:hAnsiTheme="minorEastAsia" w:eastAsiaTheme="minorEastAsia" w:cstheme="minorEastAsia"/>
          <w:b/>
          <w:bCs/>
          <w:color w:val="auto"/>
          <w:sz w:val="32"/>
          <w:szCs w:val="32"/>
          <w:highlight w:val="none"/>
          <w:lang w:val="zh-CN"/>
        </w:rPr>
      </w:pPr>
    </w:p>
    <w:p w14:paraId="70D88A4E">
      <w:pPr>
        <w:autoSpaceDE w:val="0"/>
        <w:autoSpaceDN w:val="0"/>
        <w:adjustRightInd w:val="0"/>
        <w:spacing w:line="560" w:lineRule="exact"/>
        <w:ind w:firstLine="3847"/>
        <w:rPr>
          <w:rFonts w:hint="eastAsia" w:asciiTheme="minorEastAsia" w:hAnsiTheme="minorEastAsia" w:eastAsiaTheme="minorEastAsia" w:cstheme="minorEastAsia"/>
          <w:b/>
          <w:bCs/>
          <w:color w:val="auto"/>
          <w:sz w:val="32"/>
          <w:szCs w:val="32"/>
          <w:highlight w:val="none"/>
          <w:lang w:val="zh-CN"/>
        </w:rPr>
      </w:pPr>
    </w:p>
    <w:p w14:paraId="4A7DF146">
      <w:pPr>
        <w:autoSpaceDE w:val="0"/>
        <w:autoSpaceDN w:val="0"/>
        <w:adjustRightInd w:val="0"/>
        <w:spacing w:line="560" w:lineRule="exact"/>
        <w:ind w:firstLine="3847"/>
        <w:rPr>
          <w:rFonts w:hint="eastAsia" w:asciiTheme="minorEastAsia" w:hAnsiTheme="minorEastAsia" w:eastAsiaTheme="minorEastAsia" w:cstheme="minorEastAsia"/>
          <w:b/>
          <w:bCs/>
          <w:color w:val="auto"/>
          <w:sz w:val="32"/>
          <w:szCs w:val="32"/>
          <w:highlight w:val="none"/>
          <w:lang w:val="zh-CN"/>
        </w:rPr>
      </w:pPr>
    </w:p>
    <w:p w14:paraId="1CBC5EEF">
      <w:pPr>
        <w:autoSpaceDE w:val="0"/>
        <w:autoSpaceDN w:val="0"/>
        <w:adjustRightInd w:val="0"/>
        <w:spacing w:line="560" w:lineRule="exact"/>
        <w:ind w:firstLine="3847"/>
        <w:rPr>
          <w:rFonts w:hint="eastAsia" w:asciiTheme="minorEastAsia" w:hAnsiTheme="minorEastAsia" w:eastAsiaTheme="minorEastAsia" w:cstheme="minorEastAsia"/>
          <w:b/>
          <w:bCs/>
          <w:color w:val="auto"/>
          <w:sz w:val="32"/>
          <w:szCs w:val="32"/>
          <w:highlight w:val="none"/>
          <w:lang w:val="zh-CN"/>
        </w:rPr>
      </w:pPr>
    </w:p>
    <w:p w14:paraId="330F9753">
      <w:pPr>
        <w:autoSpaceDE w:val="0"/>
        <w:autoSpaceDN w:val="0"/>
        <w:adjustRightInd w:val="0"/>
        <w:spacing w:line="560" w:lineRule="exact"/>
        <w:ind w:firstLine="3847"/>
        <w:rPr>
          <w:rFonts w:hint="eastAsia" w:asciiTheme="minorEastAsia" w:hAnsiTheme="minorEastAsia" w:eastAsiaTheme="minorEastAsia" w:cstheme="minorEastAsia"/>
          <w:b/>
          <w:bCs/>
          <w:color w:val="auto"/>
          <w:sz w:val="32"/>
          <w:szCs w:val="32"/>
          <w:highlight w:val="none"/>
          <w:lang w:val="zh-CN"/>
        </w:rPr>
      </w:pPr>
    </w:p>
    <w:p w14:paraId="32F3E8AC">
      <w:pPr>
        <w:autoSpaceDE w:val="0"/>
        <w:autoSpaceDN w:val="0"/>
        <w:adjustRightInd w:val="0"/>
        <w:spacing w:line="560" w:lineRule="exact"/>
        <w:ind w:firstLine="3847"/>
        <w:rPr>
          <w:rFonts w:hint="eastAsia" w:asciiTheme="minorEastAsia" w:hAnsiTheme="minorEastAsia" w:eastAsiaTheme="minorEastAsia" w:cstheme="minorEastAsia"/>
          <w:b/>
          <w:bCs/>
          <w:color w:val="auto"/>
          <w:sz w:val="32"/>
          <w:szCs w:val="32"/>
          <w:highlight w:val="none"/>
          <w:lang w:val="zh-CN"/>
        </w:rPr>
      </w:pPr>
    </w:p>
    <w:p w14:paraId="4B20C752">
      <w:pPr>
        <w:autoSpaceDE w:val="0"/>
        <w:autoSpaceDN w:val="0"/>
        <w:adjustRightInd w:val="0"/>
        <w:spacing w:line="560" w:lineRule="exact"/>
        <w:ind w:firstLine="3847"/>
        <w:rPr>
          <w:rFonts w:hint="eastAsia" w:asciiTheme="minorEastAsia" w:hAnsiTheme="minorEastAsia" w:eastAsiaTheme="minorEastAsia" w:cstheme="minorEastAsia"/>
          <w:b/>
          <w:bCs/>
          <w:color w:val="auto"/>
          <w:sz w:val="32"/>
          <w:szCs w:val="32"/>
          <w:highlight w:val="none"/>
          <w:lang w:val="zh-CN"/>
        </w:rPr>
      </w:pPr>
    </w:p>
    <w:p w14:paraId="12F011A2">
      <w:pPr>
        <w:autoSpaceDE w:val="0"/>
        <w:autoSpaceDN w:val="0"/>
        <w:adjustRightInd w:val="0"/>
        <w:spacing w:line="560" w:lineRule="exact"/>
        <w:ind w:firstLine="3847"/>
        <w:rPr>
          <w:rFonts w:hint="eastAsia" w:asciiTheme="minorEastAsia" w:hAnsiTheme="minorEastAsia" w:eastAsiaTheme="minorEastAsia" w:cstheme="minorEastAsia"/>
          <w:b/>
          <w:bCs/>
          <w:color w:val="auto"/>
          <w:sz w:val="32"/>
          <w:szCs w:val="32"/>
          <w:highlight w:val="none"/>
          <w:lang w:val="zh-CN"/>
        </w:rPr>
      </w:pPr>
    </w:p>
    <w:p w14:paraId="176E47D7">
      <w:pPr>
        <w:autoSpaceDE w:val="0"/>
        <w:autoSpaceDN w:val="0"/>
        <w:adjustRightInd w:val="0"/>
        <w:spacing w:line="560" w:lineRule="exact"/>
        <w:ind w:firstLine="3847"/>
        <w:rPr>
          <w:rFonts w:hint="eastAsia" w:asciiTheme="minorEastAsia" w:hAnsiTheme="minorEastAsia" w:eastAsiaTheme="minorEastAsia" w:cstheme="minorEastAsia"/>
          <w:b/>
          <w:bCs/>
          <w:color w:val="auto"/>
          <w:sz w:val="32"/>
          <w:szCs w:val="32"/>
          <w:highlight w:val="none"/>
          <w:lang w:val="zh-CN"/>
        </w:rPr>
      </w:pPr>
    </w:p>
    <w:p w14:paraId="0F85025C">
      <w:pPr>
        <w:autoSpaceDE w:val="0"/>
        <w:autoSpaceDN w:val="0"/>
        <w:adjustRightInd w:val="0"/>
        <w:spacing w:line="560" w:lineRule="exact"/>
        <w:ind w:firstLine="3847"/>
        <w:rPr>
          <w:rFonts w:hint="eastAsia" w:asciiTheme="minorEastAsia" w:hAnsiTheme="minorEastAsia" w:eastAsiaTheme="minorEastAsia" w:cstheme="minorEastAsia"/>
          <w:b/>
          <w:bCs/>
          <w:color w:val="auto"/>
          <w:sz w:val="32"/>
          <w:szCs w:val="32"/>
          <w:highlight w:val="none"/>
          <w:lang w:val="zh-CN"/>
        </w:rPr>
      </w:pPr>
    </w:p>
    <w:p w14:paraId="6CB0C4C0">
      <w:pPr>
        <w:autoSpaceDE w:val="0"/>
        <w:autoSpaceDN w:val="0"/>
        <w:adjustRightInd w:val="0"/>
        <w:spacing w:line="560" w:lineRule="exact"/>
        <w:ind w:firstLine="3847"/>
        <w:rPr>
          <w:rFonts w:hint="eastAsia" w:asciiTheme="minorEastAsia" w:hAnsiTheme="minorEastAsia" w:eastAsiaTheme="minorEastAsia" w:cstheme="minorEastAsia"/>
          <w:b/>
          <w:bCs/>
          <w:color w:val="auto"/>
          <w:sz w:val="32"/>
          <w:szCs w:val="32"/>
          <w:highlight w:val="none"/>
          <w:lang w:val="zh-CN"/>
        </w:rPr>
      </w:pPr>
    </w:p>
    <w:p w14:paraId="7C0560FC">
      <w:pPr>
        <w:autoSpaceDE w:val="0"/>
        <w:autoSpaceDN w:val="0"/>
        <w:adjustRightInd w:val="0"/>
        <w:spacing w:line="560" w:lineRule="exact"/>
        <w:ind w:firstLine="3847"/>
        <w:rPr>
          <w:rFonts w:hint="eastAsia" w:asciiTheme="minorEastAsia" w:hAnsiTheme="minorEastAsia" w:eastAsiaTheme="minorEastAsia" w:cstheme="minorEastAsia"/>
          <w:b/>
          <w:bCs/>
          <w:color w:val="auto"/>
          <w:sz w:val="32"/>
          <w:szCs w:val="32"/>
          <w:highlight w:val="none"/>
          <w:lang w:val="zh-CN"/>
        </w:rPr>
      </w:pPr>
    </w:p>
    <w:p w14:paraId="5C9C643F">
      <w:pPr>
        <w:autoSpaceDE w:val="0"/>
        <w:autoSpaceDN w:val="0"/>
        <w:adjustRightInd w:val="0"/>
        <w:spacing w:line="560" w:lineRule="exact"/>
        <w:ind w:firstLine="3847"/>
        <w:rPr>
          <w:rFonts w:hint="eastAsia" w:asciiTheme="minorEastAsia" w:hAnsiTheme="minorEastAsia" w:eastAsiaTheme="minorEastAsia" w:cstheme="minorEastAsia"/>
          <w:b/>
          <w:bCs/>
          <w:color w:val="auto"/>
          <w:sz w:val="32"/>
          <w:szCs w:val="32"/>
          <w:highlight w:val="none"/>
          <w:lang w:val="zh-CN"/>
        </w:rPr>
      </w:pPr>
    </w:p>
    <w:p w14:paraId="5BB8A612">
      <w:pPr>
        <w:numPr>
          <w:ilvl w:val="2"/>
          <w:numId w:val="0"/>
        </w:numPr>
        <w:rPr>
          <w:rFonts w:hint="eastAsia" w:asciiTheme="minorEastAsia" w:hAnsiTheme="minorEastAsia" w:eastAsiaTheme="minorEastAsia" w:cstheme="minorEastAsia"/>
          <w:color w:val="auto"/>
          <w:highlight w:val="none"/>
        </w:rPr>
      </w:pPr>
    </w:p>
    <w:p w14:paraId="28F99BAA">
      <w:pPr>
        <w:numPr>
          <w:ilvl w:val="2"/>
          <w:numId w:val="0"/>
        </w:numPr>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政府采购合同条款及格式</w:t>
      </w:r>
    </w:p>
    <w:p w14:paraId="58A6EF7A">
      <w:pPr>
        <w:pStyle w:val="12"/>
        <w:ind w:firstLine="400"/>
        <w:rPr>
          <w:rFonts w:hint="eastAsia" w:asciiTheme="minorEastAsia" w:hAnsiTheme="minorEastAsia" w:eastAsiaTheme="minorEastAsia" w:cstheme="minorEastAsia"/>
          <w:color w:val="auto"/>
          <w:highlight w:val="none"/>
        </w:rPr>
      </w:pPr>
    </w:p>
    <w:p w14:paraId="58E0D661">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合同编号：</w:t>
      </w:r>
    </w:p>
    <w:p w14:paraId="5B75607B">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签订地点： </w:t>
      </w:r>
    </w:p>
    <w:p w14:paraId="50921BE7">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签订日期：</w:t>
      </w:r>
    </w:p>
    <w:p w14:paraId="172F3F7D">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采购任务编号：</w:t>
      </w:r>
    </w:p>
    <w:p w14:paraId="0D57F25C">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（需方）需求的“</w:t>
      </w:r>
      <w:r>
        <w:rPr>
          <w:rFonts w:hint="eastAsia" w:asciiTheme="minorEastAsia" w:hAnsiTheme="minorEastAsia" w:eastAsiaTheme="minorEastAsia" w:cstheme="minorEastAsia"/>
          <w:bCs/>
          <w:color w:val="auto"/>
          <w:sz w:val="21"/>
          <w:szCs w:val="21"/>
          <w:highlight w:val="none"/>
          <w:u w:val="single"/>
        </w:rPr>
        <w:t xml:space="preserve">             ”</w:t>
      </w:r>
      <w:r>
        <w:rPr>
          <w:rFonts w:hint="eastAsia" w:asciiTheme="minorEastAsia" w:hAnsiTheme="minorEastAsia" w:eastAsiaTheme="minorEastAsia" w:cstheme="minorEastAsia"/>
          <w:bCs/>
          <w:color w:val="auto"/>
          <w:sz w:val="21"/>
          <w:szCs w:val="21"/>
          <w:highlight w:val="none"/>
        </w:rPr>
        <w:t>（货物名称）经        以编号为 的招标文件在国内公开招标，经评标委员会评定（供方）（包号）为中标单位。供需双方按照《中华人民共和国合同法》和有关法律法规，遵循平等、自愿、公平和诚实信用原则，同意按照下面的条款和条件订立本合同，共同信守。</w:t>
      </w:r>
    </w:p>
    <w:p w14:paraId="09E1A862">
      <w:pP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 xml:space="preserve">一、货物名称、品牌、规格、数量 </w:t>
      </w:r>
    </w:p>
    <w:tbl>
      <w:tblPr>
        <w:tblStyle w:val="45"/>
        <w:tblW w:w="9384"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48"/>
        <w:gridCol w:w="1152"/>
        <w:gridCol w:w="2520"/>
        <w:gridCol w:w="900"/>
        <w:gridCol w:w="1260"/>
        <w:gridCol w:w="2004"/>
      </w:tblGrid>
      <w:tr w14:paraId="0A4A27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14:paraId="0479F19E">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货物名称</w:t>
            </w:r>
          </w:p>
        </w:tc>
        <w:tc>
          <w:tcPr>
            <w:tcW w:w="1152" w:type="dxa"/>
            <w:vAlign w:val="center"/>
          </w:tcPr>
          <w:p w14:paraId="1D929863">
            <w:pPr>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品牌</w:t>
            </w:r>
          </w:p>
        </w:tc>
        <w:tc>
          <w:tcPr>
            <w:tcW w:w="2520" w:type="dxa"/>
            <w:vAlign w:val="center"/>
          </w:tcPr>
          <w:p w14:paraId="08B6C7E9">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规格型号及配置</w:t>
            </w:r>
          </w:p>
        </w:tc>
        <w:tc>
          <w:tcPr>
            <w:tcW w:w="900" w:type="dxa"/>
            <w:vAlign w:val="center"/>
          </w:tcPr>
          <w:p w14:paraId="75A09CC1">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数量</w:t>
            </w:r>
          </w:p>
        </w:tc>
        <w:tc>
          <w:tcPr>
            <w:tcW w:w="1260" w:type="dxa"/>
            <w:vAlign w:val="center"/>
          </w:tcPr>
          <w:p w14:paraId="51BE1FCA">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单价(元)</w:t>
            </w:r>
          </w:p>
        </w:tc>
        <w:tc>
          <w:tcPr>
            <w:tcW w:w="2004" w:type="dxa"/>
            <w:vAlign w:val="center"/>
          </w:tcPr>
          <w:p w14:paraId="2207E875">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小计金额(元)</w:t>
            </w:r>
          </w:p>
        </w:tc>
      </w:tr>
      <w:tr w14:paraId="09436C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14:paraId="339254D3">
            <w:pPr>
              <w:spacing w:line="360" w:lineRule="auto"/>
              <w:jc w:val="center"/>
              <w:rPr>
                <w:rFonts w:hint="eastAsia" w:asciiTheme="minorEastAsia" w:hAnsiTheme="minorEastAsia" w:eastAsiaTheme="minorEastAsia" w:cstheme="minorEastAsia"/>
                <w:color w:val="auto"/>
                <w:sz w:val="21"/>
                <w:szCs w:val="21"/>
                <w:highlight w:val="none"/>
              </w:rPr>
            </w:pPr>
          </w:p>
        </w:tc>
        <w:tc>
          <w:tcPr>
            <w:tcW w:w="1152" w:type="dxa"/>
            <w:vAlign w:val="center"/>
          </w:tcPr>
          <w:p w14:paraId="450FE562">
            <w:pPr>
              <w:spacing w:line="360" w:lineRule="auto"/>
              <w:jc w:val="center"/>
              <w:rPr>
                <w:rFonts w:hint="eastAsia" w:asciiTheme="minorEastAsia" w:hAnsiTheme="minorEastAsia" w:eastAsiaTheme="minorEastAsia" w:cstheme="minorEastAsia"/>
                <w:color w:val="auto"/>
                <w:sz w:val="21"/>
                <w:szCs w:val="21"/>
                <w:highlight w:val="none"/>
              </w:rPr>
            </w:pPr>
          </w:p>
        </w:tc>
        <w:tc>
          <w:tcPr>
            <w:tcW w:w="2520" w:type="dxa"/>
            <w:vAlign w:val="center"/>
          </w:tcPr>
          <w:p w14:paraId="36E022EC">
            <w:pPr>
              <w:spacing w:line="360" w:lineRule="auto"/>
              <w:jc w:val="center"/>
              <w:rPr>
                <w:rFonts w:hint="eastAsia" w:asciiTheme="minorEastAsia" w:hAnsiTheme="minorEastAsia" w:eastAsiaTheme="minorEastAsia" w:cstheme="minorEastAsia"/>
                <w:color w:val="auto"/>
                <w:sz w:val="21"/>
                <w:szCs w:val="21"/>
                <w:highlight w:val="none"/>
              </w:rPr>
            </w:pPr>
          </w:p>
        </w:tc>
        <w:tc>
          <w:tcPr>
            <w:tcW w:w="900" w:type="dxa"/>
            <w:vAlign w:val="center"/>
          </w:tcPr>
          <w:p w14:paraId="3C8DBACD">
            <w:pPr>
              <w:spacing w:line="360" w:lineRule="auto"/>
              <w:jc w:val="center"/>
              <w:rPr>
                <w:rFonts w:hint="eastAsia" w:asciiTheme="minorEastAsia" w:hAnsiTheme="minorEastAsia" w:eastAsiaTheme="minorEastAsia" w:cstheme="minorEastAsia"/>
                <w:color w:val="auto"/>
                <w:sz w:val="21"/>
                <w:szCs w:val="21"/>
                <w:highlight w:val="none"/>
              </w:rPr>
            </w:pPr>
          </w:p>
        </w:tc>
        <w:tc>
          <w:tcPr>
            <w:tcW w:w="1260" w:type="dxa"/>
            <w:vAlign w:val="center"/>
          </w:tcPr>
          <w:p w14:paraId="0E2210F7">
            <w:pPr>
              <w:spacing w:line="360" w:lineRule="auto"/>
              <w:jc w:val="center"/>
              <w:rPr>
                <w:rFonts w:hint="eastAsia" w:asciiTheme="minorEastAsia" w:hAnsiTheme="minorEastAsia" w:eastAsiaTheme="minorEastAsia" w:cstheme="minorEastAsia"/>
                <w:color w:val="auto"/>
                <w:sz w:val="21"/>
                <w:szCs w:val="21"/>
                <w:highlight w:val="none"/>
              </w:rPr>
            </w:pPr>
          </w:p>
        </w:tc>
        <w:tc>
          <w:tcPr>
            <w:tcW w:w="2004" w:type="dxa"/>
            <w:vAlign w:val="center"/>
          </w:tcPr>
          <w:p w14:paraId="2AEBC454">
            <w:pPr>
              <w:spacing w:line="360" w:lineRule="auto"/>
              <w:jc w:val="center"/>
              <w:rPr>
                <w:rFonts w:hint="eastAsia" w:asciiTheme="minorEastAsia" w:hAnsiTheme="minorEastAsia" w:eastAsiaTheme="minorEastAsia" w:cstheme="minorEastAsia"/>
                <w:color w:val="auto"/>
                <w:sz w:val="21"/>
                <w:szCs w:val="21"/>
                <w:highlight w:val="none"/>
              </w:rPr>
            </w:pPr>
          </w:p>
        </w:tc>
      </w:tr>
      <w:tr w14:paraId="4FC018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14:paraId="30D8D105">
            <w:pPr>
              <w:spacing w:line="360" w:lineRule="auto"/>
              <w:jc w:val="center"/>
              <w:rPr>
                <w:rFonts w:hint="eastAsia" w:asciiTheme="minorEastAsia" w:hAnsiTheme="minorEastAsia" w:eastAsiaTheme="minorEastAsia" w:cstheme="minorEastAsia"/>
                <w:color w:val="auto"/>
                <w:sz w:val="21"/>
                <w:szCs w:val="21"/>
                <w:highlight w:val="none"/>
              </w:rPr>
            </w:pPr>
          </w:p>
        </w:tc>
        <w:tc>
          <w:tcPr>
            <w:tcW w:w="1152" w:type="dxa"/>
            <w:vAlign w:val="center"/>
          </w:tcPr>
          <w:p w14:paraId="480DC26A">
            <w:pPr>
              <w:spacing w:line="360" w:lineRule="auto"/>
              <w:jc w:val="center"/>
              <w:rPr>
                <w:rFonts w:hint="eastAsia" w:asciiTheme="minorEastAsia" w:hAnsiTheme="minorEastAsia" w:eastAsiaTheme="minorEastAsia" w:cstheme="minorEastAsia"/>
                <w:color w:val="auto"/>
                <w:sz w:val="21"/>
                <w:szCs w:val="21"/>
                <w:highlight w:val="none"/>
              </w:rPr>
            </w:pPr>
          </w:p>
        </w:tc>
        <w:tc>
          <w:tcPr>
            <w:tcW w:w="2520" w:type="dxa"/>
            <w:vAlign w:val="center"/>
          </w:tcPr>
          <w:p w14:paraId="7E18D598">
            <w:pPr>
              <w:spacing w:line="360" w:lineRule="auto"/>
              <w:jc w:val="center"/>
              <w:rPr>
                <w:rFonts w:hint="eastAsia" w:asciiTheme="minorEastAsia" w:hAnsiTheme="minorEastAsia" w:eastAsiaTheme="minorEastAsia" w:cstheme="minorEastAsia"/>
                <w:color w:val="auto"/>
                <w:sz w:val="21"/>
                <w:szCs w:val="21"/>
                <w:highlight w:val="none"/>
              </w:rPr>
            </w:pPr>
          </w:p>
        </w:tc>
        <w:tc>
          <w:tcPr>
            <w:tcW w:w="900" w:type="dxa"/>
            <w:vAlign w:val="center"/>
          </w:tcPr>
          <w:p w14:paraId="48BDE44A">
            <w:pPr>
              <w:spacing w:line="360" w:lineRule="auto"/>
              <w:jc w:val="center"/>
              <w:rPr>
                <w:rFonts w:hint="eastAsia" w:asciiTheme="minorEastAsia" w:hAnsiTheme="minorEastAsia" w:eastAsiaTheme="minorEastAsia" w:cstheme="minorEastAsia"/>
                <w:color w:val="auto"/>
                <w:sz w:val="21"/>
                <w:szCs w:val="21"/>
                <w:highlight w:val="none"/>
              </w:rPr>
            </w:pPr>
          </w:p>
        </w:tc>
        <w:tc>
          <w:tcPr>
            <w:tcW w:w="1260" w:type="dxa"/>
            <w:vAlign w:val="center"/>
          </w:tcPr>
          <w:p w14:paraId="7884DE0F">
            <w:pPr>
              <w:spacing w:line="360" w:lineRule="auto"/>
              <w:jc w:val="center"/>
              <w:rPr>
                <w:rFonts w:hint="eastAsia" w:asciiTheme="minorEastAsia" w:hAnsiTheme="minorEastAsia" w:eastAsiaTheme="minorEastAsia" w:cstheme="minorEastAsia"/>
                <w:color w:val="auto"/>
                <w:sz w:val="21"/>
                <w:szCs w:val="21"/>
                <w:highlight w:val="none"/>
              </w:rPr>
            </w:pPr>
          </w:p>
        </w:tc>
        <w:tc>
          <w:tcPr>
            <w:tcW w:w="2004" w:type="dxa"/>
            <w:vAlign w:val="center"/>
          </w:tcPr>
          <w:p w14:paraId="556727E9">
            <w:pPr>
              <w:spacing w:line="360" w:lineRule="auto"/>
              <w:jc w:val="center"/>
              <w:rPr>
                <w:rFonts w:hint="eastAsia" w:asciiTheme="minorEastAsia" w:hAnsiTheme="minorEastAsia" w:eastAsiaTheme="minorEastAsia" w:cstheme="minorEastAsia"/>
                <w:color w:val="auto"/>
                <w:sz w:val="21"/>
                <w:szCs w:val="21"/>
                <w:highlight w:val="none"/>
              </w:rPr>
            </w:pPr>
          </w:p>
        </w:tc>
      </w:tr>
      <w:tr w14:paraId="174D9C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548" w:type="dxa"/>
            <w:vAlign w:val="center"/>
          </w:tcPr>
          <w:p w14:paraId="70D8BDEF">
            <w:pPr>
              <w:spacing w:line="360" w:lineRule="auto"/>
              <w:jc w:val="center"/>
              <w:rPr>
                <w:rFonts w:hint="eastAsia" w:asciiTheme="minorEastAsia" w:hAnsiTheme="minorEastAsia" w:eastAsiaTheme="minorEastAsia" w:cstheme="minorEastAsia"/>
                <w:color w:val="auto"/>
                <w:sz w:val="21"/>
                <w:szCs w:val="21"/>
                <w:highlight w:val="none"/>
              </w:rPr>
            </w:pPr>
          </w:p>
        </w:tc>
        <w:tc>
          <w:tcPr>
            <w:tcW w:w="1152" w:type="dxa"/>
            <w:vAlign w:val="center"/>
          </w:tcPr>
          <w:p w14:paraId="76A19DFC">
            <w:pPr>
              <w:spacing w:line="360" w:lineRule="auto"/>
              <w:jc w:val="center"/>
              <w:rPr>
                <w:rFonts w:hint="eastAsia" w:asciiTheme="minorEastAsia" w:hAnsiTheme="minorEastAsia" w:eastAsiaTheme="minorEastAsia" w:cstheme="minorEastAsia"/>
                <w:color w:val="auto"/>
                <w:sz w:val="21"/>
                <w:szCs w:val="21"/>
                <w:highlight w:val="none"/>
              </w:rPr>
            </w:pPr>
          </w:p>
        </w:tc>
        <w:tc>
          <w:tcPr>
            <w:tcW w:w="2520" w:type="dxa"/>
            <w:vAlign w:val="center"/>
          </w:tcPr>
          <w:p w14:paraId="366655F0">
            <w:pPr>
              <w:spacing w:line="360" w:lineRule="auto"/>
              <w:jc w:val="center"/>
              <w:rPr>
                <w:rFonts w:hint="eastAsia" w:asciiTheme="minorEastAsia" w:hAnsiTheme="minorEastAsia" w:eastAsiaTheme="minorEastAsia" w:cstheme="minorEastAsia"/>
                <w:color w:val="auto"/>
                <w:sz w:val="21"/>
                <w:szCs w:val="21"/>
                <w:highlight w:val="none"/>
              </w:rPr>
            </w:pPr>
          </w:p>
        </w:tc>
        <w:tc>
          <w:tcPr>
            <w:tcW w:w="900" w:type="dxa"/>
            <w:vAlign w:val="center"/>
          </w:tcPr>
          <w:p w14:paraId="7FA9C6F2">
            <w:pPr>
              <w:spacing w:line="360" w:lineRule="auto"/>
              <w:jc w:val="center"/>
              <w:rPr>
                <w:rFonts w:hint="eastAsia" w:asciiTheme="minorEastAsia" w:hAnsiTheme="minorEastAsia" w:eastAsiaTheme="minorEastAsia" w:cstheme="minorEastAsia"/>
                <w:color w:val="auto"/>
                <w:sz w:val="21"/>
                <w:szCs w:val="21"/>
                <w:highlight w:val="none"/>
              </w:rPr>
            </w:pPr>
          </w:p>
        </w:tc>
        <w:tc>
          <w:tcPr>
            <w:tcW w:w="1260" w:type="dxa"/>
            <w:vAlign w:val="center"/>
          </w:tcPr>
          <w:p w14:paraId="041C697C">
            <w:pPr>
              <w:spacing w:line="360" w:lineRule="auto"/>
              <w:jc w:val="center"/>
              <w:rPr>
                <w:rFonts w:hint="eastAsia" w:asciiTheme="minorEastAsia" w:hAnsiTheme="minorEastAsia" w:eastAsiaTheme="minorEastAsia" w:cstheme="minorEastAsia"/>
                <w:color w:val="auto"/>
                <w:sz w:val="21"/>
                <w:szCs w:val="21"/>
                <w:highlight w:val="none"/>
              </w:rPr>
            </w:pPr>
          </w:p>
        </w:tc>
        <w:tc>
          <w:tcPr>
            <w:tcW w:w="2004" w:type="dxa"/>
            <w:vAlign w:val="center"/>
          </w:tcPr>
          <w:p w14:paraId="0F22F5B0">
            <w:pPr>
              <w:spacing w:line="360" w:lineRule="auto"/>
              <w:jc w:val="center"/>
              <w:rPr>
                <w:rFonts w:hint="eastAsia" w:asciiTheme="minorEastAsia" w:hAnsiTheme="minorEastAsia" w:eastAsiaTheme="minorEastAsia" w:cstheme="minorEastAsia"/>
                <w:color w:val="auto"/>
                <w:sz w:val="21"/>
                <w:szCs w:val="21"/>
                <w:highlight w:val="none"/>
              </w:rPr>
            </w:pPr>
          </w:p>
        </w:tc>
      </w:tr>
    </w:tbl>
    <w:p w14:paraId="3A636545">
      <w:pP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二、合同价款</w:t>
      </w:r>
    </w:p>
    <w:p w14:paraId="233FFEA3">
      <w:pPr>
        <w:spacing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2.1合同总价：人民币（大写）              元，（小写）            元。</w:t>
      </w:r>
    </w:p>
    <w:p w14:paraId="027924E7">
      <w:pP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三、交货地点及交货时间</w:t>
      </w:r>
    </w:p>
    <w:p w14:paraId="709090E5">
      <w:pPr>
        <w:spacing w:line="360" w:lineRule="auto"/>
        <w:ind w:firstLine="420" w:firstLineChars="200"/>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3.1交货地点</w:t>
      </w:r>
      <w:r>
        <w:rPr>
          <w:rFonts w:hint="eastAsia" w:asciiTheme="minorEastAsia" w:hAnsiTheme="minorEastAsia" w:eastAsiaTheme="minorEastAsia" w:cstheme="minorEastAsia"/>
          <w:b/>
          <w:color w:val="auto"/>
          <w:sz w:val="21"/>
          <w:szCs w:val="21"/>
          <w:highlight w:val="none"/>
          <w:u w:val="single"/>
        </w:rPr>
        <w:t>：</w:t>
      </w:r>
    </w:p>
    <w:p w14:paraId="1F025399">
      <w:pPr>
        <w:spacing w:line="360" w:lineRule="auto"/>
        <w:ind w:left="456" w:leftChars="228"/>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3.2交货时间：</w:t>
      </w:r>
      <w:r>
        <w:rPr>
          <w:rFonts w:hint="eastAsia" w:asciiTheme="minorEastAsia" w:hAnsiTheme="minorEastAsia" w:eastAsiaTheme="minorEastAsia" w:cstheme="minorEastAsia"/>
          <w:b/>
          <w:color w:val="auto"/>
          <w:sz w:val="21"/>
          <w:szCs w:val="21"/>
          <w:highlight w:val="none"/>
          <w:u w:val="single"/>
        </w:rPr>
        <w:t>按合同约定执行。</w:t>
      </w:r>
    </w:p>
    <w:p w14:paraId="0F3E75BE">
      <w:pPr>
        <w:spacing w:line="360" w:lineRule="auto"/>
        <w:ind w:left="456" w:leftChars="228"/>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 xml:space="preserve">四、付款 </w:t>
      </w:r>
    </w:p>
    <w:p w14:paraId="0E9CD790">
      <w:pPr>
        <w:spacing w:line="360" w:lineRule="auto"/>
        <w:ind w:left="456" w:leftChars="228"/>
        <w:rPr>
          <w:rFonts w:hint="eastAsia"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按合同约定执行。</w:t>
      </w:r>
    </w:p>
    <w:p w14:paraId="72FED402">
      <w:pPr>
        <w:spacing w:line="360" w:lineRule="auto"/>
        <w:ind w:left="472"/>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五、施工</w:t>
      </w:r>
    </w:p>
    <w:p w14:paraId="6C6E04B2">
      <w:pP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六、验收（严格执行国家相关标准）</w:t>
      </w:r>
    </w:p>
    <w:p w14:paraId="10F17F66">
      <w:pP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七、知识产权及有关规定</w:t>
      </w:r>
    </w:p>
    <w:p w14:paraId="0C92546E">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7.1 供方应保证需方在使用本合同项下的货物或其任何一部分时免受第三方提出侵犯其知识产权、商标权或工业设计权的起诉。如果发生此类问题，供方应负责交涉并承担一切费用和责任。</w:t>
      </w:r>
    </w:p>
    <w:p w14:paraId="4A956657">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7.2 供方应保证所供货物符合国家的有关规定。</w:t>
      </w:r>
    </w:p>
    <w:p w14:paraId="20B786EC">
      <w:pP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八、伴随服务</w:t>
      </w:r>
    </w:p>
    <w:p w14:paraId="1DF9441D">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8.1供方应提供所交付货物的全套技术文件资料，包括产品目录、图纸、操作手册、使用说明、维护手册和服务指南等。</w:t>
      </w:r>
    </w:p>
    <w:p w14:paraId="4EE0F617">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8.2供方还应提供下列服务：货物的运输、集成和试运行；提供货物组装和维修所需的工具；在质量保证期内对所交付货物提供运行监督、维修、保养等；在制造厂家和/或在项目现场就货物的安装调试、运行、维护等对需方人员进行培训。</w:t>
      </w:r>
    </w:p>
    <w:p w14:paraId="2E27DB89">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8.3上述伴随服务的费用应包含在合同价中，不单独进行支付。</w:t>
      </w:r>
    </w:p>
    <w:p w14:paraId="367DE038">
      <w:pP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九、质量保证期及售后服务</w:t>
      </w:r>
    </w:p>
    <w:p w14:paraId="7FB80CCD">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9.1质量保证期及售后服务：详见供方在投标文件中提交的售后服务承诺书和制造厂商的有关文件，如果上述文件有不一致之处，以对需方有利的为准。</w:t>
      </w:r>
    </w:p>
    <w:p w14:paraId="41D09443">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9.2质保期：1年。</w:t>
      </w:r>
    </w:p>
    <w:p w14:paraId="6F29CB10">
      <w:pP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十、质量保证</w:t>
      </w:r>
    </w:p>
    <w:p w14:paraId="76E85878">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10.1 供方应保证所提供的货物是原制造厂商制造的、经过合法销售渠道取得的、全新的、未使用过的，并完全符合合同规定的品牌、规格型号、技术性能、配置、质量、数量等要求。供方应保证其所提供的货物在正常使用和保养条件下，在其使用寿命期内具有满意的性能。在货物最终验收合格交付后不少于本合同第八条约定的质量保证期内，供方应对其交付的货物由于设计、工艺或材料的缺陷而产生的故障负责。</w:t>
      </w:r>
    </w:p>
    <w:p w14:paraId="21C1DB93">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10.2 在质量保证期内，如果货物的规格型号、技术性能、原产地及制造厂商以及其他质量技术指标与合同约定不符，或证实货物是有缺陷的，包括潜在的缺陷或使用不符合要求的材料等，需方应尽快以书面形式向供方提出本保证下的索赔。</w:t>
      </w:r>
    </w:p>
    <w:p w14:paraId="69EC6721">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10.3在质量保证期内，供方在接到需方的通知后，应在本合同第八条约定的响应时间内,免费维修和/或更换有缺陷的货物或部件。</w:t>
      </w:r>
    </w:p>
    <w:p w14:paraId="3F8E8BA4">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10.4 如果供方在接到需方通知后，在本合同第八条约定的响应时间内没有弥补缺陷，需方可采取必要的补救措施，但其风险和费用将由供方负担，并且需方根据合同规定对供方行使的其他权利不受影响。</w:t>
      </w:r>
    </w:p>
    <w:p w14:paraId="5509B1AA">
      <w:pP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十一、索赔</w:t>
      </w:r>
    </w:p>
    <w:p w14:paraId="0F4AAE59">
      <w:pPr>
        <w:spacing w:line="360" w:lineRule="auto"/>
        <w:ind w:firstLine="57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11.1需方有权根据当地国家技术监督局、进出口商品检验局或其他具有法定资格的质检机构出具的检验证书向供方提出索赔。</w:t>
      </w:r>
    </w:p>
    <w:p w14:paraId="1787CB7C">
      <w:pPr>
        <w:spacing w:line="360" w:lineRule="auto"/>
        <w:ind w:firstLine="57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11.2如果供方对缺陷负有责任而需方提出索赔，供方应按照需方同意的下列一种或多种方式解决索赔事宜：</w:t>
      </w:r>
    </w:p>
    <w:p w14:paraId="25923BAC">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（1）供方同意退货并用合同规定的货币将货款退还给需方，并承担由此发生的一切损失和费用，包括利息、银行手续费、运费、保险费、检验费、仓储费、装卸费以及为保护退回货物所需的其他必要费用。</w:t>
      </w:r>
    </w:p>
    <w:p w14:paraId="3FBF1E25">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（2）根据货物低劣、损坏程度以及需方所遭受损失的金额，经过供需双方商定降低货物的价格。</w:t>
      </w:r>
    </w:p>
    <w:p w14:paraId="2D3595E9">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用符合合同规定的规格、质量和性能要求的新零件、部件和／或设备来更换有缺陷的部分和／或修补缺陷部分，供方应承担一切费用和风险，并负担需方蒙受的全部直接损失。供方应同时按合同第八条的规定，相应延长修补和／或更换件的质量保证期。</w:t>
      </w:r>
    </w:p>
    <w:p w14:paraId="3CE7BDF9">
      <w:pPr>
        <w:spacing w:line="360" w:lineRule="auto"/>
        <w:ind w:firstLine="57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11.3如果在需方发出索赔通知后十天内，供方未作答复，上述索赔应视为已被供方接受。如供方未能在接到需方索赔通知后十天内或需方同意的延长期限内，按照本合同第10.2条规定的任何一种或多种方式解决索赔事宜并征得需方同意，需方有权通过采购方从应付货款或从供方提交的履约保证金中扣回索赔金额，并拥有对赔偿不足部分进一步索赔的权利。</w:t>
      </w:r>
    </w:p>
    <w:p w14:paraId="5F819E2E">
      <w:pP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十二、供方履约延误</w:t>
      </w:r>
    </w:p>
    <w:p w14:paraId="37415CA3">
      <w:pPr>
        <w:spacing w:line="360" w:lineRule="auto"/>
        <w:ind w:firstLine="57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12.1 供方应按照合同规定的时间、地点交货和提供服务。</w:t>
      </w:r>
    </w:p>
    <w:p w14:paraId="3A9132DE">
      <w:pPr>
        <w:spacing w:line="360" w:lineRule="auto"/>
        <w:ind w:firstLine="57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12.2 如供方无正当理由拖延交货或不按投标文件提供服务，将受到以下制裁：没收履约保证金、加收误期赔偿和／或违约终止合同。</w:t>
      </w:r>
    </w:p>
    <w:p w14:paraId="41FB86C5">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12.3 在履行合同过程中，如果供方遇到可能妨碍其按时交货和提供服务的情况，应及时以书面形式将拖延的事实，可能拖延的期限和理由通知需方。需方在收到供方通知后，应尽快对情况进行评价，并确定是否通过修改合同，酌情延长交货时间和/或延期提供服务，或者终止合同。</w:t>
      </w:r>
    </w:p>
    <w:p w14:paraId="1C56B5D8">
      <w:pP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十三、误期赔偿</w:t>
      </w:r>
    </w:p>
    <w:p w14:paraId="503F279A">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13.1除合同第14条规定外，如果供方没有按照合同规定的时间交货和提供服务，供方应向需方支付误期赔偿费。误期赔偿费每天按迟交货物的交货价或延期服务的服务费用的百分之一（1%）计收，直至交货或提供服务为止。一天按24小时计算，不足一天按一一天计算。但误期赔偿费的最高限额不超过合同价的百分之五（5%）。</w:t>
      </w:r>
    </w:p>
    <w:p w14:paraId="2C00B5E4">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13.2误期赔偿费可从应付货款和/或履约保证金中扣除。</w:t>
      </w:r>
    </w:p>
    <w:p w14:paraId="2F816107">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13.3收取误期赔偿费不影响需方采取合同规定的其他补救措施的权利。</w:t>
      </w:r>
    </w:p>
    <w:p w14:paraId="2BDBA4C2">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13.4供方如未能按本合同第九条规定进行售后服务，在收到需方县级远程办书面故障处理通知之日起一个月内仍未能解决故障，需方将按出现故障设备供货价格扣除质量保证金。</w:t>
      </w:r>
    </w:p>
    <w:p w14:paraId="39E8D9B4">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13.5在收取误期赔偿费期间，需方有权决定是否终止合同。</w:t>
      </w:r>
    </w:p>
    <w:p w14:paraId="0F9A7F85">
      <w:pPr>
        <w:widowControl w:val="0"/>
        <w:numPr>
          <w:ilvl w:val="0"/>
          <w:numId w:val="9"/>
        </w:numPr>
        <w:spacing w:line="360" w:lineRule="auto"/>
        <w:ind w:firstLine="422" w:firstLineChars="20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履约保证金及质量保证金（按合同约定执行）</w:t>
      </w:r>
    </w:p>
    <w:p w14:paraId="3952E312">
      <w:pP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十五、不可抗力</w:t>
      </w:r>
    </w:p>
    <w:p w14:paraId="5A2E22F9">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15.1 如果供需双方因不可抗力而导致合同实施延误或不能履行合同义务，不应该承担误期赔偿或不能履行合同义务的责任。</w:t>
      </w:r>
    </w:p>
    <w:p w14:paraId="4C176AFF">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15.2 本条所述的“不可抗力”系指那些双方无法控制，不可预见的事件，但不包括供需双方的违约或疏忽。这些事件包括但不限于：战争、严重火灾、洪水、台风、地震以及其它供需双方商定的事件(供需双方认定国家政策重大变化属不可抗力)。</w:t>
      </w:r>
    </w:p>
    <w:p w14:paraId="47A836DC">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15.3 在不可抗力事件发生后，当事方应尽快以书面形式将不可抗力的情况和原因通知对方。供需双方应尽实际可能继续履行合同义务，并积极寻求采取合理的方案履行不受不可抗力影响的其他事项。供需双方应通过友好协商在合理的时间内达成进一步履行合同的协议。</w:t>
      </w:r>
    </w:p>
    <w:p w14:paraId="378483CC">
      <w:pP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十六、税费</w:t>
      </w:r>
    </w:p>
    <w:p w14:paraId="79BF058B">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16.1 根据现行法律规定对需方征收的与本合同有关的一切税费均由需方负担。</w:t>
      </w:r>
    </w:p>
    <w:p w14:paraId="0D2C3FCA">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16.2 根据现行法律规定对供方征收的与本合同有关的一切税费均由供方负担。</w:t>
      </w:r>
    </w:p>
    <w:p w14:paraId="12169862">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16.3 在中国境外发生的与执行本合同有关的一切税费均由供方负担。</w:t>
      </w:r>
    </w:p>
    <w:p w14:paraId="15F5635E">
      <w:pP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十七、争端的解决</w:t>
      </w:r>
    </w:p>
    <w:p w14:paraId="1FB307C0">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17.1 供需双方应通过友好协商，解决在执行本合同过程中所发生的或与本合同有关的一切争端。如从协商开始十（10）天内仍不能解决，可以向有关合同管理部门提请调解。</w:t>
      </w:r>
    </w:p>
    <w:p w14:paraId="18955034">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17.2 如果调解不成，供需双方的任何一方可以向人民法院提起诉讼。诉讼由合同签订地人民法院管辖。</w:t>
      </w:r>
    </w:p>
    <w:p w14:paraId="20AC8E06">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17.3诉讼费除法院另有裁决外均由败诉方负担。</w:t>
      </w:r>
    </w:p>
    <w:p w14:paraId="48F9CD9F">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17.4在诉讼期间，除正在进行诉讼的部分外，本合同的其它部分应继续执行。</w:t>
      </w:r>
    </w:p>
    <w:p w14:paraId="1AC4D761">
      <w:pP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十八、违约终止合同</w:t>
      </w:r>
    </w:p>
    <w:p w14:paraId="4A37ABE2">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18.1 在需方因供方违约而按合同约定采取的任何补救措施不受影响的情况下，需方可在下列情况下向供方发出书面通知，提出终止部分或全部合同。</w:t>
      </w:r>
    </w:p>
    <w:p w14:paraId="035FC05E">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（1）如果供方未能在合同规定的限期或需方同意延长的限期内提供部分或全部货物和服务。</w:t>
      </w:r>
    </w:p>
    <w:p w14:paraId="30D93B37">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（2）如果供方未能履行合同规定的其它任何义务。</w:t>
      </w:r>
    </w:p>
    <w:p w14:paraId="404F65A2">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3）如果需方认为供方在本合同的竞争或实施中有腐败和欺诈行为。为此，定义如下：“腐败行为”是指提供、给予、接受或索取任何有价值的东西来影响采购人员在采购过程或合同实施过程中的行为；“欺诈行为”是指为了影响采购过程或合同实施过程而谎报事实，损害采购人的利益，包括供货单位之间串通，人为地使供货活动丧失竞争性，损害采购人所能获得的权益。</w:t>
      </w:r>
    </w:p>
    <w:p w14:paraId="7B1FBB43">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18.2 如果需方根据上述第18.1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5F9B9854">
      <w:pP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十九、破产终止合同</w:t>
      </w:r>
    </w:p>
    <w:p w14:paraId="449D4AAB">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19.1 如果供方破产或丧失清偿能力，需方可在任何时候以书面形式通知供方终止合同而不给供方补偿。该终止合同将不损害或影响需方已经采取或将要采取任何补救措施的权力。</w:t>
      </w:r>
    </w:p>
    <w:p w14:paraId="74F16A2B">
      <w:pPr>
        <w:spacing w:line="360" w:lineRule="auto"/>
        <w:ind w:firstLine="42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二十、合同转让和分包</w:t>
      </w:r>
    </w:p>
    <w:p w14:paraId="69BC1F71">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20.1 供方不得部分转让和分包或全部转让和分包其应履行的合同义务。</w:t>
      </w:r>
    </w:p>
    <w:p w14:paraId="67D41D8D">
      <w:pPr>
        <w:spacing w:line="360" w:lineRule="auto"/>
        <w:ind w:right="-76" w:rightChars="-38" w:firstLine="42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二十一、需要补充的合同条款</w:t>
      </w:r>
    </w:p>
    <w:p w14:paraId="600999B9">
      <w:pPr>
        <w:spacing w:line="360" w:lineRule="auto"/>
        <w:ind w:right="-76" w:rightChars="-38" w:firstLine="472" w:firstLineChars="22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21.1 根据评标过程中或者商务谈判时商定的条款和条件在订立合同时标明。</w:t>
      </w:r>
    </w:p>
    <w:p w14:paraId="2A020042">
      <w:pP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二十二、适用法律</w:t>
      </w:r>
    </w:p>
    <w:p w14:paraId="15D593AA">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22.1 本合同按照中华人民共和国的现行法律进行解释。</w:t>
      </w:r>
    </w:p>
    <w:p w14:paraId="029501B0">
      <w:pP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二十三、合同生效</w:t>
      </w:r>
    </w:p>
    <w:p w14:paraId="4EA91563">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23.1 本合同在供需双方法定代表人或其授权代理人签字并加盖公章并且采购方收到供方提交的履约保证金后生效。 </w:t>
      </w:r>
    </w:p>
    <w:p w14:paraId="741471A2">
      <w:pP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二十四、合同附件</w:t>
      </w:r>
    </w:p>
    <w:p w14:paraId="47C127A0">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24.1下列文件构成本合同不可分割的组成部分，与本合同具有同等法律效力：</w:t>
      </w:r>
    </w:p>
    <w:p w14:paraId="54D8DA02">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1、招标文件及澄清、补充文件；</w:t>
      </w:r>
    </w:p>
    <w:p w14:paraId="4083A8E5">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2、供方的投标文件、在投标期间的书面承诺文件和售后服务承诺书；        </w:t>
      </w:r>
    </w:p>
    <w:p w14:paraId="28024F7B">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3、产品样本、说明书、图纸（与合同配置不符之处，以合同为准）；</w:t>
      </w:r>
    </w:p>
    <w:p w14:paraId="5D52E2E6">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4、中标通知书；</w:t>
      </w:r>
    </w:p>
    <w:p w14:paraId="20F5F7C0">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5、吉林省省级政府采购验收报告单；</w:t>
      </w:r>
    </w:p>
    <w:p w14:paraId="15A176BD">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6、合同的其他附件：</w:t>
      </w:r>
    </w:p>
    <w:p w14:paraId="79386300">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上述合同附件如果有不一致之处，以日期在后的和对需方有利的为准。</w:t>
      </w:r>
    </w:p>
    <w:p w14:paraId="6856F487">
      <w:pP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二十五、合同修改</w:t>
      </w:r>
    </w:p>
    <w:p w14:paraId="6C9EC9EC">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25.1除供需双方和采购方签署书面修改、补充协议，并成为本合同不可分割的一部分之外，本合同条件不得有任何变化或修改。</w:t>
      </w:r>
    </w:p>
    <w:p w14:paraId="087F7F21">
      <w:pP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二十六、合同备案</w:t>
      </w:r>
    </w:p>
    <w:p w14:paraId="2A54CD21">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26.1自本合同订立之日起七个工作日内，向本级政府采购监督管理部门备案。</w:t>
      </w:r>
    </w:p>
    <w:p w14:paraId="6EF301E3">
      <w:pPr>
        <w:spacing w:line="360"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color w:val="auto"/>
          <w:sz w:val="21"/>
          <w:szCs w:val="21"/>
          <w:highlight w:val="none"/>
        </w:rPr>
        <w:t>二十七、政府采购法对政府采购合同变更终止的规定：</w:t>
      </w:r>
      <w:r>
        <w:rPr>
          <w:rFonts w:hint="eastAsia" w:asciiTheme="minorEastAsia" w:hAnsiTheme="minorEastAsia" w:eastAsiaTheme="minorEastAsia" w:cstheme="minorEastAsia"/>
          <w:color w:val="auto"/>
          <w:sz w:val="21"/>
          <w:szCs w:val="21"/>
          <w:highlight w:val="none"/>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在本合同中，双方当事人指供需双方。</w:t>
      </w:r>
    </w:p>
    <w:p w14:paraId="0B198C95">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需方：                                  供方：</w:t>
      </w:r>
    </w:p>
    <w:p w14:paraId="2C385715">
      <w:pPr>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                                  地址：</w:t>
      </w:r>
    </w:p>
    <w:p w14:paraId="3025C8E9">
      <w:pPr>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法定代表人 ：                           法定代表人 :              </w:t>
      </w:r>
    </w:p>
    <w:p w14:paraId="56B356E8">
      <w:pPr>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或授权委托人：                          或授权代理人：</w:t>
      </w:r>
    </w:p>
    <w:p w14:paraId="59C548FD">
      <w:pPr>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签字日期：                              签字日期：</w:t>
      </w:r>
    </w:p>
    <w:p w14:paraId="7CDC44F3">
      <w:pPr>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邮政编码：                              邮政编码：</w:t>
      </w:r>
    </w:p>
    <w:p w14:paraId="42B84566">
      <w:pPr>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电话：                                  电话：</w:t>
      </w:r>
    </w:p>
    <w:p w14:paraId="555CA158">
      <w:pPr>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传真：                                  传真：</w:t>
      </w:r>
    </w:p>
    <w:p w14:paraId="48E68828">
      <w:pPr>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联系人：                                联系人：</w:t>
      </w:r>
    </w:p>
    <w:p w14:paraId="059E17F7">
      <w:pPr>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开户银行：                              开户银行：</w:t>
      </w:r>
    </w:p>
    <w:p w14:paraId="729D2020">
      <w:pPr>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帐户名称:                               帐户名称：</w:t>
      </w:r>
    </w:p>
    <w:p w14:paraId="7AE598CA">
      <w:pPr>
        <w:spacing w:line="360" w:lineRule="auto"/>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帐号：                                  帐号：</w:t>
      </w:r>
    </w:p>
    <w:p w14:paraId="714482C3">
      <w:pPr>
        <w:pStyle w:val="3"/>
        <w:jc w:val="center"/>
        <w:rPr>
          <w:rFonts w:hint="eastAsia" w:asciiTheme="minorEastAsia" w:hAnsiTheme="minorEastAsia" w:eastAsiaTheme="minorEastAsia" w:cstheme="minorEastAsia"/>
          <w:color w:val="auto"/>
          <w:sz w:val="21"/>
          <w:szCs w:val="21"/>
          <w:highlight w:val="none"/>
        </w:rPr>
      </w:pPr>
    </w:p>
    <w:p w14:paraId="78BC8C4D">
      <w:pPr>
        <w:pStyle w:val="3"/>
        <w:jc w:val="center"/>
        <w:rPr>
          <w:rFonts w:hint="eastAsia" w:asciiTheme="minorEastAsia" w:hAnsiTheme="minorEastAsia" w:eastAsiaTheme="minorEastAsia" w:cstheme="minorEastAsia"/>
          <w:color w:val="auto"/>
          <w:sz w:val="21"/>
          <w:szCs w:val="21"/>
          <w:highlight w:val="none"/>
        </w:rPr>
        <w:sectPr>
          <w:footerReference r:id="rId26" w:type="first"/>
          <w:headerReference r:id="rId24" w:type="default"/>
          <w:footerReference r:id="rId25" w:type="default"/>
          <w:pgSz w:w="11907" w:h="16840"/>
          <w:pgMar w:top="1701" w:right="927" w:bottom="851" w:left="1418" w:header="851" w:footer="992" w:gutter="0"/>
          <w:cols w:space="720" w:num="1"/>
          <w:titlePg/>
          <w:docGrid w:linePitch="312" w:charSpace="0"/>
        </w:sectPr>
      </w:pPr>
    </w:p>
    <w:p w14:paraId="0B768222">
      <w:pPr>
        <w:jc w:val="center"/>
        <w:rPr>
          <w:rFonts w:hint="eastAsia" w:asciiTheme="minorEastAsia" w:hAnsiTheme="minorEastAsia" w:eastAsiaTheme="minorEastAsia" w:cstheme="minorEastAsia"/>
          <w:color w:val="auto"/>
          <w:sz w:val="28"/>
          <w:szCs w:val="28"/>
          <w:highlight w:val="none"/>
        </w:rPr>
      </w:pPr>
      <w:bookmarkStart w:id="161" w:name="_Toc455213221"/>
      <w:bookmarkStart w:id="162" w:name="_Toc367975931"/>
      <w:bookmarkStart w:id="163" w:name="_Toc12715"/>
      <w:bookmarkStart w:id="164" w:name="_Toc30966"/>
      <w:bookmarkStart w:id="165" w:name="_Toc455213264"/>
      <w:r>
        <w:rPr>
          <w:rFonts w:hint="eastAsia" w:asciiTheme="minorEastAsia" w:hAnsiTheme="minorEastAsia" w:eastAsiaTheme="minorEastAsia" w:cstheme="minorEastAsia"/>
          <w:color w:val="auto"/>
          <w:sz w:val="28"/>
          <w:szCs w:val="28"/>
          <w:highlight w:val="none"/>
        </w:rPr>
        <w:t>一、廉政合同</w:t>
      </w:r>
      <w:bookmarkEnd w:id="161"/>
      <w:bookmarkEnd w:id="162"/>
      <w:bookmarkEnd w:id="163"/>
      <w:bookmarkEnd w:id="164"/>
      <w:bookmarkEnd w:id="165"/>
    </w:p>
    <w:p w14:paraId="141C59DB">
      <w:pPr>
        <w:spacing w:line="240" w:lineRule="exact"/>
        <w:jc w:val="center"/>
        <w:rPr>
          <w:rFonts w:hint="eastAsia" w:asciiTheme="minorEastAsia" w:hAnsiTheme="minorEastAsia" w:eastAsiaTheme="minorEastAsia" w:cstheme="minorEastAsia"/>
          <w:b/>
          <w:bCs/>
          <w:color w:val="auto"/>
          <w:sz w:val="28"/>
          <w:highlight w:val="none"/>
        </w:rPr>
      </w:pPr>
    </w:p>
    <w:p w14:paraId="172BFADC">
      <w:pPr>
        <w:jc w:val="cente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（本格式编排在采购文件中，供供应商参考。）</w:t>
      </w:r>
    </w:p>
    <w:p w14:paraId="1CA62DEC">
      <w:pPr>
        <w:spacing w:line="240" w:lineRule="exact"/>
        <w:jc w:val="center"/>
        <w:rPr>
          <w:rFonts w:hint="eastAsia" w:asciiTheme="minorEastAsia" w:hAnsiTheme="minorEastAsia" w:eastAsiaTheme="minorEastAsia" w:cstheme="minorEastAsia"/>
          <w:b/>
          <w:bCs/>
          <w:color w:val="auto"/>
          <w:sz w:val="28"/>
          <w:highlight w:val="none"/>
        </w:rPr>
      </w:pPr>
    </w:p>
    <w:p w14:paraId="0080322C">
      <w:pPr>
        <w:spacing w:line="240" w:lineRule="exact"/>
        <w:jc w:val="center"/>
        <w:rPr>
          <w:rFonts w:hint="eastAsia" w:asciiTheme="minorEastAsia" w:hAnsiTheme="minorEastAsia" w:eastAsiaTheme="minorEastAsia" w:cstheme="minorEastAsia"/>
          <w:b/>
          <w:color w:val="auto"/>
          <w:sz w:val="21"/>
          <w:highlight w:val="none"/>
        </w:rPr>
      </w:pPr>
    </w:p>
    <w:p w14:paraId="2F21F1F5">
      <w:pPr>
        <w:spacing w:line="500" w:lineRule="exact"/>
        <w:ind w:firstLine="45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根据国家有关工程建设、廉政建设的规定，为做好项目招标过程中党风廉政建设，保证工程招标公开、公平、公正，保证建设资金的安全和有效使用以及投资效益，</w:t>
      </w:r>
      <w:r>
        <w:rPr>
          <w:rFonts w:hint="eastAsia" w:asciiTheme="minorEastAsia" w:hAnsiTheme="minorEastAsia" w:eastAsiaTheme="minorEastAsia" w:cstheme="minorEastAsia"/>
          <w:color w:val="auto"/>
          <w:sz w:val="21"/>
          <w:highlight w:val="none"/>
          <w:u w:val="single"/>
        </w:rPr>
        <w:t xml:space="preserve">（委托人单位全称） </w:t>
      </w:r>
      <w:r>
        <w:rPr>
          <w:rFonts w:hint="eastAsia" w:asciiTheme="minorEastAsia" w:hAnsiTheme="minorEastAsia" w:eastAsiaTheme="minorEastAsia" w:cstheme="minorEastAsia"/>
          <w:color w:val="auto"/>
          <w:sz w:val="21"/>
          <w:highlight w:val="none"/>
        </w:rPr>
        <w:t>（以下称甲方）与</w:t>
      </w:r>
      <w:r>
        <w:rPr>
          <w:rFonts w:hint="eastAsia" w:asciiTheme="minorEastAsia" w:hAnsiTheme="minorEastAsia" w:eastAsiaTheme="minorEastAsia" w:cstheme="minorEastAsia"/>
          <w:color w:val="auto"/>
          <w:sz w:val="21"/>
          <w:highlight w:val="none"/>
          <w:u w:val="single"/>
        </w:rPr>
        <w:t xml:space="preserve">  （造价咨询机构全称）    </w:t>
      </w:r>
      <w:r>
        <w:rPr>
          <w:rFonts w:hint="eastAsia" w:asciiTheme="minorEastAsia" w:hAnsiTheme="minorEastAsia" w:eastAsiaTheme="minorEastAsia" w:cstheme="minorEastAsia"/>
          <w:color w:val="auto"/>
          <w:sz w:val="21"/>
          <w:highlight w:val="none"/>
        </w:rPr>
        <w:t>（以下称乙方），特订立如下合同。</w:t>
      </w:r>
    </w:p>
    <w:p w14:paraId="0AC13C0E">
      <w:pPr>
        <w:spacing w:line="500" w:lineRule="exact"/>
        <w:ind w:firstLine="45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b/>
          <w:color w:val="auto"/>
          <w:sz w:val="21"/>
          <w:highlight w:val="none"/>
        </w:rPr>
        <w:t>第一条</w:t>
      </w:r>
      <w:r>
        <w:rPr>
          <w:rFonts w:hint="eastAsia" w:asciiTheme="minorEastAsia" w:hAnsiTheme="minorEastAsia" w:eastAsiaTheme="minorEastAsia" w:cstheme="minorEastAsia"/>
          <w:color w:val="auto"/>
          <w:sz w:val="21"/>
          <w:highlight w:val="none"/>
        </w:rPr>
        <w:t xml:space="preserve">  甲乙双方的权利和义务</w:t>
      </w:r>
    </w:p>
    <w:p w14:paraId="48564574">
      <w:pPr>
        <w:spacing w:line="500" w:lineRule="exact"/>
        <w:ind w:firstLine="45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（一）严格遵守党和国家有关法律法规的有关规定。</w:t>
      </w:r>
    </w:p>
    <w:p w14:paraId="21AE6A32">
      <w:pPr>
        <w:spacing w:line="500" w:lineRule="exact"/>
        <w:ind w:firstLine="45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（二）严格执行本项目招标代理服务合同协议书，自觉按协议书办事。</w:t>
      </w:r>
    </w:p>
    <w:p w14:paraId="43AB9681">
      <w:pPr>
        <w:spacing w:line="500" w:lineRule="exact"/>
        <w:ind w:firstLine="45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（三）双方的业务活动坚持公开、公正、诚信、透明的原则（除法律认定的商业秘密和合同文件另有规定之外），不得损害国家和集体利益，违反工程建设管理规章制度。</w:t>
      </w:r>
    </w:p>
    <w:p w14:paraId="28AB41E6">
      <w:pPr>
        <w:spacing w:line="500" w:lineRule="exact"/>
        <w:ind w:firstLine="45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（四）建立健全廉政制度，开展廉政教育，设立廉政告示牌，公布举报电话，监督并认真查处违法违纪行为。</w:t>
      </w:r>
    </w:p>
    <w:p w14:paraId="5DCCD66C">
      <w:pPr>
        <w:spacing w:line="500" w:lineRule="exact"/>
        <w:ind w:firstLine="45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（五）发现对方在业务活动中有违反廉政规定的行为，有及时提醒对方纠正的权利和义务。</w:t>
      </w:r>
    </w:p>
    <w:p w14:paraId="7BAAFAE7">
      <w:pPr>
        <w:spacing w:line="500" w:lineRule="exact"/>
        <w:ind w:firstLine="45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（六）发现对方严重违反本合同义务条款的行为，有向其上级有关部门举报、建议给予处理并要求告知处理结果的权利。</w:t>
      </w:r>
    </w:p>
    <w:p w14:paraId="220C5914">
      <w:pPr>
        <w:spacing w:line="500" w:lineRule="exact"/>
        <w:ind w:firstLine="45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b/>
          <w:color w:val="auto"/>
          <w:sz w:val="21"/>
          <w:highlight w:val="none"/>
        </w:rPr>
        <w:t>第二条</w:t>
      </w:r>
      <w:r>
        <w:rPr>
          <w:rFonts w:hint="eastAsia" w:asciiTheme="minorEastAsia" w:hAnsiTheme="minorEastAsia" w:eastAsiaTheme="minorEastAsia" w:cstheme="minorEastAsia"/>
          <w:color w:val="auto"/>
          <w:sz w:val="21"/>
          <w:highlight w:val="none"/>
        </w:rPr>
        <w:t xml:space="preserve">  甲方的义务</w:t>
      </w:r>
    </w:p>
    <w:p w14:paraId="11D9A8A9">
      <w:pPr>
        <w:spacing w:line="500" w:lineRule="exact"/>
        <w:ind w:firstLine="45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（一）甲方及其工作人员不得索要或接受乙方的礼金、有价证券和贵重物品，不得在乙方报销任何应由甲方或个人支付的费用等。</w:t>
      </w:r>
    </w:p>
    <w:p w14:paraId="12FDD5F7">
      <w:pPr>
        <w:spacing w:line="500" w:lineRule="exact"/>
        <w:ind w:firstLine="45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（二）甲方工作人员不得参加乙方安排的超标准宴请和娱乐活动；不得接受乙方提供的通讯工具、交通工具和高档办公用品等。</w:t>
      </w:r>
    </w:p>
    <w:p w14:paraId="2E214169">
      <w:pPr>
        <w:spacing w:line="500" w:lineRule="exact"/>
        <w:ind w:firstLine="45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（三）甲方及其工作人员不得要求或者接受乙方为其住房装修、婚丧嫁娶活动、配偶子女的工作安排以及出国出境、旅游等提供方便等。</w:t>
      </w:r>
    </w:p>
    <w:p w14:paraId="3D844130">
      <w:pPr>
        <w:spacing w:line="500" w:lineRule="exact"/>
        <w:ind w:firstLine="45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（四）甲方工作人员的配偶、子女不得从事与甲方招标工作有关联的项目。</w:t>
      </w:r>
    </w:p>
    <w:p w14:paraId="24237B15">
      <w:pPr>
        <w:spacing w:line="500" w:lineRule="exact"/>
        <w:ind w:firstLine="45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b/>
          <w:color w:val="auto"/>
          <w:sz w:val="21"/>
          <w:highlight w:val="none"/>
        </w:rPr>
        <w:t>第三条</w:t>
      </w:r>
      <w:r>
        <w:rPr>
          <w:rFonts w:hint="eastAsia" w:asciiTheme="minorEastAsia" w:hAnsiTheme="minorEastAsia" w:eastAsiaTheme="minorEastAsia" w:cstheme="minorEastAsia"/>
          <w:color w:val="auto"/>
          <w:sz w:val="21"/>
          <w:highlight w:val="none"/>
        </w:rPr>
        <w:t xml:space="preserve">  乙方义务</w:t>
      </w:r>
    </w:p>
    <w:p w14:paraId="78673CCF">
      <w:pPr>
        <w:spacing w:line="500" w:lineRule="exact"/>
        <w:ind w:firstLine="45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（一）乙方不得以任何理由向甲方及其工作人员行贿或馈赠礼金、有价证券、贵重礼品。</w:t>
      </w:r>
    </w:p>
    <w:p w14:paraId="10262B0B">
      <w:pPr>
        <w:spacing w:line="500" w:lineRule="exact"/>
        <w:ind w:firstLine="45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（二）乙方不得以任何名义为甲方及其工作人员报销应由甲方单位或个人支付的任何费用。</w:t>
      </w:r>
    </w:p>
    <w:p w14:paraId="4719DE69">
      <w:pPr>
        <w:spacing w:line="500" w:lineRule="exact"/>
        <w:ind w:firstLine="45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（三）乙方不得以任何理由安排甲方工作人员参加超标准宴请及娱乐活动。</w:t>
      </w:r>
    </w:p>
    <w:p w14:paraId="2C9CB6AA">
      <w:pPr>
        <w:spacing w:line="500" w:lineRule="exact"/>
        <w:ind w:firstLine="45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（四）乙方不得为甲方单位和个人购置或提供通讯工具、交通工具和高档办公用品等。</w:t>
      </w:r>
    </w:p>
    <w:p w14:paraId="5D377FC9">
      <w:pPr>
        <w:spacing w:line="500" w:lineRule="exact"/>
        <w:ind w:firstLine="45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（五）乙方及其工作人员不得索取或接受被审计单位的礼金、有价证券和贵重物品，不得在被审计单位报销任何应由乙方或个人支付的费用。</w:t>
      </w:r>
    </w:p>
    <w:p w14:paraId="56FFD3CE">
      <w:pPr>
        <w:spacing w:line="500" w:lineRule="exact"/>
        <w:ind w:firstLine="45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（六）乙方及其工作人员必须严格按照相关法律法规规程办事，不得与被审计单位串通，损害甲方利益。</w:t>
      </w:r>
    </w:p>
    <w:p w14:paraId="450FEF56">
      <w:pPr>
        <w:spacing w:line="500" w:lineRule="exact"/>
        <w:ind w:firstLine="45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b/>
          <w:color w:val="auto"/>
          <w:sz w:val="21"/>
          <w:highlight w:val="none"/>
        </w:rPr>
        <w:t>第四条</w:t>
      </w:r>
      <w:r>
        <w:rPr>
          <w:rFonts w:hint="eastAsia" w:asciiTheme="minorEastAsia" w:hAnsiTheme="minorEastAsia" w:eastAsiaTheme="minorEastAsia" w:cstheme="minorEastAsia"/>
          <w:color w:val="auto"/>
          <w:sz w:val="21"/>
          <w:highlight w:val="none"/>
        </w:rPr>
        <w:t xml:space="preserve">  违约责任</w:t>
      </w:r>
    </w:p>
    <w:p w14:paraId="093BDBEE">
      <w:pPr>
        <w:spacing w:line="500" w:lineRule="exact"/>
        <w:ind w:firstLine="45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（一）甲方及其工作人员违反本合同第一、二条；按管理权限、依据有关规定，给予党纪、政纪或组织处理；涉嫌犯罪的，移交司法机关追究刑事责任；给乙方单位造成经济损失的，应予以赔偿。</w:t>
      </w:r>
    </w:p>
    <w:p w14:paraId="279A3617">
      <w:pPr>
        <w:spacing w:line="500" w:lineRule="exact"/>
        <w:ind w:firstLine="45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二）乙方及其工作人员违反本合同第一、三条，按管理权限、依据有关规定，给予党纪、政纪或组织处理；给甲方单位造成经济损失的，应予以赔偿；情节严重的，甲方建议相关行业主管部门给予乙方一至三年内不得进入相关行业市场的处罚。</w:t>
      </w:r>
    </w:p>
    <w:p w14:paraId="3B802AD3">
      <w:pPr>
        <w:spacing w:line="500" w:lineRule="exact"/>
        <w:ind w:firstLine="45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b/>
          <w:color w:val="auto"/>
          <w:sz w:val="21"/>
          <w:highlight w:val="none"/>
        </w:rPr>
        <w:t>第五条</w:t>
      </w:r>
      <w:r>
        <w:rPr>
          <w:rFonts w:hint="eastAsia" w:asciiTheme="minorEastAsia" w:hAnsiTheme="minorEastAsia" w:eastAsiaTheme="minorEastAsia" w:cstheme="minorEastAsia"/>
          <w:color w:val="auto"/>
          <w:sz w:val="21"/>
          <w:highlight w:val="none"/>
        </w:rPr>
        <w:t xml:space="preserve">  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14:paraId="0742531B">
      <w:pPr>
        <w:spacing w:line="500" w:lineRule="exact"/>
        <w:ind w:firstLine="45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b/>
          <w:color w:val="auto"/>
          <w:sz w:val="21"/>
          <w:highlight w:val="none"/>
        </w:rPr>
        <w:t>第六条</w:t>
      </w:r>
      <w:r>
        <w:rPr>
          <w:rFonts w:hint="eastAsia" w:asciiTheme="minorEastAsia" w:hAnsiTheme="minorEastAsia" w:eastAsiaTheme="minorEastAsia" w:cstheme="minorEastAsia"/>
          <w:color w:val="auto"/>
          <w:sz w:val="21"/>
          <w:highlight w:val="none"/>
        </w:rPr>
        <w:t xml:space="preserve">  本合同有效期为甲乙双方签署之日起至入围期限结束止。</w:t>
      </w:r>
    </w:p>
    <w:p w14:paraId="103F1865">
      <w:pPr>
        <w:spacing w:line="500" w:lineRule="exact"/>
        <w:ind w:firstLine="45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b/>
          <w:color w:val="auto"/>
          <w:sz w:val="21"/>
          <w:highlight w:val="none"/>
        </w:rPr>
        <w:t>第七条</w:t>
      </w:r>
      <w:r>
        <w:rPr>
          <w:rFonts w:hint="eastAsia" w:asciiTheme="minorEastAsia" w:hAnsiTheme="minorEastAsia" w:eastAsiaTheme="minorEastAsia" w:cstheme="minorEastAsia"/>
          <w:color w:val="auto"/>
          <w:sz w:val="21"/>
          <w:highlight w:val="none"/>
        </w:rPr>
        <w:t xml:space="preserve">  本合同作为本招标服务入围合同协议书的附件，与服务委托协议书具有同等的法律效力，经合同双方签署立即生效。</w:t>
      </w:r>
    </w:p>
    <w:p w14:paraId="0968296B">
      <w:pPr>
        <w:spacing w:line="500" w:lineRule="exact"/>
        <w:ind w:firstLine="45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b/>
          <w:color w:val="auto"/>
          <w:sz w:val="21"/>
          <w:highlight w:val="none"/>
        </w:rPr>
        <w:t>第八条</w:t>
      </w:r>
      <w:r>
        <w:rPr>
          <w:rFonts w:hint="eastAsia" w:asciiTheme="minorEastAsia" w:hAnsiTheme="minorEastAsia" w:eastAsiaTheme="minorEastAsia" w:cstheme="minorEastAsia"/>
          <w:color w:val="auto"/>
          <w:sz w:val="21"/>
          <w:highlight w:val="none"/>
        </w:rPr>
        <w:t xml:space="preserve">  本合同甲、乙双方各执一份，送交双方监督单位一份。</w:t>
      </w:r>
    </w:p>
    <w:p w14:paraId="1714BA9D">
      <w:pPr>
        <w:spacing w:line="500" w:lineRule="exact"/>
        <w:ind w:firstLine="45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甲方单位：</w:t>
      </w:r>
      <w:r>
        <w:rPr>
          <w:rFonts w:hint="eastAsia" w:asciiTheme="minorEastAsia" w:hAnsiTheme="minorEastAsia" w:eastAsiaTheme="minorEastAsia" w:cstheme="minorEastAsia"/>
          <w:color w:val="auto"/>
          <w:sz w:val="21"/>
          <w:highlight w:val="none"/>
          <w:u w:val="single"/>
        </w:rPr>
        <w:t xml:space="preserve">                     （盖章）</w:t>
      </w:r>
      <w:r>
        <w:rPr>
          <w:rFonts w:hint="eastAsia" w:asciiTheme="minorEastAsia" w:hAnsiTheme="minorEastAsia" w:eastAsiaTheme="minorEastAsia" w:cstheme="minorEastAsia"/>
          <w:color w:val="auto"/>
          <w:sz w:val="21"/>
          <w:highlight w:val="none"/>
        </w:rPr>
        <w:t xml:space="preserve">     乙方单位：</w:t>
      </w:r>
      <w:r>
        <w:rPr>
          <w:rFonts w:hint="eastAsia" w:asciiTheme="minorEastAsia" w:hAnsiTheme="minorEastAsia" w:eastAsiaTheme="minorEastAsia" w:cstheme="minorEastAsia"/>
          <w:color w:val="auto"/>
          <w:sz w:val="21"/>
          <w:highlight w:val="none"/>
          <w:u w:val="single"/>
        </w:rPr>
        <w:t xml:space="preserve">                    （盖章）</w:t>
      </w:r>
    </w:p>
    <w:p w14:paraId="2E29F2A5">
      <w:pPr>
        <w:spacing w:line="440" w:lineRule="exact"/>
        <w:ind w:firstLine="525" w:firstLineChars="250"/>
        <w:rPr>
          <w:rFonts w:hint="eastAsia" w:asciiTheme="minorEastAsia" w:hAnsiTheme="minorEastAsia" w:eastAsiaTheme="minorEastAsia" w:cstheme="minorEastAsia"/>
          <w:color w:val="auto"/>
          <w:sz w:val="21"/>
          <w:highlight w:val="none"/>
        </w:rPr>
      </w:pPr>
    </w:p>
    <w:p w14:paraId="1DEF8C63">
      <w:pPr>
        <w:spacing w:line="440" w:lineRule="exact"/>
        <w:ind w:firstLine="420" w:firstLineChars="2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法定代表人：</w:t>
      </w:r>
      <w:r>
        <w:rPr>
          <w:rFonts w:hint="eastAsia" w:asciiTheme="minorEastAsia" w:hAnsiTheme="minorEastAsia" w:eastAsiaTheme="minorEastAsia" w:cstheme="minorEastAsia"/>
          <w:color w:val="auto"/>
          <w:sz w:val="21"/>
          <w:highlight w:val="none"/>
          <w:u w:val="single"/>
        </w:rPr>
        <w:t xml:space="preserve">                   （签字）</w:t>
      </w:r>
      <w:r>
        <w:rPr>
          <w:rFonts w:hint="eastAsia" w:asciiTheme="minorEastAsia" w:hAnsiTheme="minorEastAsia" w:eastAsiaTheme="minorEastAsia" w:cstheme="minorEastAsia"/>
          <w:color w:val="auto"/>
          <w:sz w:val="21"/>
          <w:highlight w:val="none"/>
        </w:rPr>
        <w:t xml:space="preserve">     法定代表人：</w:t>
      </w:r>
      <w:r>
        <w:rPr>
          <w:rFonts w:hint="eastAsia" w:asciiTheme="minorEastAsia" w:hAnsiTheme="minorEastAsia" w:eastAsiaTheme="minorEastAsia" w:cstheme="minorEastAsia"/>
          <w:color w:val="auto"/>
          <w:sz w:val="21"/>
          <w:highlight w:val="none"/>
          <w:u w:val="single"/>
        </w:rPr>
        <w:t xml:space="preserve">                  （签字）</w:t>
      </w:r>
    </w:p>
    <w:p w14:paraId="052611F3">
      <w:pPr>
        <w:spacing w:line="440" w:lineRule="exact"/>
        <w:ind w:firstLine="420" w:firstLineChars="2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地址：     地址：</w:t>
      </w:r>
    </w:p>
    <w:p w14:paraId="65F047C6">
      <w:pPr>
        <w:spacing w:line="440" w:lineRule="exact"/>
        <w:ind w:firstLine="420" w:firstLineChars="200"/>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电话：    电话：</w:t>
      </w:r>
    </w:p>
    <w:p w14:paraId="101A149C">
      <w:pPr>
        <w:spacing w:line="44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1"/>
          <w:highlight w:val="none"/>
        </w:rPr>
        <w:t>日期：年月日              日期：年</w:t>
      </w:r>
      <w:r>
        <w:rPr>
          <w:rFonts w:hint="eastAsia" w:asciiTheme="minorEastAsia" w:hAnsiTheme="minorEastAsia" w:eastAsiaTheme="minorEastAsia" w:cstheme="minorEastAsia"/>
          <w:color w:val="auto"/>
          <w:highlight w:val="none"/>
        </w:rPr>
        <w:t>月日</w:t>
      </w:r>
    </w:p>
    <w:p w14:paraId="461CA2F2">
      <w:pPr>
        <w:spacing w:line="5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    甲方监督单位：                              乙方监督单位：</w:t>
      </w:r>
    </w:p>
    <w:p w14:paraId="7D3107F7">
      <w:pPr>
        <w:rPr>
          <w:rFonts w:hint="eastAsia" w:asciiTheme="minorEastAsia" w:hAnsiTheme="minorEastAsia" w:eastAsiaTheme="minorEastAsia" w:cstheme="minorEastAsia"/>
          <w:color w:val="auto"/>
          <w:highlight w:val="none"/>
        </w:rPr>
        <w:sectPr>
          <w:footerReference r:id="rId27" w:type="first"/>
          <w:pgSz w:w="11907" w:h="16840"/>
          <w:pgMar w:top="1701" w:right="1134" w:bottom="851" w:left="1418" w:header="851" w:footer="992" w:gutter="0"/>
          <w:cols w:space="720" w:num="1"/>
          <w:titlePg/>
          <w:docGrid w:linePitch="312" w:charSpace="0"/>
        </w:sectPr>
      </w:pPr>
    </w:p>
    <w:p w14:paraId="25FF1CB7">
      <w:pPr>
        <w:spacing w:before="65"/>
        <w:ind w:left="17"/>
        <w:rPr>
          <w:rFonts w:hint="eastAsia" w:ascii="宋体" w:hAnsi="宋体" w:cs="宋体"/>
          <w:color w:val="auto"/>
          <w:sz w:val="24"/>
          <w:szCs w:val="24"/>
          <w:highlight w:val="none"/>
        </w:rPr>
      </w:pPr>
      <w:r>
        <w:rPr>
          <w:rFonts w:hint="eastAsia" w:ascii="宋体" w:hAnsi="宋体" w:cs="宋体"/>
          <w:color w:val="auto"/>
          <w:spacing w:val="-2"/>
          <w:sz w:val="24"/>
          <w:szCs w:val="24"/>
          <w:highlight w:val="none"/>
        </w:rPr>
        <w:t>附件</w:t>
      </w:r>
      <w:r>
        <w:rPr>
          <w:rFonts w:hint="eastAsia" w:ascii="宋体" w:hAnsi="宋体" w:cs="宋体"/>
          <w:color w:val="auto"/>
          <w:spacing w:val="-1"/>
          <w:sz w:val="24"/>
          <w:szCs w:val="24"/>
          <w:highlight w:val="none"/>
        </w:rPr>
        <w:t>：</w:t>
      </w:r>
    </w:p>
    <w:p w14:paraId="6C7D063E">
      <w:pPr>
        <w:spacing w:before="104"/>
        <w:ind w:left="2940"/>
        <w:rPr>
          <w:rFonts w:hint="eastAsia" w:ascii="宋体" w:hAnsi="宋体" w:cs="宋体"/>
          <w:color w:val="auto"/>
          <w:sz w:val="24"/>
          <w:szCs w:val="24"/>
          <w:highlight w:val="none"/>
        </w:rPr>
      </w:pPr>
      <w:r>
        <w:rPr>
          <w:rFonts w:hint="eastAsia" w:ascii="宋体" w:hAnsi="宋体" w:cs="宋体"/>
          <w:color w:val="auto"/>
          <w:spacing w:val="15"/>
          <w:sz w:val="24"/>
          <w:szCs w:val="24"/>
          <w:highlight w:val="none"/>
        </w:rPr>
        <w:t>政</w:t>
      </w:r>
      <w:r>
        <w:rPr>
          <w:rFonts w:hint="eastAsia" w:ascii="宋体" w:hAnsi="宋体" w:cs="宋体"/>
          <w:color w:val="auto"/>
          <w:spacing w:val="9"/>
          <w:sz w:val="24"/>
          <w:szCs w:val="24"/>
          <w:highlight w:val="none"/>
        </w:rPr>
        <w:t>府采购促进中小企业发展管理办法</w:t>
      </w:r>
    </w:p>
    <w:p w14:paraId="3B6438ED">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第一条</w:t>
      </w:r>
    </w:p>
    <w:p w14:paraId="44FD32A1">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为了发挥政府采购的政策功能，促进中小企业健康发展，根据《中华人民共和国政府采购法》、 《中华人民共和国中小企业促进法》等有关法律法规，制定本办法。</w:t>
      </w:r>
    </w:p>
    <w:p w14:paraId="6541E6E8">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第二条</w:t>
      </w:r>
    </w:p>
    <w:p w14:paraId="145364A9">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本办法所称中小企业，是指在中华人民共和国境内依法设立，依据国务院批准的中小企业划分标 准确定的中型企业、小型企业和微型企业，但与大企业的负责人为同一人，或者与大企业存在直接控股、管理关系的除外。</w:t>
      </w:r>
    </w:p>
    <w:p w14:paraId="0105ED09">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符合中小企业划分标准的个体工商户，在政府采购活动中视同中小企业。</w:t>
      </w:r>
    </w:p>
    <w:p w14:paraId="5E372773">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第三条</w:t>
      </w:r>
    </w:p>
    <w:p w14:paraId="777A5F00">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采购人在政府采购活动中应当通过加强采购需求管理，落实预留采购份额、价格评审优惠、优先采购等措施，提高中小企业在政府采购中的份额，支持中小企业发展。</w:t>
      </w:r>
    </w:p>
    <w:p w14:paraId="2F3D5851">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第四条</w:t>
      </w:r>
    </w:p>
    <w:p w14:paraId="3C1D5ECD">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在政府采购活动中，供应商提供的货物、工程或者服务符合下列情形的，享受本办法规定的中小企业扶持政策：</w:t>
      </w:r>
    </w:p>
    <w:p w14:paraId="6F831834">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一) 在货物采购项目中，货物由中小企业制造，即货物由中小企业生产且使用该中小企业商号 或者注册商标；</w:t>
      </w:r>
    </w:p>
    <w:p w14:paraId="3C2F3D39">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(二) 在工程采购项目中，工程由中小企业承建，即工程施工单位为中小企业；</w:t>
      </w:r>
    </w:p>
    <w:p w14:paraId="071B72AA">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(三) 在服务采购项目中，服务由中小企业承接，即提供服务的人员为中小企业依照《中华人民 共和国劳动合同法》订立劳动合同的从业人员。在货物采购项目中，供应商提供的货物既有中小企业 制造货物，也有大型企业制造货物的，不享受本办法规定的中小企业扶持政策。</w:t>
      </w:r>
    </w:p>
    <w:p w14:paraId="226C746E">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以联合体形式参加政府采购活动，联合体各方均为中小企业的，联合体视同中小企业。其中，联合体各方均为小微企业的，联合体视同小微企业。</w:t>
      </w:r>
    </w:p>
    <w:p w14:paraId="5D2EF64F">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第五条</w:t>
      </w:r>
    </w:p>
    <w:p w14:paraId="563C76E3">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采购人在政府采购活动中应当合理确定采购项目的采购需求，不得以企业注册资本、资产总额、 营业收入、从业人员、利润、纳税额等规模条件和财务指标作为供应商的资格要求或者评审因素，不得在企业股权结构、经营年限等方面对中小企业实行差别待遇或者歧视待遇。</w:t>
      </w:r>
    </w:p>
    <w:p w14:paraId="3506CAF4">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第六条</w:t>
      </w:r>
    </w:p>
    <w:p w14:paraId="28429D6C">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主管预算单位应当组织评估本部门及所属单位政府采购项目，统筹制定面向中小企业预留采购份额的具体方案，对适宜由中小企业提供的采购项目和采购包，预留采购份额专门面向中小企业采购， 并在政府项目预算中单独列示。</w:t>
      </w:r>
    </w:p>
    <w:p w14:paraId="7661A3D4">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符合下列情形之一的，可不专门面向中小企业预留采购份额：</w:t>
      </w:r>
    </w:p>
    <w:p w14:paraId="399F34ED">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(一)法律法规和国家有关政策明确规定优先或者应当面向事业单位、社会组织等非企业主体采 购的；</w:t>
      </w:r>
    </w:p>
    <w:p w14:paraId="67B1BC3C">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(二) 因确需使用不可替代的专利、专有技术，基础设施限制，或者提供特定公共服务等原因，只能从中小企业之外的供应商处采购的；</w:t>
      </w:r>
    </w:p>
    <w:p w14:paraId="7019CAD8">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(三) 按照本办法规定预留采购份额无法确保充分供应、充分竞争，或者存在可能影响政府采购 目标实现的情形；</w:t>
      </w:r>
    </w:p>
    <w:p w14:paraId="0DD4B234">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(四) 框架协议采购项目；</w:t>
      </w:r>
    </w:p>
    <w:p w14:paraId="761043D1">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(五) 省级以上人民政府财政部门规定的其他情形。</w:t>
      </w:r>
    </w:p>
    <w:p w14:paraId="1FCEED18">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除上述情形外，其他均为适宜由中小企业提供的情形。</w:t>
      </w:r>
    </w:p>
    <w:p w14:paraId="47232344">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第七条</w:t>
      </w:r>
    </w:p>
    <w:p w14:paraId="373049A1">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采购限额标准以上，200万元以下的货物和服务采购项目、400万元以下的工程采购项目，适宜由中小企业提供的，采购人应当专门面向中小企业采购。</w:t>
      </w:r>
    </w:p>
    <w:p w14:paraId="1A66C5EF">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第八条</w:t>
      </w:r>
    </w:p>
    <w:p w14:paraId="4B1163FE">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超过200万元的货物和服务采购项目、超过400万元的工程采购项目中适宜由中小企业提供的，预留该部分采购项目预算总额的30%以上专门面向中小企业采购，其中预留给小微企业的比例不低于 60% 。预留份额通过下列措施进行：</w:t>
      </w:r>
    </w:p>
    <w:p w14:paraId="6AB829C9">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一) 将采购项目整体或者设置采购包专门面向中小企业采购；</w:t>
      </w:r>
    </w:p>
    <w:p w14:paraId="503B7D1C">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(二) 要求供应商以联合体形式参加采购活动，且联合体中中小企业承担的部分达到一定比例；</w:t>
      </w:r>
    </w:p>
    <w:p w14:paraId="48CB40D5">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(三) 要求获得采购合同的供应商将采购项目中的一定比例分包给一家或者多家中小企业。组成联合体或者接受分包合同的中小企业与联合体内其他企业、分包企业之间不得存在直接控股、管理关系。</w:t>
      </w:r>
    </w:p>
    <w:p w14:paraId="46CB8D61">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第九条</w:t>
      </w:r>
    </w:p>
    <w:p w14:paraId="10F37924">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对于经主管预算单位统筹后未预留份额专门面向中小企业采购的采购项目，以及预留份额项目中 的非预留部分采购包，采购人、采购代理机构应当对符合本办法规定的小微企业报价给予 6%—10% (工程项目为 3%—5%) 的扣除，用扣除后的价格参加评审。适用招标投标法的政府采购工程建设项 目，采用综合评估法但未采用低价优先法计算价格分的，评标时应当在采用原报价进行评分的基础上 增加其价格得分的 3%—5%作为其价格分。接受大中型企业与小微企业组成联合体或者允许大中型企业业向一家或者多家小微企业分包的采购项目，对于联合协议或者分包意向协议约定小微企业的合同份 额占到合同总金额 30%以上的，采购人、采购代理机构应当对联合体或者大中型企业的报价给予 2%-3%  (工程项目为 1%—2%) 的扣除，用扣除后的价格参加评审。适用招标投标法的政府采购工程 建设项目，采用综合评估法但未采用低价优先法计算价格分的，评标时应当在采用原报价进行评分的 基础上增加其价格得分的 1%—2%作为其价格分。组成联合体或者接受分包的小微企业与联合体内其 他企业、分包企业之间存在直接控股、管理关系的，不享受价格扣除优惠政策。价格扣除比例或者价格分加分比例对小型企业和微型企业同等对待，不作区分。具体采购项目的 价格扣除比例或者价格分加分比例， 由采购人根据采购标的相关行业平均利润率、市场竞争状况等， 在本办法规定的幅度内确定。</w:t>
      </w:r>
    </w:p>
    <w:p w14:paraId="0C2C55DB">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第十条</w:t>
      </w:r>
    </w:p>
    <w:p w14:paraId="1F614E63">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采购人应当严格按照本办法规定和主管预算单位制定的预留采购份额具体方案开展采购活动。预 留份额的采购项目或者采购包，通过发布公告方式邀请供应商后，符合资格条件的中小企业数量不足 3 家的，应当中止采购活动，视同未预留份额的采购项目或者采购包，按照本办法第九条有关规定重新 组织采购活动。</w:t>
      </w:r>
    </w:p>
    <w:p w14:paraId="71CF308F">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第十一条</w:t>
      </w:r>
    </w:p>
    <w:p w14:paraId="20D8309B">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中小企业参加政府采购活动，应当出具本办法规定的《中小企业声明函》 (附 1) ，否则不得享 受相关中小企业扶持政策。任何单位和个人不得要求供应商提供《中小企业声明函》之外的中小企业 身份证明文件。</w:t>
      </w:r>
    </w:p>
    <w:p w14:paraId="436B72C8">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第十二条</w:t>
      </w:r>
    </w:p>
    <w:p w14:paraId="4F5789A0">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采购项目涉及中小企业采购的，采购文件应当明确以下内容：</w:t>
      </w:r>
    </w:p>
    <w:p w14:paraId="3C300A02">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一) 预留份额的采购项目或者采购包，明确该项目或相关采购包专门面向中小企业采购，以及 相关标的及预算金额；</w:t>
      </w:r>
    </w:p>
    <w:p w14:paraId="66928F68">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(二) 要求以联合体形式参加或者合同分包的，明确联合协议或者分包意向协议中中小企业合同 金额应当达到的比例，并作为供应商资格条件；</w:t>
      </w:r>
    </w:p>
    <w:p w14:paraId="145432B3">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(三) 非预留份额的采购项目或者采购包，明确有关价格扣除比例或者价格分加分比例；</w:t>
      </w:r>
    </w:p>
    <w:p w14:paraId="1D3C105C">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(四) 规定依据本办法规定享受扶持政策获得政府采购合同的，小微企业不得将合同分包给大中 型企业，中型企业不得将合同分包给大型企业；</w:t>
      </w:r>
    </w:p>
    <w:p w14:paraId="3084B802">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(五) 采购人认为具备相关条件的，明确对中小企业在资金支付期限、预付款比例等方面的优惠 措施；</w:t>
      </w:r>
    </w:p>
    <w:p w14:paraId="567B9BFE">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(六) 明确采购标的对应的中小企业划分标准所属行业；</w:t>
      </w:r>
    </w:p>
    <w:p w14:paraId="4B7ACCAA">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(七) 法律法规和省级以上人民政府财政部门规定的其他事项。</w:t>
      </w:r>
    </w:p>
    <w:p w14:paraId="120DFCBB">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第十三条</w:t>
      </w:r>
    </w:p>
    <w:p w14:paraId="09C0F50B">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中标、成交供应商享受本办法规定的中小企业扶持政策的，采购人、采购代理机构应当随中标、成交结果公开中标、成交供应商的《中小企业声明函》。适用招标投标法的政府采购工程建设项目， 应当在公示中标候选人时公开中标候选人的《中小企业声明函》。</w:t>
      </w:r>
    </w:p>
    <w:p w14:paraId="221E38C4">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第十四条</w:t>
      </w:r>
    </w:p>
    <w:p w14:paraId="0B75FF72">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01EDCDE">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第十五条</w:t>
      </w:r>
    </w:p>
    <w:p w14:paraId="19DC6762">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鼓励各地区、各部门在采购活动中允许中小企业引入信用担保手段，为中小企业在投标 (响应) 保证、履约保证等方面提供专业化服务。鼓励中小企业依法合规通过政府采购合同融资。</w:t>
      </w:r>
    </w:p>
    <w:p w14:paraId="2018CAFF">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第十六条</w:t>
      </w:r>
    </w:p>
    <w:p w14:paraId="76F5E2F8">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政府采购监督检查、投诉处理及政府采购行政处罚中对中小企业的认定，由货物制造商或者工程、 服务供应商注册登记所在地的县级以上人民政府中小企业主管部门负责。中小企业主管部门应当在收 到财政部门或者有关招标投标行政监督部门关于协助开展中小企业认定函后10个工作日内做出书面答复。</w:t>
      </w:r>
    </w:p>
    <w:p w14:paraId="55B2A73E">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第十七条</w:t>
      </w:r>
    </w:p>
    <w:p w14:paraId="4A844B46">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各地区、各部门应当对涉及中小企业采购的预算项目实施全过程绩效管理，合理设置绩效目标和 指标，落实扶持中小企业有关政策要求，定期开展绩效监控和评价，强化绩效评价结果应用。</w:t>
      </w:r>
    </w:p>
    <w:p w14:paraId="155CB96D">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第十八条</w:t>
      </w:r>
    </w:p>
    <w:p w14:paraId="54C765F1">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575AA67A">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第十九条</w:t>
      </w:r>
    </w:p>
    <w:p w14:paraId="3043728A">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采购人未按本办法规定为中小企业预留采购份额，采购人、采购代理机构未按照本办法规定要求 实施价格扣除或者价格分加分的，属于未按照规定执行政府采购政策，依照《中华人民共和国政府采 购法》等国家有关规定追究法律责任。</w:t>
      </w:r>
    </w:p>
    <w:p w14:paraId="17B8A571">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第二十条</w:t>
      </w:r>
    </w:p>
    <w:p w14:paraId="6021B6DA">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供应商按照本办法规定提供声明函内容不实的，属于提供虚假材料谋取中标、成交，依照《中华人民共和国政府采购法》等国家有关规定追究相应责任。适用招标投标法的政府采购工程建设项目， 供应商按照本办法规定提供声明函内容不实的，属于弄虚作假骗取中标，依照《中华人民共和国招标 投标法》等国家有关规定追究相应责任。</w:t>
      </w:r>
    </w:p>
    <w:p w14:paraId="4B28D908">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第二十一条</w:t>
      </w:r>
    </w:p>
    <w:p w14:paraId="68706206">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财政部门、中小企业主管部门及其工作人员在履行职责中违反本办法规定及存在其他滥用职权、 玩忽职守、徇私舞弊等违法违纪行为的，依照《中华人民共和国政府采购法》、《中华人民共和国公 务员法》、《中华人民共和国监察法》、《中华人民共和国政府采购法实施条例》等国家</w:t>
      </w:r>
    </w:p>
    <w:p w14:paraId="0899AA8E">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有关规定追究相应责任；涉嫌犯罪的，依法移送有关国家机关处理。</w:t>
      </w:r>
    </w:p>
    <w:p w14:paraId="37F46F10">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第二十二条</w:t>
      </w:r>
    </w:p>
    <w:p w14:paraId="2DEBB0E3">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对外援助项目、国家相关资格或者资质管理制度另有规定的项目，不适用本办法。 </w:t>
      </w:r>
    </w:p>
    <w:p w14:paraId="06BF6AA8">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第二十三条</w:t>
      </w:r>
    </w:p>
    <w:p w14:paraId="033069EC">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关于视同中小企业的其他主体的政府采购扶持政策， 由财政部会同有关部门另行规定。</w:t>
      </w:r>
    </w:p>
    <w:p w14:paraId="77DC53E7">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第二十四条</w:t>
      </w:r>
    </w:p>
    <w:p w14:paraId="0C3553DD">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省级财政部门可以会同中小企业主管部门根据本办法的规定制定具体实施办法。 </w:t>
      </w:r>
    </w:p>
    <w:p w14:paraId="6A46D2C3">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第二十五条</w:t>
      </w:r>
    </w:p>
    <w:p w14:paraId="40033C58">
      <w:pPr>
        <w:spacing w:line="360" w:lineRule="auto"/>
        <w:rPr>
          <w:rFonts w:hint="eastAsia" w:ascii="宋体" w:hAnsi="宋体" w:cs="宋体"/>
          <w:color w:val="auto"/>
          <w:szCs w:val="24"/>
          <w:highlight w:val="none"/>
        </w:rPr>
        <w:sectPr>
          <w:footerReference r:id="rId28" w:type="default"/>
          <w:pgSz w:w="11906" w:h="16839"/>
          <w:pgMar w:top="1040" w:right="1179" w:bottom="1156" w:left="1424" w:header="0" w:footer="996" w:gutter="0"/>
          <w:cols w:space="720" w:num="1"/>
        </w:sectPr>
      </w:pPr>
      <w:r>
        <w:rPr>
          <w:rFonts w:hint="eastAsia" w:ascii="宋体" w:hAnsi="宋体" w:cs="宋体"/>
          <w:color w:val="auto"/>
          <w:sz w:val="21"/>
          <w:szCs w:val="21"/>
          <w:highlight w:val="none"/>
        </w:rPr>
        <w:t>本办法自 2021年1月1日起施行。财政部工业和信息化部关于印发〈政府采购促进中小企业发展暂行办法〉的通知》  (财库 ﹝ 2011 ﹞ 181  号) 同时废止。</w:t>
      </w:r>
    </w:p>
    <w:p w14:paraId="18EBC7DA">
      <w:pPr>
        <w:spacing w:before="65"/>
        <w:ind w:left="3208"/>
        <w:rPr>
          <w:rFonts w:hint="eastAsia" w:ascii="宋体" w:hAnsi="宋体" w:cs="宋体"/>
          <w:b/>
          <w:bCs/>
          <w:color w:val="auto"/>
          <w:sz w:val="21"/>
          <w:szCs w:val="21"/>
          <w:highlight w:val="none"/>
        </w:rPr>
      </w:pPr>
      <w:r>
        <w:rPr>
          <w:rFonts w:hint="eastAsia" w:ascii="宋体" w:hAnsi="宋体" w:cs="宋体"/>
          <w:b/>
          <w:bCs/>
          <w:color w:val="auto"/>
          <w:spacing w:val="9"/>
          <w:sz w:val="21"/>
          <w:szCs w:val="21"/>
          <w:highlight w:val="none"/>
        </w:rPr>
        <w:t>统计上大中小微型企业划分标</w:t>
      </w:r>
      <w:r>
        <w:rPr>
          <w:rFonts w:hint="eastAsia" w:ascii="宋体" w:hAnsi="宋体" w:cs="宋体"/>
          <w:b/>
          <w:bCs/>
          <w:color w:val="auto"/>
          <w:spacing w:val="7"/>
          <w:sz w:val="21"/>
          <w:szCs w:val="21"/>
          <w:highlight w:val="none"/>
        </w:rPr>
        <w:t>准</w:t>
      </w:r>
    </w:p>
    <w:p w14:paraId="0C17DAAB">
      <w:pPr>
        <w:rPr>
          <w:rFonts w:hint="eastAsia" w:ascii="宋体" w:hAnsi="宋体" w:cs="宋体"/>
          <w:color w:val="auto"/>
          <w:sz w:val="21"/>
          <w:szCs w:val="21"/>
          <w:highlight w:val="none"/>
        </w:rPr>
      </w:pPr>
    </w:p>
    <w:tbl>
      <w:tblPr>
        <w:tblStyle w:val="185"/>
        <w:tblW w:w="94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1"/>
        <w:gridCol w:w="2014"/>
        <w:gridCol w:w="709"/>
        <w:gridCol w:w="1124"/>
        <w:gridCol w:w="1448"/>
        <w:gridCol w:w="1677"/>
        <w:gridCol w:w="996"/>
      </w:tblGrid>
      <w:tr w14:paraId="6E5E5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71" w:type="dxa"/>
          </w:tcPr>
          <w:p w14:paraId="64249223">
            <w:pPr>
              <w:spacing w:before="210"/>
              <w:jc w:val="center"/>
              <w:rPr>
                <w:rFonts w:hint="eastAsia" w:ascii="宋体" w:hAnsi="宋体" w:cs="宋体"/>
                <w:color w:val="auto"/>
                <w:sz w:val="21"/>
                <w:szCs w:val="21"/>
                <w:highlight w:val="none"/>
              </w:rPr>
            </w:pPr>
            <w:r>
              <w:rPr>
                <w:rFonts w:hint="eastAsia" w:ascii="宋体" w:hAnsi="宋体" w:cs="宋体"/>
                <w:color w:val="auto"/>
                <w:spacing w:val="10"/>
                <w:sz w:val="21"/>
                <w:szCs w:val="21"/>
                <w:highlight w:val="none"/>
              </w:rPr>
              <w:t>行</w:t>
            </w:r>
            <w:r>
              <w:rPr>
                <w:rFonts w:hint="eastAsia" w:ascii="宋体" w:hAnsi="宋体" w:cs="宋体"/>
                <w:color w:val="auto"/>
                <w:spacing w:val="7"/>
                <w:sz w:val="21"/>
                <w:szCs w:val="21"/>
                <w:highlight w:val="none"/>
              </w:rPr>
              <w:t>业名称</w:t>
            </w:r>
          </w:p>
        </w:tc>
        <w:tc>
          <w:tcPr>
            <w:tcW w:w="2014" w:type="dxa"/>
          </w:tcPr>
          <w:p w14:paraId="214A8F19">
            <w:pPr>
              <w:spacing w:before="213"/>
              <w:ind w:left="270"/>
              <w:jc w:val="center"/>
              <w:rPr>
                <w:rFonts w:hint="eastAsia" w:ascii="宋体" w:hAnsi="宋体" w:cs="宋体"/>
                <w:color w:val="auto"/>
                <w:sz w:val="21"/>
                <w:szCs w:val="21"/>
                <w:highlight w:val="none"/>
              </w:rPr>
            </w:pPr>
            <w:r>
              <w:rPr>
                <w:rFonts w:hint="eastAsia" w:ascii="宋体" w:hAnsi="宋体" w:cs="宋体"/>
                <w:color w:val="auto"/>
                <w:spacing w:val="8"/>
                <w:sz w:val="21"/>
                <w:szCs w:val="21"/>
                <w:highlight w:val="none"/>
              </w:rPr>
              <w:t>指标名</w:t>
            </w:r>
            <w:r>
              <w:rPr>
                <w:rFonts w:hint="eastAsia" w:ascii="宋体" w:hAnsi="宋体" w:cs="宋体"/>
                <w:color w:val="auto"/>
                <w:spacing w:val="7"/>
                <w:sz w:val="21"/>
                <w:szCs w:val="21"/>
                <w:highlight w:val="none"/>
              </w:rPr>
              <w:t>称</w:t>
            </w:r>
          </w:p>
        </w:tc>
        <w:tc>
          <w:tcPr>
            <w:tcW w:w="709" w:type="dxa"/>
          </w:tcPr>
          <w:p w14:paraId="05BD4284">
            <w:pPr>
              <w:spacing w:before="56"/>
              <w:ind w:left="147"/>
              <w:jc w:val="center"/>
              <w:rPr>
                <w:rFonts w:hint="eastAsia" w:ascii="宋体" w:hAnsi="宋体" w:cs="宋体"/>
                <w:color w:val="auto"/>
                <w:sz w:val="21"/>
                <w:szCs w:val="21"/>
                <w:highlight w:val="none"/>
              </w:rPr>
            </w:pPr>
            <w:r>
              <w:rPr>
                <w:rFonts w:hint="eastAsia" w:ascii="宋体" w:hAnsi="宋体" w:cs="宋体"/>
                <w:color w:val="auto"/>
                <w:spacing w:val="6"/>
                <w:position w:val="7"/>
                <w:sz w:val="21"/>
                <w:szCs w:val="21"/>
                <w:highlight w:val="none"/>
              </w:rPr>
              <w:t>计量</w:t>
            </w:r>
          </w:p>
          <w:p w14:paraId="7557B2FF">
            <w:pPr>
              <w:ind w:left="149"/>
              <w:jc w:val="center"/>
              <w:rPr>
                <w:rFonts w:hint="eastAsia" w:ascii="宋体" w:hAnsi="宋体" w:cs="宋体"/>
                <w:color w:val="auto"/>
                <w:sz w:val="21"/>
                <w:szCs w:val="21"/>
                <w:highlight w:val="none"/>
              </w:rPr>
            </w:pPr>
            <w:r>
              <w:rPr>
                <w:rFonts w:hint="eastAsia" w:ascii="宋体" w:hAnsi="宋体" w:cs="宋体"/>
                <w:color w:val="auto"/>
                <w:spacing w:val="5"/>
                <w:sz w:val="21"/>
                <w:szCs w:val="21"/>
                <w:highlight w:val="none"/>
              </w:rPr>
              <w:t>单位</w:t>
            </w:r>
          </w:p>
        </w:tc>
        <w:tc>
          <w:tcPr>
            <w:tcW w:w="1124" w:type="dxa"/>
          </w:tcPr>
          <w:p w14:paraId="105B438D">
            <w:pPr>
              <w:spacing w:before="213"/>
              <w:ind w:left="357"/>
              <w:jc w:val="center"/>
              <w:rPr>
                <w:rFonts w:hint="eastAsia" w:ascii="宋体" w:hAnsi="宋体" w:cs="宋体"/>
                <w:color w:val="auto"/>
                <w:sz w:val="21"/>
                <w:szCs w:val="21"/>
                <w:highlight w:val="none"/>
              </w:rPr>
            </w:pPr>
            <w:r>
              <w:rPr>
                <w:rFonts w:hint="eastAsia" w:ascii="宋体" w:hAnsi="宋体" w:cs="宋体"/>
                <w:color w:val="auto"/>
                <w:spacing w:val="5"/>
                <w:sz w:val="21"/>
                <w:szCs w:val="21"/>
                <w:highlight w:val="none"/>
              </w:rPr>
              <w:t>大</w:t>
            </w:r>
            <w:r>
              <w:rPr>
                <w:rFonts w:hint="eastAsia" w:ascii="宋体" w:hAnsi="宋体" w:cs="宋体"/>
                <w:color w:val="auto"/>
                <w:spacing w:val="4"/>
                <w:sz w:val="21"/>
                <w:szCs w:val="21"/>
                <w:highlight w:val="none"/>
              </w:rPr>
              <w:t>型</w:t>
            </w:r>
          </w:p>
        </w:tc>
        <w:tc>
          <w:tcPr>
            <w:tcW w:w="1448" w:type="dxa"/>
          </w:tcPr>
          <w:p w14:paraId="6725023D">
            <w:pPr>
              <w:spacing w:before="213"/>
              <w:ind w:left="664"/>
              <w:jc w:val="center"/>
              <w:rPr>
                <w:rFonts w:hint="eastAsia" w:ascii="宋体" w:hAnsi="宋体" w:cs="宋体"/>
                <w:color w:val="auto"/>
                <w:sz w:val="21"/>
                <w:szCs w:val="21"/>
                <w:highlight w:val="none"/>
              </w:rPr>
            </w:pPr>
            <w:r>
              <w:rPr>
                <w:rFonts w:hint="eastAsia" w:ascii="宋体" w:hAnsi="宋体" w:cs="宋体"/>
                <w:color w:val="auto"/>
                <w:spacing w:val="-4"/>
                <w:sz w:val="21"/>
                <w:szCs w:val="21"/>
                <w:highlight w:val="none"/>
              </w:rPr>
              <w:t>中型</w:t>
            </w:r>
          </w:p>
        </w:tc>
        <w:tc>
          <w:tcPr>
            <w:tcW w:w="1677" w:type="dxa"/>
          </w:tcPr>
          <w:p w14:paraId="297717EB">
            <w:pPr>
              <w:spacing w:before="212"/>
              <w:ind w:left="515"/>
              <w:jc w:val="center"/>
              <w:rPr>
                <w:rFonts w:hint="eastAsia" w:ascii="宋体" w:hAnsi="宋体" w:cs="宋体"/>
                <w:color w:val="auto"/>
                <w:sz w:val="21"/>
                <w:szCs w:val="21"/>
                <w:highlight w:val="none"/>
              </w:rPr>
            </w:pPr>
            <w:r>
              <w:rPr>
                <w:rFonts w:hint="eastAsia" w:ascii="宋体" w:hAnsi="宋体" w:cs="宋体"/>
                <w:color w:val="auto"/>
                <w:spacing w:val="3"/>
                <w:sz w:val="21"/>
                <w:szCs w:val="21"/>
                <w:highlight w:val="none"/>
              </w:rPr>
              <w:t>小型</w:t>
            </w:r>
          </w:p>
        </w:tc>
        <w:tc>
          <w:tcPr>
            <w:tcW w:w="996" w:type="dxa"/>
          </w:tcPr>
          <w:p w14:paraId="0B8F8622">
            <w:pPr>
              <w:spacing w:before="212"/>
              <w:ind w:left="291"/>
              <w:jc w:val="center"/>
              <w:rPr>
                <w:rFonts w:hint="eastAsia" w:ascii="宋体" w:hAnsi="宋体" w:cs="宋体"/>
                <w:color w:val="auto"/>
                <w:sz w:val="21"/>
                <w:szCs w:val="21"/>
                <w:highlight w:val="none"/>
              </w:rPr>
            </w:pPr>
            <w:r>
              <w:rPr>
                <w:rFonts w:hint="eastAsia" w:ascii="宋体" w:hAnsi="宋体" w:cs="宋体"/>
                <w:color w:val="auto"/>
                <w:spacing w:val="6"/>
                <w:sz w:val="21"/>
                <w:szCs w:val="21"/>
                <w:highlight w:val="none"/>
              </w:rPr>
              <w:t>微型</w:t>
            </w:r>
          </w:p>
        </w:tc>
      </w:tr>
      <w:tr w14:paraId="7EBCE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71" w:type="dxa"/>
          </w:tcPr>
          <w:p w14:paraId="4AAC9574">
            <w:pPr>
              <w:spacing w:before="205"/>
              <w:ind w:left="116"/>
              <w:jc w:val="center"/>
              <w:rPr>
                <w:rFonts w:hint="eastAsia" w:ascii="宋体" w:hAnsi="宋体" w:cs="宋体"/>
                <w:color w:val="auto"/>
                <w:sz w:val="21"/>
                <w:szCs w:val="21"/>
                <w:highlight w:val="none"/>
              </w:rPr>
            </w:pPr>
            <w:r>
              <w:rPr>
                <w:rFonts w:hint="eastAsia" w:ascii="宋体" w:hAnsi="宋体" w:cs="宋体"/>
                <w:color w:val="auto"/>
                <w:spacing w:val="13"/>
                <w:sz w:val="21"/>
                <w:szCs w:val="21"/>
                <w:highlight w:val="none"/>
              </w:rPr>
              <w:t>农</w:t>
            </w:r>
            <w:r>
              <w:rPr>
                <w:rFonts w:hint="eastAsia" w:ascii="宋体" w:hAnsi="宋体" w:cs="宋体"/>
                <w:color w:val="auto"/>
                <w:spacing w:val="8"/>
                <w:sz w:val="21"/>
                <w:szCs w:val="21"/>
                <w:highlight w:val="none"/>
              </w:rPr>
              <w:t>、林、牧、渔业</w:t>
            </w:r>
          </w:p>
        </w:tc>
        <w:tc>
          <w:tcPr>
            <w:tcW w:w="2014" w:type="dxa"/>
          </w:tcPr>
          <w:p w14:paraId="319314B1">
            <w:pPr>
              <w:spacing w:before="52"/>
              <w:ind w:left="274"/>
              <w:rPr>
                <w:rFonts w:hint="eastAsia" w:ascii="宋体" w:hAnsi="宋体" w:cs="宋体"/>
                <w:color w:val="auto"/>
                <w:sz w:val="21"/>
                <w:szCs w:val="21"/>
                <w:highlight w:val="none"/>
              </w:rPr>
            </w:pPr>
            <w:r>
              <w:rPr>
                <w:rFonts w:hint="eastAsia" w:ascii="宋体" w:hAnsi="宋体" w:cs="宋体"/>
                <w:color w:val="auto"/>
                <w:spacing w:val="8"/>
                <w:sz w:val="21"/>
                <w:szCs w:val="21"/>
                <w:highlight w:val="none"/>
              </w:rPr>
              <w:t>营</w:t>
            </w:r>
            <w:r>
              <w:rPr>
                <w:rFonts w:hint="eastAsia" w:ascii="宋体" w:hAnsi="宋体" w:cs="宋体"/>
                <w:color w:val="auto"/>
                <w:spacing w:val="5"/>
                <w:sz w:val="21"/>
                <w:szCs w:val="21"/>
                <w:highlight w:val="none"/>
              </w:rPr>
              <w:t>业收入</w:t>
            </w:r>
            <w:r>
              <w:rPr>
                <w:rFonts w:hint="eastAsia" w:ascii="宋体" w:hAnsi="宋体" w:cs="宋体"/>
                <w:color w:val="auto"/>
                <w:spacing w:val="-12"/>
                <w:sz w:val="21"/>
                <w:szCs w:val="21"/>
                <w:highlight w:val="none"/>
              </w:rPr>
              <w:t>(</w:t>
            </w:r>
            <w:r>
              <w:rPr>
                <w:rFonts w:hint="eastAsia" w:ascii="宋体" w:hAnsi="宋体" w:cs="宋体"/>
                <w:color w:val="auto"/>
                <w:spacing w:val="-9"/>
                <w:sz w:val="21"/>
                <w:szCs w:val="21"/>
                <w:highlight w:val="none"/>
              </w:rPr>
              <w:t>Y)</w:t>
            </w:r>
          </w:p>
          <w:p w14:paraId="74F0D24B">
            <w:pPr>
              <w:spacing w:before="64"/>
              <w:ind w:left="568"/>
              <w:rPr>
                <w:rFonts w:hint="eastAsia" w:ascii="宋体" w:hAnsi="宋体" w:cs="宋体"/>
                <w:color w:val="auto"/>
                <w:sz w:val="21"/>
                <w:szCs w:val="21"/>
                <w:highlight w:val="none"/>
              </w:rPr>
            </w:pPr>
          </w:p>
        </w:tc>
        <w:tc>
          <w:tcPr>
            <w:tcW w:w="709" w:type="dxa"/>
          </w:tcPr>
          <w:p w14:paraId="05EA5D2C">
            <w:pPr>
              <w:spacing w:before="208"/>
              <w:ind w:left="154"/>
              <w:rPr>
                <w:rFonts w:hint="eastAsia" w:ascii="宋体" w:hAnsi="宋体" w:cs="宋体"/>
                <w:color w:val="auto"/>
                <w:sz w:val="21"/>
                <w:szCs w:val="21"/>
                <w:highlight w:val="none"/>
              </w:rPr>
            </w:pPr>
            <w:r>
              <w:rPr>
                <w:rFonts w:hint="eastAsia" w:ascii="宋体" w:hAnsi="宋体" w:cs="宋体"/>
                <w:color w:val="auto"/>
                <w:spacing w:val="2"/>
                <w:sz w:val="21"/>
                <w:szCs w:val="21"/>
                <w:highlight w:val="none"/>
              </w:rPr>
              <w:t>万元</w:t>
            </w:r>
          </w:p>
        </w:tc>
        <w:tc>
          <w:tcPr>
            <w:tcW w:w="1124" w:type="dxa"/>
          </w:tcPr>
          <w:p w14:paraId="586A4781">
            <w:pPr>
              <w:spacing w:before="208"/>
              <w:ind w:left="143"/>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Y</w:t>
            </w:r>
            <w:r>
              <w:rPr>
                <w:rFonts w:hint="eastAsia" w:ascii="宋体" w:hAnsi="宋体" w:cs="宋体"/>
                <w:color w:val="auto"/>
                <w:spacing w:val="9"/>
                <w:position w:val="1"/>
                <w:sz w:val="21"/>
                <w:szCs w:val="21"/>
                <w:highlight w:val="none"/>
              </w:rPr>
              <w:t>≥</w:t>
            </w:r>
            <w:r>
              <w:rPr>
                <w:rFonts w:hint="eastAsia" w:ascii="宋体" w:hAnsi="宋体" w:cs="宋体"/>
                <w:color w:val="auto"/>
                <w:spacing w:val="5"/>
                <w:position w:val="1"/>
                <w:sz w:val="21"/>
                <w:szCs w:val="21"/>
                <w:highlight w:val="none"/>
              </w:rPr>
              <w:t>20000</w:t>
            </w:r>
          </w:p>
        </w:tc>
        <w:tc>
          <w:tcPr>
            <w:tcW w:w="1448" w:type="dxa"/>
          </w:tcPr>
          <w:p w14:paraId="2C2475BA">
            <w:pPr>
              <w:spacing w:before="208"/>
              <w:ind w:left="229"/>
              <w:rPr>
                <w:rFonts w:hint="eastAsia" w:ascii="宋体" w:hAnsi="宋体" w:cs="宋体"/>
                <w:color w:val="auto"/>
                <w:sz w:val="21"/>
                <w:szCs w:val="21"/>
                <w:highlight w:val="none"/>
              </w:rPr>
            </w:pPr>
            <w:r>
              <w:rPr>
                <w:rFonts w:hint="eastAsia" w:ascii="宋体" w:hAnsi="宋体" w:cs="宋体"/>
                <w:color w:val="auto"/>
                <w:spacing w:val="7"/>
                <w:position w:val="1"/>
                <w:sz w:val="21"/>
                <w:szCs w:val="21"/>
                <w:highlight w:val="none"/>
              </w:rPr>
              <w:t>5</w:t>
            </w:r>
            <w:r>
              <w:rPr>
                <w:rFonts w:hint="eastAsia" w:ascii="宋体" w:hAnsi="宋体" w:cs="宋体"/>
                <w:color w:val="auto"/>
                <w:spacing w:val="5"/>
                <w:position w:val="1"/>
                <w:sz w:val="21"/>
                <w:szCs w:val="21"/>
                <w:highlight w:val="none"/>
              </w:rPr>
              <w:t>00≤</w:t>
            </w:r>
            <w:r>
              <w:rPr>
                <w:rFonts w:hint="eastAsia" w:ascii="宋体" w:hAnsi="宋体" w:cs="宋体"/>
                <w:color w:val="auto"/>
                <w:position w:val="1"/>
                <w:sz w:val="21"/>
                <w:szCs w:val="21"/>
                <w:highlight w:val="none"/>
              </w:rPr>
              <w:t>Y</w:t>
            </w:r>
            <w:r>
              <w:rPr>
                <w:rFonts w:hint="eastAsia" w:ascii="宋体" w:hAnsi="宋体" w:cs="宋体"/>
                <w:color w:val="auto"/>
                <w:spacing w:val="5"/>
                <w:position w:val="1"/>
                <w:sz w:val="21"/>
                <w:szCs w:val="21"/>
                <w:highlight w:val="none"/>
              </w:rPr>
              <w:t>＜20000</w:t>
            </w:r>
          </w:p>
        </w:tc>
        <w:tc>
          <w:tcPr>
            <w:tcW w:w="1677" w:type="dxa"/>
          </w:tcPr>
          <w:p w14:paraId="06AD3296">
            <w:pPr>
              <w:spacing w:before="208"/>
              <w:ind w:left="249"/>
              <w:rPr>
                <w:rFonts w:hint="eastAsia" w:ascii="宋体" w:hAnsi="宋体" w:cs="宋体"/>
                <w:color w:val="auto"/>
                <w:sz w:val="21"/>
                <w:szCs w:val="21"/>
                <w:highlight w:val="none"/>
              </w:rPr>
            </w:pPr>
            <w:r>
              <w:rPr>
                <w:rFonts w:hint="eastAsia" w:ascii="宋体" w:hAnsi="宋体" w:cs="宋体"/>
                <w:color w:val="auto"/>
                <w:spacing w:val="10"/>
                <w:position w:val="1"/>
                <w:sz w:val="21"/>
                <w:szCs w:val="21"/>
                <w:highlight w:val="none"/>
              </w:rPr>
              <w:t>5</w:t>
            </w:r>
            <w:r>
              <w:rPr>
                <w:rFonts w:hint="eastAsia" w:ascii="宋体" w:hAnsi="宋体" w:cs="宋体"/>
                <w:color w:val="auto"/>
                <w:spacing w:val="5"/>
                <w:position w:val="1"/>
                <w:sz w:val="21"/>
                <w:szCs w:val="21"/>
                <w:highlight w:val="none"/>
              </w:rPr>
              <w:t>0≤</w:t>
            </w:r>
            <w:r>
              <w:rPr>
                <w:rFonts w:hint="eastAsia" w:ascii="宋体" w:hAnsi="宋体" w:cs="宋体"/>
                <w:color w:val="auto"/>
                <w:position w:val="1"/>
                <w:sz w:val="21"/>
                <w:szCs w:val="21"/>
                <w:highlight w:val="none"/>
              </w:rPr>
              <w:t>Y</w:t>
            </w:r>
            <w:r>
              <w:rPr>
                <w:rFonts w:hint="eastAsia" w:ascii="宋体" w:hAnsi="宋体" w:cs="宋体"/>
                <w:color w:val="auto"/>
                <w:spacing w:val="5"/>
                <w:position w:val="1"/>
                <w:sz w:val="21"/>
                <w:szCs w:val="21"/>
                <w:highlight w:val="none"/>
              </w:rPr>
              <w:t>＜500</w:t>
            </w:r>
          </w:p>
        </w:tc>
        <w:tc>
          <w:tcPr>
            <w:tcW w:w="996" w:type="dxa"/>
          </w:tcPr>
          <w:p w14:paraId="1F817C8C">
            <w:pPr>
              <w:spacing w:before="208"/>
              <w:ind w:left="238"/>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Y</w:t>
            </w:r>
            <w:r>
              <w:rPr>
                <w:rFonts w:hint="eastAsia" w:ascii="宋体" w:hAnsi="宋体" w:cs="宋体"/>
                <w:color w:val="auto"/>
                <w:spacing w:val="7"/>
                <w:position w:val="1"/>
                <w:sz w:val="21"/>
                <w:szCs w:val="21"/>
                <w:highlight w:val="none"/>
              </w:rPr>
              <w:t>＜</w:t>
            </w:r>
            <w:r>
              <w:rPr>
                <w:rFonts w:hint="eastAsia" w:ascii="宋体" w:hAnsi="宋体" w:cs="宋体"/>
                <w:color w:val="auto"/>
                <w:spacing w:val="6"/>
                <w:position w:val="1"/>
                <w:sz w:val="21"/>
                <w:szCs w:val="21"/>
                <w:highlight w:val="none"/>
              </w:rPr>
              <w:t>50</w:t>
            </w:r>
          </w:p>
        </w:tc>
      </w:tr>
      <w:tr w14:paraId="5ED76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71" w:type="dxa"/>
            <w:vMerge w:val="restart"/>
            <w:tcBorders>
              <w:bottom w:val="nil"/>
            </w:tcBorders>
          </w:tcPr>
          <w:p w14:paraId="7ADDA813">
            <w:pPr>
              <w:jc w:val="center"/>
              <w:rPr>
                <w:rFonts w:hint="eastAsia" w:ascii="宋体" w:hAnsi="宋体" w:cs="宋体"/>
                <w:color w:val="auto"/>
                <w:sz w:val="21"/>
                <w:szCs w:val="21"/>
                <w:highlight w:val="none"/>
              </w:rPr>
            </w:pPr>
          </w:p>
          <w:p w14:paraId="5873DCE3">
            <w:pPr>
              <w:spacing w:before="65"/>
              <w:ind w:left="119"/>
              <w:jc w:val="center"/>
              <w:rPr>
                <w:rFonts w:hint="eastAsia" w:ascii="宋体" w:hAnsi="宋体" w:cs="宋体"/>
                <w:color w:val="auto"/>
                <w:sz w:val="21"/>
                <w:szCs w:val="21"/>
                <w:highlight w:val="none"/>
              </w:rPr>
            </w:pPr>
            <w:r>
              <w:rPr>
                <w:rFonts w:hint="eastAsia" w:ascii="宋体" w:hAnsi="宋体" w:cs="宋体"/>
                <w:color w:val="auto"/>
                <w:spacing w:val="5"/>
                <w:sz w:val="21"/>
                <w:szCs w:val="21"/>
                <w:highlight w:val="none"/>
              </w:rPr>
              <w:t xml:space="preserve">工业 </w:t>
            </w:r>
            <w:r>
              <w:rPr>
                <w:rFonts w:hint="eastAsia" w:ascii="宋体" w:hAnsi="宋体" w:cs="宋体"/>
                <w:color w:val="auto"/>
                <w:spacing w:val="4"/>
                <w:sz w:val="21"/>
                <w:szCs w:val="21"/>
                <w:highlight w:val="none"/>
              </w:rPr>
              <w:t>*</w:t>
            </w:r>
          </w:p>
        </w:tc>
        <w:tc>
          <w:tcPr>
            <w:tcW w:w="2014" w:type="dxa"/>
          </w:tcPr>
          <w:p w14:paraId="28AF037B">
            <w:pPr>
              <w:spacing w:before="52"/>
              <w:ind w:left="270"/>
              <w:rPr>
                <w:rFonts w:hint="eastAsia" w:ascii="宋体" w:hAnsi="宋体" w:cs="宋体"/>
                <w:color w:val="auto"/>
                <w:sz w:val="21"/>
                <w:szCs w:val="21"/>
                <w:highlight w:val="none"/>
              </w:rPr>
            </w:pPr>
            <w:r>
              <w:rPr>
                <w:rFonts w:hint="eastAsia" w:ascii="宋体" w:hAnsi="宋体" w:cs="宋体"/>
                <w:color w:val="auto"/>
                <w:spacing w:val="9"/>
                <w:sz w:val="21"/>
                <w:szCs w:val="21"/>
                <w:highlight w:val="none"/>
              </w:rPr>
              <w:t>从</w:t>
            </w:r>
            <w:r>
              <w:rPr>
                <w:rFonts w:hint="eastAsia" w:ascii="宋体" w:hAnsi="宋体" w:cs="宋体"/>
                <w:color w:val="auto"/>
                <w:spacing w:val="6"/>
                <w:sz w:val="21"/>
                <w:szCs w:val="21"/>
                <w:highlight w:val="none"/>
              </w:rPr>
              <w:t>业人员</w:t>
            </w:r>
          </w:p>
          <w:p w14:paraId="79A3BB6D">
            <w:pPr>
              <w:spacing w:before="64"/>
              <w:ind w:left="568"/>
              <w:rPr>
                <w:rFonts w:hint="eastAsia" w:ascii="宋体" w:hAnsi="宋体" w:cs="宋体"/>
                <w:color w:val="auto"/>
                <w:sz w:val="21"/>
                <w:szCs w:val="21"/>
                <w:highlight w:val="none"/>
              </w:rPr>
            </w:pPr>
            <w:r>
              <w:rPr>
                <w:rFonts w:hint="eastAsia" w:ascii="宋体" w:hAnsi="宋体" w:cs="宋体"/>
                <w:color w:val="auto"/>
                <w:spacing w:val="-12"/>
                <w:sz w:val="21"/>
                <w:szCs w:val="21"/>
                <w:highlight w:val="none"/>
              </w:rPr>
              <w:t>(</w:t>
            </w:r>
            <w:r>
              <w:rPr>
                <w:rFonts w:hint="eastAsia" w:ascii="宋体" w:hAnsi="宋体" w:cs="宋体"/>
                <w:color w:val="auto"/>
                <w:spacing w:val="-9"/>
                <w:sz w:val="21"/>
                <w:szCs w:val="21"/>
                <w:highlight w:val="none"/>
              </w:rPr>
              <w:t>X)</w:t>
            </w:r>
          </w:p>
        </w:tc>
        <w:tc>
          <w:tcPr>
            <w:tcW w:w="709" w:type="dxa"/>
          </w:tcPr>
          <w:p w14:paraId="7929C0AF">
            <w:pPr>
              <w:spacing w:before="207"/>
              <w:ind w:left="254"/>
              <w:rPr>
                <w:rFonts w:hint="eastAsia" w:ascii="宋体" w:hAnsi="宋体" w:cs="宋体"/>
                <w:color w:val="auto"/>
                <w:sz w:val="21"/>
                <w:szCs w:val="21"/>
                <w:highlight w:val="none"/>
              </w:rPr>
            </w:pPr>
            <w:r>
              <w:rPr>
                <w:rFonts w:hint="eastAsia" w:ascii="宋体" w:hAnsi="宋体" w:cs="宋体"/>
                <w:color w:val="auto"/>
                <w:sz w:val="21"/>
                <w:szCs w:val="21"/>
                <w:highlight w:val="none"/>
              </w:rPr>
              <w:t>人</w:t>
            </w:r>
          </w:p>
        </w:tc>
        <w:tc>
          <w:tcPr>
            <w:tcW w:w="1124" w:type="dxa"/>
          </w:tcPr>
          <w:p w14:paraId="6E5A2677">
            <w:pPr>
              <w:spacing w:before="208"/>
              <w:ind w:left="196"/>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X</w:t>
            </w:r>
            <w:r>
              <w:rPr>
                <w:rFonts w:hint="eastAsia" w:ascii="宋体" w:hAnsi="宋体" w:cs="宋体"/>
                <w:color w:val="auto"/>
                <w:spacing w:val="6"/>
                <w:position w:val="1"/>
                <w:sz w:val="21"/>
                <w:szCs w:val="21"/>
                <w:highlight w:val="none"/>
              </w:rPr>
              <w:t>≥1000</w:t>
            </w:r>
          </w:p>
        </w:tc>
        <w:tc>
          <w:tcPr>
            <w:tcW w:w="1448" w:type="dxa"/>
          </w:tcPr>
          <w:p w14:paraId="3A72666C">
            <w:pPr>
              <w:spacing w:before="208"/>
              <w:ind w:left="229"/>
              <w:rPr>
                <w:rFonts w:hint="eastAsia" w:ascii="宋体" w:hAnsi="宋体" w:cs="宋体"/>
                <w:color w:val="auto"/>
                <w:sz w:val="21"/>
                <w:szCs w:val="21"/>
                <w:highlight w:val="none"/>
              </w:rPr>
            </w:pPr>
            <w:r>
              <w:rPr>
                <w:rFonts w:hint="eastAsia" w:ascii="宋体" w:hAnsi="宋体" w:cs="宋体"/>
                <w:color w:val="auto"/>
                <w:spacing w:val="8"/>
                <w:position w:val="1"/>
                <w:sz w:val="21"/>
                <w:szCs w:val="21"/>
                <w:highlight w:val="none"/>
              </w:rPr>
              <w:t>3</w:t>
            </w:r>
            <w:r>
              <w:rPr>
                <w:rFonts w:hint="eastAsia" w:ascii="宋体" w:hAnsi="宋体" w:cs="宋体"/>
                <w:color w:val="auto"/>
                <w:spacing w:val="5"/>
                <w:position w:val="1"/>
                <w:sz w:val="21"/>
                <w:szCs w:val="21"/>
                <w:highlight w:val="none"/>
              </w:rPr>
              <w:t>00≤</w:t>
            </w:r>
            <w:r>
              <w:rPr>
                <w:rFonts w:hint="eastAsia" w:ascii="宋体" w:hAnsi="宋体" w:cs="宋体"/>
                <w:color w:val="auto"/>
                <w:position w:val="1"/>
                <w:sz w:val="21"/>
                <w:szCs w:val="21"/>
                <w:highlight w:val="none"/>
              </w:rPr>
              <w:t>X</w:t>
            </w:r>
            <w:r>
              <w:rPr>
                <w:rFonts w:hint="eastAsia" w:ascii="宋体" w:hAnsi="宋体" w:cs="宋体"/>
                <w:color w:val="auto"/>
                <w:spacing w:val="5"/>
                <w:position w:val="1"/>
                <w:sz w:val="21"/>
                <w:szCs w:val="21"/>
                <w:highlight w:val="none"/>
              </w:rPr>
              <w:t>＜1000</w:t>
            </w:r>
          </w:p>
        </w:tc>
        <w:tc>
          <w:tcPr>
            <w:tcW w:w="1677" w:type="dxa"/>
          </w:tcPr>
          <w:p w14:paraId="1419FC70">
            <w:pPr>
              <w:spacing w:before="208"/>
              <w:ind w:left="248"/>
              <w:rPr>
                <w:rFonts w:hint="eastAsia" w:ascii="宋体" w:hAnsi="宋体" w:cs="宋体"/>
                <w:color w:val="auto"/>
                <w:sz w:val="21"/>
                <w:szCs w:val="21"/>
                <w:highlight w:val="none"/>
              </w:rPr>
            </w:pPr>
            <w:r>
              <w:rPr>
                <w:rFonts w:hint="eastAsia" w:ascii="宋体" w:hAnsi="宋体" w:cs="宋体"/>
                <w:color w:val="auto"/>
                <w:spacing w:val="6"/>
                <w:position w:val="1"/>
                <w:sz w:val="21"/>
                <w:szCs w:val="21"/>
                <w:highlight w:val="none"/>
              </w:rPr>
              <w:t>20≤</w:t>
            </w:r>
            <w:r>
              <w:rPr>
                <w:rFonts w:hint="eastAsia" w:ascii="宋体" w:hAnsi="宋体" w:cs="宋体"/>
                <w:color w:val="auto"/>
                <w:position w:val="1"/>
                <w:sz w:val="21"/>
                <w:szCs w:val="21"/>
                <w:highlight w:val="none"/>
              </w:rPr>
              <w:t>X</w:t>
            </w:r>
            <w:r>
              <w:rPr>
                <w:rFonts w:hint="eastAsia" w:ascii="宋体" w:hAnsi="宋体" w:cs="宋体"/>
                <w:color w:val="auto"/>
                <w:spacing w:val="6"/>
                <w:position w:val="1"/>
                <w:sz w:val="21"/>
                <w:szCs w:val="21"/>
                <w:highlight w:val="none"/>
              </w:rPr>
              <w:t>＜30</w:t>
            </w:r>
            <w:r>
              <w:rPr>
                <w:rFonts w:hint="eastAsia" w:ascii="宋体" w:hAnsi="宋体" w:cs="宋体"/>
                <w:color w:val="auto"/>
                <w:spacing w:val="5"/>
                <w:position w:val="1"/>
                <w:sz w:val="21"/>
                <w:szCs w:val="21"/>
                <w:highlight w:val="none"/>
              </w:rPr>
              <w:t>0</w:t>
            </w:r>
          </w:p>
        </w:tc>
        <w:tc>
          <w:tcPr>
            <w:tcW w:w="996" w:type="dxa"/>
          </w:tcPr>
          <w:p w14:paraId="342FF7DF">
            <w:pPr>
              <w:spacing w:before="208"/>
              <w:ind w:left="239"/>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X</w:t>
            </w:r>
            <w:r>
              <w:rPr>
                <w:rFonts w:hint="eastAsia" w:ascii="宋体" w:hAnsi="宋体" w:cs="宋体"/>
                <w:color w:val="auto"/>
                <w:spacing w:val="6"/>
                <w:position w:val="1"/>
                <w:sz w:val="21"/>
                <w:szCs w:val="21"/>
                <w:highlight w:val="none"/>
              </w:rPr>
              <w:t>＜20</w:t>
            </w:r>
          </w:p>
        </w:tc>
      </w:tr>
      <w:tr w14:paraId="42734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71" w:type="dxa"/>
            <w:vMerge w:val="continue"/>
            <w:tcBorders>
              <w:top w:val="nil"/>
            </w:tcBorders>
          </w:tcPr>
          <w:p w14:paraId="37321C2A">
            <w:pPr>
              <w:jc w:val="center"/>
              <w:rPr>
                <w:rFonts w:hint="eastAsia" w:ascii="宋体" w:hAnsi="宋体" w:cs="宋体"/>
                <w:color w:val="auto"/>
                <w:sz w:val="21"/>
                <w:szCs w:val="21"/>
                <w:highlight w:val="none"/>
              </w:rPr>
            </w:pPr>
          </w:p>
        </w:tc>
        <w:tc>
          <w:tcPr>
            <w:tcW w:w="2014" w:type="dxa"/>
          </w:tcPr>
          <w:p w14:paraId="5674859A">
            <w:pPr>
              <w:spacing w:before="85"/>
              <w:ind w:left="274"/>
              <w:rPr>
                <w:rFonts w:hint="eastAsia" w:ascii="宋体" w:hAnsi="宋体" w:cs="宋体"/>
                <w:color w:val="auto"/>
                <w:sz w:val="21"/>
                <w:szCs w:val="21"/>
                <w:highlight w:val="none"/>
              </w:rPr>
            </w:pPr>
            <w:r>
              <w:rPr>
                <w:rFonts w:hint="eastAsia" w:ascii="宋体" w:hAnsi="宋体" w:cs="宋体"/>
                <w:color w:val="auto"/>
                <w:spacing w:val="8"/>
                <w:sz w:val="21"/>
                <w:szCs w:val="21"/>
                <w:highlight w:val="none"/>
              </w:rPr>
              <w:t>营</w:t>
            </w:r>
            <w:r>
              <w:rPr>
                <w:rFonts w:hint="eastAsia" w:ascii="宋体" w:hAnsi="宋体" w:cs="宋体"/>
                <w:color w:val="auto"/>
                <w:spacing w:val="5"/>
                <w:sz w:val="21"/>
                <w:szCs w:val="21"/>
                <w:highlight w:val="none"/>
              </w:rPr>
              <w:t>业收入</w:t>
            </w:r>
          </w:p>
          <w:p w14:paraId="08448347">
            <w:pPr>
              <w:ind w:left="568"/>
              <w:rPr>
                <w:rFonts w:hint="eastAsia" w:ascii="宋体" w:hAnsi="宋体" w:cs="宋体"/>
                <w:color w:val="auto"/>
                <w:sz w:val="21"/>
                <w:szCs w:val="21"/>
                <w:highlight w:val="none"/>
              </w:rPr>
            </w:pPr>
            <w:r>
              <w:rPr>
                <w:rFonts w:hint="eastAsia" w:ascii="宋体" w:hAnsi="宋体" w:cs="宋体"/>
                <w:color w:val="auto"/>
                <w:spacing w:val="-12"/>
                <w:sz w:val="21"/>
                <w:szCs w:val="21"/>
                <w:highlight w:val="none"/>
              </w:rPr>
              <w:t>(</w:t>
            </w:r>
            <w:r>
              <w:rPr>
                <w:rFonts w:hint="eastAsia" w:ascii="宋体" w:hAnsi="宋体" w:cs="宋体"/>
                <w:color w:val="auto"/>
                <w:spacing w:val="-9"/>
                <w:sz w:val="21"/>
                <w:szCs w:val="21"/>
                <w:highlight w:val="none"/>
              </w:rPr>
              <w:t>Y)</w:t>
            </w:r>
          </w:p>
        </w:tc>
        <w:tc>
          <w:tcPr>
            <w:tcW w:w="709" w:type="dxa"/>
          </w:tcPr>
          <w:p w14:paraId="6D4C5918">
            <w:pPr>
              <w:spacing w:before="209"/>
              <w:ind w:left="154"/>
              <w:rPr>
                <w:rFonts w:hint="eastAsia" w:ascii="宋体" w:hAnsi="宋体" w:cs="宋体"/>
                <w:color w:val="auto"/>
                <w:sz w:val="21"/>
                <w:szCs w:val="21"/>
                <w:highlight w:val="none"/>
              </w:rPr>
            </w:pPr>
            <w:r>
              <w:rPr>
                <w:rFonts w:hint="eastAsia" w:ascii="宋体" w:hAnsi="宋体" w:cs="宋体"/>
                <w:color w:val="auto"/>
                <w:spacing w:val="2"/>
                <w:sz w:val="21"/>
                <w:szCs w:val="21"/>
                <w:highlight w:val="none"/>
              </w:rPr>
              <w:t>万元</w:t>
            </w:r>
          </w:p>
        </w:tc>
        <w:tc>
          <w:tcPr>
            <w:tcW w:w="1124" w:type="dxa"/>
          </w:tcPr>
          <w:p w14:paraId="7EDAFBAF">
            <w:pPr>
              <w:spacing w:before="208"/>
              <w:ind w:left="143"/>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Y</w:t>
            </w:r>
            <w:r>
              <w:rPr>
                <w:rFonts w:hint="eastAsia" w:ascii="宋体" w:hAnsi="宋体" w:cs="宋体"/>
                <w:color w:val="auto"/>
                <w:spacing w:val="9"/>
                <w:position w:val="1"/>
                <w:sz w:val="21"/>
                <w:szCs w:val="21"/>
                <w:highlight w:val="none"/>
              </w:rPr>
              <w:t>≥</w:t>
            </w:r>
            <w:r>
              <w:rPr>
                <w:rFonts w:hint="eastAsia" w:ascii="宋体" w:hAnsi="宋体" w:cs="宋体"/>
                <w:color w:val="auto"/>
                <w:spacing w:val="5"/>
                <w:position w:val="1"/>
                <w:sz w:val="21"/>
                <w:szCs w:val="21"/>
                <w:highlight w:val="none"/>
              </w:rPr>
              <w:t>40000</w:t>
            </w:r>
          </w:p>
        </w:tc>
        <w:tc>
          <w:tcPr>
            <w:tcW w:w="1448" w:type="dxa"/>
          </w:tcPr>
          <w:p w14:paraId="67E4B97C">
            <w:pPr>
              <w:spacing w:before="208"/>
              <w:ind w:left="124"/>
              <w:rPr>
                <w:rFonts w:hint="eastAsia" w:ascii="宋体" w:hAnsi="宋体" w:cs="宋体"/>
                <w:color w:val="auto"/>
                <w:sz w:val="21"/>
                <w:szCs w:val="21"/>
                <w:highlight w:val="none"/>
              </w:rPr>
            </w:pPr>
            <w:r>
              <w:rPr>
                <w:rFonts w:hint="eastAsia" w:ascii="宋体" w:hAnsi="宋体" w:cs="宋体"/>
                <w:color w:val="auto"/>
                <w:spacing w:val="7"/>
                <w:position w:val="1"/>
                <w:sz w:val="21"/>
                <w:szCs w:val="21"/>
                <w:highlight w:val="none"/>
              </w:rPr>
              <w:t>2</w:t>
            </w:r>
            <w:r>
              <w:rPr>
                <w:rFonts w:hint="eastAsia" w:ascii="宋体" w:hAnsi="宋体" w:cs="宋体"/>
                <w:color w:val="auto"/>
                <w:spacing w:val="5"/>
                <w:position w:val="1"/>
                <w:sz w:val="21"/>
                <w:szCs w:val="21"/>
                <w:highlight w:val="none"/>
              </w:rPr>
              <w:t>000≤</w:t>
            </w:r>
            <w:r>
              <w:rPr>
                <w:rFonts w:hint="eastAsia" w:ascii="宋体" w:hAnsi="宋体" w:cs="宋体"/>
                <w:color w:val="auto"/>
                <w:position w:val="1"/>
                <w:sz w:val="21"/>
                <w:szCs w:val="21"/>
                <w:highlight w:val="none"/>
              </w:rPr>
              <w:t>Y</w:t>
            </w:r>
            <w:r>
              <w:rPr>
                <w:rFonts w:hint="eastAsia" w:ascii="宋体" w:hAnsi="宋体" w:cs="宋体"/>
                <w:color w:val="auto"/>
                <w:spacing w:val="5"/>
                <w:position w:val="1"/>
                <w:sz w:val="21"/>
                <w:szCs w:val="21"/>
                <w:highlight w:val="none"/>
              </w:rPr>
              <w:t>＜40000</w:t>
            </w:r>
          </w:p>
        </w:tc>
        <w:tc>
          <w:tcPr>
            <w:tcW w:w="1677" w:type="dxa"/>
          </w:tcPr>
          <w:p w14:paraId="4B53E1A8">
            <w:pPr>
              <w:spacing w:before="53"/>
              <w:ind w:left="511" w:right="261" w:hanging="156"/>
              <w:rPr>
                <w:rFonts w:hint="eastAsia" w:ascii="宋体" w:hAnsi="宋体" w:cs="宋体"/>
                <w:color w:val="auto"/>
                <w:sz w:val="21"/>
                <w:szCs w:val="21"/>
                <w:highlight w:val="none"/>
              </w:rPr>
            </w:pPr>
            <w:r>
              <w:rPr>
                <w:rFonts w:hint="eastAsia" w:ascii="宋体" w:hAnsi="宋体" w:cs="宋体"/>
                <w:color w:val="auto"/>
                <w:spacing w:val="1"/>
                <w:sz w:val="21"/>
                <w:szCs w:val="21"/>
                <w:highlight w:val="none"/>
              </w:rPr>
              <w:t>30</w:t>
            </w:r>
            <w:r>
              <w:rPr>
                <w:rFonts w:hint="eastAsia" w:ascii="宋体" w:hAnsi="宋体" w:cs="宋体"/>
                <w:color w:val="auto"/>
                <w:sz w:val="21"/>
                <w:szCs w:val="21"/>
                <w:highlight w:val="none"/>
              </w:rPr>
              <w:t xml:space="preserve">0≤Y＜ </w:t>
            </w:r>
            <w:r>
              <w:rPr>
                <w:rFonts w:hint="eastAsia" w:ascii="宋体" w:hAnsi="宋体" w:cs="宋体"/>
                <w:color w:val="auto"/>
                <w:spacing w:val="4"/>
                <w:sz w:val="21"/>
                <w:szCs w:val="21"/>
                <w:highlight w:val="none"/>
              </w:rPr>
              <w:t>2</w:t>
            </w:r>
            <w:r>
              <w:rPr>
                <w:rFonts w:hint="eastAsia" w:ascii="宋体" w:hAnsi="宋体" w:cs="宋体"/>
                <w:color w:val="auto"/>
                <w:spacing w:val="2"/>
                <w:sz w:val="21"/>
                <w:szCs w:val="21"/>
                <w:highlight w:val="none"/>
              </w:rPr>
              <w:t>000</w:t>
            </w:r>
          </w:p>
        </w:tc>
        <w:tc>
          <w:tcPr>
            <w:tcW w:w="996" w:type="dxa"/>
          </w:tcPr>
          <w:p w14:paraId="090DD4C4">
            <w:pPr>
              <w:spacing w:before="208"/>
              <w:ind w:left="185"/>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Y</w:t>
            </w:r>
            <w:r>
              <w:rPr>
                <w:rFonts w:hint="eastAsia" w:ascii="宋体" w:hAnsi="宋体" w:cs="宋体"/>
                <w:color w:val="auto"/>
                <w:spacing w:val="7"/>
                <w:position w:val="1"/>
                <w:sz w:val="21"/>
                <w:szCs w:val="21"/>
                <w:highlight w:val="none"/>
              </w:rPr>
              <w:t>＜</w:t>
            </w:r>
            <w:r>
              <w:rPr>
                <w:rFonts w:hint="eastAsia" w:ascii="宋体" w:hAnsi="宋体" w:cs="宋体"/>
                <w:color w:val="auto"/>
                <w:spacing w:val="6"/>
                <w:position w:val="1"/>
                <w:sz w:val="21"/>
                <w:szCs w:val="21"/>
                <w:highlight w:val="none"/>
              </w:rPr>
              <w:t>300</w:t>
            </w:r>
          </w:p>
        </w:tc>
      </w:tr>
      <w:tr w14:paraId="00476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71" w:type="dxa"/>
            <w:vMerge w:val="restart"/>
            <w:tcBorders>
              <w:bottom w:val="nil"/>
            </w:tcBorders>
          </w:tcPr>
          <w:p w14:paraId="7513F27B">
            <w:pPr>
              <w:jc w:val="center"/>
              <w:rPr>
                <w:rFonts w:hint="eastAsia" w:ascii="宋体" w:hAnsi="宋体" w:cs="宋体"/>
                <w:color w:val="auto"/>
                <w:sz w:val="21"/>
                <w:szCs w:val="21"/>
                <w:highlight w:val="none"/>
              </w:rPr>
            </w:pPr>
          </w:p>
          <w:p w14:paraId="66A78699">
            <w:pPr>
              <w:spacing w:before="65"/>
              <w:ind w:left="119"/>
              <w:jc w:val="center"/>
              <w:rPr>
                <w:rFonts w:hint="eastAsia" w:ascii="宋体" w:hAnsi="宋体" w:cs="宋体"/>
                <w:color w:val="auto"/>
                <w:sz w:val="21"/>
                <w:szCs w:val="21"/>
                <w:highlight w:val="none"/>
              </w:rPr>
            </w:pPr>
            <w:r>
              <w:rPr>
                <w:rFonts w:hint="eastAsia" w:ascii="宋体" w:hAnsi="宋体" w:cs="宋体"/>
                <w:color w:val="auto"/>
                <w:spacing w:val="6"/>
                <w:sz w:val="21"/>
                <w:szCs w:val="21"/>
                <w:highlight w:val="none"/>
              </w:rPr>
              <w:t>建筑业</w:t>
            </w:r>
          </w:p>
        </w:tc>
        <w:tc>
          <w:tcPr>
            <w:tcW w:w="2014" w:type="dxa"/>
          </w:tcPr>
          <w:p w14:paraId="65A3FAF8">
            <w:pPr>
              <w:spacing w:before="51"/>
              <w:ind w:left="274"/>
              <w:rPr>
                <w:rFonts w:hint="eastAsia" w:ascii="宋体" w:hAnsi="宋体" w:cs="宋体"/>
                <w:color w:val="auto"/>
                <w:sz w:val="21"/>
                <w:szCs w:val="21"/>
                <w:highlight w:val="none"/>
              </w:rPr>
            </w:pPr>
            <w:r>
              <w:rPr>
                <w:rFonts w:hint="eastAsia" w:ascii="宋体" w:hAnsi="宋体" w:cs="宋体"/>
                <w:color w:val="auto"/>
                <w:spacing w:val="8"/>
                <w:sz w:val="21"/>
                <w:szCs w:val="21"/>
                <w:highlight w:val="none"/>
              </w:rPr>
              <w:t>营</w:t>
            </w:r>
            <w:r>
              <w:rPr>
                <w:rFonts w:hint="eastAsia" w:ascii="宋体" w:hAnsi="宋体" w:cs="宋体"/>
                <w:color w:val="auto"/>
                <w:spacing w:val="5"/>
                <w:sz w:val="21"/>
                <w:szCs w:val="21"/>
                <w:highlight w:val="none"/>
              </w:rPr>
              <w:t>业收入</w:t>
            </w:r>
          </w:p>
          <w:p w14:paraId="4F445F95">
            <w:pPr>
              <w:spacing w:before="64"/>
              <w:ind w:left="568"/>
              <w:rPr>
                <w:rFonts w:hint="eastAsia" w:ascii="宋体" w:hAnsi="宋体" w:cs="宋体"/>
                <w:color w:val="auto"/>
                <w:sz w:val="21"/>
                <w:szCs w:val="21"/>
                <w:highlight w:val="none"/>
              </w:rPr>
            </w:pPr>
            <w:r>
              <w:rPr>
                <w:rFonts w:hint="eastAsia" w:ascii="宋体" w:hAnsi="宋体" w:cs="宋体"/>
                <w:color w:val="auto"/>
                <w:spacing w:val="-12"/>
                <w:sz w:val="21"/>
                <w:szCs w:val="21"/>
                <w:highlight w:val="none"/>
              </w:rPr>
              <w:t>(</w:t>
            </w:r>
            <w:r>
              <w:rPr>
                <w:rFonts w:hint="eastAsia" w:ascii="宋体" w:hAnsi="宋体" w:cs="宋体"/>
                <w:color w:val="auto"/>
                <w:spacing w:val="-9"/>
                <w:sz w:val="21"/>
                <w:szCs w:val="21"/>
                <w:highlight w:val="none"/>
              </w:rPr>
              <w:t>Y)</w:t>
            </w:r>
          </w:p>
        </w:tc>
        <w:tc>
          <w:tcPr>
            <w:tcW w:w="709" w:type="dxa"/>
          </w:tcPr>
          <w:p w14:paraId="12AE91AF">
            <w:pPr>
              <w:spacing w:before="208"/>
              <w:ind w:left="154"/>
              <w:rPr>
                <w:rFonts w:hint="eastAsia" w:ascii="宋体" w:hAnsi="宋体" w:cs="宋体"/>
                <w:color w:val="auto"/>
                <w:sz w:val="21"/>
                <w:szCs w:val="21"/>
                <w:highlight w:val="none"/>
              </w:rPr>
            </w:pPr>
            <w:r>
              <w:rPr>
                <w:rFonts w:hint="eastAsia" w:ascii="宋体" w:hAnsi="宋体" w:cs="宋体"/>
                <w:color w:val="auto"/>
                <w:spacing w:val="2"/>
                <w:sz w:val="21"/>
                <w:szCs w:val="21"/>
                <w:highlight w:val="none"/>
              </w:rPr>
              <w:t>万元</w:t>
            </w:r>
          </w:p>
        </w:tc>
        <w:tc>
          <w:tcPr>
            <w:tcW w:w="1124" w:type="dxa"/>
          </w:tcPr>
          <w:p w14:paraId="1DBD613F">
            <w:pPr>
              <w:spacing w:before="208"/>
              <w:ind w:left="143"/>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Y</w:t>
            </w:r>
            <w:r>
              <w:rPr>
                <w:rFonts w:hint="eastAsia" w:ascii="宋体" w:hAnsi="宋体" w:cs="宋体"/>
                <w:color w:val="auto"/>
                <w:spacing w:val="9"/>
                <w:position w:val="1"/>
                <w:sz w:val="21"/>
                <w:szCs w:val="21"/>
                <w:highlight w:val="none"/>
              </w:rPr>
              <w:t>≥</w:t>
            </w:r>
            <w:r>
              <w:rPr>
                <w:rFonts w:hint="eastAsia" w:ascii="宋体" w:hAnsi="宋体" w:cs="宋体"/>
                <w:color w:val="auto"/>
                <w:spacing w:val="5"/>
                <w:position w:val="1"/>
                <w:sz w:val="21"/>
                <w:szCs w:val="21"/>
                <w:highlight w:val="none"/>
              </w:rPr>
              <w:t>80000</w:t>
            </w:r>
          </w:p>
        </w:tc>
        <w:tc>
          <w:tcPr>
            <w:tcW w:w="1448" w:type="dxa"/>
          </w:tcPr>
          <w:p w14:paraId="318F857F">
            <w:pPr>
              <w:spacing w:before="208"/>
              <w:ind w:left="123"/>
              <w:rPr>
                <w:rFonts w:hint="eastAsia" w:ascii="宋体" w:hAnsi="宋体" w:cs="宋体"/>
                <w:color w:val="auto"/>
                <w:sz w:val="21"/>
                <w:szCs w:val="21"/>
                <w:highlight w:val="none"/>
              </w:rPr>
            </w:pPr>
            <w:r>
              <w:rPr>
                <w:rFonts w:hint="eastAsia" w:ascii="宋体" w:hAnsi="宋体" w:cs="宋体"/>
                <w:color w:val="auto"/>
                <w:spacing w:val="7"/>
                <w:position w:val="1"/>
                <w:sz w:val="21"/>
                <w:szCs w:val="21"/>
                <w:highlight w:val="none"/>
              </w:rPr>
              <w:t>6</w:t>
            </w:r>
            <w:r>
              <w:rPr>
                <w:rFonts w:hint="eastAsia" w:ascii="宋体" w:hAnsi="宋体" w:cs="宋体"/>
                <w:color w:val="auto"/>
                <w:spacing w:val="5"/>
                <w:position w:val="1"/>
                <w:sz w:val="21"/>
                <w:szCs w:val="21"/>
                <w:highlight w:val="none"/>
              </w:rPr>
              <w:t>000≤</w:t>
            </w:r>
            <w:r>
              <w:rPr>
                <w:rFonts w:hint="eastAsia" w:ascii="宋体" w:hAnsi="宋体" w:cs="宋体"/>
                <w:color w:val="auto"/>
                <w:position w:val="1"/>
                <w:sz w:val="21"/>
                <w:szCs w:val="21"/>
                <w:highlight w:val="none"/>
              </w:rPr>
              <w:t>Y</w:t>
            </w:r>
            <w:r>
              <w:rPr>
                <w:rFonts w:hint="eastAsia" w:ascii="宋体" w:hAnsi="宋体" w:cs="宋体"/>
                <w:color w:val="auto"/>
                <w:spacing w:val="5"/>
                <w:position w:val="1"/>
                <w:sz w:val="21"/>
                <w:szCs w:val="21"/>
                <w:highlight w:val="none"/>
              </w:rPr>
              <w:t>＜80000</w:t>
            </w:r>
          </w:p>
        </w:tc>
        <w:tc>
          <w:tcPr>
            <w:tcW w:w="1677" w:type="dxa"/>
          </w:tcPr>
          <w:p w14:paraId="35A82489">
            <w:pPr>
              <w:spacing w:before="53"/>
              <w:ind w:left="510" w:right="261" w:hanging="155"/>
              <w:rPr>
                <w:rFonts w:hint="eastAsia" w:ascii="宋体" w:hAnsi="宋体" w:cs="宋体"/>
                <w:color w:val="auto"/>
                <w:sz w:val="21"/>
                <w:szCs w:val="21"/>
                <w:highlight w:val="none"/>
              </w:rPr>
            </w:pPr>
            <w:r>
              <w:rPr>
                <w:rFonts w:hint="eastAsia" w:ascii="宋体" w:hAnsi="宋体" w:cs="宋体"/>
                <w:color w:val="auto"/>
                <w:spacing w:val="1"/>
                <w:sz w:val="21"/>
                <w:szCs w:val="21"/>
                <w:highlight w:val="none"/>
              </w:rPr>
              <w:t>30</w:t>
            </w:r>
            <w:r>
              <w:rPr>
                <w:rFonts w:hint="eastAsia" w:ascii="宋体" w:hAnsi="宋体" w:cs="宋体"/>
                <w:color w:val="auto"/>
                <w:sz w:val="21"/>
                <w:szCs w:val="21"/>
                <w:highlight w:val="none"/>
              </w:rPr>
              <w:t xml:space="preserve">0≤Y＜ </w:t>
            </w:r>
            <w:r>
              <w:rPr>
                <w:rFonts w:hint="eastAsia" w:ascii="宋体" w:hAnsi="宋体" w:cs="宋体"/>
                <w:color w:val="auto"/>
                <w:spacing w:val="3"/>
                <w:sz w:val="21"/>
                <w:szCs w:val="21"/>
                <w:highlight w:val="none"/>
              </w:rPr>
              <w:t>600</w:t>
            </w:r>
            <w:r>
              <w:rPr>
                <w:rFonts w:hint="eastAsia" w:ascii="宋体" w:hAnsi="宋体" w:cs="宋体"/>
                <w:color w:val="auto"/>
                <w:spacing w:val="2"/>
                <w:sz w:val="21"/>
                <w:szCs w:val="21"/>
                <w:highlight w:val="none"/>
              </w:rPr>
              <w:t>0</w:t>
            </w:r>
          </w:p>
        </w:tc>
        <w:tc>
          <w:tcPr>
            <w:tcW w:w="996" w:type="dxa"/>
          </w:tcPr>
          <w:p w14:paraId="20461E50">
            <w:pPr>
              <w:spacing w:before="208"/>
              <w:ind w:left="185"/>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Y</w:t>
            </w:r>
            <w:r>
              <w:rPr>
                <w:rFonts w:hint="eastAsia" w:ascii="宋体" w:hAnsi="宋体" w:cs="宋体"/>
                <w:color w:val="auto"/>
                <w:spacing w:val="7"/>
                <w:position w:val="1"/>
                <w:sz w:val="21"/>
                <w:szCs w:val="21"/>
                <w:highlight w:val="none"/>
              </w:rPr>
              <w:t>＜</w:t>
            </w:r>
            <w:r>
              <w:rPr>
                <w:rFonts w:hint="eastAsia" w:ascii="宋体" w:hAnsi="宋体" w:cs="宋体"/>
                <w:color w:val="auto"/>
                <w:spacing w:val="6"/>
                <w:position w:val="1"/>
                <w:sz w:val="21"/>
                <w:szCs w:val="21"/>
                <w:highlight w:val="none"/>
              </w:rPr>
              <w:t>300</w:t>
            </w:r>
          </w:p>
        </w:tc>
      </w:tr>
      <w:tr w14:paraId="42E3C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71" w:type="dxa"/>
            <w:vMerge w:val="continue"/>
            <w:tcBorders>
              <w:top w:val="nil"/>
            </w:tcBorders>
          </w:tcPr>
          <w:p w14:paraId="2EA3E4F2">
            <w:pPr>
              <w:jc w:val="center"/>
              <w:rPr>
                <w:rFonts w:hint="eastAsia" w:ascii="宋体" w:hAnsi="宋体" w:cs="宋体"/>
                <w:color w:val="auto"/>
                <w:sz w:val="21"/>
                <w:szCs w:val="21"/>
                <w:highlight w:val="none"/>
              </w:rPr>
            </w:pPr>
          </w:p>
        </w:tc>
        <w:tc>
          <w:tcPr>
            <w:tcW w:w="2014" w:type="dxa"/>
          </w:tcPr>
          <w:p w14:paraId="5FDADDF7">
            <w:pPr>
              <w:spacing w:before="84"/>
              <w:ind w:left="276"/>
              <w:rPr>
                <w:rFonts w:hint="eastAsia" w:ascii="宋体" w:hAnsi="宋体" w:cs="宋体"/>
                <w:color w:val="auto"/>
                <w:sz w:val="21"/>
                <w:szCs w:val="21"/>
                <w:highlight w:val="none"/>
              </w:rPr>
            </w:pPr>
            <w:r>
              <w:rPr>
                <w:rFonts w:hint="eastAsia" w:ascii="宋体" w:hAnsi="宋体" w:cs="宋体"/>
                <w:color w:val="auto"/>
                <w:spacing w:val="5"/>
                <w:sz w:val="21"/>
                <w:szCs w:val="21"/>
                <w:highlight w:val="none"/>
              </w:rPr>
              <w:t>资产总额</w:t>
            </w:r>
          </w:p>
          <w:p w14:paraId="75402FCC">
            <w:pPr>
              <w:ind w:left="568"/>
              <w:rPr>
                <w:rFonts w:hint="eastAsia" w:ascii="宋体" w:hAnsi="宋体" w:cs="宋体"/>
                <w:color w:val="auto"/>
                <w:sz w:val="21"/>
                <w:szCs w:val="21"/>
                <w:highlight w:val="none"/>
              </w:rPr>
            </w:pPr>
            <w:r>
              <w:rPr>
                <w:rFonts w:hint="eastAsia" w:ascii="宋体" w:hAnsi="宋体" w:cs="宋体"/>
                <w:color w:val="auto"/>
                <w:spacing w:val="-12"/>
                <w:sz w:val="21"/>
                <w:szCs w:val="21"/>
                <w:highlight w:val="none"/>
              </w:rPr>
              <w:t>(</w:t>
            </w:r>
            <w:r>
              <w:rPr>
                <w:rFonts w:hint="eastAsia" w:ascii="宋体" w:hAnsi="宋体" w:cs="宋体"/>
                <w:color w:val="auto"/>
                <w:spacing w:val="-9"/>
                <w:sz w:val="21"/>
                <w:szCs w:val="21"/>
                <w:highlight w:val="none"/>
              </w:rPr>
              <w:t>Z)</w:t>
            </w:r>
          </w:p>
        </w:tc>
        <w:tc>
          <w:tcPr>
            <w:tcW w:w="709" w:type="dxa"/>
          </w:tcPr>
          <w:p w14:paraId="53ED96AC">
            <w:pPr>
              <w:spacing w:before="210"/>
              <w:ind w:left="154"/>
              <w:rPr>
                <w:rFonts w:hint="eastAsia" w:ascii="宋体" w:hAnsi="宋体" w:cs="宋体"/>
                <w:color w:val="auto"/>
                <w:sz w:val="21"/>
                <w:szCs w:val="21"/>
                <w:highlight w:val="none"/>
              </w:rPr>
            </w:pPr>
            <w:r>
              <w:rPr>
                <w:rFonts w:hint="eastAsia" w:ascii="宋体" w:hAnsi="宋体" w:cs="宋体"/>
                <w:color w:val="auto"/>
                <w:spacing w:val="2"/>
                <w:sz w:val="21"/>
                <w:szCs w:val="21"/>
                <w:highlight w:val="none"/>
              </w:rPr>
              <w:t>万元</w:t>
            </w:r>
          </w:p>
        </w:tc>
        <w:tc>
          <w:tcPr>
            <w:tcW w:w="1124" w:type="dxa"/>
          </w:tcPr>
          <w:p w14:paraId="48DE2B81">
            <w:pPr>
              <w:spacing w:before="210"/>
              <w:ind w:left="145"/>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Z</w:t>
            </w:r>
            <w:r>
              <w:rPr>
                <w:rFonts w:hint="eastAsia" w:ascii="宋体" w:hAnsi="宋体" w:cs="宋体"/>
                <w:color w:val="auto"/>
                <w:spacing w:val="6"/>
                <w:position w:val="1"/>
                <w:sz w:val="21"/>
                <w:szCs w:val="21"/>
                <w:highlight w:val="none"/>
              </w:rPr>
              <w:t>≥</w:t>
            </w:r>
            <w:r>
              <w:rPr>
                <w:rFonts w:hint="eastAsia" w:ascii="宋体" w:hAnsi="宋体" w:cs="宋体"/>
                <w:color w:val="auto"/>
                <w:spacing w:val="5"/>
                <w:position w:val="1"/>
                <w:sz w:val="21"/>
                <w:szCs w:val="21"/>
                <w:highlight w:val="none"/>
              </w:rPr>
              <w:t>80000</w:t>
            </w:r>
          </w:p>
        </w:tc>
        <w:tc>
          <w:tcPr>
            <w:tcW w:w="1448" w:type="dxa"/>
          </w:tcPr>
          <w:p w14:paraId="1826D96F">
            <w:pPr>
              <w:spacing w:before="210"/>
              <w:ind w:left="125"/>
              <w:rPr>
                <w:rFonts w:hint="eastAsia" w:ascii="宋体" w:hAnsi="宋体" w:cs="宋体"/>
                <w:color w:val="auto"/>
                <w:sz w:val="21"/>
                <w:szCs w:val="21"/>
                <w:highlight w:val="none"/>
              </w:rPr>
            </w:pPr>
            <w:r>
              <w:rPr>
                <w:rFonts w:hint="eastAsia" w:ascii="宋体" w:hAnsi="宋体" w:cs="宋体"/>
                <w:color w:val="auto"/>
                <w:spacing w:val="5"/>
                <w:position w:val="1"/>
                <w:sz w:val="21"/>
                <w:szCs w:val="21"/>
                <w:highlight w:val="none"/>
              </w:rPr>
              <w:t>5000≤</w:t>
            </w:r>
            <w:r>
              <w:rPr>
                <w:rFonts w:hint="eastAsia" w:ascii="宋体" w:hAnsi="宋体" w:cs="宋体"/>
                <w:color w:val="auto"/>
                <w:position w:val="1"/>
                <w:sz w:val="21"/>
                <w:szCs w:val="21"/>
                <w:highlight w:val="none"/>
              </w:rPr>
              <w:t>Z</w:t>
            </w:r>
            <w:r>
              <w:rPr>
                <w:rFonts w:hint="eastAsia" w:ascii="宋体" w:hAnsi="宋体" w:cs="宋体"/>
                <w:color w:val="auto"/>
                <w:spacing w:val="5"/>
                <w:position w:val="1"/>
                <w:sz w:val="21"/>
                <w:szCs w:val="21"/>
                <w:highlight w:val="none"/>
              </w:rPr>
              <w:t>＜80000</w:t>
            </w:r>
          </w:p>
        </w:tc>
        <w:tc>
          <w:tcPr>
            <w:tcW w:w="1677" w:type="dxa"/>
          </w:tcPr>
          <w:p w14:paraId="5740BC66">
            <w:pPr>
              <w:spacing w:before="55"/>
              <w:ind w:left="513" w:right="261" w:hanging="158"/>
              <w:rPr>
                <w:rFonts w:hint="eastAsia" w:ascii="宋体" w:hAnsi="宋体" w:cs="宋体"/>
                <w:color w:val="auto"/>
                <w:sz w:val="21"/>
                <w:szCs w:val="21"/>
                <w:highlight w:val="none"/>
              </w:rPr>
            </w:pPr>
            <w:r>
              <w:rPr>
                <w:rFonts w:hint="eastAsia" w:ascii="宋体" w:hAnsi="宋体" w:cs="宋体"/>
                <w:color w:val="auto"/>
                <w:spacing w:val="1"/>
                <w:sz w:val="21"/>
                <w:szCs w:val="21"/>
                <w:highlight w:val="none"/>
              </w:rPr>
              <w:t>30</w:t>
            </w:r>
            <w:r>
              <w:rPr>
                <w:rFonts w:hint="eastAsia" w:ascii="宋体" w:hAnsi="宋体" w:cs="宋体"/>
                <w:color w:val="auto"/>
                <w:sz w:val="21"/>
                <w:szCs w:val="21"/>
                <w:highlight w:val="none"/>
              </w:rPr>
              <w:t xml:space="preserve">0≤Z＜ </w:t>
            </w:r>
            <w:r>
              <w:rPr>
                <w:rFonts w:hint="eastAsia" w:ascii="宋体" w:hAnsi="宋体" w:cs="宋体"/>
                <w:color w:val="auto"/>
                <w:spacing w:val="2"/>
                <w:sz w:val="21"/>
                <w:szCs w:val="21"/>
                <w:highlight w:val="none"/>
              </w:rPr>
              <w:t>5000</w:t>
            </w:r>
          </w:p>
        </w:tc>
        <w:tc>
          <w:tcPr>
            <w:tcW w:w="996" w:type="dxa"/>
          </w:tcPr>
          <w:p w14:paraId="55A60BBF">
            <w:pPr>
              <w:spacing w:before="210"/>
              <w:ind w:left="187"/>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Z</w:t>
            </w:r>
            <w:r>
              <w:rPr>
                <w:rFonts w:hint="eastAsia" w:ascii="宋体" w:hAnsi="宋体" w:cs="宋体"/>
                <w:color w:val="auto"/>
                <w:spacing w:val="7"/>
                <w:position w:val="1"/>
                <w:sz w:val="21"/>
                <w:szCs w:val="21"/>
                <w:highlight w:val="none"/>
              </w:rPr>
              <w:t>＜</w:t>
            </w:r>
            <w:r>
              <w:rPr>
                <w:rFonts w:hint="eastAsia" w:ascii="宋体" w:hAnsi="宋体" w:cs="宋体"/>
                <w:color w:val="auto"/>
                <w:spacing w:val="5"/>
                <w:position w:val="1"/>
                <w:sz w:val="21"/>
                <w:szCs w:val="21"/>
                <w:highlight w:val="none"/>
              </w:rPr>
              <w:t>300</w:t>
            </w:r>
          </w:p>
        </w:tc>
      </w:tr>
      <w:tr w14:paraId="49D05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71" w:type="dxa"/>
            <w:vMerge w:val="restart"/>
            <w:tcBorders>
              <w:bottom w:val="nil"/>
            </w:tcBorders>
          </w:tcPr>
          <w:p w14:paraId="19D7964C">
            <w:pPr>
              <w:jc w:val="center"/>
              <w:rPr>
                <w:rFonts w:hint="eastAsia" w:ascii="宋体" w:hAnsi="宋体" w:cs="宋体"/>
                <w:color w:val="auto"/>
                <w:sz w:val="21"/>
                <w:szCs w:val="21"/>
                <w:highlight w:val="none"/>
              </w:rPr>
            </w:pPr>
          </w:p>
          <w:p w14:paraId="35D8BA76">
            <w:pPr>
              <w:spacing w:before="65"/>
              <w:ind w:left="115"/>
              <w:jc w:val="center"/>
              <w:rPr>
                <w:rFonts w:hint="eastAsia" w:ascii="宋体" w:hAnsi="宋体" w:cs="宋体"/>
                <w:color w:val="auto"/>
                <w:sz w:val="21"/>
                <w:szCs w:val="21"/>
                <w:highlight w:val="none"/>
              </w:rPr>
            </w:pPr>
            <w:r>
              <w:rPr>
                <w:rFonts w:hint="eastAsia" w:ascii="宋体" w:hAnsi="宋体" w:cs="宋体"/>
                <w:color w:val="auto"/>
                <w:spacing w:val="7"/>
                <w:sz w:val="21"/>
                <w:szCs w:val="21"/>
                <w:highlight w:val="none"/>
              </w:rPr>
              <w:t>批发业</w:t>
            </w:r>
          </w:p>
        </w:tc>
        <w:tc>
          <w:tcPr>
            <w:tcW w:w="2014" w:type="dxa"/>
          </w:tcPr>
          <w:p w14:paraId="7B53923B">
            <w:pPr>
              <w:spacing w:before="55"/>
              <w:ind w:left="270"/>
              <w:rPr>
                <w:rFonts w:hint="eastAsia" w:ascii="宋体" w:hAnsi="宋体" w:cs="宋体"/>
                <w:color w:val="auto"/>
                <w:sz w:val="21"/>
                <w:szCs w:val="21"/>
                <w:highlight w:val="none"/>
              </w:rPr>
            </w:pPr>
            <w:r>
              <w:rPr>
                <w:rFonts w:hint="eastAsia" w:ascii="宋体" w:hAnsi="宋体" w:cs="宋体"/>
                <w:color w:val="auto"/>
                <w:spacing w:val="9"/>
                <w:sz w:val="21"/>
                <w:szCs w:val="21"/>
                <w:highlight w:val="none"/>
              </w:rPr>
              <w:t>从</w:t>
            </w:r>
            <w:r>
              <w:rPr>
                <w:rFonts w:hint="eastAsia" w:ascii="宋体" w:hAnsi="宋体" w:cs="宋体"/>
                <w:color w:val="auto"/>
                <w:spacing w:val="6"/>
                <w:sz w:val="21"/>
                <w:szCs w:val="21"/>
                <w:highlight w:val="none"/>
              </w:rPr>
              <w:t>业人员</w:t>
            </w:r>
          </w:p>
          <w:p w14:paraId="34A3BE04">
            <w:pPr>
              <w:spacing w:before="64"/>
              <w:ind w:left="568"/>
              <w:rPr>
                <w:rFonts w:hint="eastAsia" w:ascii="宋体" w:hAnsi="宋体" w:cs="宋体"/>
                <w:color w:val="auto"/>
                <w:sz w:val="21"/>
                <w:szCs w:val="21"/>
                <w:highlight w:val="none"/>
              </w:rPr>
            </w:pPr>
            <w:r>
              <w:rPr>
                <w:rFonts w:hint="eastAsia" w:ascii="宋体" w:hAnsi="宋体" w:cs="宋体"/>
                <w:color w:val="auto"/>
                <w:spacing w:val="-12"/>
                <w:sz w:val="21"/>
                <w:szCs w:val="21"/>
                <w:highlight w:val="none"/>
              </w:rPr>
              <w:t>(</w:t>
            </w:r>
            <w:r>
              <w:rPr>
                <w:rFonts w:hint="eastAsia" w:ascii="宋体" w:hAnsi="宋体" w:cs="宋体"/>
                <w:color w:val="auto"/>
                <w:spacing w:val="-9"/>
                <w:sz w:val="21"/>
                <w:szCs w:val="21"/>
                <w:highlight w:val="none"/>
              </w:rPr>
              <w:t>X)</w:t>
            </w:r>
          </w:p>
        </w:tc>
        <w:tc>
          <w:tcPr>
            <w:tcW w:w="709" w:type="dxa"/>
          </w:tcPr>
          <w:p w14:paraId="6CB6FB67">
            <w:pPr>
              <w:spacing w:before="210"/>
              <w:ind w:left="254"/>
              <w:rPr>
                <w:rFonts w:hint="eastAsia" w:ascii="宋体" w:hAnsi="宋体" w:cs="宋体"/>
                <w:color w:val="auto"/>
                <w:sz w:val="21"/>
                <w:szCs w:val="21"/>
                <w:highlight w:val="none"/>
              </w:rPr>
            </w:pPr>
            <w:r>
              <w:rPr>
                <w:rFonts w:hint="eastAsia" w:ascii="宋体" w:hAnsi="宋体" w:cs="宋体"/>
                <w:color w:val="auto"/>
                <w:sz w:val="21"/>
                <w:szCs w:val="21"/>
                <w:highlight w:val="none"/>
              </w:rPr>
              <w:t>人</w:t>
            </w:r>
          </w:p>
        </w:tc>
        <w:tc>
          <w:tcPr>
            <w:tcW w:w="1124" w:type="dxa"/>
          </w:tcPr>
          <w:p w14:paraId="22BB4CDB">
            <w:pPr>
              <w:spacing w:before="210"/>
              <w:ind w:left="249"/>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X</w:t>
            </w:r>
            <w:r>
              <w:rPr>
                <w:rFonts w:hint="eastAsia" w:ascii="宋体" w:hAnsi="宋体" w:cs="宋体"/>
                <w:color w:val="auto"/>
                <w:spacing w:val="6"/>
                <w:position w:val="1"/>
                <w:sz w:val="21"/>
                <w:szCs w:val="21"/>
                <w:highlight w:val="none"/>
              </w:rPr>
              <w:t>≥200</w:t>
            </w:r>
          </w:p>
        </w:tc>
        <w:tc>
          <w:tcPr>
            <w:tcW w:w="1448" w:type="dxa"/>
          </w:tcPr>
          <w:p w14:paraId="002B3D49">
            <w:pPr>
              <w:spacing w:before="210"/>
              <w:ind w:left="333"/>
              <w:rPr>
                <w:rFonts w:hint="eastAsia" w:ascii="宋体" w:hAnsi="宋体" w:cs="宋体"/>
                <w:color w:val="auto"/>
                <w:sz w:val="21"/>
                <w:szCs w:val="21"/>
                <w:highlight w:val="none"/>
              </w:rPr>
            </w:pPr>
            <w:r>
              <w:rPr>
                <w:rFonts w:hint="eastAsia" w:ascii="宋体" w:hAnsi="宋体" w:cs="宋体"/>
                <w:color w:val="auto"/>
                <w:spacing w:val="9"/>
                <w:position w:val="1"/>
                <w:sz w:val="21"/>
                <w:szCs w:val="21"/>
                <w:highlight w:val="none"/>
              </w:rPr>
              <w:t>2</w:t>
            </w:r>
            <w:r>
              <w:rPr>
                <w:rFonts w:hint="eastAsia" w:ascii="宋体" w:hAnsi="宋体" w:cs="宋体"/>
                <w:color w:val="auto"/>
                <w:spacing w:val="5"/>
                <w:position w:val="1"/>
                <w:sz w:val="21"/>
                <w:szCs w:val="21"/>
                <w:highlight w:val="none"/>
              </w:rPr>
              <w:t>0≤</w:t>
            </w:r>
            <w:r>
              <w:rPr>
                <w:rFonts w:hint="eastAsia" w:ascii="宋体" w:hAnsi="宋体" w:cs="宋体"/>
                <w:color w:val="auto"/>
                <w:position w:val="1"/>
                <w:sz w:val="21"/>
                <w:szCs w:val="21"/>
                <w:highlight w:val="none"/>
              </w:rPr>
              <w:t>X</w:t>
            </w:r>
            <w:r>
              <w:rPr>
                <w:rFonts w:hint="eastAsia" w:ascii="宋体" w:hAnsi="宋体" w:cs="宋体"/>
                <w:color w:val="auto"/>
                <w:spacing w:val="5"/>
                <w:position w:val="1"/>
                <w:sz w:val="21"/>
                <w:szCs w:val="21"/>
                <w:highlight w:val="none"/>
              </w:rPr>
              <w:t>＜200</w:t>
            </w:r>
          </w:p>
        </w:tc>
        <w:tc>
          <w:tcPr>
            <w:tcW w:w="1677" w:type="dxa"/>
          </w:tcPr>
          <w:p w14:paraId="550E7B50">
            <w:pPr>
              <w:spacing w:before="210"/>
              <w:ind w:left="355"/>
              <w:rPr>
                <w:rFonts w:hint="eastAsia" w:ascii="宋体" w:hAnsi="宋体" w:cs="宋体"/>
                <w:color w:val="auto"/>
                <w:sz w:val="21"/>
                <w:szCs w:val="21"/>
                <w:highlight w:val="none"/>
              </w:rPr>
            </w:pPr>
            <w:r>
              <w:rPr>
                <w:rFonts w:hint="eastAsia" w:ascii="宋体" w:hAnsi="宋体" w:cs="宋体"/>
                <w:color w:val="auto"/>
                <w:spacing w:val="8"/>
                <w:position w:val="1"/>
                <w:sz w:val="21"/>
                <w:szCs w:val="21"/>
                <w:highlight w:val="none"/>
              </w:rPr>
              <w:t>5</w:t>
            </w:r>
            <w:r>
              <w:rPr>
                <w:rFonts w:hint="eastAsia" w:ascii="宋体" w:hAnsi="宋体" w:cs="宋体"/>
                <w:color w:val="auto"/>
                <w:spacing w:val="5"/>
                <w:position w:val="1"/>
                <w:sz w:val="21"/>
                <w:szCs w:val="21"/>
                <w:highlight w:val="none"/>
              </w:rPr>
              <w:t>≤</w:t>
            </w:r>
            <w:r>
              <w:rPr>
                <w:rFonts w:hint="eastAsia" w:ascii="宋体" w:hAnsi="宋体" w:cs="宋体"/>
                <w:color w:val="auto"/>
                <w:position w:val="1"/>
                <w:sz w:val="21"/>
                <w:szCs w:val="21"/>
                <w:highlight w:val="none"/>
              </w:rPr>
              <w:t>X</w:t>
            </w:r>
            <w:r>
              <w:rPr>
                <w:rFonts w:hint="eastAsia" w:ascii="宋体" w:hAnsi="宋体" w:cs="宋体"/>
                <w:color w:val="auto"/>
                <w:spacing w:val="5"/>
                <w:position w:val="1"/>
                <w:sz w:val="21"/>
                <w:szCs w:val="21"/>
                <w:highlight w:val="none"/>
              </w:rPr>
              <w:t>＜20</w:t>
            </w:r>
          </w:p>
        </w:tc>
        <w:tc>
          <w:tcPr>
            <w:tcW w:w="996" w:type="dxa"/>
          </w:tcPr>
          <w:p w14:paraId="50F6D1CC">
            <w:pPr>
              <w:spacing w:before="210"/>
              <w:ind w:left="291"/>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X</w:t>
            </w:r>
            <w:r>
              <w:rPr>
                <w:rFonts w:hint="eastAsia" w:ascii="宋体" w:hAnsi="宋体" w:cs="宋体"/>
                <w:color w:val="auto"/>
                <w:spacing w:val="7"/>
                <w:position w:val="1"/>
                <w:sz w:val="21"/>
                <w:szCs w:val="21"/>
                <w:highlight w:val="none"/>
              </w:rPr>
              <w:t>＜</w:t>
            </w:r>
            <w:r>
              <w:rPr>
                <w:rFonts w:hint="eastAsia" w:ascii="宋体" w:hAnsi="宋体" w:cs="宋体"/>
                <w:color w:val="auto"/>
                <w:spacing w:val="6"/>
                <w:position w:val="1"/>
                <w:sz w:val="21"/>
                <w:szCs w:val="21"/>
                <w:highlight w:val="none"/>
              </w:rPr>
              <w:t>5</w:t>
            </w:r>
          </w:p>
        </w:tc>
      </w:tr>
      <w:tr w14:paraId="5509A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71" w:type="dxa"/>
            <w:vMerge w:val="continue"/>
            <w:tcBorders>
              <w:top w:val="nil"/>
            </w:tcBorders>
          </w:tcPr>
          <w:p w14:paraId="52851798">
            <w:pPr>
              <w:jc w:val="center"/>
              <w:rPr>
                <w:rFonts w:hint="eastAsia" w:ascii="宋体" w:hAnsi="宋体" w:cs="宋体"/>
                <w:color w:val="auto"/>
                <w:sz w:val="21"/>
                <w:szCs w:val="21"/>
                <w:highlight w:val="none"/>
              </w:rPr>
            </w:pPr>
          </w:p>
        </w:tc>
        <w:tc>
          <w:tcPr>
            <w:tcW w:w="2014" w:type="dxa"/>
          </w:tcPr>
          <w:p w14:paraId="408A4662">
            <w:pPr>
              <w:spacing w:before="87"/>
              <w:ind w:left="274"/>
              <w:rPr>
                <w:rFonts w:hint="eastAsia" w:ascii="宋体" w:hAnsi="宋体" w:cs="宋体"/>
                <w:color w:val="auto"/>
                <w:sz w:val="21"/>
                <w:szCs w:val="21"/>
                <w:highlight w:val="none"/>
              </w:rPr>
            </w:pPr>
            <w:r>
              <w:rPr>
                <w:rFonts w:hint="eastAsia" w:ascii="宋体" w:hAnsi="宋体" w:cs="宋体"/>
                <w:color w:val="auto"/>
                <w:spacing w:val="8"/>
                <w:sz w:val="21"/>
                <w:szCs w:val="21"/>
                <w:highlight w:val="none"/>
              </w:rPr>
              <w:t>营</w:t>
            </w:r>
            <w:r>
              <w:rPr>
                <w:rFonts w:hint="eastAsia" w:ascii="宋体" w:hAnsi="宋体" w:cs="宋体"/>
                <w:color w:val="auto"/>
                <w:spacing w:val="5"/>
                <w:sz w:val="21"/>
                <w:szCs w:val="21"/>
                <w:highlight w:val="none"/>
              </w:rPr>
              <w:t>业收入</w:t>
            </w:r>
          </w:p>
          <w:p w14:paraId="769A4DC2">
            <w:pPr>
              <w:ind w:left="568"/>
              <w:rPr>
                <w:rFonts w:hint="eastAsia" w:ascii="宋体" w:hAnsi="宋体" w:cs="宋体"/>
                <w:color w:val="auto"/>
                <w:sz w:val="21"/>
                <w:szCs w:val="21"/>
                <w:highlight w:val="none"/>
              </w:rPr>
            </w:pPr>
            <w:r>
              <w:rPr>
                <w:rFonts w:hint="eastAsia" w:ascii="宋体" w:hAnsi="宋体" w:cs="宋体"/>
                <w:color w:val="auto"/>
                <w:spacing w:val="-12"/>
                <w:sz w:val="21"/>
                <w:szCs w:val="21"/>
                <w:highlight w:val="none"/>
              </w:rPr>
              <w:t>(</w:t>
            </w:r>
            <w:r>
              <w:rPr>
                <w:rFonts w:hint="eastAsia" w:ascii="宋体" w:hAnsi="宋体" w:cs="宋体"/>
                <w:color w:val="auto"/>
                <w:spacing w:val="-9"/>
                <w:sz w:val="21"/>
                <w:szCs w:val="21"/>
                <w:highlight w:val="none"/>
              </w:rPr>
              <w:t>Y)</w:t>
            </w:r>
          </w:p>
        </w:tc>
        <w:tc>
          <w:tcPr>
            <w:tcW w:w="709" w:type="dxa"/>
          </w:tcPr>
          <w:p w14:paraId="47556839">
            <w:pPr>
              <w:spacing w:before="210"/>
              <w:ind w:left="154"/>
              <w:rPr>
                <w:rFonts w:hint="eastAsia" w:ascii="宋体" w:hAnsi="宋体" w:cs="宋体"/>
                <w:color w:val="auto"/>
                <w:sz w:val="21"/>
                <w:szCs w:val="21"/>
                <w:highlight w:val="none"/>
              </w:rPr>
            </w:pPr>
            <w:r>
              <w:rPr>
                <w:rFonts w:hint="eastAsia" w:ascii="宋体" w:hAnsi="宋体" w:cs="宋体"/>
                <w:color w:val="auto"/>
                <w:spacing w:val="2"/>
                <w:sz w:val="21"/>
                <w:szCs w:val="21"/>
                <w:highlight w:val="none"/>
              </w:rPr>
              <w:t>万元</w:t>
            </w:r>
          </w:p>
        </w:tc>
        <w:tc>
          <w:tcPr>
            <w:tcW w:w="1124" w:type="dxa"/>
          </w:tcPr>
          <w:p w14:paraId="257358C6">
            <w:pPr>
              <w:spacing w:before="210"/>
              <w:ind w:left="143"/>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Y</w:t>
            </w:r>
            <w:r>
              <w:rPr>
                <w:rFonts w:hint="eastAsia" w:ascii="宋体" w:hAnsi="宋体" w:cs="宋体"/>
                <w:color w:val="auto"/>
                <w:spacing w:val="9"/>
                <w:position w:val="1"/>
                <w:sz w:val="21"/>
                <w:szCs w:val="21"/>
                <w:highlight w:val="none"/>
              </w:rPr>
              <w:t>≥</w:t>
            </w:r>
            <w:r>
              <w:rPr>
                <w:rFonts w:hint="eastAsia" w:ascii="宋体" w:hAnsi="宋体" w:cs="宋体"/>
                <w:color w:val="auto"/>
                <w:spacing w:val="5"/>
                <w:position w:val="1"/>
                <w:sz w:val="21"/>
                <w:szCs w:val="21"/>
                <w:highlight w:val="none"/>
              </w:rPr>
              <w:t>40000</w:t>
            </w:r>
          </w:p>
        </w:tc>
        <w:tc>
          <w:tcPr>
            <w:tcW w:w="1448" w:type="dxa"/>
          </w:tcPr>
          <w:p w14:paraId="2644331D">
            <w:pPr>
              <w:spacing w:before="210"/>
              <w:ind w:left="125"/>
              <w:rPr>
                <w:rFonts w:hint="eastAsia" w:ascii="宋体" w:hAnsi="宋体" w:cs="宋体"/>
                <w:color w:val="auto"/>
                <w:sz w:val="21"/>
                <w:szCs w:val="21"/>
                <w:highlight w:val="none"/>
              </w:rPr>
            </w:pPr>
            <w:r>
              <w:rPr>
                <w:rFonts w:hint="eastAsia" w:ascii="宋体" w:hAnsi="宋体" w:cs="宋体"/>
                <w:color w:val="auto"/>
                <w:spacing w:val="5"/>
                <w:position w:val="1"/>
                <w:sz w:val="21"/>
                <w:szCs w:val="21"/>
                <w:highlight w:val="none"/>
              </w:rPr>
              <w:t>5000≤</w:t>
            </w:r>
            <w:r>
              <w:rPr>
                <w:rFonts w:hint="eastAsia" w:ascii="宋体" w:hAnsi="宋体" w:cs="宋体"/>
                <w:color w:val="auto"/>
                <w:position w:val="1"/>
                <w:sz w:val="21"/>
                <w:szCs w:val="21"/>
                <w:highlight w:val="none"/>
              </w:rPr>
              <w:t>Y</w:t>
            </w:r>
            <w:r>
              <w:rPr>
                <w:rFonts w:hint="eastAsia" w:ascii="宋体" w:hAnsi="宋体" w:cs="宋体"/>
                <w:color w:val="auto"/>
                <w:spacing w:val="5"/>
                <w:position w:val="1"/>
                <w:sz w:val="21"/>
                <w:szCs w:val="21"/>
                <w:highlight w:val="none"/>
              </w:rPr>
              <w:t>＜40000</w:t>
            </w:r>
          </w:p>
        </w:tc>
        <w:tc>
          <w:tcPr>
            <w:tcW w:w="1677" w:type="dxa"/>
          </w:tcPr>
          <w:p w14:paraId="0507A327">
            <w:pPr>
              <w:spacing w:before="55"/>
              <w:ind w:left="513" w:right="264" w:hanging="252"/>
              <w:rPr>
                <w:rFonts w:hint="eastAsia" w:ascii="宋体" w:hAnsi="宋体" w:cs="宋体"/>
                <w:color w:val="auto"/>
                <w:sz w:val="21"/>
                <w:szCs w:val="21"/>
                <w:highlight w:val="none"/>
              </w:rPr>
            </w:pPr>
            <w:r>
              <w:rPr>
                <w:rFonts w:hint="eastAsia" w:ascii="宋体" w:hAnsi="宋体" w:cs="宋体"/>
                <w:color w:val="auto"/>
                <w:spacing w:val="-1"/>
                <w:sz w:val="21"/>
                <w:szCs w:val="21"/>
                <w:highlight w:val="none"/>
              </w:rPr>
              <w:t>1000≤</w:t>
            </w:r>
            <w:r>
              <w:rPr>
                <w:rFonts w:hint="eastAsia" w:ascii="宋体" w:hAnsi="宋体" w:cs="宋体"/>
                <w:color w:val="auto"/>
                <w:sz w:val="21"/>
                <w:szCs w:val="21"/>
                <w:highlight w:val="none"/>
              </w:rPr>
              <w:t>Y</w:t>
            </w:r>
            <w:r>
              <w:rPr>
                <w:rFonts w:hint="eastAsia" w:ascii="宋体" w:hAnsi="宋体" w:cs="宋体"/>
                <w:color w:val="auto"/>
                <w:spacing w:val="-1"/>
                <w:sz w:val="21"/>
                <w:szCs w:val="21"/>
                <w:highlight w:val="none"/>
              </w:rPr>
              <w:t>＜</w:t>
            </w:r>
            <w:r>
              <w:rPr>
                <w:rFonts w:hint="eastAsia" w:ascii="宋体" w:hAnsi="宋体" w:cs="宋体"/>
                <w:color w:val="auto"/>
                <w:sz w:val="21"/>
                <w:szCs w:val="21"/>
                <w:highlight w:val="none"/>
              </w:rPr>
              <w:t xml:space="preserve"> </w:t>
            </w:r>
            <w:r>
              <w:rPr>
                <w:rFonts w:hint="eastAsia" w:ascii="宋体" w:hAnsi="宋体" w:cs="宋体"/>
                <w:color w:val="auto"/>
                <w:spacing w:val="2"/>
                <w:sz w:val="21"/>
                <w:szCs w:val="21"/>
                <w:highlight w:val="none"/>
              </w:rPr>
              <w:t>50</w:t>
            </w:r>
            <w:r>
              <w:rPr>
                <w:rFonts w:hint="eastAsia" w:ascii="宋体" w:hAnsi="宋体" w:cs="宋体"/>
                <w:color w:val="auto"/>
                <w:spacing w:val="1"/>
                <w:sz w:val="21"/>
                <w:szCs w:val="21"/>
                <w:highlight w:val="none"/>
              </w:rPr>
              <w:t>00</w:t>
            </w:r>
          </w:p>
        </w:tc>
        <w:tc>
          <w:tcPr>
            <w:tcW w:w="996" w:type="dxa"/>
          </w:tcPr>
          <w:p w14:paraId="6F320F79">
            <w:pPr>
              <w:spacing w:before="210"/>
              <w:ind w:left="132"/>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Y</w:t>
            </w:r>
            <w:r>
              <w:rPr>
                <w:rFonts w:hint="eastAsia" w:ascii="宋体" w:hAnsi="宋体" w:cs="宋体"/>
                <w:color w:val="auto"/>
                <w:spacing w:val="6"/>
                <w:position w:val="1"/>
                <w:sz w:val="21"/>
                <w:szCs w:val="21"/>
                <w:highlight w:val="none"/>
              </w:rPr>
              <w:t>＜1000</w:t>
            </w:r>
          </w:p>
        </w:tc>
      </w:tr>
      <w:tr w14:paraId="754E4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71" w:type="dxa"/>
            <w:vMerge w:val="restart"/>
            <w:tcBorders>
              <w:bottom w:val="nil"/>
            </w:tcBorders>
          </w:tcPr>
          <w:p w14:paraId="63043C1A">
            <w:pPr>
              <w:jc w:val="center"/>
              <w:rPr>
                <w:rFonts w:hint="eastAsia" w:ascii="宋体" w:hAnsi="宋体" w:cs="宋体"/>
                <w:color w:val="auto"/>
                <w:sz w:val="21"/>
                <w:szCs w:val="21"/>
                <w:highlight w:val="none"/>
              </w:rPr>
            </w:pPr>
          </w:p>
          <w:p w14:paraId="4FE063BF">
            <w:pPr>
              <w:spacing w:before="65"/>
              <w:ind w:left="117"/>
              <w:jc w:val="center"/>
              <w:rPr>
                <w:rFonts w:hint="eastAsia" w:ascii="宋体" w:hAnsi="宋体" w:cs="宋体"/>
                <w:color w:val="auto"/>
                <w:sz w:val="21"/>
                <w:szCs w:val="21"/>
                <w:highlight w:val="none"/>
              </w:rPr>
            </w:pPr>
            <w:r>
              <w:rPr>
                <w:rFonts w:hint="eastAsia" w:ascii="宋体" w:hAnsi="宋体" w:cs="宋体"/>
                <w:color w:val="auto"/>
                <w:spacing w:val="7"/>
                <w:sz w:val="21"/>
                <w:szCs w:val="21"/>
                <w:highlight w:val="none"/>
              </w:rPr>
              <w:t>零</w:t>
            </w:r>
            <w:r>
              <w:rPr>
                <w:rFonts w:hint="eastAsia" w:ascii="宋体" w:hAnsi="宋体" w:cs="宋体"/>
                <w:color w:val="auto"/>
                <w:spacing w:val="6"/>
                <w:sz w:val="21"/>
                <w:szCs w:val="21"/>
                <w:highlight w:val="none"/>
              </w:rPr>
              <w:t>售业</w:t>
            </w:r>
          </w:p>
        </w:tc>
        <w:tc>
          <w:tcPr>
            <w:tcW w:w="2014" w:type="dxa"/>
          </w:tcPr>
          <w:p w14:paraId="01FE2BD6">
            <w:pPr>
              <w:spacing w:before="55"/>
              <w:ind w:left="270"/>
              <w:rPr>
                <w:rFonts w:hint="eastAsia" w:ascii="宋体" w:hAnsi="宋体" w:cs="宋体"/>
                <w:color w:val="auto"/>
                <w:sz w:val="21"/>
                <w:szCs w:val="21"/>
                <w:highlight w:val="none"/>
              </w:rPr>
            </w:pPr>
            <w:r>
              <w:rPr>
                <w:rFonts w:hint="eastAsia" w:ascii="宋体" w:hAnsi="宋体" w:cs="宋体"/>
                <w:color w:val="auto"/>
                <w:spacing w:val="9"/>
                <w:sz w:val="21"/>
                <w:szCs w:val="21"/>
                <w:highlight w:val="none"/>
              </w:rPr>
              <w:t>从</w:t>
            </w:r>
            <w:r>
              <w:rPr>
                <w:rFonts w:hint="eastAsia" w:ascii="宋体" w:hAnsi="宋体" w:cs="宋体"/>
                <w:color w:val="auto"/>
                <w:spacing w:val="6"/>
                <w:sz w:val="21"/>
                <w:szCs w:val="21"/>
                <w:highlight w:val="none"/>
              </w:rPr>
              <w:t>业人员</w:t>
            </w:r>
          </w:p>
          <w:p w14:paraId="69346E3E">
            <w:pPr>
              <w:spacing w:before="64"/>
              <w:ind w:left="568"/>
              <w:rPr>
                <w:rFonts w:hint="eastAsia" w:ascii="宋体" w:hAnsi="宋体" w:cs="宋体"/>
                <w:color w:val="auto"/>
                <w:sz w:val="21"/>
                <w:szCs w:val="21"/>
                <w:highlight w:val="none"/>
              </w:rPr>
            </w:pPr>
            <w:r>
              <w:rPr>
                <w:rFonts w:hint="eastAsia" w:ascii="宋体" w:hAnsi="宋体" w:cs="宋体"/>
                <w:color w:val="auto"/>
                <w:spacing w:val="-12"/>
                <w:sz w:val="21"/>
                <w:szCs w:val="21"/>
                <w:highlight w:val="none"/>
              </w:rPr>
              <w:t>(</w:t>
            </w:r>
            <w:r>
              <w:rPr>
                <w:rFonts w:hint="eastAsia" w:ascii="宋体" w:hAnsi="宋体" w:cs="宋体"/>
                <w:color w:val="auto"/>
                <w:spacing w:val="-9"/>
                <w:sz w:val="21"/>
                <w:szCs w:val="21"/>
                <w:highlight w:val="none"/>
              </w:rPr>
              <w:t>X)</w:t>
            </w:r>
          </w:p>
        </w:tc>
        <w:tc>
          <w:tcPr>
            <w:tcW w:w="709" w:type="dxa"/>
          </w:tcPr>
          <w:p w14:paraId="544ABE67">
            <w:pPr>
              <w:spacing w:before="210"/>
              <w:ind w:left="254"/>
              <w:rPr>
                <w:rFonts w:hint="eastAsia" w:ascii="宋体" w:hAnsi="宋体" w:cs="宋体"/>
                <w:color w:val="auto"/>
                <w:sz w:val="21"/>
                <w:szCs w:val="21"/>
                <w:highlight w:val="none"/>
              </w:rPr>
            </w:pPr>
            <w:r>
              <w:rPr>
                <w:rFonts w:hint="eastAsia" w:ascii="宋体" w:hAnsi="宋体" w:cs="宋体"/>
                <w:color w:val="auto"/>
                <w:sz w:val="21"/>
                <w:szCs w:val="21"/>
                <w:highlight w:val="none"/>
              </w:rPr>
              <w:t>人</w:t>
            </w:r>
          </w:p>
        </w:tc>
        <w:tc>
          <w:tcPr>
            <w:tcW w:w="1124" w:type="dxa"/>
          </w:tcPr>
          <w:p w14:paraId="707FC0AD">
            <w:pPr>
              <w:spacing w:before="211"/>
              <w:ind w:left="249"/>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X</w:t>
            </w:r>
            <w:r>
              <w:rPr>
                <w:rFonts w:hint="eastAsia" w:ascii="宋体" w:hAnsi="宋体" w:cs="宋体"/>
                <w:color w:val="auto"/>
                <w:spacing w:val="6"/>
                <w:position w:val="1"/>
                <w:sz w:val="21"/>
                <w:szCs w:val="21"/>
                <w:highlight w:val="none"/>
              </w:rPr>
              <w:t>≥300</w:t>
            </w:r>
          </w:p>
        </w:tc>
        <w:tc>
          <w:tcPr>
            <w:tcW w:w="1448" w:type="dxa"/>
          </w:tcPr>
          <w:p w14:paraId="0C9ABE69">
            <w:pPr>
              <w:spacing w:before="211"/>
              <w:ind w:left="334"/>
              <w:rPr>
                <w:rFonts w:hint="eastAsia" w:ascii="宋体" w:hAnsi="宋体" w:cs="宋体"/>
                <w:color w:val="auto"/>
                <w:sz w:val="21"/>
                <w:szCs w:val="21"/>
                <w:highlight w:val="none"/>
              </w:rPr>
            </w:pPr>
            <w:r>
              <w:rPr>
                <w:rFonts w:hint="eastAsia" w:ascii="宋体" w:hAnsi="宋体" w:cs="宋体"/>
                <w:color w:val="auto"/>
                <w:spacing w:val="7"/>
                <w:position w:val="1"/>
                <w:sz w:val="21"/>
                <w:szCs w:val="21"/>
                <w:highlight w:val="none"/>
              </w:rPr>
              <w:t>5</w:t>
            </w:r>
            <w:r>
              <w:rPr>
                <w:rFonts w:hint="eastAsia" w:ascii="宋体" w:hAnsi="宋体" w:cs="宋体"/>
                <w:color w:val="auto"/>
                <w:spacing w:val="5"/>
                <w:position w:val="1"/>
                <w:sz w:val="21"/>
                <w:szCs w:val="21"/>
                <w:highlight w:val="none"/>
              </w:rPr>
              <w:t>0≤</w:t>
            </w:r>
            <w:r>
              <w:rPr>
                <w:rFonts w:hint="eastAsia" w:ascii="宋体" w:hAnsi="宋体" w:cs="宋体"/>
                <w:color w:val="auto"/>
                <w:position w:val="1"/>
                <w:sz w:val="21"/>
                <w:szCs w:val="21"/>
                <w:highlight w:val="none"/>
              </w:rPr>
              <w:t>X</w:t>
            </w:r>
            <w:r>
              <w:rPr>
                <w:rFonts w:hint="eastAsia" w:ascii="宋体" w:hAnsi="宋体" w:cs="宋体"/>
                <w:color w:val="auto"/>
                <w:spacing w:val="5"/>
                <w:position w:val="1"/>
                <w:sz w:val="21"/>
                <w:szCs w:val="21"/>
                <w:highlight w:val="none"/>
              </w:rPr>
              <w:t>＜300</w:t>
            </w:r>
          </w:p>
        </w:tc>
        <w:tc>
          <w:tcPr>
            <w:tcW w:w="1677" w:type="dxa"/>
          </w:tcPr>
          <w:p w14:paraId="792D9DE9">
            <w:pPr>
              <w:spacing w:before="211"/>
              <w:ind w:left="261"/>
              <w:rPr>
                <w:rFonts w:hint="eastAsia" w:ascii="宋体" w:hAnsi="宋体" w:cs="宋体"/>
                <w:color w:val="auto"/>
                <w:sz w:val="21"/>
                <w:szCs w:val="21"/>
                <w:highlight w:val="none"/>
              </w:rPr>
            </w:pPr>
            <w:r>
              <w:rPr>
                <w:rFonts w:hint="eastAsia" w:ascii="宋体" w:hAnsi="宋体" w:cs="宋体"/>
                <w:color w:val="auto"/>
                <w:spacing w:val="5"/>
                <w:position w:val="1"/>
                <w:sz w:val="21"/>
                <w:szCs w:val="21"/>
                <w:highlight w:val="none"/>
              </w:rPr>
              <w:t>1</w:t>
            </w:r>
            <w:r>
              <w:rPr>
                <w:rFonts w:hint="eastAsia" w:ascii="宋体" w:hAnsi="宋体" w:cs="宋体"/>
                <w:color w:val="auto"/>
                <w:spacing w:val="3"/>
                <w:position w:val="1"/>
                <w:sz w:val="21"/>
                <w:szCs w:val="21"/>
                <w:highlight w:val="none"/>
              </w:rPr>
              <w:t>0≤</w:t>
            </w:r>
            <w:r>
              <w:rPr>
                <w:rFonts w:hint="eastAsia" w:ascii="宋体" w:hAnsi="宋体" w:cs="宋体"/>
                <w:color w:val="auto"/>
                <w:position w:val="1"/>
                <w:sz w:val="21"/>
                <w:szCs w:val="21"/>
                <w:highlight w:val="none"/>
              </w:rPr>
              <w:t>X</w:t>
            </w:r>
            <w:r>
              <w:rPr>
                <w:rFonts w:hint="eastAsia" w:ascii="宋体" w:hAnsi="宋体" w:cs="宋体"/>
                <w:color w:val="auto"/>
                <w:spacing w:val="3"/>
                <w:position w:val="1"/>
                <w:sz w:val="21"/>
                <w:szCs w:val="21"/>
                <w:highlight w:val="none"/>
              </w:rPr>
              <w:t>＜50</w:t>
            </w:r>
          </w:p>
        </w:tc>
        <w:tc>
          <w:tcPr>
            <w:tcW w:w="996" w:type="dxa"/>
          </w:tcPr>
          <w:p w14:paraId="23AD6F2A">
            <w:pPr>
              <w:spacing w:before="211"/>
              <w:ind w:left="239"/>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X</w:t>
            </w:r>
            <w:r>
              <w:rPr>
                <w:rFonts w:hint="eastAsia" w:ascii="宋体" w:hAnsi="宋体" w:cs="宋体"/>
                <w:color w:val="auto"/>
                <w:spacing w:val="6"/>
                <w:position w:val="1"/>
                <w:sz w:val="21"/>
                <w:szCs w:val="21"/>
                <w:highlight w:val="none"/>
              </w:rPr>
              <w:t>＜10</w:t>
            </w:r>
          </w:p>
        </w:tc>
      </w:tr>
      <w:tr w14:paraId="104F7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71" w:type="dxa"/>
            <w:vMerge w:val="continue"/>
            <w:tcBorders>
              <w:top w:val="nil"/>
            </w:tcBorders>
          </w:tcPr>
          <w:p w14:paraId="2AA98215">
            <w:pPr>
              <w:jc w:val="center"/>
              <w:rPr>
                <w:rFonts w:hint="eastAsia" w:ascii="宋体" w:hAnsi="宋体" w:cs="宋体"/>
                <w:color w:val="auto"/>
                <w:sz w:val="21"/>
                <w:szCs w:val="21"/>
                <w:highlight w:val="none"/>
              </w:rPr>
            </w:pPr>
          </w:p>
        </w:tc>
        <w:tc>
          <w:tcPr>
            <w:tcW w:w="2014" w:type="dxa"/>
          </w:tcPr>
          <w:p w14:paraId="2CAFD306">
            <w:pPr>
              <w:spacing w:before="15"/>
              <w:ind w:left="274"/>
              <w:rPr>
                <w:rFonts w:hint="eastAsia" w:ascii="宋体" w:hAnsi="宋体" w:cs="宋体"/>
                <w:color w:val="auto"/>
                <w:sz w:val="21"/>
                <w:szCs w:val="21"/>
                <w:highlight w:val="none"/>
              </w:rPr>
            </w:pPr>
            <w:r>
              <w:rPr>
                <w:rFonts w:hint="eastAsia" w:ascii="宋体" w:hAnsi="宋体" w:cs="宋体"/>
                <w:color w:val="auto"/>
                <w:spacing w:val="8"/>
                <w:sz w:val="21"/>
                <w:szCs w:val="21"/>
                <w:highlight w:val="none"/>
              </w:rPr>
              <w:t>营</w:t>
            </w:r>
            <w:r>
              <w:rPr>
                <w:rFonts w:hint="eastAsia" w:ascii="宋体" w:hAnsi="宋体" w:cs="宋体"/>
                <w:color w:val="auto"/>
                <w:spacing w:val="5"/>
                <w:sz w:val="21"/>
                <w:szCs w:val="21"/>
                <w:highlight w:val="none"/>
              </w:rPr>
              <w:t>业收入</w:t>
            </w:r>
          </w:p>
          <w:p w14:paraId="2836D048">
            <w:pPr>
              <w:ind w:left="568"/>
              <w:rPr>
                <w:rFonts w:hint="eastAsia" w:ascii="宋体" w:hAnsi="宋体" w:cs="宋体"/>
                <w:color w:val="auto"/>
                <w:sz w:val="21"/>
                <w:szCs w:val="21"/>
                <w:highlight w:val="none"/>
              </w:rPr>
            </w:pPr>
            <w:r>
              <w:rPr>
                <w:rFonts w:hint="eastAsia" w:ascii="宋体" w:hAnsi="宋体" w:cs="宋体"/>
                <w:color w:val="auto"/>
                <w:spacing w:val="-12"/>
                <w:sz w:val="21"/>
                <w:szCs w:val="21"/>
                <w:highlight w:val="none"/>
              </w:rPr>
              <w:t>(</w:t>
            </w:r>
            <w:r>
              <w:rPr>
                <w:rFonts w:hint="eastAsia" w:ascii="宋体" w:hAnsi="宋体" w:cs="宋体"/>
                <w:color w:val="auto"/>
                <w:spacing w:val="-9"/>
                <w:sz w:val="21"/>
                <w:szCs w:val="21"/>
                <w:highlight w:val="none"/>
              </w:rPr>
              <w:t>Y)</w:t>
            </w:r>
          </w:p>
        </w:tc>
        <w:tc>
          <w:tcPr>
            <w:tcW w:w="709" w:type="dxa"/>
          </w:tcPr>
          <w:p w14:paraId="0E1D8FFE">
            <w:pPr>
              <w:spacing w:before="139"/>
              <w:ind w:left="154"/>
              <w:rPr>
                <w:rFonts w:hint="eastAsia" w:ascii="宋体" w:hAnsi="宋体" w:cs="宋体"/>
                <w:color w:val="auto"/>
                <w:sz w:val="21"/>
                <w:szCs w:val="21"/>
                <w:highlight w:val="none"/>
              </w:rPr>
            </w:pPr>
            <w:r>
              <w:rPr>
                <w:rFonts w:hint="eastAsia" w:ascii="宋体" w:hAnsi="宋体" w:cs="宋体"/>
                <w:color w:val="auto"/>
                <w:spacing w:val="2"/>
                <w:sz w:val="21"/>
                <w:szCs w:val="21"/>
                <w:highlight w:val="none"/>
              </w:rPr>
              <w:t>万元</w:t>
            </w:r>
          </w:p>
        </w:tc>
        <w:tc>
          <w:tcPr>
            <w:tcW w:w="1124" w:type="dxa"/>
          </w:tcPr>
          <w:p w14:paraId="6B6CE59C">
            <w:pPr>
              <w:spacing w:before="138"/>
              <w:ind w:left="143"/>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Y</w:t>
            </w:r>
            <w:r>
              <w:rPr>
                <w:rFonts w:hint="eastAsia" w:ascii="宋体" w:hAnsi="宋体" w:cs="宋体"/>
                <w:color w:val="auto"/>
                <w:spacing w:val="9"/>
                <w:position w:val="1"/>
                <w:sz w:val="21"/>
                <w:szCs w:val="21"/>
                <w:highlight w:val="none"/>
              </w:rPr>
              <w:t>≥</w:t>
            </w:r>
            <w:r>
              <w:rPr>
                <w:rFonts w:hint="eastAsia" w:ascii="宋体" w:hAnsi="宋体" w:cs="宋体"/>
                <w:color w:val="auto"/>
                <w:spacing w:val="5"/>
                <w:position w:val="1"/>
                <w:sz w:val="21"/>
                <w:szCs w:val="21"/>
                <w:highlight w:val="none"/>
              </w:rPr>
              <w:t>20000</w:t>
            </w:r>
          </w:p>
        </w:tc>
        <w:tc>
          <w:tcPr>
            <w:tcW w:w="1448" w:type="dxa"/>
          </w:tcPr>
          <w:p w14:paraId="08EA1B0C">
            <w:pPr>
              <w:spacing w:before="138"/>
              <w:ind w:left="229"/>
              <w:rPr>
                <w:rFonts w:hint="eastAsia" w:ascii="宋体" w:hAnsi="宋体" w:cs="宋体"/>
                <w:color w:val="auto"/>
                <w:sz w:val="21"/>
                <w:szCs w:val="21"/>
                <w:highlight w:val="none"/>
              </w:rPr>
            </w:pPr>
            <w:r>
              <w:rPr>
                <w:rFonts w:hint="eastAsia" w:ascii="宋体" w:hAnsi="宋体" w:cs="宋体"/>
                <w:color w:val="auto"/>
                <w:spacing w:val="7"/>
                <w:position w:val="1"/>
                <w:sz w:val="21"/>
                <w:szCs w:val="21"/>
                <w:highlight w:val="none"/>
              </w:rPr>
              <w:t>5</w:t>
            </w:r>
            <w:r>
              <w:rPr>
                <w:rFonts w:hint="eastAsia" w:ascii="宋体" w:hAnsi="宋体" w:cs="宋体"/>
                <w:color w:val="auto"/>
                <w:spacing w:val="5"/>
                <w:position w:val="1"/>
                <w:sz w:val="21"/>
                <w:szCs w:val="21"/>
                <w:highlight w:val="none"/>
              </w:rPr>
              <w:t>00≤</w:t>
            </w:r>
            <w:r>
              <w:rPr>
                <w:rFonts w:hint="eastAsia" w:ascii="宋体" w:hAnsi="宋体" w:cs="宋体"/>
                <w:color w:val="auto"/>
                <w:position w:val="1"/>
                <w:sz w:val="21"/>
                <w:szCs w:val="21"/>
                <w:highlight w:val="none"/>
              </w:rPr>
              <w:t>Y</w:t>
            </w:r>
            <w:r>
              <w:rPr>
                <w:rFonts w:hint="eastAsia" w:ascii="宋体" w:hAnsi="宋体" w:cs="宋体"/>
                <w:color w:val="auto"/>
                <w:spacing w:val="5"/>
                <w:position w:val="1"/>
                <w:sz w:val="21"/>
                <w:szCs w:val="21"/>
                <w:highlight w:val="none"/>
              </w:rPr>
              <w:t>＜20000</w:t>
            </w:r>
          </w:p>
        </w:tc>
        <w:tc>
          <w:tcPr>
            <w:tcW w:w="1677" w:type="dxa"/>
          </w:tcPr>
          <w:p w14:paraId="7348817C">
            <w:pPr>
              <w:spacing w:before="138"/>
              <w:ind w:left="155"/>
              <w:rPr>
                <w:rFonts w:hint="eastAsia" w:ascii="宋体" w:hAnsi="宋体" w:cs="宋体"/>
                <w:color w:val="auto"/>
                <w:sz w:val="21"/>
                <w:szCs w:val="21"/>
                <w:highlight w:val="none"/>
              </w:rPr>
            </w:pPr>
            <w:r>
              <w:rPr>
                <w:rFonts w:hint="eastAsia" w:ascii="宋体" w:hAnsi="宋体" w:cs="宋体"/>
                <w:color w:val="auto"/>
                <w:spacing w:val="4"/>
                <w:position w:val="1"/>
                <w:sz w:val="21"/>
                <w:szCs w:val="21"/>
                <w:highlight w:val="none"/>
              </w:rPr>
              <w:t>100≤</w:t>
            </w:r>
            <w:r>
              <w:rPr>
                <w:rFonts w:hint="eastAsia" w:ascii="宋体" w:hAnsi="宋体" w:cs="宋体"/>
                <w:color w:val="auto"/>
                <w:position w:val="1"/>
                <w:sz w:val="21"/>
                <w:szCs w:val="21"/>
                <w:highlight w:val="none"/>
              </w:rPr>
              <w:t>Y</w:t>
            </w:r>
            <w:r>
              <w:rPr>
                <w:rFonts w:hint="eastAsia" w:ascii="宋体" w:hAnsi="宋体" w:cs="宋体"/>
                <w:color w:val="auto"/>
                <w:spacing w:val="4"/>
                <w:position w:val="1"/>
                <w:sz w:val="21"/>
                <w:szCs w:val="21"/>
                <w:highlight w:val="none"/>
              </w:rPr>
              <w:t>＜500</w:t>
            </w:r>
          </w:p>
        </w:tc>
        <w:tc>
          <w:tcPr>
            <w:tcW w:w="996" w:type="dxa"/>
          </w:tcPr>
          <w:p w14:paraId="675EC6B2">
            <w:pPr>
              <w:spacing w:before="138"/>
              <w:ind w:left="185"/>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Y</w:t>
            </w:r>
            <w:r>
              <w:rPr>
                <w:rFonts w:hint="eastAsia" w:ascii="宋体" w:hAnsi="宋体" w:cs="宋体"/>
                <w:color w:val="auto"/>
                <w:spacing w:val="7"/>
                <w:position w:val="1"/>
                <w:sz w:val="21"/>
                <w:szCs w:val="21"/>
                <w:highlight w:val="none"/>
              </w:rPr>
              <w:t>＜</w:t>
            </w:r>
            <w:r>
              <w:rPr>
                <w:rFonts w:hint="eastAsia" w:ascii="宋体" w:hAnsi="宋体" w:cs="宋体"/>
                <w:color w:val="auto"/>
                <w:spacing w:val="6"/>
                <w:position w:val="1"/>
                <w:sz w:val="21"/>
                <w:szCs w:val="21"/>
                <w:highlight w:val="none"/>
              </w:rPr>
              <w:t>100</w:t>
            </w:r>
          </w:p>
        </w:tc>
      </w:tr>
      <w:tr w14:paraId="5B6AD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71" w:type="dxa"/>
            <w:vMerge w:val="restart"/>
            <w:tcBorders>
              <w:bottom w:val="nil"/>
            </w:tcBorders>
          </w:tcPr>
          <w:p w14:paraId="2FBB9D2D">
            <w:pPr>
              <w:jc w:val="center"/>
              <w:rPr>
                <w:rFonts w:hint="eastAsia" w:ascii="宋体" w:hAnsi="宋体" w:cs="宋体"/>
                <w:color w:val="auto"/>
                <w:sz w:val="21"/>
                <w:szCs w:val="21"/>
                <w:highlight w:val="none"/>
              </w:rPr>
            </w:pPr>
          </w:p>
          <w:p w14:paraId="1CFE6691">
            <w:pPr>
              <w:spacing w:before="65"/>
              <w:ind w:left="120"/>
              <w:jc w:val="center"/>
              <w:rPr>
                <w:rFonts w:hint="eastAsia" w:ascii="宋体" w:hAnsi="宋体" w:cs="宋体"/>
                <w:color w:val="auto"/>
                <w:sz w:val="21"/>
                <w:szCs w:val="21"/>
                <w:highlight w:val="none"/>
              </w:rPr>
            </w:pPr>
            <w:r>
              <w:rPr>
                <w:rFonts w:hint="eastAsia" w:ascii="宋体" w:hAnsi="宋体" w:cs="宋体"/>
                <w:color w:val="auto"/>
                <w:spacing w:val="7"/>
                <w:sz w:val="21"/>
                <w:szCs w:val="21"/>
                <w:highlight w:val="none"/>
              </w:rPr>
              <w:t>交通运输业 *</w:t>
            </w:r>
          </w:p>
        </w:tc>
        <w:tc>
          <w:tcPr>
            <w:tcW w:w="2014" w:type="dxa"/>
          </w:tcPr>
          <w:p w14:paraId="398A89C8">
            <w:pPr>
              <w:spacing w:before="54"/>
              <w:ind w:left="270"/>
              <w:rPr>
                <w:rFonts w:hint="eastAsia" w:ascii="宋体" w:hAnsi="宋体" w:cs="宋体"/>
                <w:color w:val="auto"/>
                <w:sz w:val="21"/>
                <w:szCs w:val="21"/>
                <w:highlight w:val="none"/>
              </w:rPr>
            </w:pPr>
            <w:r>
              <w:rPr>
                <w:rFonts w:hint="eastAsia" w:ascii="宋体" w:hAnsi="宋体" w:cs="宋体"/>
                <w:color w:val="auto"/>
                <w:spacing w:val="9"/>
                <w:sz w:val="21"/>
                <w:szCs w:val="21"/>
                <w:highlight w:val="none"/>
              </w:rPr>
              <w:t>从</w:t>
            </w:r>
            <w:r>
              <w:rPr>
                <w:rFonts w:hint="eastAsia" w:ascii="宋体" w:hAnsi="宋体" w:cs="宋体"/>
                <w:color w:val="auto"/>
                <w:spacing w:val="6"/>
                <w:sz w:val="21"/>
                <w:szCs w:val="21"/>
                <w:highlight w:val="none"/>
              </w:rPr>
              <w:t>业人员</w:t>
            </w:r>
          </w:p>
          <w:p w14:paraId="50FC1666">
            <w:pPr>
              <w:spacing w:before="64"/>
              <w:ind w:left="568"/>
              <w:rPr>
                <w:rFonts w:hint="eastAsia" w:ascii="宋体" w:hAnsi="宋体" w:cs="宋体"/>
                <w:color w:val="auto"/>
                <w:sz w:val="21"/>
                <w:szCs w:val="21"/>
                <w:highlight w:val="none"/>
              </w:rPr>
            </w:pPr>
            <w:r>
              <w:rPr>
                <w:rFonts w:hint="eastAsia" w:ascii="宋体" w:hAnsi="宋体" w:cs="宋体"/>
                <w:color w:val="auto"/>
                <w:spacing w:val="-12"/>
                <w:sz w:val="21"/>
                <w:szCs w:val="21"/>
                <w:highlight w:val="none"/>
              </w:rPr>
              <w:t>(</w:t>
            </w:r>
            <w:r>
              <w:rPr>
                <w:rFonts w:hint="eastAsia" w:ascii="宋体" w:hAnsi="宋体" w:cs="宋体"/>
                <w:color w:val="auto"/>
                <w:spacing w:val="-9"/>
                <w:sz w:val="21"/>
                <w:szCs w:val="21"/>
                <w:highlight w:val="none"/>
              </w:rPr>
              <w:t>X)</w:t>
            </w:r>
          </w:p>
        </w:tc>
        <w:tc>
          <w:tcPr>
            <w:tcW w:w="709" w:type="dxa"/>
          </w:tcPr>
          <w:p w14:paraId="527A0C63">
            <w:pPr>
              <w:spacing w:before="209"/>
              <w:ind w:left="254"/>
              <w:rPr>
                <w:rFonts w:hint="eastAsia" w:ascii="宋体" w:hAnsi="宋体" w:cs="宋体"/>
                <w:color w:val="auto"/>
                <w:sz w:val="21"/>
                <w:szCs w:val="21"/>
                <w:highlight w:val="none"/>
              </w:rPr>
            </w:pPr>
            <w:r>
              <w:rPr>
                <w:rFonts w:hint="eastAsia" w:ascii="宋体" w:hAnsi="宋体" w:cs="宋体"/>
                <w:color w:val="auto"/>
                <w:sz w:val="21"/>
                <w:szCs w:val="21"/>
                <w:highlight w:val="none"/>
              </w:rPr>
              <w:t>人</w:t>
            </w:r>
          </w:p>
        </w:tc>
        <w:tc>
          <w:tcPr>
            <w:tcW w:w="1124" w:type="dxa"/>
          </w:tcPr>
          <w:p w14:paraId="74B3093F">
            <w:pPr>
              <w:spacing w:before="210"/>
              <w:ind w:left="196"/>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X</w:t>
            </w:r>
            <w:r>
              <w:rPr>
                <w:rFonts w:hint="eastAsia" w:ascii="宋体" w:hAnsi="宋体" w:cs="宋体"/>
                <w:color w:val="auto"/>
                <w:spacing w:val="6"/>
                <w:position w:val="1"/>
                <w:sz w:val="21"/>
                <w:szCs w:val="21"/>
                <w:highlight w:val="none"/>
              </w:rPr>
              <w:t>≥1000</w:t>
            </w:r>
          </w:p>
        </w:tc>
        <w:tc>
          <w:tcPr>
            <w:tcW w:w="1448" w:type="dxa"/>
          </w:tcPr>
          <w:p w14:paraId="4B044E38">
            <w:pPr>
              <w:spacing w:before="210"/>
              <w:ind w:left="229"/>
              <w:rPr>
                <w:rFonts w:hint="eastAsia" w:ascii="宋体" w:hAnsi="宋体" w:cs="宋体"/>
                <w:color w:val="auto"/>
                <w:sz w:val="21"/>
                <w:szCs w:val="21"/>
                <w:highlight w:val="none"/>
              </w:rPr>
            </w:pPr>
            <w:r>
              <w:rPr>
                <w:rFonts w:hint="eastAsia" w:ascii="宋体" w:hAnsi="宋体" w:cs="宋体"/>
                <w:color w:val="auto"/>
                <w:spacing w:val="8"/>
                <w:position w:val="1"/>
                <w:sz w:val="21"/>
                <w:szCs w:val="21"/>
                <w:highlight w:val="none"/>
              </w:rPr>
              <w:t>3</w:t>
            </w:r>
            <w:r>
              <w:rPr>
                <w:rFonts w:hint="eastAsia" w:ascii="宋体" w:hAnsi="宋体" w:cs="宋体"/>
                <w:color w:val="auto"/>
                <w:spacing w:val="5"/>
                <w:position w:val="1"/>
                <w:sz w:val="21"/>
                <w:szCs w:val="21"/>
                <w:highlight w:val="none"/>
              </w:rPr>
              <w:t>00≤</w:t>
            </w:r>
            <w:r>
              <w:rPr>
                <w:rFonts w:hint="eastAsia" w:ascii="宋体" w:hAnsi="宋体" w:cs="宋体"/>
                <w:color w:val="auto"/>
                <w:position w:val="1"/>
                <w:sz w:val="21"/>
                <w:szCs w:val="21"/>
                <w:highlight w:val="none"/>
              </w:rPr>
              <w:t>X</w:t>
            </w:r>
            <w:r>
              <w:rPr>
                <w:rFonts w:hint="eastAsia" w:ascii="宋体" w:hAnsi="宋体" w:cs="宋体"/>
                <w:color w:val="auto"/>
                <w:spacing w:val="5"/>
                <w:position w:val="1"/>
                <w:sz w:val="21"/>
                <w:szCs w:val="21"/>
                <w:highlight w:val="none"/>
              </w:rPr>
              <w:t>＜1000</w:t>
            </w:r>
          </w:p>
        </w:tc>
        <w:tc>
          <w:tcPr>
            <w:tcW w:w="1677" w:type="dxa"/>
          </w:tcPr>
          <w:p w14:paraId="1CB8E5AE">
            <w:pPr>
              <w:spacing w:before="210"/>
              <w:ind w:left="248"/>
              <w:rPr>
                <w:rFonts w:hint="eastAsia" w:ascii="宋体" w:hAnsi="宋体" w:cs="宋体"/>
                <w:color w:val="auto"/>
                <w:sz w:val="21"/>
                <w:szCs w:val="21"/>
                <w:highlight w:val="none"/>
              </w:rPr>
            </w:pPr>
            <w:r>
              <w:rPr>
                <w:rFonts w:hint="eastAsia" w:ascii="宋体" w:hAnsi="宋体" w:cs="宋体"/>
                <w:color w:val="auto"/>
                <w:spacing w:val="6"/>
                <w:position w:val="1"/>
                <w:sz w:val="21"/>
                <w:szCs w:val="21"/>
                <w:highlight w:val="none"/>
              </w:rPr>
              <w:t>20≤</w:t>
            </w:r>
            <w:r>
              <w:rPr>
                <w:rFonts w:hint="eastAsia" w:ascii="宋体" w:hAnsi="宋体" w:cs="宋体"/>
                <w:color w:val="auto"/>
                <w:position w:val="1"/>
                <w:sz w:val="21"/>
                <w:szCs w:val="21"/>
                <w:highlight w:val="none"/>
              </w:rPr>
              <w:t>X</w:t>
            </w:r>
            <w:r>
              <w:rPr>
                <w:rFonts w:hint="eastAsia" w:ascii="宋体" w:hAnsi="宋体" w:cs="宋体"/>
                <w:color w:val="auto"/>
                <w:spacing w:val="6"/>
                <w:position w:val="1"/>
                <w:sz w:val="21"/>
                <w:szCs w:val="21"/>
                <w:highlight w:val="none"/>
              </w:rPr>
              <w:t>＜30</w:t>
            </w:r>
            <w:r>
              <w:rPr>
                <w:rFonts w:hint="eastAsia" w:ascii="宋体" w:hAnsi="宋体" w:cs="宋体"/>
                <w:color w:val="auto"/>
                <w:spacing w:val="5"/>
                <w:position w:val="1"/>
                <w:sz w:val="21"/>
                <w:szCs w:val="21"/>
                <w:highlight w:val="none"/>
              </w:rPr>
              <w:t>0</w:t>
            </w:r>
          </w:p>
        </w:tc>
        <w:tc>
          <w:tcPr>
            <w:tcW w:w="996" w:type="dxa"/>
          </w:tcPr>
          <w:p w14:paraId="6B3D8B4C">
            <w:pPr>
              <w:spacing w:before="210"/>
              <w:ind w:left="239"/>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X</w:t>
            </w:r>
            <w:r>
              <w:rPr>
                <w:rFonts w:hint="eastAsia" w:ascii="宋体" w:hAnsi="宋体" w:cs="宋体"/>
                <w:color w:val="auto"/>
                <w:spacing w:val="6"/>
                <w:position w:val="1"/>
                <w:sz w:val="21"/>
                <w:szCs w:val="21"/>
                <w:highlight w:val="none"/>
              </w:rPr>
              <w:t>＜20</w:t>
            </w:r>
          </w:p>
        </w:tc>
      </w:tr>
      <w:tr w14:paraId="5D74AC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71" w:type="dxa"/>
            <w:vMerge w:val="continue"/>
            <w:tcBorders>
              <w:top w:val="nil"/>
            </w:tcBorders>
          </w:tcPr>
          <w:p w14:paraId="498D9E9D">
            <w:pPr>
              <w:jc w:val="center"/>
              <w:rPr>
                <w:rFonts w:hint="eastAsia" w:ascii="宋体" w:hAnsi="宋体" w:cs="宋体"/>
                <w:color w:val="auto"/>
                <w:sz w:val="21"/>
                <w:szCs w:val="21"/>
                <w:highlight w:val="none"/>
              </w:rPr>
            </w:pPr>
          </w:p>
        </w:tc>
        <w:tc>
          <w:tcPr>
            <w:tcW w:w="2014" w:type="dxa"/>
          </w:tcPr>
          <w:p w14:paraId="068FF6B5">
            <w:pPr>
              <w:spacing w:before="86"/>
              <w:ind w:left="274"/>
              <w:rPr>
                <w:rFonts w:hint="eastAsia" w:ascii="宋体" w:hAnsi="宋体" w:cs="宋体"/>
                <w:color w:val="auto"/>
                <w:sz w:val="21"/>
                <w:szCs w:val="21"/>
                <w:highlight w:val="none"/>
              </w:rPr>
            </w:pPr>
            <w:r>
              <w:rPr>
                <w:rFonts w:hint="eastAsia" w:ascii="宋体" w:hAnsi="宋体" w:cs="宋体"/>
                <w:color w:val="auto"/>
                <w:spacing w:val="8"/>
                <w:sz w:val="21"/>
                <w:szCs w:val="21"/>
                <w:highlight w:val="none"/>
              </w:rPr>
              <w:t>营</w:t>
            </w:r>
            <w:r>
              <w:rPr>
                <w:rFonts w:hint="eastAsia" w:ascii="宋体" w:hAnsi="宋体" w:cs="宋体"/>
                <w:color w:val="auto"/>
                <w:spacing w:val="5"/>
                <w:sz w:val="21"/>
                <w:szCs w:val="21"/>
                <w:highlight w:val="none"/>
              </w:rPr>
              <w:t>业收入</w:t>
            </w:r>
          </w:p>
          <w:p w14:paraId="31E79B9E">
            <w:pPr>
              <w:ind w:left="568"/>
              <w:rPr>
                <w:rFonts w:hint="eastAsia" w:ascii="宋体" w:hAnsi="宋体" w:cs="宋体"/>
                <w:color w:val="auto"/>
                <w:sz w:val="21"/>
                <w:szCs w:val="21"/>
                <w:highlight w:val="none"/>
              </w:rPr>
            </w:pPr>
            <w:r>
              <w:rPr>
                <w:rFonts w:hint="eastAsia" w:ascii="宋体" w:hAnsi="宋体" w:cs="宋体"/>
                <w:color w:val="auto"/>
                <w:spacing w:val="-12"/>
                <w:sz w:val="21"/>
                <w:szCs w:val="21"/>
                <w:highlight w:val="none"/>
              </w:rPr>
              <w:t>(</w:t>
            </w:r>
            <w:r>
              <w:rPr>
                <w:rFonts w:hint="eastAsia" w:ascii="宋体" w:hAnsi="宋体" w:cs="宋体"/>
                <w:color w:val="auto"/>
                <w:spacing w:val="-9"/>
                <w:sz w:val="21"/>
                <w:szCs w:val="21"/>
                <w:highlight w:val="none"/>
              </w:rPr>
              <w:t>Y)</w:t>
            </w:r>
          </w:p>
        </w:tc>
        <w:tc>
          <w:tcPr>
            <w:tcW w:w="709" w:type="dxa"/>
          </w:tcPr>
          <w:p w14:paraId="07782A12">
            <w:pPr>
              <w:spacing w:before="212"/>
              <w:ind w:left="154"/>
              <w:rPr>
                <w:rFonts w:hint="eastAsia" w:ascii="宋体" w:hAnsi="宋体" w:cs="宋体"/>
                <w:color w:val="auto"/>
                <w:sz w:val="21"/>
                <w:szCs w:val="21"/>
                <w:highlight w:val="none"/>
              </w:rPr>
            </w:pPr>
            <w:r>
              <w:rPr>
                <w:rFonts w:hint="eastAsia" w:ascii="宋体" w:hAnsi="宋体" w:cs="宋体"/>
                <w:color w:val="auto"/>
                <w:spacing w:val="2"/>
                <w:sz w:val="21"/>
                <w:szCs w:val="21"/>
                <w:highlight w:val="none"/>
              </w:rPr>
              <w:t>万元</w:t>
            </w:r>
          </w:p>
        </w:tc>
        <w:tc>
          <w:tcPr>
            <w:tcW w:w="1124" w:type="dxa"/>
          </w:tcPr>
          <w:p w14:paraId="6F309E9E">
            <w:pPr>
              <w:spacing w:before="212"/>
              <w:ind w:left="143"/>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Y</w:t>
            </w:r>
            <w:r>
              <w:rPr>
                <w:rFonts w:hint="eastAsia" w:ascii="宋体" w:hAnsi="宋体" w:cs="宋体"/>
                <w:color w:val="auto"/>
                <w:spacing w:val="9"/>
                <w:position w:val="1"/>
                <w:sz w:val="21"/>
                <w:szCs w:val="21"/>
                <w:highlight w:val="none"/>
              </w:rPr>
              <w:t>≥</w:t>
            </w:r>
            <w:r>
              <w:rPr>
                <w:rFonts w:hint="eastAsia" w:ascii="宋体" w:hAnsi="宋体" w:cs="宋体"/>
                <w:color w:val="auto"/>
                <w:spacing w:val="5"/>
                <w:position w:val="1"/>
                <w:sz w:val="21"/>
                <w:szCs w:val="21"/>
                <w:highlight w:val="none"/>
              </w:rPr>
              <w:t>30000</w:t>
            </w:r>
          </w:p>
        </w:tc>
        <w:tc>
          <w:tcPr>
            <w:tcW w:w="1448" w:type="dxa"/>
          </w:tcPr>
          <w:p w14:paraId="0B2F84B2">
            <w:pPr>
              <w:spacing w:before="212"/>
              <w:ind w:left="125"/>
              <w:rPr>
                <w:rFonts w:hint="eastAsia" w:ascii="宋体" w:hAnsi="宋体" w:cs="宋体"/>
                <w:color w:val="auto"/>
                <w:sz w:val="21"/>
                <w:szCs w:val="21"/>
                <w:highlight w:val="none"/>
              </w:rPr>
            </w:pPr>
            <w:r>
              <w:rPr>
                <w:rFonts w:hint="eastAsia" w:ascii="宋体" w:hAnsi="宋体" w:cs="宋体"/>
                <w:color w:val="auto"/>
                <w:spacing w:val="5"/>
                <w:position w:val="1"/>
                <w:sz w:val="21"/>
                <w:szCs w:val="21"/>
                <w:highlight w:val="none"/>
              </w:rPr>
              <w:t>3000≤</w:t>
            </w:r>
            <w:r>
              <w:rPr>
                <w:rFonts w:hint="eastAsia" w:ascii="宋体" w:hAnsi="宋体" w:cs="宋体"/>
                <w:color w:val="auto"/>
                <w:position w:val="1"/>
                <w:sz w:val="21"/>
                <w:szCs w:val="21"/>
                <w:highlight w:val="none"/>
              </w:rPr>
              <w:t>Y</w:t>
            </w:r>
            <w:r>
              <w:rPr>
                <w:rFonts w:hint="eastAsia" w:ascii="宋体" w:hAnsi="宋体" w:cs="宋体"/>
                <w:color w:val="auto"/>
                <w:spacing w:val="5"/>
                <w:position w:val="1"/>
                <w:sz w:val="21"/>
                <w:szCs w:val="21"/>
                <w:highlight w:val="none"/>
              </w:rPr>
              <w:t>＜30000</w:t>
            </w:r>
          </w:p>
        </w:tc>
        <w:tc>
          <w:tcPr>
            <w:tcW w:w="1677" w:type="dxa"/>
          </w:tcPr>
          <w:p w14:paraId="17FECD27">
            <w:pPr>
              <w:spacing w:before="57"/>
              <w:ind w:left="513" w:right="261" w:hanging="160"/>
              <w:rPr>
                <w:rFonts w:hint="eastAsia" w:ascii="宋体" w:hAnsi="宋体" w:cs="宋体"/>
                <w:color w:val="auto"/>
                <w:sz w:val="21"/>
                <w:szCs w:val="21"/>
                <w:highlight w:val="none"/>
              </w:rPr>
            </w:pPr>
            <w:r>
              <w:rPr>
                <w:rFonts w:hint="eastAsia" w:ascii="宋体" w:hAnsi="宋体" w:cs="宋体"/>
                <w:color w:val="auto"/>
                <w:spacing w:val="1"/>
                <w:sz w:val="21"/>
                <w:szCs w:val="21"/>
                <w:highlight w:val="none"/>
              </w:rPr>
              <w:t>200≤</w:t>
            </w:r>
            <w:r>
              <w:rPr>
                <w:rFonts w:hint="eastAsia" w:ascii="宋体" w:hAnsi="宋体" w:cs="宋体"/>
                <w:color w:val="auto"/>
                <w:sz w:val="21"/>
                <w:szCs w:val="21"/>
                <w:highlight w:val="none"/>
              </w:rPr>
              <w:t xml:space="preserve">Y＜ </w:t>
            </w:r>
            <w:r>
              <w:rPr>
                <w:rFonts w:hint="eastAsia" w:ascii="宋体" w:hAnsi="宋体" w:cs="宋体"/>
                <w:color w:val="auto"/>
                <w:spacing w:val="2"/>
                <w:sz w:val="21"/>
                <w:szCs w:val="21"/>
                <w:highlight w:val="none"/>
              </w:rPr>
              <w:t>3000</w:t>
            </w:r>
          </w:p>
        </w:tc>
        <w:tc>
          <w:tcPr>
            <w:tcW w:w="996" w:type="dxa"/>
          </w:tcPr>
          <w:p w14:paraId="5F348D2F">
            <w:pPr>
              <w:spacing w:before="212"/>
              <w:ind w:left="185"/>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Y</w:t>
            </w:r>
            <w:r>
              <w:rPr>
                <w:rFonts w:hint="eastAsia" w:ascii="宋体" w:hAnsi="宋体" w:cs="宋体"/>
                <w:color w:val="auto"/>
                <w:spacing w:val="7"/>
                <w:position w:val="1"/>
                <w:sz w:val="21"/>
                <w:szCs w:val="21"/>
                <w:highlight w:val="none"/>
              </w:rPr>
              <w:t>＜</w:t>
            </w:r>
            <w:r>
              <w:rPr>
                <w:rFonts w:hint="eastAsia" w:ascii="宋体" w:hAnsi="宋体" w:cs="宋体"/>
                <w:color w:val="auto"/>
                <w:spacing w:val="6"/>
                <w:position w:val="1"/>
                <w:sz w:val="21"/>
                <w:szCs w:val="21"/>
                <w:highlight w:val="none"/>
              </w:rPr>
              <w:t>200</w:t>
            </w:r>
          </w:p>
        </w:tc>
      </w:tr>
      <w:tr w14:paraId="703FBB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71" w:type="dxa"/>
            <w:vMerge w:val="restart"/>
            <w:tcBorders>
              <w:bottom w:val="nil"/>
            </w:tcBorders>
          </w:tcPr>
          <w:p w14:paraId="18006BEE">
            <w:pPr>
              <w:jc w:val="center"/>
              <w:rPr>
                <w:rFonts w:hint="eastAsia" w:ascii="宋体" w:hAnsi="宋体" w:cs="宋体"/>
                <w:color w:val="auto"/>
                <w:sz w:val="21"/>
                <w:szCs w:val="21"/>
                <w:highlight w:val="none"/>
              </w:rPr>
            </w:pPr>
          </w:p>
          <w:p w14:paraId="3EE2ABD2">
            <w:pPr>
              <w:spacing w:before="65"/>
              <w:ind w:left="115"/>
              <w:jc w:val="center"/>
              <w:rPr>
                <w:rFonts w:hint="eastAsia" w:ascii="宋体" w:hAnsi="宋体" w:cs="宋体"/>
                <w:color w:val="auto"/>
                <w:sz w:val="21"/>
                <w:szCs w:val="21"/>
                <w:highlight w:val="none"/>
              </w:rPr>
            </w:pPr>
            <w:r>
              <w:rPr>
                <w:rFonts w:hint="eastAsia" w:ascii="宋体" w:hAnsi="宋体" w:cs="宋体"/>
                <w:color w:val="auto"/>
                <w:spacing w:val="7"/>
                <w:sz w:val="21"/>
                <w:szCs w:val="21"/>
                <w:highlight w:val="none"/>
              </w:rPr>
              <w:t>仓</w:t>
            </w:r>
            <w:r>
              <w:rPr>
                <w:rFonts w:hint="eastAsia" w:ascii="宋体" w:hAnsi="宋体" w:cs="宋体"/>
                <w:color w:val="auto"/>
                <w:spacing w:val="6"/>
                <w:sz w:val="21"/>
                <w:szCs w:val="21"/>
                <w:highlight w:val="none"/>
              </w:rPr>
              <w:t>储业*</w:t>
            </w:r>
          </w:p>
        </w:tc>
        <w:tc>
          <w:tcPr>
            <w:tcW w:w="2014" w:type="dxa"/>
          </w:tcPr>
          <w:p w14:paraId="16E55E9F">
            <w:pPr>
              <w:spacing w:before="56"/>
              <w:ind w:left="270"/>
              <w:rPr>
                <w:rFonts w:hint="eastAsia" w:ascii="宋体" w:hAnsi="宋体" w:cs="宋体"/>
                <w:color w:val="auto"/>
                <w:sz w:val="21"/>
                <w:szCs w:val="21"/>
                <w:highlight w:val="none"/>
              </w:rPr>
            </w:pPr>
            <w:r>
              <w:rPr>
                <w:rFonts w:hint="eastAsia" w:ascii="宋体" w:hAnsi="宋体" w:cs="宋体"/>
                <w:color w:val="auto"/>
                <w:spacing w:val="9"/>
                <w:sz w:val="21"/>
                <w:szCs w:val="21"/>
                <w:highlight w:val="none"/>
              </w:rPr>
              <w:t>从</w:t>
            </w:r>
            <w:r>
              <w:rPr>
                <w:rFonts w:hint="eastAsia" w:ascii="宋体" w:hAnsi="宋体" w:cs="宋体"/>
                <w:color w:val="auto"/>
                <w:spacing w:val="6"/>
                <w:sz w:val="21"/>
                <w:szCs w:val="21"/>
                <w:highlight w:val="none"/>
              </w:rPr>
              <w:t>业人员</w:t>
            </w:r>
          </w:p>
          <w:p w14:paraId="5FDAE51E">
            <w:pPr>
              <w:spacing w:before="64"/>
              <w:ind w:left="568"/>
              <w:rPr>
                <w:rFonts w:hint="eastAsia" w:ascii="宋体" w:hAnsi="宋体" w:cs="宋体"/>
                <w:color w:val="auto"/>
                <w:sz w:val="21"/>
                <w:szCs w:val="21"/>
                <w:highlight w:val="none"/>
              </w:rPr>
            </w:pPr>
            <w:r>
              <w:rPr>
                <w:rFonts w:hint="eastAsia" w:ascii="宋体" w:hAnsi="宋体" w:cs="宋体"/>
                <w:color w:val="auto"/>
                <w:spacing w:val="-12"/>
                <w:sz w:val="21"/>
                <w:szCs w:val="21"/>
                <w:highlight w:val="none"/>
              </w:rPr>
              <w:t>(</w:t>
            </w:r>
            <w:r>
              <w:rPr>
                <w:rFonts w:hint="eastAsia" w:ascii="宋体" w:hAnsi="宋体" w:cs="宋体"/>
                <w:color w:val="auto"/>
                <w:spacing w:val="-9"/>
                <w:sz w:val="21"/>
                <w:szCs w:val="21"/>
                <w:highlight w:val="none"/>
              </w:rPr>
              <w:t>X)</w:t>
            </w:r>
          </w:p>
        </w:tc>
        <w:tc>
          <w:tcPr>
            <w:tcW w:w="709" w:type="dxa"/>
          </w:tcPr>
          <w:p w14:paraId="3A8DDD61">
            <w:pPr>
              <w:spacing w:before="211"/>
              <w:ind w:left="254"/>
              <w:rPr>
                <w:rFonts w:hint="eastAsia" w:ascii="宋体" w:hAnsi="宋体" w:cs="宋体"/>
                <w:color w:val="auto"/>
                <w:sz w:val="21"/>
                <w:szCs w:val="21"/>
                <w:highlight w:val="none"/>
              </w:rPr>
            </w:pPr>
            <w:r>
              <w:rPr>
                <w:rFonts w:hint="eastAsia" w:ascii="宋体" w:hAnsi="宋体" w:cs="宋体"/>
                <w:color w:val="auto"/>
                <w:sz w:val="21"/>
                <w:szCs w:val="21"/>
                <w:highlight w:val="none"/>
              </w:rPr>
              <w:t>人</w:t>
            </w:r>
          </w:p>
        </w:tc>
        <w:tc>
          <w:tcPr>
            <w:tcW w:w="1124" w:type="dxa"/>
          </w:tcPr>
          <w:p w14:paraId="598A0DE8">
            <w:pPr>
              <w:spacing w:before="211"/>
              <w:ind w:left="249"/>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X</w:t>
            </w:r>
            <w:r>
              <w:rPr>
                <w:rFonts w:hint="eastAsia" w:ascii="宋体" w:hAnsi="宋体" w:cs="宋体"/>
                <w:color w:val="auto"/>
                <w:spacing w:val="6"/>
                <w:position w:val="1"/>
                <w:sz w:val="21"/>
                <w:szCs w:val="21"/>
                <w:highlight w:val="none"/>
              </w:rPr>
              <w:t>≥200</w:t>
            </w:r>
          </w:p>
        </w:tc>
        <w:tc>
          <w:tcPr>
            <w:tcW w:w="1448" w:type="dxa"/>
          </w:tcPr>
          <w:p w14:paraId="71F36F8A">
            <w:pPr>
              <w:spacing w:before="211"/>
              <w:ind w:left="240"/>
              <w:rPr>
                <w:rFonts w:hint="eastAsia" w:ascii="宋体" w:hAnsi="宋体" w:cs="宋体"/>
                <w:color w:val="auto"/>
                <w:sz w:val="21"/>
                <w:szCs w:val="21"/>
                <w:highlight w:val="none"/>
              </w:rPr>
            </w:pPr>
            <w:r>
              <w:rPr>
                <w:rFonts w:hint="eastAsia" w:ascii="宋体" w:hAnsi="宋体" w:cs="宋体"/>
                <w:color w:val="auto"/>
                <w:spacing w:val="4"/>
                <w:position w:val="1"/>
                <w:sz w:val="21"/>
                <w:szCs w:val="21"/>
                <w:highlight w:val="none"/>
              </w:rPr>
              <w:t>100≤</w:t>
            </w:r>
            <w:r>
              <w:rPr>
                <w:rFonts w:hint="eastAsia" w:ascii="宋体" w:hAnsi="宋体" w:cs="宋体"/>
                <w:color w:val="auto"/>
                <w:position w:val="1"/>
                <w:sz w:val="21"/>
                <w:szCs w:val="21"/>
                <w:highlight w:val="none"/>
              </w:rPr>
              <w:t>X</w:t>
            </w:r>
            <w:r>
              <w:rPr>
                <w:rFonts w:hint="eastAsia" w:ascii="宋体" w:hAnsi="宋体" w:cs="宋体"/>
                <w:color w:val="auto"/>
                <w:spacing w:val="4"/>
                <w:position w:val="1"/>
                <w:sz w:val="21"/>
                <w:szCs w:val="21"/>
                <w:highlight w:val="none"/>
              </w:rPr>
              <w:t>＜200</w:t>
            </w:r>
          </w:p>
        </w:tc>
        <w:tc>
          <w:tcPr>
            <w:tcW w:w="1677" w:type="dxa"/>
          </w:tcPr>
          <w:p w14:paraId="631F63D3">
            <w:pPr>
              <w:spacing w:before="211"/>
              <w:ind w:left="248"/>
              <w:rPr>
                <w:rFonts w:hint="eastAsia" w:ascii="宋体" w:hAnsi="宋体" w:cs="宋体"/>
                <w:color w:val="auto"/>
                <w:sz w:val="21"/>
                <w:szCs w:val="21"/>
                <w:highlight w:val="none"/>
              </w:rPr>
            </w:pPr>
            <w:r>
              <w:rPr>
                <w:rFonts w:hint="eastAsia" w:ascii="宋体" w:hAnsi="宋体" w:cs="宋体"/>
                <w:color w:val="auto"/>
                <w:spacing w:val="6"/>
                <w:position w:val="1"/>
                <w:sz w:val="21"/>
                <w:szCs w:val="21"/>
                <w:highlight w:val="none"/>
              </w:rPr>
              <w:t>20≤</w:t>
            </w:r>
            <w:r>
              <w:rPr>
                <w:rFonts w:hint="eastAsia" w:ascii="宋体" w:hAnsi="宋体" w:cs="宋体"/>
                <w:color w:val="auto"/>
                <w:position w:val="1"/>
                <w:sz w:val="21"/>
                <w:szCs w:val="21"/>
                <w:highlight w:val="none"/>
              </w:rPr>
              <w:t>X</w:t>
            </w:r>
            <w:r>
              <w:rPr>
                <w:rFonts w:hint="eastAsia" w:ascii="宋体" w:hAnsi="宋体" w:cs="宋体"/>
                <w:color w:val="auto"/>
                <w:spacing w:val="6"/>
                <w:position w:val="1"/>
                <w:sz w:val="21"/>
                <w:szCs w:val="21"/>
                <w:highlight w:val="none"/>
              </w:rPr>
              <w:t>＜10</w:t>
            </w:r>
            <w:r>
              <w:rPr>
                <w:rFonts w:hint="eastAsia" w:ascii="宋体" w:hAnsi="宋体" w:cs="宋体"/>
                <w:color w:val="auto"/>
                <w:spacing w:val="5"/>
                <w:position w:val="1"/>
                <w:sz w:val="21"/>
                <w:szCs w:val="21"/>
                <w:highlight w:val="none"/>
              </w:rPr>
              <w:t>0</w:t>
            </w:r>
          </w:p>
        </w:tc>
        <w:tc>
          <w:tcPr>
            <w:tcW w:w="996" w:type="dxa"/>
          </w:tcPr>
          <w:p w14:paraId="4D7F82A5">
            <w:pPr>
              <w:spacing w:before="211"/>
              <w:ind w:left="239"/>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X</w:t>
            </w:r>
            <w:r>
              <w:rPr>
                <w:rFonts w:hint="eastAsia" w:ascii="宋体" w:hAnsi="宋体" w:cs="宋体"/>
                <w:color w:val="auto"/>
                <w:spacing w:val="6"/>
                <w:position w:val="1"/>
                <w:sz w:val="21"/>
                <w:szCs w:val="21"/>
                <w:highlight w:val="none"/>
              </w:rPr>
              <w:t>＜20</w:t>
            </w:r>
          </w:p>
        </w:tc>
      </w:tr>
      <w:tr w14:paraId="5F6B2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71" w:type="dxa"/>
            <w:vMerge w:val="continue"/>
            <w:tcBorders>
              <w:top w:val="nil"/>
              <w:bottom w:val="single" w:color="auto" w:sz="4" w:space="0"/>
            </w:tcBorders>
          </w:tcPr>
          <w:p w14:paraId="7395C7E9">
            <w:pPr>
              <w:jc w:val="center"/>
              <w:rPr>
                <w:rFonts w:hint="eastAsia" w:ascii="宋体" w:hAnsi="宋体" w:cs="宋体"/>
                <w:color w:val="auto"/>
                <w:sz w:val="21"/>
                <w:szCs w:val="21"/>
                <w:highlight w:val="none"/>
              </w:rPr>
            </w:pPr>
          </w:p>
        </w:tc>
        <w:tc>
          <w:tcPr>
            <w:tcW w:w="2014" w:type="dxa"/>
            <w:tcBorders>
              <w:bottom w:val="single" w:color="auto" w:sz="4" w:space="0"/>
            </w:tcBorders>
          </w:tcPr>
          <w:p w14:paraId="66208DCD">
            <w:pPr>
              <w:spacing w:before="88"/>
              <w:ind w:left="274"/>
              <w:rPr>
                <w:rFonts w:hint="eastAsia" w:ascii="宋体" w:hAnsi="宋体" w:cs="宋体"/>
                <w:color w:val="auto"/>
                <w:sz w:val="21"/>
                <w:szCs w:val="21"/>
                <w:highlight w:val="none"/>
              </w:rPr>
            </w:pPr>
            <w:r>
              <w:rPr>
                <w:rFonts w:hint="eastAsia" w:ascii="宋体" w:hAnsi="宋体" w:cs="宋体"/>
                <w:color w:val="auto"/>
                <w:spacing w:val="8"/>
                <w:sz w:val="21"/>
                <w:szCs w:val="21"/>
                <w:highlight w:val="none"/>
              </w:rPr>
              <w:t>营</w:t>
            </w:r>
            <w:r>
              <w:rPr>
                <w:rFonts w:hint="eastAsia" w:ascii="宋体" w:hAnsi="宋体" w:cs="宋体"/>
                <w:color w:val="auto"/>
                <w:spacing w:val="5"/>
                <w:sz w:val="21"/>
                <w:szCs w:val="21"/>
                <w:highlight w:val="none"/>
              </w:rPr>
              <w:t>业收入</w:t>
            </w:r>
          </w:p>
          <w:p w14:paraId="736D8891">
            <w:pPr>
              <w:ind w:left="568"/>
              <w:rPr>
                <w:rFonts w:hint="eastAsia" w:ascii="宋体" w:hAnsi="宋体" w:cs="宋体"/>
                <w:color w:val="auto"/>
                <w:sz w:val="21"/>
                <w:szCs w:val="21"/>
                <w:highlight w:val="none"/>
              </w:rPr>
            </w:pPr>
            <w:r>
              <w:rPr>
                <w:rFonts w:hint="eastAsia" w:ascii="宋体" w:hAnsi="宋体" w:cs="宋体"/>
                <w:color w:val="auto"/>
                <w:spacing w:val="-12"/>
                <w:sz w:val="21"/>
                <w:szCs w:val="21"/>
                <w:highlight w:val="none"/>
              </w:rPr>
              <w:t>(</w:t>
            </w:r>
            <w:r>
              <w:rPr>
                <w:rFonts w:hint="eastAsia" w:ascii="宋体" w:hAnsi="宋体" w:cs="宋体"/>
                <w:color w:val="auto"/>
                <w:spacing w:val="-9"/>
                <w:sz w:val="21"/>
                <w:szCs w:val="21"/>
                <w:highlight w:val="none"/>
              </w:rPr>
              <w:t>Y)</w:t>
            </w:r>
          </w:p>
        </w:tc>
        <w:tc>
          <w:tcPr>
            <w:tcW w:w="709" w:type="dxa"/>
          </w:tcPr>
          <w:p w14:paraId="5100B6C7">
            <w:pPr>
              <w:spacing w:before="211"/>
              <w:ind w:left="154"/>
              <w:rPr>
                <w:rFonts w:hint="eastAsia" w:ascii="宋体" w:hAnsi="宋体" w:cs="宋体"/>
                <w:color w:val="auto"/>
                <w:sz w:val="21"/>
                <w:szCs w:val="21"/>
                <w:highlight w:val="none"/>
              </w:rPr>
            </w:pPr>
            <w:r>
              <w:rPr>
                <w:rFonts w:hint="eastAsia" w:ascii="宋体" w:hAnsi="宋体" w:cs="宋体"/>
                <w:color w:val="auto"/>
                <w:spacing w:val="2"/>
                <w:sz w:val="21"/>
                <w:szCs w:val="21"/>
                <w:highlight w:val="none"/>
              </w:rPr>
              <w:t>万元</w:t>
            </w:r>
          </w:p>
        </w:tc>
        <w:tc>
          <w:tcPr>
            <w:tcW w:w="1124" w:type="dxa"/>
          </w:tcPr>
          <w:p w14:paraId="680B03CA">
            <w:pPr>
              <w:spacing w:before="211"/>
              <w:ind w:left="143"/>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Y</w:t>
            </w:r>
            <w:r>
              <w:rPr>
                <w:rFonts w:hint="eastAsia" w:ascii="宋体" w:hAnsi="宋体" w:cs="宋体"/>
                <w:color w:val="auto"/>
                <w:spacing w:val="9"/>
                <w:position w:val="1"/>
                <w:sz w:val="21"/>
                <w:szCs w:val="21"/>
                <w:highlight w:val="none"/>
              </w:rPr>
              <w:t>≥</w:t>
            </w:r>
            <w:r>
              <w:rPr>
                <w:rFonts w:hint="eastAsia" w:ascii="宋体" w:hAnsi="宋体" w:cs="宋体"/>
                <w:color w:val="auto"/>
                <w:spacing w:val="5"/>
                <w:position w:val="1"/>
                <w:sz w:val="21"/>
                <w:szCs w:val="21"/>
                <w:highlight w:val="none"/>
              </w:rPr>
              <w:t>30000</w:t>
            </w:r>
          </w:p>
        </w:tc>
        <w:tc>
          <w:tcPr>
            <w:tcW w:w="1448" w:type="dxa"/>
          </w:tcPr>
          <w:p w14:paraId="7F9542F2">
            <w:pPr>
              <w:spacing w:before="211"/>
              <w:ind w:left="137"/>
              <w:rPr>
                <w:rFonts w:hint="eastAsia" w:ascii="宋体" w:hAnsi="宋体" w:cs="宋体"/>
                <w:color w:val="auto"/>
                <w:sz w:val="21"/>
                <w:szCs w:val="21"/>
                <w:highlight w:val="none"/>
              </w:rPr>
            </w:pPr>
            <w:r>
              <w:rPr>
                <w:rFonts w:hint="eastAsia" w:ascii="宋体" w:hAnsi="宋体" w:cs="宋体"/>
                <w:color w:val="auto"/>
                <w:spacing w:val="4"/>
                <w:position w:val="1"/>
                <w:sz w:val="21"/>
                <w:szCs w:val="21"/>
                <w:highlight w:val="none"/>
              </w:rPr>
              <w:t>1000≤</w:t>
            </w:r>
            <w:r>
              <w:rPr>
                <w:rFonts w:hint="eastAsia" w:ascii="宋体" w:hAnsi="宋体" w:cs="宋体"/>
                <w:color w:val="auto"/>
                <w:position w:val="1"/>
                <w:sz w:val="21"/>
                <w:szCs w:val="21"/>
                <w:highlight w:val="none"/>
              </w:rPr>
              <w:t>Y</w:t>
            </w:r>
            <w:r>
              <w:rPr>
                <w:rFonts w:hint="eastAsia" w:ascii="宋体" w:hAnsi="宋体" w:cs="宋体"/>
                <w:color w:val="auto"/>
                <w:spacing w:val="4"/>
                <w:position w:val="1"/>
                <w:sz w:val="21"/>
                <w:szCs w:val="21"/>
                <w:highlight w:val="none"/>
              </w:rPr>
              <w:t>＜30000</w:t>
            </w:r>
          </w:p>
        </w:tc>
        <w:tc>
          <w:tcPr>
            <w:tcW w:w="1677" w:type="dxa"/>
          </w:tcPr>
          <w:p w14:paraId="39D5B25C">
            <w:pPr>
              <w:spacing w:before="56"/>
              <w:ind w:left="524" w:right="261" w:hanging="158"/>
              <w:rPr>
                <w:rFonts w:hint="eastAsia" w:ascii="宋体" w:hAnsi="宋体" w:cs="宋体"/>
                <w:color w:val="auto"/>
                <w:sz w:val="21"/>
                <w:szCs w:val="21"/>
                <w:highlight w:val="none"/>
              </w:rPr>
            </w:pPr>
            <w:r>
              <w:rPr>
                <w:rFonts w:hint="eastAsia" w:ascii="宋体" w:hAnsi="宋体" w:cs="宋体"/>
                <w:color w:val="auto"/>
                <w:spacing w:val="-2"/>
                <w:sz w:val="21"/>
                <w:szCs w:val="21"/>
                <w:highlight w:val="none"/>
              </w:rPr>
              <w:t>100</w:t>
            </w:r>
            <w:r>
              <w:rPr>
                <w:rFonts w:hint="eastAsia" w:ascii="宋体" w:hAnsi="宋体" w:cs="宋体"/>
                <w:color w:val="auto"/>
                <w:spacing w:val="-1"/>
                <w:sz w:val="21"/>
                <w:szCs w:val="21"/>
                <w:highlight w:val="none"/>
              </w:rPr>
              <w:t>≤Y＜</w:t>
            </w:r>
            <w:r>
              <w:rPr>
                <w:rFonts w:hint="eastAsia" w:ascii="宋体" w:hAnsi="宋体" w:cs="宋体"/>
                <w:color w:val="auto"/>
                <w:sz w:val="21"/>
                <w:szCs w:val="21"/>
                <w:highlight w:val="none"/>
              </w:rPr>
              <w:t xml:space="preserve"> </w:t>
            </w:r>
            <w:r>
              <w:rPr>
                <w:rFonts w:hint="eastAsia" w:ascii="宋体" w:hAnsi="宋体" w:cs="宋体"/>
                <w:color w:val="auto"/>
                <w:spacing w:val="-1"/>
                <w:sz w:val="21"/>
                <w:szCs w:val="21"/>
                <w:highlight w:val="none"/>
              </w:rPr>
              <w:t>100</w:t>
            </w:r>
            <w:r>
              <w:rPr>
                <w:rFonts w:hint="eastAsia" w:ascii="宋体" w:hAnsi="宋体" w:cs="宋体"/>
                <w:color w:val="auto"/>
                <w:sz w:val="21"/>
                <w:szCs w:val="21"/>
                <w:highlight w:val="none"/>
              </w:rPr>
              <w:t>0</w:t>
            </w:r>
          </w:p>
        </w:tc>
        <w:tc>
          <w:tcPr>
            <w:tcW w:w="996" w:type="dxa"/>
          </w:tcPr>
          <w:p w14:paraId="37301C42">
            <w:pPr>
              <w:spacing w:before="211"/>
              <w:ind w:left="185"/>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Y</w:t>
            </w:r>
            <w:r>
              <w:rPr>
                <w:rFonts w:hint="eastAsia" w:ascii="宋体" w:hAnsi="宋体" w:cs="宋体"/>
                <w:color w:val="auto"/>
                <w:spacing w:val="7"/>
                <w:position w:val="1"/>
                <w:sz w:val="21"/>
                <w:szCs w:val="21"/>
                <w:highlight w:val="none"/>
              </w:rPr>
              <w:t>＜</w:t>
            </w:r>
            <w:r>
              <w:rPr>
                <w:rFonts w:hint="eastAsia" w:ascii="宋体" w:hAnsi="宋体" w:cs="宋体"/>
                <w:color w:val="auto"/>
                <w:spacing w:val="6"/>
                <w:position w:val="1"/>
                <w:sz w:val="21"/>
                <w:szCs w:val="21"/>
                <w:highlight w:val="none"/>
              </w:rPr>
              <w:t>100</w:t>
            </w:r>
          </w:p>
        </w:tc>
      </w:tr>
      <w:tr w14:paraId="1C42B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71" w:type="dxa"/>
            <w:vMerge w:val="restart"/>
            <w:tcBorders>
              <w:top w:val="single" w:color="auto" w:sz="4" w:space="0"/>
              <w:left w:val="single" w:color="auto" w:sz="4" w:space="0"/>
              <w:bottom w:val="single" w:color="auto" w:sz="4" w:space="0"/>
              <w:right w:val="single" w:color="auto" w:sz="4" w:space="0"/>
            </w:tcBorders>
          </w:tcPr>
          <w:p w14:paraId="6527E7EB">
            <w:pPr>
              <w:jc w:val="center"/>
              <w:rPr>
                <w:rFonts w:hint="eastAsia" w:ascii="宋体" w:hAnsi="宋体" w:cs="宋体"/>
                <w:color w:val="auto"/>
                <w:sz w:val="21"/>
                <w:szCs w:val="21"/>
                <w:highlight w:val="none"/>
              </w:rPr>
            </w:pPr>
          </w:p>
          <w:p w14:paraId="69851DCE">
            <w:pPr>
              <w:spacing w:before="65"/>
              <w:ind w:left="132"/>
              <w:jc w:val="center"/>
              <w:rPr>
                <w:rFonts w:hint="eastAsia" w:ascii="宋体" w:hAnsi="宋体" w:cs="宋体"/>
                <w:color w:val="auto"/>
                <w:sz w:val="21"/>
                <w:szCs w:val="21"/>
                <w:highlight w:val="none"/>
              </w:rPr>
            </w:pPr>
            <w:r>
              <w:rPr>
                <w:rFonts w:hint="eastAsia" w:ascii="宋体" w:hAnsi="宋体" w:cs="宋体"/>
                <w:color w:val="auto"/>
                <w:spacing w:val="2"/>
                <w:sz w:val="21"/>
                <w:szCs w:val="21"/>
                <w:highlight w:val="none"/>
              </w:rPr>
              <w:t>邮政</w:t>
            </w:r>
            <w:r>
              <w:rPr>
                <w:rFonts w:hint="eastAsia" w:ascii="宋体" w:hAnsi="宋体" w:cs="宋体"/>
                <w:color w:val="auto"/>
                <w:spacing w:val="1"/>
                <w:sz w:val="21"/>
                <w:szCs w:val="21"/>
                <w:highlight w:val="none"/>
              </w:rPr>
              <w:t>业</w:t>
            </w:r>
          </w:p>
        </w:tc>
        <w:tc>
          <w:tcPr>
            <w:tcW w:w="2014" w:type="dxa"/>
            <w:tcBorders>
              <w:top w:val="single" w:color="auto" w:sz="4" w:space="0"/>
              <w:left w:val="single" w:color="auto" w:sz="4" w:space="0"/>
              <w:bottom w:val="single" w:color="auto" w:sz="4" w:space="0"/>
              <w:right w:val="single" w:color="auto" w:sz="4" w:space="0"/>
            </w:tcBorders>
          </w:tcPr>
          <w:p w14:paraId="7A891CC9">
            <w:pPr>
              <w:spacing w:before="55"/>
              <w:ind w:left="270"/>
              <w:rPr>
                <w:rFonts w:hint="eastAsia" w:ascii="宋体" w:hAnsi="宋体" w:cs="宋体"/>
                <w:color w:val="auto"/>
                <w:sz w:val="21"/>
                <w:szCs w:val="21"/>
                <w:highlight w:val="none"/>
              </w:rPr>
            </w:pPr>
            <w:r>
              <w:rPr>
                <w:rFonts w:hint="eastAsia" w:ascii="宋体" w:hAnsi="宋体" w:cs="宋体"/>
                <w:color w:val="auto"/>
                <w:spacing w:val="9"/>
                <w:sz w:val="21"/>
                <w:szCs w:val="21"/>
                <w:highlight w:val="none"/>
              </w:rPr>
              <w:t>从</w:t>
            </w:r>
            <w:r>
              <w:rPr>
                <w:rFonts w:hint="eastAsia" w:ascii="宋体" w:hAnsi="宋体" w:cs="宋体"/>
                <w:color w:val="auto"/>
                <w:spacing w:val="6"/>
                <w:sz w:val="21"/>
                <w:szCs w:val="21"/>
                <w:highlight w:val="none"/>
              </w:rPr>
              <w:t>业人员</w:t>
            </w:r>
          </w:p>
          <w:p w14:paraId="6B4B46A2">
            <w:pPr>
              <w:spacing w:before="64"/>
              <w:ind w:left="568"/>
              <w:rPr>
                <w:rFonts w:hint="eastAsia" w:ascii="宋体" w:hAnsi="宋体" w:cs="宋体"/>
                <w:color w:val="auto"/>
                <w:sz w:val="21"/>
                <w:szCs w:val="21"/>
                <w:highlight w:val="none"/>
              </w:rPr>
            </w:pPr>
            <w:r>
              <w:rPr>
                <w:rFonts w:hint="eastAsia" w:ascii="宋体" w:hAnsi="宋体" w:cs="宋体"/>
                <w:color w:val="auto"/>
                <w:spacing w:val="-12"/>
                <w:sz w:val="21"/>
                <w:szCs w:val="21"/>
                <w:highlight w:val="none"/>
              </w:rPr>
              <w:t>(</w:t>
            </w:r>
            <w:r>
              <w:rPr>
                <w:rFonts w:hint="eastAsia" w:ascii="宋体" w:hAnsi="宋体" w:cs="宋体"/>
                <w:color w:val="auto"/>
                <w:spacing w:val="-9"/>
                <w:sz w:val="21"/>
                <w:szCs w:val="21"/>
                <w:highlight w:val="none"/>
              </w:rPr>
              <w:t>X)</w:t>
            </w:r>
          </w:p>
        </w:tc>
        <w:tc>
          <w:tcPr>
            <w:tcW w:w="709" w:type="dxa"/>
            <w:tcBorders>
              <w:left w:val="single" w:color="auto" w:sz="4" w:space="0"/>
            </w:tcBorders>
          </w:tcPr>
          <w:p w14:paraId="4C9F9091">
            <w:pPr>
              <w:spacing w:before="210"/>
              <w:ind w:left="254"/>
              <w:rPr>
                <w:rFonts w:hint="eastAsia" w:ascii="宋体" w:hAnsi="宋体" w:cs="宋体"/>
                <w:color w:val="auto"/>
                <w:sz w:val="21"/>
                <w:szCs w:val="21"/>
                <w:highlight w:val="none"/>
              </w:rPr>
            </w:pPr>
            <w:r>
              <w:rPr>
                <w:rFonts w:hint="eastAsia" w:ascii="宋体" w:hAnsi="宋体" w:cs="宋体"/>
                <w:color w:val="auto"/>
                <w:sz w:val="21"/>
                <w:szCs w:val="21"/>
                <w:highlight w:val="none"/>
              </w:rPr>
              <w:t>人</w:t>
            </w:r>
          </w:p>
        </w:tc>
        <w:tc>
          <w:tcPr>
            <w:tcW w:w="1124" w:type="dxa"/>
          </w:tcPr>
          <w:p w14:paraId="6AE61F9D">
            <w:pPr>
              <w:spacing w:before="211"/>
              <w:ind w:left="196"/>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X</w:t>
            </w:r>
            <w:r>
              <w:rPr>
                <w:rFonts w:hint="eastAsia" w:ascii="宋体" w:hAnsi="宋体" w:cs="宋体"/>
                <w:color w:val="auto"/>
                <w:spacing w:val="6"/>
                <w:position w:val="1"/>
                <w:sz w:val="21"/>
                <w:szCs w:val="21"/>
                <w:highlight w:val="none"/>
              </w:rPr>
              <w:t>≥1000</w:t>
            </w:r>
          </w:p>
        </w:tc>
        <w:tc>
          <w:tcPr>
            <w:tcW w:w="1448" w:type="dxa"/>
          </w:tcPr>
          <w:p w14:paraId="06802C6F">
            <w:pPr>
              <w:spacing w:before="211"/>
              <w:ind w:left="229"/>
              <w:rPr>
                <w:rFonts w:hint="eastAsia" w:ascii="宋体" w:hAnsi="宋体" w:cs="宋体"/>
                <w:color w:val="auto"/>
                <w:sz w:val="21"/>
                <w:szCs w:val="21"/>
                <w:highlight w:val="none"/>
              </w:rPr>
            </w:pPr>
            <w:r>
              <w:rPr>
                <w:rFonts w:hint="eastAsia" w:ascii="宋体" w:hAnsi="宋体" w:cs="宋体"/>
                <w:color w:val="auto"/>
                <w:spacing w:val="8"/>
                <w:position w:val="1"/>
                <w:sz w:val="21"/>
                <w:szCs w:val="21"/>
                <w:highlight w:val="none"/>
              </w:rPr>
              <w:t>3</w:t>
            </w:r>
            <w:r>
              <w:rPr>
                <w:rFonts w:hint="eastAsia" w:ascii="宋体" w:hAnsi="宋体" w:cs="宋体"/>
                <w:color w:val="auto"/>
                <w:spacing w:val="5"/>
                <w:position w:val="1"/>
                <w:sz w:val="21"/>
                <w:szCs w:val="21"/>
                <w:highlight w:val="none"/>
              </w:rPr>
              <w:t>00≤</w:t>
            </w:r>
            <w:r>
              <w:rPr>
                <w:rFonts w:hint="eastAsia" w:ascii="宋体" w:hAnsi="宋体" w:cs="宋体"/>
                <w:color w:val="auto"/>
                <w:position w:val="1"/>
                <w:sz w:val="21"/>
                <w:szCs w:val="21"/>
                <w:highlight w:val="none"/>
              </w:rPr>
              <w:t>X</w:t>
            </w:r>
            <w:r>
              <w:rPr>
                <w:rFonts w:hint="eastAsia" w:ascii="宋体" w:hAnsi="宋体" w:cs="宋体"/>
                <w:color w:val="auto"/>
                <w:spacing w:val="5"/>
                <w:position w:val="1"/>
                <w:sz w:val="21"/>
                <w:szCs w:val="21"/>
                <w:highlight w:val="none"/>
              </w:rPr>
              <w:t>＜1000</w:t>
            </w:r>
          </w:p>
        </w:tc>
        <w:tc>
          <w:tcPr>
            <w:tcW w:w="1677" w:type="dxa"/>
          </w:tcPr>
          <w:p w14:paraId="4CE0CF2C">
            <w:pPr>
              <w:spacing w:before="211"/>
              <w:ind w:left="248"/>
              <w:rPr>
                <w:rFonts w:hint="eastAsia" w:ascii="宋体" w:hAnsi="宋体" w:cs="宋体"/>
                <w:color w:val="auto"/>
                <w:sz w:val="21"/>
                <w:szCs w:val="21"/>
                <w:highlight w:val="none"/>
              </w:rPr>
            </w:pPr>
            <w:r>
              <w:rPr>
                <w:rFonts w:hint="eastAsia" w:ascii="宋体" w:hAnsi="宋体" w:cs="宋体"/>
                <w:color w:val="auto"/>
                <w:spacing w:val="6"/>
                <w:position w:val="1"/>
                <w:sz w:val="21"/>
                <w:szCs w:val="21"/>
                <w:highlight w:val="none"/>
              </w:rPr>
              <w:t>20≤</w:t>
            </w:r>
            <w:r>
              <w:rPr>
                <w:rFonts w:hint="eastAsia" w:ascii="宋体" w:hAnsi="宋体" w:cs="宋体"/>
                <w:color w:val="auto"/>
                <w:position w:val="1"/>
                <w:sz w:val="21"/>
                <w:szCs w:val="21"/>
                <w:highlight w:val="none"/>
              </w:rPr>
              <w:t>X</w:t>
            </w:r>
            <w:r>
              <w:rPr>
                <w:rFonts w:hint="eastAsia" w:ascii="宋体" w:hAnsi="宋体" w:cs="宋体"/>
                <w:color w:val="auto"/>
                <w:spacing w:val="6"/>
                <w:position w:val="1"/>
                <w:sz w:val="21"/>
                <w:szCs w:val="21"/>
                <w:highlight w:val="none"/>
              </w:rPr>
              <w:t>＜30</w:t>
            </w:r>
            <w:r>
              <w:rPr>
                <w:rFonts w:hint="eastAsia" w:ascii="宋体" w:hAnsi="宋体" w:cs="宋体"/>
                <w:color w:val="auto"/>
                <w:spacing w:val="5"/>
                <w:position w:val="1"/>
                <w:sz w:val="21"/>
                <w:szCs w:val="21"/>
                <w:highlight w:val="none"/>
              </w:rPr>
              <w:t>0</w:t>
            </w:r>
          </w:p>
        </w:tc>
        <w:tc>
          <w:tcPr>
            <w:tcW w:w="996" w:type="dxa"/>
          </w:tcPr>
          <w:p w14:paraId="3247E275">
            <w:pPr>
              <w:spacing w:before="211"/>
              <w:ind w:left="239"/>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X</w:t>
            </w:r>
            <w:r>
              <w:rPr>
                <w:rFonts w:hint="eastAsia" w:ascii="宋体" w:hAnsi="宋体" w:cs="宋体"/>
                <w:color w:val="auto"/>
                <w:spacing w:val="6"/>
                <w:position w:val="1"/>
                <w:sz w:val="21"/>
                <w:szCs w:val="21"/>
                <w:highlight w:val="none"/>
              </w:rPr>
              <w:t>＜20</w:t>
            </w:r>
          </w:p>
        </w:tc>
      </w:tr>
      <w:tr w14:paraId="4C0ED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71" w:type="dxa"/>
            <w:vMerge w:val="continue"/>
            <w:tcBorders>
              <w:top w:val="single" w:color="auto" w:sz="4" w:space="0"/>
              <w:left w:val="single" w:color="auto" w:sz="4" w:space="0"/>
              <w:bottom w:val="single" w:color="auto" w:sz="4" w:space="0"/>
              <w:right w:val="single" w:color="auto" w:sz="4" w:space="0"/>
            </w:tcBorders>
          </w:tcPr>
          <w:p w14:paraId="77B365AF">
            <w:pPr>
              <w:jc w:val="center"/>
              <w:rPr>
                <w:rFonts w:hint="eastAsia" w:ascii="宋体" w:hAnsi="宋体" w:cs="宋体"/>
                <w:color w:val="auto"/>
                <w:sz w:val="21"/>
                <w:szCs w:val="21"/>
                <w:highlight w:val="none"/>
              </w:rPr>
            </w:pPr>
          </w:p>
        </w:tc>
        <w:tc>
          <w:tcPr>
            <w:tcW w:w="2014" w:type="dxa"/>
            <w:tcBorders>
              <w:top w:val="single" w:color="auto" w:sz="4" w:space="0"/>
              <w:left w:val="single" w:color="auto" w:sz="4" w:space="0"/>
              <w:bottom w:val="single" w:color="auto" w:sz="4" w:space="0"/>
              <w:right w:val="single" w:color="auto" w:sz="4" w:space="0"/>
            </w:tcBorders>
          </w:tcPr>
          <w:p w14:paraId="58E8F1E5">
            <w:pPr>
              <w:spacing w:before="87"/>
              <w:ind w:left="274"/>
              <w:rPr>
                <w:rFonts w:hint="eastAsia" w:ascii="宋体" w:hAnsi="宋体" w:cs="宋体"/>
                <w:color w:val="auto"/>
                <w:sz w:val="21"/>
                <w:szCs w:val="21"/>
                <w:highlight w:val="none"/>
              </w:rPr>
            </w:pPr>
            <w:r>
              <w:rPr>
                <w:rFonts w:hint="eastAsia" w:ascii="宋体" w:hAnsi="宋体" w:cs="宋体"/>
                <w:color w:val="auto"/>
                <w:spacing w:val="8"/>
                <w:sz w:val="21"/>
                <w:szCs w:val="21"/>
                <w:highlight w:val="none"/>
              </w:rPr>
              <w:t>营</w:t>
            </w:r>
            <w:r>
              <w:rPr>
                <w:rFonts w:hint="eastAsia" w:ascii="宋体" w:hAnsi="宋体" w:cs="宋体"/>
                <w:color w:val="auto"/>
                <w:spacing w:val="5"/>
                <w:sz w:val="21"/>
                <w:szCs w:val="21"/>
                <w:highlight w:val="none"/>
              </w:rPr>
              <w:t>业收入</w:t>
            </w:r>
          </w:p>
          <w:p w14:paraId="59735B76">
            <w:pPr>
              <w:ind w:left="568"/>
              <w:rPr>
                <w:rFonts w:hint="eastAsia" w:ascii="宋体" w:hAnsi="宋体" w:cs="宋体"/>
                <w:color w:val="auto"/>
                <w:sz w:val="21"/>
                <w:szCs w:val="21"/>
                <w:highlight w:val="none"/>
              </w:rPr>
            </w:pPr>
            <w:r>
              <w:rPr>
                <w:rFonts w:hint="eastAsia" w:ascii="宋体" w:hAnsi="宋体" w:cs="宋体"/>
                <w:color w:val="auto"/>
                <w:spacing w:val="-12"/>
                <w:sz w:val="21"/>
                <w:szCs w:val="21"/>
                <w:highlight w:val="none"/>
              </w:rPr>
              <w:t>(</w:t>
            </w:r>
            <w:r>
              <w:rPr>
                <w:rFonts w:hint="eastAsia" w:ascii="宋体" w:hAnsi="宋体" w:cs="宋体"/>
                <w:color w:val="auto"/>
                <w:spacing w:val="-9"/>
                <w:sz w:val="21"/>
                <w:szCs w:val="21"/>
                <w:highlight w:val="none"/>
              </w:rPr>
              <w:t>Y)</w:t>
            </w:r>
          </w:p>
        </w:tc>
        <w:tc>
          <w:tcPr>
            <w:tcW w:w="709" w:type="dxa"/>
            <w:tcBorders>
              <w:left w:val="single" w:color="auto" w:sz="4" w:space="0"/>
            </w:tcBorders>
          </w:tcPr>
          <w:p w14:paraId="385E870B">
            <w:pPr>
              <w:spacing w:before="211"/>
              <w:ind w:left="154"/>
              <w:rPr>
                <w:rFonts w:hint="eastAsia" w:ascii="宋体" w:hAnsi="宋体" w:cs="宋体"/>
                <w:color w:val="auto"/>
                <w:sz w:val="21"/>
                <w:szCs w:val="21"/>
                <w:highlight w:val="none"/>
              </w:rPr>
            </w:pPr>
            <w:r>
              <w:rPr>
                <w:rFonts w:hint="eastAsia" w:ascii="宋体" w:hAnsi="宋体" w:cs="宋体"/>
                <w:color w:val="auto"/>
                <w:spacing w:val="2"/>
                <w:sz w:val="21"/>
                <w:szCs w:val="21"/>
                <w:highlight w:val="none"/>
              </w:rPr>
              <w:t>万元</w:t>
            </w:r>
          </w:p>
        </w:tc>
        <w:tc>
          <w:tcPr>
            <w:tcW w:w="1124" w:type="dxa"/>
          </w:tcPr>
          <w:p w14:paraId="6556B54A">
            <w:pPr>
              <w:spacing w:before="210"/>
              <w:ind w:left="143"/>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Y</w:t>
            </w:r>
            <w:r>
              <w:rPr>
                <w:rFonts w:hint="eastAsia" w:ascii="宋体" w:hAnsi="宋体" w:cs="宋体"/>
                <w:color w:val="auto"/>
                <w:spacing w:val="9"/>
                <w:position w:val="1"/>
                <w:sz w:val="21"/>
                <w:szCs w:val="21"/>
                <w:highlight w:val="none"/>
              </w:rPr>
              <w:t>≥</w:t>
            </w:r>
            <w:r>
              <w:rPr>
                <w:rFonts w:hint="eastAsia" w:ascii="宋体" w:hAnsi="宋体" w:cs="宋体"/>
                <w:color w:val="auto"/>
                <w:spacing w:val="5"/>
                <w:position w:val="1"/>
                <w:sz w:val="21"/>
                <w:szCs w:val="21"/>
                <w:highlight w:val="none"/>
              </w:rPr>
              <w:t>30000</w:t>
            </w:r>
          </w:p>
        </w:tc>
        <w:tc>
          <w:tcPr>
            <w:tcW w:w="1448" w:type="dxa"/>
          </w:tcPr>
          <w:p w14:paraId="7822C38B">
            <w:pPr>
              <w:spacing w:before="210"/>
              <w:ind w:left="124"/>
              <w:rPr>
                <w:rFonts w:hint="eastAsia" w:ascii="宋体" w:hAnsi="宋体" w:cs="宋体"/>
                <w:color w:val="auto"/>
                <w:sz w:val="21"/>
                <w:szCs w:val="21"/>
                <w:highlight w:val="none"/>
              </w:rPr>
            </w:pPr>
            <w:r>
              <w:rPr>
                <w:rFonts w:hint="eastAsia" w:ascii="宋体" w:hAnsi="宋体" w:cs="宋体"/>
                <w:color w:val="auto"/>
                <w:spacing w:val="7"/>
                <w:position w:val="1"/>
                <w:sz w:val="21"/>
                <w:szCs w:val="21"/>
                <w:highlight w:val="none"/>
              </w:rPr>
              <w:t>2</w:t>
            </w:r>
            <w:r>
              <w:rPr>
                <w:rFonts w:hint="eastAsia" w:ascii="宋体" w:hAnsi="宋体" w:cs="宋体"/>
                <w:color w:val="auto"/>
                <w:spacing w:val="5"/>
                <w:position w:val="1"/>
                <w:sz w:val="21"/>
                <w:szCs w:val="21"/>
                <w:highlight w:val="none"/>
              </w:rPr>
              <w:t>000≤</w:t>
            </w:r>
            <w:r>
              <w:rPr>
                <w:rFonts w:hint="eastAsia" w:ascii="宋体" w:hAnsi="宋体" w:cs="宋体"/>
                <w:color w:val="auto"/>
                <w:position w:val="1"/>
                <w:sz w:val="21"/>
                <w:szCs w:val="21"/>
                <w:highlight w:val="none"/>
              </w:rPr>
              <w:t>Y</w:t>
            </w:r>
            <w:r>
              <w:rPr>
                <w:rFonts w:hint="eastAsia" w:ascii="宋体" w:hAnsi="宋体" w:cs="宋体"/>
                <w:color w:val="auto"/>
                <w:spacing w:val="5"/>
                <w:position w:val="1"/>
                <w:sz w:val="21"/>
                <w:szCs w:val="21"/>
                <w:highlight w:val="none"/>
              </w:rPr>
              <w:t>＜30000</w:t>
            </w:r>
          </w:p>
        </w:tc>
        <w:tc>
          <w:tcPr>
            <w:tcW w:w="1677" w:type="dxa"/>
          </w:tcPr>
          <w:p w14:paraId="09951476">
            <w:pPr>
              <w:spacing w:before="55"/>
              <w:ind w:left="511" w:right="261" w:hanging="145"/>
              <w:rPr>
                <w:rFonts w:hint="eastAsia" w:ascii="宋体" w:hAnsi="宋体" w:cs="宋体"/>
                <w:color w:val="auto"/>
                <w:sz w:val="21"/>
                <w:szCs w:val="21"/>
                <w:highlight w:val="none"/>
              </w:rPr>
            </w:pPr>
            <w:r>
              <w:rPr>
                <w:rFonts w:hint="eastAsia" w:ascii="宋体" w:hAnsi="宋体" w:cs="宋体"/>
                <w:color w:val="auto"/>
                <w:spacing w:val="-2"/>
                <w:sz w:val="21"/>
                <w:szCs w:val="21"/>
                <w:highlight w:val="none"/>
              </w:rPr>
              <w:t>100</w:t>
            </w:r>
            <w:r>
              <w:rPr>
                <w:rFonts w:hint="eastAsia" w:ascii="宋体" w:hAnsi="宋体" w:cs="宋体"/>
                <w:color w:val="auto"/>
                <w:spacing w:val="-1"/>
                <w:sz w:val="21"/>
                <w:szCs w:val="21"/>
                <w:highlight w:val="none"/>
              </w:rPr>
              <w:t>≤Y＜</w:t>
            </w:r>
            <w:r>
              <w:rPr>
                <w:rFonts w:hint="eastAsia" w:ascii="宋体" w:hAnsi="宋体" w:cs="宋体"/>
                <w:color w:val="auto"/>
                <w:sz w:val="21"/>
                <w:szCs w:val="21"/>
                <w:highlight w:val="none"/>
              </w:rPr>
              <w:t xml:space="preserve"> </w:t>
            </w:r>
            <w:r>
              <w:rPr>
                <w:rFonts w:hint="eastAsia" w:ascii="宋体" w:hAnsi="宋体" w:cs="宋体"/>
                <w:color w:val="auto"/>
                <w:spacing w:val="4"/>
                <w:sz w:val="21"/>
                <w:szCs w:val="21"/>
                <w:highlight w:val="none"/>
              </w:rPr>
              <w:t>2</w:t>
            </w:r>
            <w:r>
              <w:rPr>
                <w:rFonts w:hint="eastAsia" w:ascii="宋体" w:hAnsi="宋体" w:cs="宋体"/>
                <w:color w:val="auto"/>
                <w:spacing w:val="2"/>
                <w:sz w:val="21"/>
                <w:szCs w:val="21"/>
                <w:highlight w:val="none"/>
              </w:rPr>
              <w:t>000</w:t>
            </w:r>
          </w:p>
        </w:tc>
        <w:tc>
          <w:tcPr>
            <w:tcW w:w="996" w:type="dxa"/>
          </w:tcPr>
          <w:p w14:paraId="4584A423">
            <w:pPr>
              <w:spacing w:before="210"/>
              <w:ind w:left="185"/>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Y</w:t>
            </w:r>
            <w:r>
              <w:rPr>
                <w:rFonts w:hint="eastAsia" w:ascii="宋体" w:hAnsi="宋体" w:cs="宋体"/>
                <w:color w:val="auto"/>
                <w:spacing w:val="7"/>
                <w:position w:val="1"/>
                <w:sz w:val="21"/>
                <w:szCs w:val="21"/>
                <w:highlight w:val="none"/>
              </w:rPr>
              <w:t>＜</w:t>
            </w:r>
            <w:r>
              <w:rPr>
                <w:rFonts w:hint="eastAsia" w:ascii="宋体" w:hAnsi="宋体" w:cs="宋体"/>
                <w:color w:val="auto"/>
                <w:spacing w:val="6"/>
                <w:position w:val="1"/>
                <w:sz w:val="21"/>
                <w:szCs w:val="21"/>
                <w:highlight w:val="none"/>
              </w:rPr>
              <w:t>100</w:t>
            </w:r>
          </w:p>
        </w:tc>
      </w:tr>
      <w:tr w14:paraId="28A63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71" w:type="dxa"/>
            <w:vMerge w:val="restart"/>
            <w:tcBorders>
              <w:top w:val="single" w:color="auto" w:sz="4" w:space="0"/>
              <w:left w:val="single" w:color="auto" w:sz="4" w:space="0"/>
              <w:bottom w:val="single" w:color="auto" w:sz="4" w:space="0"/>
              <w:right w:val="single" w:color="auto" w:sz="4" w:space="0"/>
            </w:tcBorders>
          </w:tcPr>
          <w:p w14:paraId="0A584054">
            <w:pPr>
              <w:jc w:val="center"/>
              <w:rPr>
                <w:rFonts w:hint="eastAsia" w:ascii="宋体" w:hAnsi="宋体" w:cs="宋体"/>
                <w:color w:val="auto"/>
                <w:sz w:val="21"/>
                <w:szCs w:val="21"/>
                <w:highlight w:val="none"/>
              </w:rPr>
            </w:pPr>
          </w:p>
          <w:p w14:paraId="6C8D52E6">
            <w:pPr>
              <w:spacing w:before="65"/>
              <w:ind w:left="115"/>
              <w:jc w:val="center"/>
              <w:rPr>
                <w:rFonts w:hint="eastAsia" w:ascii="宋体" w:hAnsi="宋体" w:cs="宋体"/>
                <w:color w:val="auto"/>
                <w:sz w:val="21"/>
                <w:szCs w:val="21"/>
                <w:highlight w:val="none"/>
              </w:rPr>
            </w:pPr>
            <w:r>
              <w:rPr>
                <w:rFonts w:hint="eastAsia" w:ascii="宋体" w:hAnsi="宋体" w:cs="宋体"/>
                <w:color w:val="auto"/>
                <w:spacing w:val="7"/>
                <w:sz w:val="21"/>
                <w:szCs w:val="21"/>
                <w:highlight w:val="none"/>
              </w:rPr>
              <w:t>住宿业</w:t>
            </w:r>
          </w:p>
        </w:tc>
        <w:tc>
          <w:tcPr>
            <w:tcW w:w="2014" w:type="dxa"/>
            <w:tcBorders>
              <w:top w:val="single" w:color="auto" w:sz="4" w:space="0"/>
              <w:left w:val="single" w:color="auto" w:sz="4" w:space="0"/>
              <w:bottom w:val="single" w:color="auto" w:sz="4" w:space="0"/>
              <w:right w:val="single" w:color="auto" w:sz="4" w:space="0"/>
            </w:tcBorders>
          </w:tcPr>
          <w:p w14:paraId="390F349B">
            <w:pPr>
              <w:spacing w:before="54"/>
              <w:ind w:left="270"/>
              <w:rPr>
                <w:rFonts w:hint="eastAsia" w:ascii="宋体" w:hAnsi="宋体" w:cs="宋体"/>
                <w:color w:val="auto"/>
                <w:sz w:val="21"/>
                <w:szCs w:val="21"/>
                <w:highlight w:val="none"/>
              </w:rPr>
            </w:pPr>
            <w:r>
              <w:rPr>
                <w:rFonts w:hint="eastAsia" w:ascii="宋体" w:hAnsi="宋体" w:cs="宋体"/>
                <w:color w:val="auto"/>
                <w:spacing w:val="9"/>
                <w:sz w:val="21"/>
                <w:szCs w:val="21"/>
                <w:highlight w:val="none"/>
              </w:rPr>
              <w:t>从</w:t>
            </w:r>
            <w:r>
              <w:rPr>
                <w:rFonts w:hint="eastAsia" w:ascii="宋体" w:hAnsi="宋体" w:cs="宋体"/>
                <w:color w:val="auto"/>
                <w:spacing w:val="6"/>
                <w:sz w:val="21"/>
                <w:szCs w:val="21"/>
                <w:highlight w:val="none"/>
              </w:rPr>
              <w:t>业人员</w:t>
            </w:r>
          </w:p>
          <w:p w14:paraId="7542D5B4">
            <w:pPr>
              <w:spacing w:before="64"/>
              <w:ind w:left="568"/>
              <w:rPr>
                <w:rFonts w:hint="eastAsia" w:ascii="宋体" w:hAnsi="宋体" w:cs="宋体"/>
                <w:color w:val="auto"/>
                <w:sz w:val="21"/>
                <w:szCs w:val="21"/>
                <w:highlight w:val="none"/>
              </w:rPr>
            </w:pPr>
            <w:r>
              <w:rPr>
                <w:rFonts w:hint="eastAsia" w:ascii="宋体" w:hAnsi="宋体" w:cs="宋体"/>
                <w:color w:val="auto"/>
                <w:spacing w:val="-12"/>
                <w:sz w:val="21"/>
                <w:szCs w:val="21"/>
                <w:highlight w:val="none"/>
              </w:rPr>
              <w:t>(</w:t>
            </w:r>
            <w:r>
              <w:rPr>
                <w:rFonts w:hint="eastAsia" w:ascii="宋体" w:hAnsi="宋体" w:cs="宋体"/>
                <w:color w:val="auto"/>
                <w:spacing w:val="-9"/>
                <w:sz w:val="21"/>
                <w:szCs w:val="21"/>
                <w:highlight w:val="none"/>
              </w:rPr>
              <w:t>X)</w:t>
            </w:r>
          </w:p>
        </w:tc>
        <w:tc>
          <w:tcPr>
            <w:tcW w:w="709" w:type="dxa"/>
            <w:tcBorders>
              <w:left w:val="single" w:color="auto" w:sz="4" w:space="0"/>
            </w:tcBorders>
          </w:tcPr>
          <w:p w14:paraId="6D37E892">
            <w:pPr>
              <w:spacing w:before="209"/>
              <w:ind w:left="254"/>
              <w:rPr>
                <w:rFonts w:hint="eastAsia" w:ascii="宋体" w:hAnsi="宋体" w:cs="宋体"/>
                <w:color w:val="auto"/>
                <w:sz w:val="21"/>
                <w:szCs w:val="21"/>
                <w:highlight w:val="none"/>
              </w:rPr>
            </w:pPr>
            <w:r>
              <w:rPr>
                <w:rFonts w:hint="eastAsia" w:ascii="宋体" w:hAnsi="宋体" w:cs="宋体"/>
                <w:color w:val="auto"/>
                <w:sz w:val="21"/>
                <w:szCs w:val="21"/>
                <w:highlight w:val="none"/>
              </w:rPr>
              <w:t>人</w:t>
            </w:r>
          </w:p>
        </w:tc>
        <w:tc>
          <w:tcPr>
            <w:tcW w:w="1124" w:type="dxa"/>
          </w:tcPr>
          <w:p w14:paraId="2C67FA54">
            <w:pPr>
              <w:spacing w:before="210"/>
              <w:ind w:left="249"/>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X</w:t>
            </w:r>
            <w:r>
              <w:rPr>
                <w:rFonts w:hint="eastAsia" w:ascii="宋体" w:hAnsi="宋体" w:cs="宋体"/>
                <w:color w:val="auto"/>
                <w:spacing w:val="6"/>
                <w:position w:val="1"/>
                <w:sz w:val="21"/>
                <w:szCs w:val="21"/>
                <w:highlight w:val="none"/>
              </w:rPr>
              <w:t>≥300</w:t>
            </w:r>
          </w:p>
        </w:tc>
        <w:tc>
          <w:tcPr>
            <w:tcW w:w="1448" w:type="dxa"/>
          </w:tcPr>
          <w:p w14:paraId="5282BE1A">
            <w:pPr>
              <w:spacing w:before="210"/>
              <w:ind w:left="240"/>
              <w:rPr>
                <w:rFonts w:hint="eastAsia" w:ascii="宋体" w:hAnsi="宋体" w:cs="宋体"/>
                <w:color w:val="auto"/>
                <w:sz w:val="21"/>
                <w:szCs w:val="21"/>
                <w:highlight w:val="none"/>
              </w:rPr>
            </w:pPr>
            <w:r>
              <w:rPr>
                <w:rFonts w:hint="eastAsia" w:ascii="宋体" w:hAnsi="宋体" w:cs="宋体"/>
                <w:color w:val="auto"/>
                <w:spacing w:val="4"/>
                <w:position w:val="1"/>
                <w:sz w:val="21"/>
                <w:szCs w:val="21"/>
                <w:highlight w:val="none"/>
              </w:rPr>
              <w:t>100≤</w:t>
            </w:r>
            <w:r>
              <w:rPr>
                <w:rFonts w:hint="eastAsia" w:ascii="宋体" w:hAnsi="宋体" w:cs="宋体"/>
                <w:color w:val="auto"/>
                <w:position w:val="1"/>
                <w:sz w:val="21"/>
                <w:szCs w:val="21"/>
                <w:highlight w:val="none"/>
              </w:rPr>
              <w:t>X</w:t>
            </w:r>
            <w:r>
              <w:rPr>
                <w:rFonts w:hint="eastAsia" w:ascii="宋体" w:hAnsi="宋体" w:cs="宋体"/>
                <w:color w:val="auto"/>
                <w:spacing w:val="4"/>
                <w:position w:val="1"/>
                <w:sz w:val="21"/>
                <w:szCs w:val="21"/>
                <w:highlight w:val="none"/>
              </w:rPr>
              <w:t>＜300</w:t>
            </w:r>
          </w:p>
        </w:tc>
        <w:tc>
          <w:tcPr>
            <w:tcW w:w="1677" w:type="dxa"/>
          </w:tcPr>
          <w:p w14:paraId="13848639">
            <w:pPr>
              <w:spacing w:before="210"/>
              <w:ind w:left="261"/>
              <w:rPr>
                <w:rFonts w:hint="eastAsia" w:ascii="宋体" w:hAnsi="宋体" w:cs="宋体"/>
                <w:color w:val="auto"/>
                <w:sz w:val="21"/>
                <w:szCs w:val="21"/>
                <w:highlight w:val="none"/>
              </w:rPr>
            </w:pPr>
            <w:r>
              <w:rPr>
                <w:rFonts w:hint="eastAsia" w:ascii="宋体" w:hAnsi="宋体" w:cs="宋体"/>
                <w:color w:val="auto"/>
                <w:spacing w:val="4"/>
                <w:position w:val="1"/>
                <w:sz w:val="21"/>
                <w:szCs w:val="21"/>
                <w:highlight w:val="none"/>
              </w:rPr>
              <w:t>10≤</w:t>
            </w:r>
            <w:r>
              <w:rPr>
                <w:rFonts w:hint="eastAsia" w:ascii="宋体" w:hAnsi="宋体" w:cs="宋体"/>
                <w:color w:val="auto"/>
                <w:position w:val="1"/>
                <w:sz w:val="21"/>
                <w:szCs w:val="21"/>
                <w:highlight w:val="none"/>
              </w:rPr>
              <w:t>X</w:t>
            </w:r>
            <w:r>
              <w:rPr>
                <w:rFonts w:hint="eastAsia" w:ascii="宋体" w:hAnsi="宋体" w:cs="宋体"/>
                <w:color w:val="auto"/>
                <w:spacing w:val="4"/>
                <w:position w:val="1"/>
                <w:sz w:val="21"/>
                <w:szCs w:val="21"/>
                <w:highlight w:val="none"/>
              </w:rPr>
              <w:t>＜100</w:t>
            </w:r>
          </w:p>
        </w:tc>
        <w:tc>
          <w:tcPr>
            <w:tcW w:w="996" w:type="dxa"/>
          </w:tcPr>
          <w:p w14:paraId="518A5BC9">
            <w:pPr>
              <w:spacing w:before="210"/>
              <w:ind w:left="239"/>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X</w:t>
            </w:r>
            <w:r>
              <w:rPr>
                <w:rFonts w:hint="eastAsia" w:ascii="宋体" w:hAnsi="宋体" w:cs="宋体"/>
                <w:color w:val="auto"/>
                <w:spacing w:val="6"/>
                <w:position w:val="1"/>
                <w:sz w:val="21"/>
                <w:szCs w:val="21"/>
                <w:highlight w:val="none"/>
              </w:rPr>
              <w:t>＜10</w:t>
            </w:r>
          </w:p>
        </w:tc>
      </w:tr>
      <w:tr w14:paraId="2AAD7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71" w:type="dxa"/>
            <w:vMerge w:val="continue"/>
            <w:tcBorders>
              <w:top w:val="single" w:color="auto" w:sz="4" w:space="0"/>
              <w:left w:val="single" w:color="auto" w:sz="4" w:space="0"/>
            </w:tcBorders>
          </w:tcPr>
          <w:p w14:paraId="0B2F93C3">
            <w:pPr>
              <w:jc w:val="center"/>
              <w:rPr>
                <w:rFonts w:hint="eastAsia" w:ascii="宋体" w:hAnsi="宋体" w:cs="宋体"/>
                <w:color w:val="auto"/>
                <w:sz w:val="21"/>
                <w:szCs w:val="21"/>
                <w:highlight w:val="none"/>
              </w:rPr>
            </w:pPr>
          </w:p>
        </w:tc>
        <w:tc>
          <w:tcPr>
            <w:tcW w:w="2014" w:type="dxa"/>
            <w:tcBorders>
              <w:top w:val="single" w:color="auto" w:sz="4" w:space="0"/>
            </w:tcBorders>
          </w:tcPr>
          <w:p w14:paraId="4C4BDA7F">
            <w:pPr>
              <w:spacing w:before="86"/>
              <w:ind w:left="274"/>
              <w:rPr>
                <w:rFonts w:hint="eastAsia" w:ascii="宋体" w:hAnsi="宋体" w:cs="宋体"/>
                <w:color w:val="auto"/>
                <w:sz w:val="21"/>
                <w:szCs w:val="21"/>
                <w:highlight w:val="none"/>
              </w:rPr>
            </w:pPr>
            <w:r>
              <w:rPr>
                <w:rFonts w:hint="eastAsia" w:ascii="宋体" w:hAnsi="宋体" w:cs="宋体"/>
                <w:color w:val="auto"/>
                <w:spacing w:val="8"/>
                <w:sz w:val="21"/>
                <w:szCs w:val="21"/>
                <w:highlight w:val="none"/>
              </w:rPr>
              <w:t>营</w:t>
            </w:r>
            <w:r>
              <w:rPr>
                <w:rFonts w:hint="eastAsia" w:ascii="宋体" w:hAnsi="宋体" w:cs="宋体"/>
                <w:color w:val="auto"/>
                <w:spacing w:val="5"/>
                <w:sz w:val="21"/>
                <w:szCs w:val="21"/>
                <w:highlight w:val="none"/>
              </w:rPr>
              <w:t>业收入</w:t>
            </w:r>
          </w:p>
          <w:p w14:paraId="7C40BF63">
            <w:pPr>
              <w:ind w:left="568"/>
              <w:rPr>
                <w:rFonts w:hint="eastAsia" w:ascii="宋体" w:hAnsi="宋体" w:cs="宋体"/>
                <w:color w:val="auto"/>
                <w:sz w:val="21"/>
                <w:szCs w:val="21"/>
                <w:highlight w:val="none"/>
              </w:rPr>
            </w:pPr>
            <w:r>
              <w:rPr>
                <w:rFonts w:hint="eastAsia" w:ascii="宋体" w:hAnsi="宋体" w:cs="宋体"/>
                <w:color w:val="auto"/>
                <w:spacing w:val="-12"/>
                <w:sz w:val="21"/>
                <w:szCs w:val="21"/>
                <w:highlight w:val="none"/>
              </w:rPr>
              <w:t>(</w:t>
            </w:r>
            <w:r>
              <w:rPr>
                <w:rFonts w:hint="eastAsia" w:ascii="宋体" w:hAnsi="宋体" w:cs="宋体"/>
                <w:color w:val="auto"/>
                <w:spacing w:val="-9"/>
                <w:sz w:val="21"/>
                <w:szCs w:val="21"/>
                <w:highlight w:val="none"/>
              </w:rPr>
              <w:t>Y)</w:t>
            </w:r>
          </w:p>
        </w:tc>
        <w:tc>
          <w:tcPr>
            <w:tcW w:w="709" w:type="dxa"/>
          </w:tcPr>
          <w:p w14:paraId="6044A757">
            <w:pPr>
              <w:spacing w:before="212"/>
              <w:ind w:left="154"/>
              <w:rPr>
                <w:rFonts w:hint="eastAsia" w:ascii="宋体" w:hAnsi="宋体" w:cs="宋体"/>
                <w:color w:val="auto"/>
                <w:sz w:val="21"/>
                <w:szCs w:val="21"/>
                <w:highlight w:val="none"/>
              </w:rPr>
            </w:pPr>
            <w:r>
              <w:rPr>
                <w:rFonts w:hint="eastAsia" w:ascii="宋体" w:hAnsi="宋体" w:cs="宋体"/>
                <w:color w:val="auto"/>
                <w:spacing w:val="2"/>
                <w:sz w:val="21"/>
                <w:szCs w:val="21"/>
                <w:highlight w:val="none"/>
              </w:rPr>
              <w:t>万元</w:t>
            </w:r>
          </w:p>
        </w:tc>
        <w:tc>
          <w:tcPr>
            <w:tcW w:w="1124" w:type="dxa"/>
          </w:tcPr>
          <w:p w14:paraId="41372BA1">
            <w:pPr>
              <w:spacing w:before="212"/>
              <w:ind w:left="143"/>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Y</w:t>
            </w:r>
            <w:r>
              <w:rPr>
                <w:rFonts w:hint="eastAsia" w:ascii="宋体" w:hAnsi="宋体" w:cs="宋体"/>
                <w:color w:val="auto"/>
                <w:spacing w:val="9"/>
                <w:position w:val="1"/>
                <w:sz w:val="21"/>
                <w:szCs w:val="21"/>
                <w:highlight w:val="none"/>
              </w:rPr>
              <w:t>≥</w:t>
            </w:r>
            <w:r>
              <w:rPr>
                <w:rFonts w:hint="eastAsia" w:ascii="宋体" w:hAnsi="宋体" w:cs="宋体"/>
                <w:color w:val="auto"/>
                <w:spacing w:val="5"/>
                <w:position w:val="1"/>
                <w:sz w:val="21"/>
                <w:szCs w:val="21"/>
                <w:highlight w:val="none"/>
              </w:rPr>
              <w:t>10000</w:t>
            </w:r>
          </w:p>
        </w:tc>
        <w:tc>
          <w:tcPr>
            <w:tcW w:w="1448" w:type="dxa"/>
          </w:tcPr>
          <w:p w14:paraId="7E85F438">
            <w:pPr>
              <w:spacing w:before="212"/>
              <w:ind w:left="124"/>
              <w:rPr>
                <w:rFonts w:hint="eastAsia" w:ascii="宋体" w:hAnsi="宋体" w:cs="宋体"/>
                <w:color w:val="auto"/>
                <w:sz w:val="21"/>
                <w:szCs w:val="21"/>
                <w:highlight w:val="none"/>
              </w:rPr>
            </w:pPr>
            <w:r>
              <w:rPr>
                <w:rFonts w:hint="eastAsia" w:ascii="宋体" w:hAnsi="宋体" w:cs="宋体"/>
                <w:color w:val="auto"/>
                <w:spacing w:val="7"/>
                <w:position w:val="1"/>
                <w:sz w:val="21"/>
                <w:szCs w:val="21"/>
                <w:highlight w:val="none"/>
              </w:rPr>
              <w:t>2</w:t>
            </w:r>
            <w:r>
              <w:rPr>
                <w:rFonts w:hint="eastAsia" w:ascii="宋体" w:hAnsi="宋体" w:cs="宋体"/>
                <w:color w:val="auto"/>
                <w:spacing w:val="5"/>
                <w:position w:val="1"/>
                <w:sz w:val="21"/>
                <w:szCs w:val="21"/>
                <w:highlight w:val="none"/>
              </w:rPr>
              <w:t>000≤</w:t>
            </w:r>
            <w:r>
              <w:rPr>
                <w:rFonts w:hint="eastAsia" w:ascii="宋体" w:hAnsi="宋体" w:cs="宋体"/>
                <w:color w:val="auto"/>
                <w:position w:val="1"/>
                <w:sz w:val="21"/>
                <w:szCs w:val="21"/>
                <w:highlight w:val="none"/>
              </w:rPr>
              <w:t>Y</w:t>
            </w:r>
            <w:r>
              <w:rPr>
                <w:rFonts w:hint="eastAsia" w:ascii="宋体" w:hAnsi="宋体" w:cs="宋体"/>
                <w:color w:val="auto"/>
                <w:spacing w:val="5"/>
                <w:position w:val="1"/>
                <w:sz w:val="21"/>
                <w:szCs w:val="21"/>
                <w:highlight w:val="none"/>
              </w:rPr>
              <w:t>＜10000</w:t>
            </w:r>
          </w:p>
        </w:tc>
        <w:tc>
          <w:tcPr>
            <w:tcW w:w="1677" w:type="dxa"/>
          </w:tcPr>
          <w:p w14:paraId="0874EE46">
            <w:pPr>
              <w:spacing w:before="57"/>
              <w:ind w:left="511" w:right="261" w:hanging="145"/>
              <w:rPr>
                <w:rFonts w:hint="eastAsia" w:ascii="宋体" w:hAnsi="宋体" w:cs="宋体"/>
                <w:color w:val="auto"/>
                <w:sz w:val="21"/>
                <w:szCs w:val="21"/>
                <w:highlight w:val="none"/>
              </w:rPr>
            </w:pPr>
            <w:r>
              <w:rPr>
                <w:rFonts w:hint="eastAsia" w:ascii="宋体" w:hAnsi="宋体" w:cs="宋体"/>
                <w:color w:val="auto"/>
                <w:spacing w:val="-2"/>
                <w:sz w:val="21"/>
                <w:szCs w:val="21"/>
                <w:highlight w:val="none"/>
              </w:rPr>
              <w:t>100</w:t>
            </w:r>
            <w:r>
              <w:rPr>
                <w:rFonts w:hint="eastAsia" w:ascii="宋体" w:hAnsi="宋体" w:cs="宋体"/>
                <w:color w:val="auto"/>
                <w:spacing w:val="-1"/>
                <w:sz w:val="21"/>
                <w:szCs w:val="21"/>
                <w:highlight w:val="none"/>
              </w:rPr>
              <w:t>≤Y＜</w:t>
            </w:r>
            <w:r>
              <w:rPr>
                <w:rFonts w:hint="eastAsia" w:ascii="宋体" w:hAnsi="宋体" w:cs="宋体"/>
                <w:color w:val="auto"/>
                <w:sz w:val="21"/>
                <w:szCs w:val="21"/>
                <w:highlight w:val="none"/>
              </w:rPr>
              <w:t xml:space="preserve"> </w:t>
            </w:r>
            <w:r>
              <w:rPr>
                <w:rFonts w:hint="eastAsia" w:ascii="宋体" w:hAnsi="宋体" w:cs="宋体"/>
                <w:color w:val="auto"/>
                <w:spacing w:val="4"/>
                <w:sz w:val="21"/>
                <w:szCs w:val="21"/>
                <w:highlight w:val="none"/>
              </w:rPr>
              <w:t>2</w:t>
            </w:r>
            <w:r>
              <w:rPr>
                <w:rFonts w:hint="eastAsia" w:ascii="宋体" w:hAnsi="宋体" w:cs="宋体"/>
                <w:color w:val="auto"/>
                <w:spacing w:val="2"/>
                <w:sz w:val="21"/>
                <w:szCs w:val="21"/>
                <w:highlight w:val="none"/>
              </w:rPr>
              <w:t>000</w:t>
            </w:r>
          </w:p>
        </w:tc>
        <w:tc>
          <w:tcPr>
            <w:tcW w:w="996" w:type="dxa"/>
          </w:tcPr>
          <w:p w14:paraId="4BB5AE82">
            <w:pPr>
              <w:spacing w:before="212"/>
              <w:ind w:left="185"/>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Y</w:t>
            </w:r>
            <w:r>
              <w:rPr>
                <w:rFonts w:hint="eastAsia" w:ascii="宋体" w:hAnsi="宋体" w:cs="宋体"/>
                <w:color w:val="auto"/>
                <w:spacing w:val="7"/>
                <w:position w:val="1"/>
                <w:sz w:val="21"/>
                <w:szCs w:val="21"/>
                <w:highlight w:val="none"/>
              </w:rPr>
              <w:t>＜</w:t>
            </w:r>
            <w:r>
              <w:rPr>
                <w:rFonts w:hint="eastAsia" w:ascii="宋体" w:hAnsi="宋体" w:cs="宋体"/>
                <w:color w:val="auto"/>
                <w:spacing w:val="6"/>
                <w:position w:val="1"/>
                <w:sz w:val="21"/>
                <w:szCs w:val="21"/>
                <w:highlight w:val="none"/>
              </w:rPr>
              <w:t>100</w:t>
            </w:r>
          </w:p>
        </w:tc>
      </w:tr>
      <w:tr w14:paraId="39E20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71" w:type="dxa"/>
            <w:vMerge w:val="restart"/>
            <w:tcBorders>
              <w:left w:val="single" w:color="auto" w:sz="4" w:space="0"/>
              <w:bottom w:val="single" w:color="auto" w:sz="4" w:space="0"/>
            </w:tcBorders>
          </w:tcPr>
          <w:p w14:paraId="08099226">
            <w:pPr>
              <w:jc w:val="center"/>
              <w:rPr>
                <w:rFonts w:hint="eastAsia" w:ascii="宋体" w:hAnsi="宋体" w:cs="宋体"/>
                <w:color w:val="auto"/>
                <w:sz w:val="21"/>
                <w:szCs w:val="21"/>
                <w:highlight w:val="none"/>
              </w:rPr>
            </w:pPr>
          </w:p>
          <w:p w14:paraId="280999F9">
            <w:pPr>
              <w:spacing w:before="65"/>
              <w:ind w:left="118"/>
              <w:jc w:val="center"/>
              <w:rPr>
                <w:rFonts w:hint="eastAsia" w:ascii="宋体" w:hAnsi="宋体" w:cs="宋体"/>
                <w:color w:val="auto"/>
                <w:sz w:val="21"/>
                <w:szCs w:val="21"/>
                <w:highlight w:val="none"/>
              </w:rPr>
            </w:pPr>
            <w:r>
              <w:rPr>
                <w:rFonts w:hint="eastAsia" w:ascii="宋体" w:hAnsi="宋体" w:cs="宋体"/>
                <w:color w:val="auto"/>
                <w:spacing w:val="7"/>
                <w:sz w:val="21"/>
                <w:szCs w:val="21"/>
                <w:highlight w:val="none"/>
              </w:rPr>
              <w:t>餐</w:t>
            </w:r>
            <w:r>
              <w:rPr>
                <w:rFonts w:hint="eastAsia" w:ascii="宋体" w:hAnsi="宋体" w:cs="宋体"/>
                <w:color w:val="auto"/>
                <w:spacing w:val="6"/>
                <w:sz w:val="21"/>
                <w:szCs w:val="21"/>
                <w:highlight w:val="none"/>
              </w:rPr>
              <w:t>饮业</w:t>
            </w:r>
          </w:p>
        </w:tc>
        <w:tc>
          <w:tcPr>
            <w:tcW w:w="2014" w:type="dxa"/>
            <w:tcBorders>
              <w:bottom w:val="single" w:color="auto" w:sz="4" w:space="0"/>
            </w:tcBorders>
          </w:tcPr>
          <w:p w14:paraId="6DD69FA0">
            <w:pPr>
              <w:spacing w:before="56"/>
              <w:ind w:left="270"/>
              <w:rPr>
                <w:rFonts w:hint="eastAsia" w:ascii="宋体" w:hAnsi="宋体" w:cs="宋体"/>
                <w:color w:val="auto"/>
                <w:sz w:val="21"/>
                <w:szCs w:val="21"/>
                <w:highlight w:val="none"/>
              </w:rPr>
            </w:pPr>
            <w:r>
              <w:rPr>
                <w:rFonts w:hint="eastAsia" w:ascii="宋体" w:hAnsi="宋体" w:cs="宋体"/>
                <w:color w:val="auto"/>
                <w:spacing w:val="9"/>
                <w:sz w:val="21"/>
                <w:szCs w:val="21"/>
                <w:highlight w:val="none"/>
              </w:rPr>
              <w:t>从</w:t>
            </w:r>
            <w:r>
              <w:rPr>
                <w:rFonts w:hint="eastAsia" w:ascii="宋体" w:hAnsi="宋体" w:cs="宋体"/>
                <w:color w:val="auto"/>
                <w:spacing w:val="6"/>
                <w:sz w:val="21"/>
                <w:szCs w:val="21"/>
                <w:highlight w:val="none"/>
              </w:rPr>
              <w:t>业人员</w:t>
            </w:r>
          </w:p>
          <w:p w14:paraId="750BF8A3">
            <w:pPr>
              <w:spacing w:before="64"/>
              <w:ind w:left="568"/>
              <w:rPr>
                <w:rFonts w:hint="eastAsia" w:ascii="宋体" w:hAnsi="宋体" w:cs="宋体"/>
                <w:color w:val="auto"/>
                <w:sz w:val="21"/>
                <w:szCs w:val="21"/>
                <w:highlight w:val="none"/>
              </w:rPr>
            </w:pPr>
            <w:r>
              <w:rPr>
                <w:rFonts w:hint="eastAsia" w:ascii="宋体" w:hAnsi="宋体" w:cs="宋体"/>
                <w:color w:val="auto"/>
                <w:spacing w:val="-12"/>
                <w:sz w:val="21"/>
                <w:szCs w:val="21"/>
                <w:highlight w:val="none"/>
              </w:rPr>
              <w:t>(</w:t>
            </w:r>
            <w:r>
              <w:rPr>
                <w:rFonts w:hint="eastAsia" w:ascii="宋体" w:hAnsi="宋体" w:cs="宋体"/>
                <w:color w:val="auto"/>
                <w:spacing w:val="-9"/>
                <w:sz w:val="21"/>
                <w:szCs w:val="21"/>
                <w:highlight w:val="none"/>
              </w:rPr>
              <w:t>X)</w:t>
            </w:r>
          </w:p>
        </w:tc>
        <w:tc>
          <w:tcPr>
            <w:tcW w:w="709" w:type="dxa"/>
          </w:tcPr>
          <w:p w14:paraId="26D231F1">
            <w:pPr>
              <w:spacing w:before="211"/>
              <w:ind w:left="254"/>
              <w:rPr>
                <w:rFonts w:hint="eastAsia" w:ascii="宋体" w:hAnsi="宋体" w:cs="宋体"/>
                <w:color w:val="auto"/>
                <w:sz w:val="21"/>
                <w:szCs w:val="21"/>
                <w:highlight w:val="none"/>
              </w:rPr>
            </w:pPr>
            <w:r>
              <w:rPr>
                <w:rFonts w:hint="eastAsia" w:ascii="宋体" w:hAnsi="宋体" w:cs="宋体"/>
                <w:color w:val="auto"/>
                <w:sz w:val="21"/>
                <w:szCs w:val="21"/>
                <w:highlight w:val="none"/>
              </w:rPr>
              <w:t>人</w:t>
            </w:r>
          </w:p>
        </w:tc>
        <w:tc>
          <w:tcPr>
            <w:tcW w:w="1124" w:type="dxa"/>
          </w:tcPr>
          <w:p w14:paraId="274FF058">
            <w:pPr>
              <w:spacing w:before="211"/>
              <w:ind w:left="249"/>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X</w:t>
            </w:r>
            <w:r>
              <w:rPr>
                <w:rFonts w:hint="eastAsia" w:ascii="宋体" w:hAnsi="宋体" w:cs="宋体"/>
                <w:color w:val="auto"/>
                <w:spacing w:val="6"/>
                <w:position w:val="1"/>
                <w:sz w:val="21"/>
                <w:szCs w:val="21"/>
                <w:highlight w:val="none"/>
              </w:rPr>
              <w:t>≥300</w:t>
            </w:r>
          </w:p>
        </w:tc>
        <w:tc>
          <w:tcPr>
            <w:tcW w:w="1448" w:type="dxa"/>
          </w:tcPr>
          <w:p w14:paraId="2199AB41">
            <w:pPr>
              <w:spacing w:before="211"/>
              <w:ind w:left="240"/>
              <w:rPr>
                <w:rFonts w:hint="eastAsia" w:ascii="宋体" w:hAnsi="宋体" w:cs="宋体"/>
                <w:color w:val="auto"/>
                <w:sz w:val="21"/>
                <w:szCs w:val="21"/>
                <w:highlight w:val="none"/>
              </w:rPr>
            </w:pPr>
            <w:r>
              <w:rPr>
                <w:rFonts w:hint="eastAsia" w:ascii="宋体" w:hAnsi="宋体" w:cs="宋体"/>
                <w:color w:val="auto"/>
                <w:spacing w:val="4"/>
                <w:position w:val="1"/>
                <w:sz w:val="21"/>
                <w:szCs w:val="21"/>
                <w:highlight w:val="none"/>
              </w:rPr>
              <w:t>100≤</w:t>
            </w:r>
            <w:r>
              <w:rPr>
                <w:rFonts w:hint="eastAsia" w:ascii="宋体" w:hAnsi="宋体" w:cs="宋体"/>
                <w:color w:val="auto"/>
                <w:position w:val="1"/>
                <w:sz w:val="21"/>
                <w:szCs w:val="21"/>
                <w:highlight w:val="none"/>
              </w:rPr>
              <w:t>X</w:t>
            </w:r>
            <w:r>
              <w:rPr>
                <w:rFonts w:hint="eastAsia" w:ascii="宋体" w:hAnsi="宋体" w:cs="宋体"/>
                <w:color w:val="auto"/>
                <w:spacing w:val="4"/>
                <w:position w:val="1"/>
                <w:sz w:val="21"/>
                <w:szCs w:val="21"/>
                <w:highlight w:val="none"/>
              </w:rPr>
              <w:t>＜300</w:t>
            </w:r>
          </w:p>
        </w:tc>
        <w:tc>
          <w:tcPr>
            <w:tcW w:w="1677" w:type="dxa"/>
          </w:tcPr>
          <w:p w14:paraId="0C3C3907">
            <w:pPr>
              <w:spacing w:before="211"/>
              <w:ind w:left="261"/>
              <w:rPr>
                <w:rFonts w:hint="eastAsia" w:ascii="宋体" w:hAnsi="宋体" w:cs="宋体"/>
                <w:color w:val="auto"/>
                <w:sz w:val="21"/>
                <w:szCs w:val="21"/>
                <w:highlight w:val="none"/>
              </w:rPr>
            </w:pPr>
            <w:r>
              <w:rPr>
                <w:rFonts w:hint="eastAsia" w:ascii="宋体" w:hAnsi="宋体" w:cs="宋体"/>
                <w:color w:val="auto"/>
                <w:spacing w:val="4"/>
                <w:position w:val="1"/>
                <w:sz w:val="21"/>
                <w:szCs w:val="21"/>
                <w:highlight w:val="none"/>
              </w:rPr>
              <w:t>10≤</w:t>
            </w:r>
            <w:r>
              <w:rPr>
                <w:rFonts w:hint="eastAsia" w:ascii="宋体" w:hAnsi="宋体" w:cs="宋体"/>
                <w:color w:val="auto"/>
                <w:position w:val="1"/>
                <w:sz w:val="21"/>
                <w:szCs w:val="21"/>
                <w:highlight w:val="none"/>
              </w:rPr>
              <w:t>X</w:t>
            </w:r>
            <w:r>
              <w:rPr>
                <w:rFonts w:hint="eastAsia" w:ascii="宋体" w:hAnsi="宋体" w:cs="宋体"/>
                <w:color w:val="auto"/>
                <w:spacing w:val="4"/>
                <w:position w:val="1"/>
                <w:sz w:val="21"/>
                <w:szCs w:val="21"/>
                <w:highlight w:val="none"/>
              </w:rPr>
              <w:t>＜100</w:t>
            </w:r>
          </w:p>
        </w:tc>
        <w:tc>
          <w:tcPr>
            <w:tcW w:w="996" w:type="dxa"/>
          </w:tcPr>
          <w:p w14:paraId="4E302615">
            <w:pPr>
              <w:spacing w:before="211"/>
              <w:ind w:left="239"/>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X</w:t>
            </w:r>
            <w:r>
              <w:rPr>
                <w:rFonts w:hint="eastAsia" w:ascii="宋体" w:hAnsi="宋体" w:cs="宋体"/>
                <w:color w:val="auto"/>
                <w:spacing w:val="6"/>
                <w:position w:val="1"/>
                <w:sz w:val="21"/>
                <w:szCs w:val="21"/>
                <w:highlight w:val="none"/>
              </w:rPr>
              <w:t>＜10</w:t>
            </w:r>
          </w:p>
        </w:tc>
      </w:tr>
      <w:tr w14:paraId="141DB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71" w:type="dxa"/>
            <w:vMerge w:val="continue"/>
            <w:tcBorders>
              <w:top w:val="single" w:color="auto" w:sz="4" w:space="0"/>
              <w:left w:val="single" w:color="auto" w:sz="4" w:space="0"/>
              <w:bottom w:val="single" w:color="auto" w:sz="4" w:space="0"/>
              <w:right w:val="single" w:color="auto" w:sz="4" w:space="0"/>
            </w:tcBorders>
          </w:tcPr>
          <w:p w14:paraId="35730EAF">
            <w:pPr>
              <w:rPr>
                <w:rFonts w:hint="eastAsia" w:ascii="宋体" w:hAnsi="宋体" w:cs="宋体"/>
                <w:color w:val="auto"/>
                <w:sz w:val="21"/>
                <w:szCs w:val="21"/>
                <w:highlight w:val="none"/>
              </w:rPr>
            </w:pPr>
          </w:p>
        </w:tc>
        <w:tc>
          <w:tcPr>
            <w:tcW w:w="2014" w:type="dxa"/>
            <w:tcBorders>
              <w:top w:val="single" w:color="auto" w:sz="4" w:space="0"/>
              <w:left w:val="single" w:color="auto" w:sz="4" w:space="0"/>
              <w:bottom w:val="single" w:color="auto" w:sz="4" w:space="0"/>
              <w:right w:val="single" w:color="auto" w:sz="4" w:space="0"/>
            </w:tcBorders>
          </w:tcPr>
          <w:p w14:paraId="48C92392">
            <w:pPr>
              <w:spacing w:before="88"/>
              <w:ind w:left="274"/>
              <w:rPr>
                <w:rFonts w:hint="eastAsia" w:ascii="宋体" w:hAnsi="宋体" w:cs="宋体"/>
                <w:color w:val="auto"/>
                <w:sz w:val="21"/>
                <w:szCs w:val="21"/>
                <w:highlight w:val="none"/>
              </w:rPr>
            </w:pPr>
            <w:r>
              <w:rPr>
                <w:rFonts w:hint="eastAsia" w:ascii="宋体" w:hAnsi="宋体" w:cs="宋体"/>
                <w:color w:val="auto"/>
                <w:spacing w:val="8"/>
                <w:sz w:val="21"/>
                <w:szCs w:val="21"/>
                <w:highlight w:val="none"/>
              </w:rPr>
              <w:t>营</w:t>
            </w:r>
            <w:r>
              <w:rPr>
                <w:rFonts w:hint="eastAsia" w:ascii="宋体" w:hAnsi="宋体" w:cs="宋体"/>
                <w:color w:val="auto"/>
                <w:spacing w:val="5"/>
                <w:sz w:val="21"/>
                <w:szCs w:val="21"/>
                <w:highlight w:val="none"/>
              </w:rPr>
              <w:t>业收入</w:t>
            </w:r>
          </w:p>
          <w:p w14:paraId="1FEAFD91">
            <w:pPr>
              <w:ind w:left="568"/>
              <w:rPr>
                <w:rFonts w:hint="eastAsia" w:ascii="宋体" w:hAnsi="宋体" w:cs="宋体"/>
                <w:color w:val="auto"/>
                <w:sz w:val="21"/>
                <w:szCs w:val="21"/>
                <w:highlight w:val="none"/>
              </w:rPr>
            </w:pPr>
            <w:r>
              <w:rPr>
                <w:rFonts w:hint="eastAsia" w:ascii="宋体" w:hAnsi="宋体" w:cs="宋体"/>
                <w:color w:val="auto"/>
                <w:spacing w:val="-12"/>
                <w:sz w:val="21"/>
                <w:szCs w:val="21"/>
                <w:highlight w:val="none"/>
              </w:rPr>
              <w:t>(</w:t>
            </w:r>
            <w:r>
              <w:rPr>
                <w:rFonts w:hint="eastAsia" w:ascii="宋体" w:hAnsi="宋体" w:cs="宋体"/>
                <w:color w:val="auto"/>
                <w:spacing w:val="-9"/>
                <w:sz w:val="21"/>
                <w:szCs w:val="21"/>
                <w:highlight w:val="none"/>
              </w:rPr>
              <w:t>Y)</w:t>
            </w:r>
          </w:p>
        </w:tc>
        <w:tc>
          <w:tcPr>
            <w:tcW w:w="709" w:type="dxa"/>
            <w:tcBorders>
              <w:left w:val="single" w:color="auto" w:sz="4" w:space="0"/>
            </w:tcBorders>
          </w:tcPr>
          <w:p w14:paraId="5EA0AC59">
            <w:pPr>
              <w:spacing w:before="211"/>
              <w:ind w:left="154"/>
              <w:rPr>
                <w:rFonts w:hint="eastAsia" w:ascii="宋体" w:hAnsi="宋体" w:cs="宋体"/>
                <w:color w:val="auto"/>
                <w:sz w:val="21"/>
                <w:szCs w:val="21"/>
                <w:highlight w:val="none"/>
              </w:rPr>
            </w:pPr>
            <w:r>
              <w:rPr>
                <w:rFonts w:hint="eastAsia" w:ascii="宋体" w:hAnsi="宋体" w:cs="宋体"/>
                <w:color w:val="auto"/>
                <w:spacing w:val="2"/>
                <w:sz w:val="21"/>
                <w:szCs w:val="21"/>
                <w:highlight w:val="none"/>
              </w:rPr>
              <w:t>万元</w:t>
            </w:r>
          </w:p>
        </w:tc>
        <w:tc>
          <w:tcPr>
            <w:tcW w:w="1124" w:type="dxa"/>
          </w:tcPr>
          <w:p w14:paraId="214AD422">
            <w:pPr>
              <w:spacing w:before="211"/>
              <w:ind w:left="143"/>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Y</w:t>
            </w:r>
            <w:r>
              <w:rPr>
                <w:rFonts w:hint="eastAsia" w:ascii="宋体" w:hAnsi="宋体" w:cs="宋体"/>
                <w:color w:val="auto"/>
                <w:spacing w:val="9"/>
                <w:position w:val="1"/>
                <w:sz w:val="21"/>
                <w:szCs w:val="21"/>
                <w:highlight w:val="none"/>
              </w:rPr>
              <w:t>≥</w:t>
            </w:r>
            <w:r>
              <w:rPr>
                <w:rFonts w:hint="eastAsia" w:ascii="宋体" w:hAnsi="宋体" w:cs="宋体"/>
                <w:color w:val="auto"/>
                <w:spacing w:val="5"/>
                <w:position w:val="1"/>
                <w:sz w:val="21"/>
                <w:szCs w:val="21"/>
                <w:highlight w:val="none"/>
              </w:rPr>
              <w:t>10000</w:t>
            </w:r>
          </w:p>
        </w:tc>
        <w:tc>
          <w:tcPr>
            <w:tcW w:w="1448" w:type="dxa"/>
          </w:tcPr>
          <w:p w14:paraId="0364316A">
            <w:pPr>
              <w:spacing w:before="211"/>
              <w:ind w:left="124"/>
              <w:rPr>
                <w:rFonts w:hint="eastAsia" w:ascii="宋体" w:hAnsi="宋体" w:cs="宋体"/>
                <w:color w:val="auto"/>
                <w:sz w:val="21"/>
                <w:szCs w:val="21"/>
                <w:highlight w:val="none"/>
              </w:rPr>
            </w:pPr>
            <w:r>
              <w:rPr>
                <w:rFonts w:hint="eastAsia" w:ascii="宋体" w:hAnsi="宋体" w:cs="宋体"/>
                <w:color w:val="auto"/>
                <w:spacing w:val="7"/>
                <w:position w:val="1"/>
                <w:sz w:val="21"/>
                <w:szCs w:val="21"/>
                <w:highlight w:val="none"/>
              </w:rPr>
              <w:t>2</w:t>
            </w:r>
            <w:r>
              <w:rPr>
                <w:rFonts w:hint="eastAsia" w:ascii="宋体" w:hAnsi="宋体" w:cs="宋体"/>
                <w:color w:val="auto"/>
                <w:spacing w:val="5"/>
                <w:position w:val="1"/>
                <w:sz w:val="21"/>
                <w:szCs w:val="21"/>
                <w:highlight w:val="none"/>
              </w:rPr>
              <w:t>000≤</w:t>
            </w:r>
            <w:r>
              <w:rPr>
                <w:rFonts w:hint="eastAsia" w:ascii="宋体" w:hAnsi="宋体" w:cs="宋体"/>
                <w:color w:val="auto"/>
                <w:position w:val="1"/>
                <w:sz w:val="21"/>
                <w:szCs w:val="21"/>
                <w:highlight w:val="none"/>
              </w:rPr>
              <w:t>Y</w:t>
            </w:r>
            <w:r>
              <w:rPr>
                <w:rFonts w:hint="eastAsia" w:ascii="宋体" w:hAnsi="宋体" w:cs="宋体"/>
                <w:color w:val="auto"/>
                <w:spacing w:val="5"/>
                <w:position w:val="1"/>
                <w:sz w:val="21"/>
                <w:szCs w:val="21"/>
                <w:highlight w:val="none"/>
              </w:rPr>
              <w:t>＜10000</w:t>
            </w:r>
          </w:p>
        </w:tc>
        <w:tc>
          <w:tcPr>
            <w:tcW w:w="1677" w:type="dxa"/>
          </w:tcPr>
          <w:p w14:paraId="35E6C657">
            <w:pPr>
              <w:spacing w:before="56"/>
              <w:ind w:left="511" w:right="261" w:hanging="145"/>
              <w:rPr>
                <w:rFonts w:hint="eastAsia" w:ascii="宋体" w:hAnsi="宋体" w:cs="宋体"/>
                <w:color w:val="auto"/>
                <w:sz w:val="21"/>
                <w:szCs w:val="21"/>
                <w:highlight w:val="none"/>
              </w:rPr>
            </w:pPr>
            <w:r>
              <w:rPr>
                <w:rFonts w:hint="eastAsia" w:ascii="宋体" w:hAnsi="宋体" w:cs="宋体"/>
                <w:color w:val="auto"/>
                <w:spacing w:val="-2"/>
                <w:sz w:val="21"/>
                <w:szCs w:val="21"/>
                <w:highlight w:val="none"/>
              </w:rPr>
              <w:t>100</w:t>
            </w:r>
            <w:r>
              <w:rPr>
                <w:rFonts w:hint="eastAsia" w:ascii="宋体" w:hAnsi="宋体" w:cs="宋体"/>
                <w:color w:val="auto"/>
                <w:spacing w:val="-1"/>
                <w:sz w:val="21"/>
                <w:szCs w:val="21"/>
                <w:highlight w:val="none"/>
              </w:rPr>
              <w:t>≤Y＜</w:t>
            </w:r>
            <w:r>
              <w:rPr>
                <w:rFonts w:hint="eastAsia" w:ascii="宋体" w:hAnsi="宋体" w:cs="宋体"/>
                <w:color w:val="auto"/>
                <w:sz w:val="21"/>
                <w:szCs w:val="21"/>
                <w:highlight w:val="none"/>
              </w:rPr>
              <w:t xml:space="preserve"> </w:t>
            </w:r>
            <w:r>
              <w:rPr>
                <w:rFonts w:hint="eastAsia" w:ascii="宋体" w:hAnsi="宋体" w:cs="宋体"/>
                <w:color w:val="auto"/>
                <w:spacing w:val="4"/>
                <w:sz w:val="21"/>
                <w:szCs w:val="21"/>
                <w:highlight w:val="none"/>
              </w:rPr>
              <w:t>2</w:t>
            </w:r>
            <w:r>
              <w:rPr>
                <w:rFonts w:hint="eastAsia" w:ascii="宋体" w:hAnsi="宋体" w:cs="宋体"/>
                <w:color w:val="auto"/>
                <w:spacing w:val="2"/>
                <w:sz w:val="21"/>
                <w:szCs w:val="21"/>
                <w:highlight w:val="none"/>
              </w:rPr>
              <w:t>000</w:t>
            </w:r>
          </w:p>
        </w:tc>
        <w:tc>
          <w:tcPr>
            <w:tcW w:w="996" w:type="dxa"/>
          </w:tcPr>
          <w:p w14:paraId="0F5F8424">
            <w:pPr>
              <w:spacing w:before="211"/>
              <w:ind w:left="185"/>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Y</w:t>
            </w:r>
            <w:r>
              <w:rPr>
                <w:rFonts w:hint="eastAsia" w:ascii="宋体" w:hAnsi="宋体" w:cs="宋体"/>
                <w:color w:val="auto"/>
                <w:spacing w:val="7"/>
                <w:position w:val="1"/>
                <w:sz w:val="21"/>
                <w:szCs w:val="21"/>
                <w:highlight w:val="none"/>
              </w:rPr>
              <w:t>＜</w:t>
            </w:r>
            <w:r>
              <w:rPr>
                <w:rFonts w:hint="eastAsia" w:ascii="宋体" w:hAnsi="宋体" w:cs="宋体"/>
                <w:color w:val="auto"/>
                <w:spacing w:val="6"/>
                <w:position w:val="1"/>
                <w:sz w:val="21"/>
                <w:szCs w:val="21"/>
                <w:highlight w:val="none"/>
              </w:rPr>
              <w:t>100</w:t>
            </w:r>
          </w:p>
        </w:tc>
      </w:tr>
      <w:tr w14:paraId="0FC21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71" w:type="dxa"/>
            <w:vMerge w:val="restart"/>
            <w:tcBorders>
              <w:top w:val="single" w:color="auto" w:sz="4" w:space="0"/>
              <w:left w:val="single" w:color="auto" w:sz="4" w:space="0"/>
              <w:bottom w:val="single" w:color="auto" w:sz="4" w:space="0"/>
              <w:right w:val="single" w:color="auto" w:sz="4" w:space="0"/>
            </w:tcBorders>
          </w:tcPr>
          <w:p w14:paraId="1F7FA89F">
            <w:pPr>
              <w:rPr>
                <w:rFonts w:hint="eastAsia" w:ascii="宋体" w:hAnsi="宋体" w:cs="宋体"/>
                <w:color w:val="auto"/>
                <w:sz w:val="21"/>
                <w:szCs w:val="21"/>
                <w:highlight w:val="none"/>
              </w:rPr>
            </w:pPr>
          </w:p>
          <w:p w14:paraId="4BC6ECFB">
            <w:pPr>
              <w:spacing w:before="65"/>
              <w:ind w:left="116"/>
              <w:rPr>
                <w:rFonts w:hint="eastAsia" w:ascii="宋体" w:hAnsi="宋体" w:cs="宋体"/>
                <w:color w:val="auto"/>
                <w:sz w:val="21"/>
                <w:szCs w:val="21"/>
                <w:highlight w:val="none"/>
              </w:rPr>
            </w:pPr>
            <w:r>
              <w:rPr>
                <w:rFonts w:hint="eastAsia" w:ascii="宋体" w:hAnsi="宋体" w:cs="宋体"/>
                <w:color w:val="auto"/>
                <w:spacing w:val="11"/>
                <w:sz w:val="21"/>
                <w:szCs w:val="21"/>
                <w:highlight w:val="none"/>
              </w:rPr>
              <w:t>信</w:t>
            </w:r>
            <w:r>
              <w:rPr>
                <w:rFonts w:hint="eastAsia" w:ascii="宋体" w:hAnsi="宋体" w:cs="宋体"/>
                <w:color w:val="auto"/>
                <w:spacing w:val="7"/>
                <w:sz w:val="21"/>
                <w:szCs w:val="21"/>
                <w:highlight w:val="none"/>
              </w:rPr>
              <w:t>息传输业 *</w:t>
            </w:r>
          </w:p>
        </w:tc>
        <w:tc>
          <w:tcPr>
            <w:tcW w:w="2014" w:type="dxa"/>
            <w:tcBorders>
              <w:top w:val="single" w:color="auto" w:sz="4" w:space="0"/>
              <w:left w:val="single" w:color="auto" w:sz="4" w:space="0"/>
              <w:bottom w:val="single" w:color="auto" w:sz="4" w:space="0"/>
              <w:right w:val="single" w:color="auto" w:sz="4" w:space="0"/>
            </w:tcBorders>
          </w:tcPr>
          <w:p w14:paraId="065CBA24">
            <w:pPr>
              <w:spacing w:before="55"/>
              <w:ind w:left="270"/>
              <w:rPr>
                <w:rFonts w:hint="eastAsia" w:ascii="宋体" w:hAnsi="宋体" w:cs="宋体"/>
                <w:color w:val="auto"/>
                <w:sz w:val="21"/>
                <w:szCs w:val="21"/>
                <w:highlight w:val="none"/>
              </w:rPr>
            </w:pPr>
            <w:r>
              <w:rPr>
                <w:rFonts w:hint="eastAsia" w:ascii="宋体" w:hAnsi="宋体" w:cs="宋体"/>
                <w:color w:val="auto"/>
                <w:spacing w:val="9"/>
                <w:sz w:val="21"/>
                <w:szCs w:val="21"/>
                <w:highlight w:val="none"/>
              </w:rPr>
              <w:t>从</w:t>
            </w:r>
            <w:r>
              <w:rPr>
                <w:rFonts w:hint="eastAsia" w:ascii="宋体" w:hAnsi="宋体" w:cs="宋体"/>
                <w:color w:val="auto"/>
                <w:spacing w:val="6"/>
                <w:sz w:val="21"/>
                <w:szCs w:val="21"/>
                <w:highlight w:val="none"/>
              </w:rPr>
              <w:t>业人员</w:t>
            </w:r>
          </w:p>
          <w:p w14:paraId="7838C56A">
            <w:pPr>
              <w:spacing w:before="64"/>
              <w:ind w:left="568"/>
              <w:rPr>
                <w:rFonts w:hint="eastAsia" w:ascii="宋体" w:hAnsi="宋体" w:cs="宋体"/>
                <w:color w:val="auto"/>
                <w:sz w:val="21"/>
                <w:szCs w:val="21"/>
                <w:highlight w:val="none"/>
              </w:rPr>
            </w:pPr>
            <w:r>
              <w:rPr>
                <w:rFonts w:hint="eastAsia" w:ascii="宋体" w:hAnsi="宋体" w:cs="宋体"/>
                <w:color w:val="auto"/>
                <w:spacing w:val="-12"/>
                <w:sz w:val="21"/>
                <w:szCs w:val="21"/>
                <w:highlight w:val="none"/>
              </w:rPr>
              <w:t>(</w:t>
            </w:r>
            <w:r>
              <w:rPr>
                <w:rFonts w:hint="eastAsia" w:ascii="宋体" w:hAnsi="宋体" w:cs="宋体"/>
                <w:color w:val="auto"/>
                <w:spacing w:val="-9"/>
                <w:sz w:val="21"/>
                <w:szCs w:val="21"/>
                <w:highlight w:val="none"/>
              </w:rPr>
              <w:t>X)</w:t>
            </w:r>
          </w:p>
        </w:tc>
        <w:tc>
          <w:tcPr>
            <w:tcW w:w="709" w:type="dxa"/>
            <w:tcBorders>
              <w:left w:val="single" w:color="auto" w:sz="4" w:space="0"/>
            </w:tcBorders>
          </w:tcPr>
          <w:p w14:paraId="2D082076">
            <w:pPr>
              <w:spacing w:before="210"/>
              <w:ind w:left="254"/>
              <w:rPr>
                <w:rFonts w:hint="eastAsia" w:ascii="宋体" w:hAnsi="宋体" w:cs="宋体"/>
                <w:color w:val="auto"/>
                <w:sz w:val="21"/>
                <w:szCs w:val="21"/>
                <w:highlight w:val="none"/>
              </w:rPr>
            </w:pPr>
            <w:r>
              <w:rPr>
                <w:rFonts w:hint="eastAsia" w:ascii="宋体" w:hAnsi="宋体" w:cs="宋体"/>
                <w:color w:val="auto"/>
                <w:sz w:val="21"/>
                <w:szCs w:val="21"/>
                <w:highlight w:val="none"/>
              </w:rPr>
              <w:t>人</w:t>
            </w:r>
          </w:p>
        </w:tc>
        <w:tc>
          <w:tcPr>
            <w:tcW w:w="1124" w:type="dxa"/>
          </w:tcPr>
          <w:p w14:paraId="5E49FBE9">
            <w:pPr>
              <w:spacing w:before="211"/>
              <w:ind w:left="196"/>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X</w:t>
            </w:r>
            <w:r>
              <w:rPr>
                <w:rFonts w:hint="eastAsia" w:ascii="宋体" w:hAnsi="宋体" w:cs="宋体"/>
                <w:color w:val="auto"/>
                <w:spacing w:val="6"/>
                <w:position w:val="1"/>
                <w:sz w:val="21"/>
                <w:szCs w:val="21"/>
                <w:highlight w:val="none"/>
              </w:rPr>
              <w:t>≥2000</w:t>
            </w:r>
          </w:p>
        </w:tc>
        <w:tc>
          <w:tcPr>
            <w:tcW w:w="1448" w:type="dxa"/>
          </w:tcPr>
          <w:p w14:paraId="4E1E32B1">
            <w:pPr>
              <w:spacing w:before="211"/>
              <w:ind w:left="240"/>
              <w:rPr>
                <w:rFonts w:hint="eastAsia" w:ascii="宋体" w:hAnsi="宋体" w:cs="宋体"/>
                <w:color w:val="auto"/>
                <w:sz w:val="21"/>
                <w:szCs w:val="21"/>
                <w:highlight w:val="none"/>
              </w:rPr>
            </w:pPr>
            <w:r>
              <w:rPr>
                <w:rFonts w:hint="eastAsia" w:ascii="宋体" w:hAnsi="宋体" w:cs="宋体"/>
                <w:color w:val="auto"/>
                <w:spacing w:val="5"/>
                <w:position w:val="1"/>
                <w:sz w:val="21"/>
                <w:szCs w:val="21"/>
                <w:highlight w:val="none"/>
              </w:rPr>
              <w:t>1</w:t>
            </w:r>
            <w:r>
              <w:rPr>
                <w:rFonts w:hint="eastAsia" w:ascii="宋体" w:hAnsi="宋体" w:cs="宋体"/>
                <w:color w:val="auto"/>
                <w:spacing w:val="4"/>
                <w:position w:val="1"/>
                <w:sz w:val="21"/>
                <w:szCs w:val="21"/>
                <w:highlight w:val="none"/>
              </w:rPr>
              <w:t>00≤</w:t>
            </w:r>
            <w:r>
              <w:rPr>
                <w:rFonts w:hint="eastAsia" w:ascii="宋体" w:hAnsi="宋体" w:cs="宋体"/>
                <w:color w:val="auto"/>
                <w:position w:val="1"/>
                <w:sz w:val="21"/>
                <w:szCs w:val="21"/>
                <w:highlight w:val="none"/>
              </w:rPr>
              <w:t>X</w:t>
            </w:r>
            <w:r>
              <w:rPr>
                <w:rFonts w:hint="eastAsia" w:ascii="宋体" w:hAnsi="宋体" w:cs="宋体"/>
                <w:color w:val="auto"/>
                <w:spacing w:val="4"/>
                <w:position w:val="1"/>
                <w:sz w:val="21"/>
                <w:szCs w:val="21"/>
                <w:highlight w:val="none"/>
              </w:rPr>
              <w:t>＜2000</w:t>
            </w:r>
          </w:p>
        </w:tc>
        <w:tc>
          <w:tcPr>
            <w:tcW w:w="1677" w:type="dxa"/>
          </w:tcPr>
          <w:p w14:paraId="48450AB5">
            <w:pPr>
              <w:spacing w:before="211"/>
              <w:ind w:left="261"/>
              <w:rPr>
                <w:rFonts w:hint="eastAsia" w:ascii="宋体" w:hAnsi="宋体" w:cs="宋体"/>
                <w:color w:val="auto"/>
                <w:sz w:val="21"/>
                <w:szCs w:val="21"/>
                <w:highlight w:val="none"/>
              </w:rPr>
            </w:pPr>
            <w:r>
              <w:rPr>
                <w:rFonts w:hint="eastAsia" w:ascii="宋体" w:hAnsi="宋体" w:cs="宋体"/>
                <w:color w:val="auto"/>
                <w:spacing w:val="4"/>
                <w:position w:val="1"/>
                <w:sz w:val="21"/>
                <w:szCs w:val="21"/>
                <w:highlight w:val="none"/>
              </w:rPr>
              <w:t>10≤</w:t>
            </w:r>
            <w:r>
              <w:rPr>
                <w:rFonts w:hint="eastAsia" w:ascii="宋体" w:hAnsi="宋体" w:cs="宋体"/>
                <w:color w:val="auto"/>
                <w:position w:val="1"/>
                <w:sz w:val="21"/>
                <w:szCs w:val="21"/>
                <w:highlight w:val="none"/>
              </w:rPr>
              <w:t>X</w:t>
            </w:r>
            <w:r>
              <w:rPr>
                <w:rFonts w:hint="eastAsia" w:ascii="宋体" w:hAnsi="宋体" w:cs="宋体"/>
                <w:color w:val="auto"/>
                <w:spacing w:val="4"/>
                <w:position w:val="1"/>
                <w:sz w:val="21"/>
                <w:szCs w:val="21"/>
                <w:highlight w:val="none"/>
              </w:rPr>
              <w:t>＜100</w:t>
            </w:r>
          </w:p>
        </w:tc>
        <w:tc>
          <w:tcPr>
            <w:tcW w:w="996" w:type="dxa"/>
          </w:tcPr>
          <w:p w14:paraId="515E2E29">
            <w:pPr>
              <w:spacing w:before="211"/>
              <w:ind w:left="239"/>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X</w:t>
            </w:r>
            <w:r>
              <w:rPr>
                <w:rFonts w:hint="eastAsia" w:ascii="宋体" w:hAnsi="宋体" w:cs="宋体"/>
                <w:color w:val="auto"/>
                <w:spacing w:val="6"/>
                <w:position w:val="1"/>
                <w:sz w:val="21"/>
                <w:szCs w:val="21"/>
                <w:highlight w:val="none"/>
              </w:rPr>
              <w:t>＜10</w:t>
            </w:r>
          </w:p>
        </w:tc>
      </w:tr>
      <w:tr w14:paraId="4B4B0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471" w:type="dxa"/>
            <w:vMerge w:val="continue"/>
            <w:tcBorders>
              <w:top w:val="single" w:color="auto" w:sz="4" w:space="0"/>
              <w:left w:val="single" w:color="auto" w:sz="4" w:space="0"/>
              <w:bottom w:val="single" w:color="auto" w:sz="4" w:space="0"/>
            </w:tcBorders>
          </w:tcPr>
          <w:p w14:paraId="3E900821">
            <w:pPr>
              <w:rPr>
                <w:rFonts w:hint="eastAsia" w:ascii="宋体" w:hAnsi="宋体" w:cs="宋体"/>
                <w:color w:val="auto"/>
                <w:sz w:val="21"/>
                <w:szCs w:val="21"/>
                <w:highlight w:val="none"/>
              </w:rPr>
            </w:pPr>
          </w:p>
        </w:tc>
        <w:tc>
          <w:tcPr>
            <w:tcW w:w="2014" w:type="dxa"/>
            <w:vMerge w:val="restart"/>
            <w:tcBorders>
              <w:top w:val="single" w:color="auto" w:sz="4" w:space="0"/>
              <w:bottom w:val="single" w:color="auto" w:sz="4" w:space="0"/>
            </w:tcBorders>
          </w:tcPr>
          <w:p w14:paraId="5AAE2AB4">
            <w:pPr>
              <w:spacing w:before="52"/>
              <w:ind w:left="274"/>
              <w:rPr>
                <w:rFonts w:hint="eastAsia" w:ascii="宋体" w:hAnsi="宋体" w:cs="宋体"/>
                <w:color w:val="auto"/>
                <w:spacing w:val="8"/>
                <w:sz w:val="21"/>
                <w:szCs w:val="21"/>
                <w:highlight w:val="none"/>
              </w:rPr>
            </w:pPr>
            <w:r>
              <w:rPr>
                <w:rFonts w:hint="eastAsia" w:ascii="宋体" w:hAnsi="宋体" w:cs="宋体"/>
                <w:color w:val="auto"/>
                <w:spacing w:val="8"/>
                <w:sz w:val="21"/>
                <w:szCs w:val="21"/>
                <w:highlight w:val="none"/>
              </w:rPr>
              <w:t>营</w:t>
            </w:r>
            <w:r>
              <w:rPr>
                <w:rFonts w:hint="eastAsia" w:ascii="宋体" w:hAnsi="宋体" w:cs="宋体"/>
                <w:color w:val="auto"/>
                <w:spacing w:val="5"/>
                <w:sz w:val="21"/>
                <w:szCs w:val="21"/>
                <w:highlight w:val="none"/>
              </w:rPr>
              <w:t>业收入</w:t>
            </w:r>
          </w:p>
          <w:p w14:paraId="447CEF8F">
            <w:pPr>
              <w:spacing w:before="17"/>
              <w:ind w:left="568"/>
              <w:rPr>
                <w:rFonts w:hint="eastAsia" w:ascii="宋体" w:hAnsi="宋体" w:cs="宋体"/>
                <w:snapToGrid w:val="0"/>
                <w:color w:val="auto"/>
                <w:sz w:val="21"/>
                <w:szCs w:val="21"/>
                <w:highlight w:val="none"/>
              </w:rPr>
            </w:pPr>
            <w:r>
              <w:rPr>
                <w:rFonts w:hint="eastAsia" w:ascii="宋体" w:hAnsi="宋体" w:cs="宋体"/>
                <w:color w:val="auto"/>
                <w:spacing w:val="-12"/>
                <w:sz w:val="21"/>
                <w:szCs w:val="21"/>
                <w:highlight w:val="none"/>
              </w:rPr>
              <w:t>(</w:t>
            </w:r>
            <w:r>
              <w:rPr>
                <w:rFonts w:hint="eastAsia" w:ascii="宋体" w:hAnsi="宋体" w:cs="宋体"/>
                <w:color w:val="auto"/>
                <w:spacing w:val="-9"/>
                <w:sz w:val="21"/>
                <w:szCs w:val="21"/>
                <w:highlight w:val="none"/>
              </w:rPr>
              <w:t>Y)</w:t>
            </w:r>
          </w:p>
        </w:tc>
        <w:tc>
          <w:tcPr>
            <w:tcW w:w="709" w:type="dxa"/>
          </w:tcPr>
          <w:p w14:paraId="76FD58E1">
            <w:pPr>
              <w:spacing w:before="56"/>
              <w:ind w:left="154"/>
              <w:rPr>
                <w:rFonts w:hint="eastAsia" w:ascii="宋体" w:hAnsi="宋体" w:cs="宋体"/>
                <w:color w:val="auto"/>
                <w:sz w:val="21"/>
                <w:szCs w:val="21"/>
                <w:highlight w:val="none"/>
              </w:rPr>
            </w:pPr>
            <w:r>
              <w:rPr>
                <w:rFonts w:hint="eastAsia" w:ascii="宋体" w:hAnsi="宋体" w:cs="宋体"/>
                <w:color w:val="auto"/>
                <w:spacing w:val="2"/>
                <w:sz w:val="21"/>
                <w:szCs w:val="21"/>
                <w:highlight w:val="none"/>
              </w:rPr>
              <w:t>万元</w:t>
            </w:r>
          </w:p>
        </w:tc>
        <w:tc>
          <w:tcPr>
            <w:tcW w:w="1124" w:type="dxa"/>
          </w:tcPr>
          <w:p w14:paraId="2CE1A0DB">
            <w:pPr>
              <w:spacing w:before="55"/>
              <w:ind w:left="407"/>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Y</w:t>
            </w:r>
            <w:r>
              <w:rPr>
                <w:rFonts w:hint="eastAsia" w:ascii="宋体" w:hAnsi="宋体" w:cs="宋体"/>
                <w:color w:val="auto"/>
                <w:spacing w:val="7"/>
                <w:position w:val="1"/>
                <w:sz w:val="21"/>
                <w:szCs w:val="21"/>
                <w:highlight w:val="none"/>
              </w:rPr>
              <w:t>≥</w:t>
            </w:r>
          </w:p>
        </w:tc>
        <w:tc>
          <w:tcPr>
            <w:tcW w:w="1448" w:type="dxa"/>
          </w:tcPr>
          <w:p w14:paraId="3E72B083">
            <w:pPr>
              <w:spacing w:before="55"/>
              <w:ind w:left="451"/>
              <w:rPr>
                <w:rFonts w:hint="eastAsia" w:ascii="宋体" w:hAnsi="宋体" w:cs="宋体"/>
                <w:color w:val="auto"/>
                <w:sz w:val="21"/>
                <w:szCs w:val="21"/>
                <w:highlight w:val="none"/>
              </w:rPr>
            </w:pPr>
            <w:r>
              <w:rPr>
                <w:rFonts w:hint="eastAsia" w:ascii="宋体" w:hAnsi="宋体" w:cs="宋体"/>
                <w:color w:val="auto"/>
                <w:spacing w:val="2"/>
                <w:position w:val="1"/>
                <w:sz w:val="21"/>
                <w:szCs w:val="21"/>
                <w:highlight w:val="none"/>
              </w:rPr>
              <w:t>100</w:t>
            </w:r>
            <w:r>
              <w:rPr>
                <w:rFonts w:hint="eastAsia" w:ascii="宋体" w:hAnsi="宋体" w:cs="宋体"/>
                <w:color w:val="auto"/>
                <w:spacing w:val="1"/>
                <w:position w:val="1"/>
                <w:sz w:val="21"/>
                <w:szCs w:val="21"/>
                <w:highlight w:val="none"/>
              </w:rPr>
              <w:t>0≤</w:t>
            </w:r>
            <w:r>
              <w:rPr>
                <w:rFonts w:hint="eastAsia" w:ascii="宋体" w:hAnsi="宋体" w:cs="宋体"/>
                <w:color w:val="auto"/>
                <w:position w:val="1"/>
                <w:sz w:val="21"/>
                <w:szCs w:val="21"/>
                <w:highlight w:val="none"/>
              </w:rPr>
              <w:t>Y</w:t>
            </w:r>
            <w:r>
              <w:rPr>
                <w:rFonts w:hint="eastAsia" w:ascii="宋体" w:hAnsi="宋体" w:cs="宋体"/>
                <w:color w:val="auto"/>
                <w:spacing w:val="1"/>
                <w:position w:val="1"/>
                <w:sz w:val="21"/>
                <w:szCs w:val="21"/>
                <w:highlight w:val="none"/>
              </w:rPr>
              <w:t>＜</w:t>
            </w:r>
          </w:p>
        </w:tc>
        <w:tc>
          <w:tcPr>
            <w:tcW w:w="1677" w:type="dxa"/>
          </w:tcPr>
          <w:p w14:paraId="158803B1">
            <w:pPr>
              <w:spacing w:before="55"/>
              <w:ind w:left="366"/>
              <w:rPr>
                <w:rFonts w:hint="eastAsia" w:ascii="宋体" w:hAnsi="宋体" w:cs="宋体"/>
                <w:color w:val="auto"/>
                <w:sz w:val="21"/>
                <w:szCs w:val="21"/>
                <w:highlight w:val="none"/>
              </w:rPr>
            </w:pPr>
            <w:r>
              <w:rPr>
                <w:rFonts w:hint="eastAsia" w:ascii="宋体" w:hAnsi="宋体" w:cs="宋体"/>
                <w:color w:val="auto"/>
                <w:spacing w:val="2"/>
                <w:position w:val="1"/>
                <w:sz w:val="21"/>
                <w:szCs w:val="21"/>
                <w:highlight w:val="none"/>
              </w:rPr>
              <w:t>1</w:t>
            </w:r>
            <w:r>
              <w:rPr>
                <w:rFonts w:hint="eastAsia" w:ascii="宋体" w:hAnsi="宋体" w:cs="宋体"/>
                <w:color w:val="auto"/>
                <w:spacing w:val="1"/>
                <w:position w:val="1"/>
                <w:sz w:val="21"/>
                <w:szCs w:val="21"/>
                <w:highlight w:val="none"/>
              </w:rPr>
              <w:t>00≤</w:t>
            </w:r>
            <w:r>
              <w:rPr>
                <w:rFonts w:hint="eastAsia" w:ascii="宋体" w:hAnsi="宋体" w:cs="宋体"/>
                <w:color w:val="auto"/>
                <w:position w:val="1"/>
                <w:sz w:val="21"/>
                <w:szCs w:val="21"/>
                <w:highlight w:val="none"/>
              </w:rPr>
              <w:t>Y</w:t>
            </w:r>
            <w:r>
              <w:rPr>
                <w:rFonts w:hint="eastAsia" w:ascii="宋体" w:hAnsi="宋体" w:cs="宋体"/>
                <w:color w:val="auto"/>
                <w:spacing w:val="1"/>
                <w:position w:val="1"/>
                <w:sz w:val="21"/>
                <w:szCs w:val="21"/>
                <w:highlight w:val="none"/>
              </w:rPr>
              <w:t>＜</w:t>
            </w:r>
          </w:p>
        </w:tc>
        <w:tc>
          <w:tcPr>
            <w:tcW w:w="996" w:type="dxa"/>
          </w:tcPr>
          <w:p w14:paraId="2B3854E2">
            <w:pPr>
              <w:spacing w:before="55"/>
              <w:ind w:left="185"/>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Y</w:t>
            </w:r>
            <w:r>
              <w:rPr>
                <w:rFonts w:hint="eastAsia" w:ascii="宋体" w:hAnsi="宋体" w:cs="宋体"/>
                <w:color w:val="auto"/>
                <w:spacing w:val="7"/>
                <w:position w:val="1"/>
                <w:sz w:val="21"/>
                <w:szCs w:val="21"/>
                <w:highlight w:val="none"/>
              </w:rPr>
              <w:t>＜</w:t>
            </w:r>
            <w:r>
              <w:rPr>
                <w:rFonts w:hint="eastAsia" w:ascii="宋体" w:hAnsi="宋体" w:cs="宋体"/>
                <w:color w:val="auto"/>
                <w:spacing w:val="6"/>
                <w:position w:val="1"/>
                <w:sz w:val="21"/>
                <w:szCs w:val="21"/>
                <w:highlight w:val="none"/>
              </w:rPr>
              <w:t>100</w:t>
            </w:r>
          </w:p>
        </w:tc>
      </w:tr>
      <w:tr w14:paraId="14778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471" w:type="dxa"/>
            <w:vMerge w:val="continue"/>
            <w:tcBorders>
              <w:top w:val="single" w:color="auto" w:sz="4" w:space="0"/>
              <w:left w:val="single" w:color="auto" w:sz="4" w:space="0"/>
              <w:bottom w:val="single" w:color="auto" w:sz="4" w:space="0"/>
            </w:tcBorders>
          </w:tcPr>
          <w:p w14:paraId="58BB9F98">
            <w:pPr>
              <w:rPr>
                <w:rFonts w:hint="eastAsia" w:ascii="宋体" w:hAnsi="宋体" w:cs="宋体"/>
                <w:color w:val="auto"/>
                <w:sz w:val="21"/>
                <w:szCs w:val="21"/>
                <w:highlight w:val="none"/>
              </w:rPr>
            </w:pPr>
          </w:p>
        </w:tc>
        <w:tc>
          <w:tcPr>
            <w:tcW w:w="2014" w:type="dxa"/>
            <w:vMerge w:val="continue"/>
            <w:tcBorders>
              <w:top w:val="single" w:color="auto" w:sz="4" w:space="0"/>
              <w:bottom w:val="single" w:color="auto" w:sz="4" w:space="0"/>
            </w:tcBorders>
          </w:tcPr>
          <w:p w14:paraId="5D728D0A">
            <w:pPr>
              <w:spacing w:before="17"/>
              <w:ind w:left="568"/>
              <w:rPr>
                <w:rFonts w:hint="eastAsia" w:ascii="宋体" w:hAnsi="宋体" w:cs="宋体"/>
                <w:snapToGrid w:val="0"/>
                <w:color w:val="auto"/>
                <w:sz w:val="21"/>
                <w:szCs w:val="21"/>
                <w:highlight w:val="none"/>
              </w:rPr>
            </w:pPr>
          </w:p>
        </w:tc>
        <w:tc>
          <w:tcPr>
            <w:tcW w:w="709" w:type="dxa"/>
          </w:tcPr>
          <w:p w14:paraId="3AD73EAE">
            <w:pPr>
              <w:rPr>
                <w:rFonts w:hint="eastAsia" w:ascii="宋体" w:hAnsi="宋体" w:cs="宋体"/>
                <w:snapToGrid w:val="0"/>
                <w:color w:val="auto"/>
                <w:sz w:val="21"/>
                <w:szCs w:val="21"/>
                <w:highlight w:val="none"/>
              </w:rPr>
            </w:pPr>
          </w:p>
        </w:tc>
        <w:tc>
          <w:tcPr>
            <w:tcW w:w="1124" w:type="dxa"/>
          </w:tcPr>
          <w:p w14:paraId="368A6F9B">
            <w:pPr>
              <w:spacing w:before="89"/>
              <w:ind w:left="267"/>
              <w:rPr>
                <w:rFonts w:hint="eastAsia" w:ascii="宋体" w:hAnsi="宋体" w:cs="宋体"/>
                <w:snapToGrid w:val="0"/>
                <w:color w:val="auto"/>
                <w:sz w:val="21"/>
                <w:szCs w:val="21"/>
                <w:highlight w:val="none"/>
              </w:rPr>
            </w:pPr>
            <w:r>
              <w:rPr>
                <w:rFonts w:hint="eastAsia" w:ascii="宋体" w:hAnsi="宋体" w:cs="宋体"/>
                <w:color w:val="auto"/>
                <w:spacing w:val="1"/>
                <w:sz w:val="21"/>
                <w:szCs w:val="21"/>
                <w:highlight w:val="none"/>
              </w:rPr>
              <w:t>100000</w:t>
            </w:r>
          </w:p>
        </w:tc>
        <w:tc>
          <w:tcPr>
            <w:tcW w:w="1448" w:type="dxa"/>
          </w:tcPr>
          <w:p w14:paraId="37D32F46">
            <w:pPr>
              <w:spacing w:before="89"/>
              <w:ind w:left="557"/>
              <w:rPr>
                <w:rFonts w:hint="eastAsia" w:ascii="宋体" w:hAnsi="宋体" w:cs="宋体"/>
                <w:snapToGrid w:val="0"/>
                <w:color w:val="auto"/>
                <w:sz w:val="21"/>
                <w:szCs w:val="21"/>
                <w:highlight w:val="none"/>
              </w:rPr>
            </w:pPr>
            <w:r>
              <w:rPr>
                <w:rFonts w:hint="eastAsia" w:ascii="宋体" w:hAnsi="宋体" w:cs="宋体"/>
                <w:color w:val="auto"/>
                <w:spacing w:val="1"/>
                <w:sz w:val="21"/>
                <w:szCs w:val="21"/>
                <w:highlight w:val="none"/>
              </w:rPr>
              <w:t>100000</w:t>
            </w:r>
          </w:p>
        </w:tc>
        <w:tc>
          <w:tcPr>
            <w:tcW w:w="1677" w:type="dxa"/>
          </w:tcPr>
          <w:p w14:paraId="7CEAE30A">
            <w:pPr>
              <w:spacing w:before="89"/>
              <w:ind w:left="525"/>
              <w:rPr>
                <w:rFonts w:hint="eastAsia" w:ascii="宋体" w:hAnsi="宋体" w:cs="宋体"/>
                <w:snapToGrid w:val="0"/>
                <w:color w:val="auto"/>
                <w:sz w:val="21"/>
                <w:szCs w:val="21"/>
                <w:highlight w:val="none"/>
              </w:rPr>
            </w:pPr>
            <w:r>
              <w:rPr>
                <w:rFonts w:hint="eastAsia" w:ascii="宋体" w:hAnsi="宋体" w:cs="宋体"/>
                <w:color w:val="auto"/>
                <w:spacing w:val="-1"/>
                <w:sz w:val="21"/>
                <w:szCs w:val="21"/>
                <w:highlight w:val="none"/>
              </w:rPr>
              <w:t>100</w:t>
            </w:r>
            <w:r>
              <w:rPr>
                <w:rFonts w:hint="eastAsia" w:ascii="宋体" w:hAnsi="宋体" w:cs="宋体"/>
                <w:color w:val="auto"/>
                <w:sz w:val="21"/>
                <w:szCs w:val="21"/>
                <w:highlight w:val="none"/>
              </w:rPr>
              <w:t>0</w:t>
            </w:r>
          </w:p>
        </w:tc>
        <w:tc>
          <w:tcPr>
            <w:tcW w:w="996" w:type="dxa"/>
          </w:tcPr>
          <w:p w14:paraId="45FA954B">
            <w:pPr>
              <w:rPr>
                <w:rFonts w:hint="eastAsia" w:ascii="宋体" w:hAnsi="宋体" w:cs="宋体"/>
                <w:snapToGrid w:val="0"/>
                <w:color w:val="auto"/>
                <w:sz w:val="21"/>
                <w:szCs w:val="21"/>
                <w:highlight w:val="none"/>
              </w:rPr>
            </w:pPr>
          </w:p>
        </w:tc>
      </w:tr>
      <w:tr w14:paraId="21B91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71" w:type="dxa"/>
            <w:vMerge w:val="restart"/>
            <w:tcBorders>
              <w:bottom w:val="nil"/>
            </w:tcBorders>
          </w:tcPr>
          <w:p w14:paraId="4D620D2F">
            <w:pPr>
              <w:jc w:val="center"/>
              <w:rPr>
                <w:rFonts w:hint="eastAsia" w:ascii="宋体" w:hAnsi="宋体" w:cs="宋体"/>
                <w:color w:val="auto"/>
                <w:sz w:val="21"/>
                <w:szCs w:val="21"/>
                <w:highlight w:val="none"/>
              </w:rPr>
            </w:pPr>
          </w:p>
          <w:p w14:paraId="30053E3B">
            <w:pPr>
              <w:spacing w:before="65"/>
              <w:ind w:left="115" w:right="306" w:firstLine="3"/>
              <w:jc w:val="center"/>
              <w:rPr>
                <w:rFonts w:hint="eastAsia" w:ascii="宋体" w:hAnsi="宋体" w:cs="宋体"/>
                <w:color w:val="auto"/>
                <w:sz w:val="21"/>
                <w:szCs w:val="21"/>
                <w:highlight w:val="none"/>
              </w:rPr>
            </w:pPr>
            <w:r>
              <w:rPr>
                <w:rFonts w:hint="eastAsia" w:ascii="宋体" w:hAnsi="宋体" w:cs="宋体"/>
                <w:color w:val="auto"/>
                <w:spacing w:val="-18"/>
                <w:sz w:val="21"/>
                <w:szCs w:val="21"/>
                <w:highlight w:val="none"/>
              </w:rPr>
              <w:t>软</w:t>
            </w:r>
            <w:r>
              <w:rPr>
                <w:rFonts w:hint="eastAsia" w:ascii="宋体" w:hAnsi="宋体" w:cs="宋体"/>
                <w:color w:val="auto"/>
                <w:spacing w:val="-12"/>
                <w:sz w:val="21"/>
                <w:szCs w:val="21"/>
                <w:highlight w:val="none"/>
              </w:rPr>
              <w:t>件和信息技术服务</w:t>
            </w:r>
            <w:r>
              <w:rPr>
                <w:rFonts w:hint="eastAsia" w:ascii="宋体" w:hAnsi="宋体" w:cs="宋体"/>
                <w:color w:val="auto"/>
                <w:sz w:val="21"/>
                <w:szCs w:val="21"/>
                <w:highlight w:val="none"/>
              </w:rPr>
              <w:t xml:space="preserve"> </w:t>
            </w:r>
            <w:r>
              <w:rPr>
                <w:rFonts w:hint="eastAsia" w:ascii="宋体" w:hAnsi="宋体" w:cs="宋体"/>
                <w:color w:val="auto"/>
                <w:spacing w:val="1"/>
                <w:sz w:val="21"/>
                <w:szCs w:val="21"/>
                <w:highlight w:val="none"/>
              </w:rPr>
              <w:t>业</w:t>
            </w:r>
          </w:p>
        </w:tc>
        <w:tc>
          <w:tcPr>
            <w:tcW w:w="2014" w:type="dxa"/>
          </w:tcPr>
          <w:p w14:paraId="707E5A09">
            <w:pPr>
              <w:spacing w:before="51"/>
              <w:ind w:left="270"/>
              <w:rPr>
                <w:rFonts w:hint="eastAsia" w:ascii="宋体" w:hAnsi="宋体" w:cs="宋体"/>
                <w:color w:val="auto"/>
                <w:sz w:val="21"/>
                <w:szCs w:val="21"/>
                <w:highlight w:val="none"/>
              </w:rPr>
            </w:pPr>
            <w:r>
              <w:rPr>
                <w:rFonts w:hint="eastAsia" w:ascii="宋体" w:hAnsi="宋体" w:cs="宋体"/>
                <w:color w:val="auto"/>
                <w:spacing w:val="9"/>
                <w:sz w:val="21"/>
                <w:szCs w:val="21"/>
                <w:highlight w:val="none"/>
              </w:rPr>
              <w:t>从</w:t>
            </w:r>
            <w:r>
              <w:rPr>
                <w:rFonts w:hint="eastAsia" w:ascii="宋体" w:hAnsi="宋体" w:cs="宋体"/>
                <w:color w:val="auto"/>
                <w:spacing w:val="6"/>
                <w:sz w:val="21"/>
                <w:szCs w:val="21"/>
                <w:highlight w:val="none"/>
              </w:rPr>
              <w:t>业人员</w:t>
            </w:r>
          </w:p>
          <w:p w14:paraId="1E430C69">
            <w:pPr>
              <w:spacing w:before="64"/>
              <w:ind w:left="568"/>
              <w:rPr>
                <w:rFonts w:hint="eastAsia" w:ascii="宋体" w:hAnsi="宋体" w:cs="宋体"/>
                <w:color w:val="auto"/>
                <w:sz w:val="21"/>
                <w:szCs w:val="21"/>
                <w:highlight w:val="none"/>
              </w:rPr>
            </w:pPr>
            <w:r>
              <w:rPr>
                <w:rFonts w:hint="eastAsia" w:ascii="宋体" w:hAnsi="宋体" w:cs="宋体"/>
                <w:color w:val="auto"/>
                <w:spacing w:val="-12"/>
                <w:sz w:val="21"/>
                <w:szCs w:val="21"/>
                <w:highlight w:val="none"/>
              </w:rPr>
              <w:t>(</w:t>
            </w:r>
            <w:r>
              <w:rPr>
                <w:rFonts w:hint="eastAsia" w:ascii="宋体" w:hAnsi="宋体" w:cs="宋体"/>
                <w:color w:val="auto"/>
                <w:spacing w:val="-9"/>
                <w:sz w:val="21"/>
                <w:szCs w:val="21"/>
                <w:highlight w:val="none"/>
              </w:rPr>
              <w:t>X)</w:t>
            </w:r>
          </w:p>
        </w:tc>
        <w:tc>
          <w:tcPr>
            <w:tcW w:w="709" w:type="dxa"/>
          </w:tcPr>
          <w:p w14:paraId="1B5C3396">
            <w:pPr>
              <w:spacing w:before="206"/>
              <w:ind w:left="254"/>
              <w:rPr>
                <w:rFonts w:hint="eastAsia" w:ascii="宋体" w:hAnsi="宋体" w:cs="宋体"/>
                <w:color w:val="auto"/>
                <w:sz w:val="21"/>
                <w:szCs w:val="21"/>
                <w:highlight w:val="none"/>
              </w:rPr>
            </w:pPr>
            <w:r>
              <w:rPr>
                <w:rFonts w:hint="eastAsia" w:ascii="宋体" w:hAnsi="宋体" w:cs="宋体"/>
                <w:color w:val="auto"/>
                <w:sz w:val="21"/>
                <w:szCs w:val="21"/>
                <w:highlight w:val="none"/>
              </w:rPr>
              <w:t>人</w:t>
            </w:r>
          </w:p>
        </w:tc>
        <w:tc>
          <w:tcPr>
            <w:tcW w:w="1124" w:type="dxa"/>
          </w:tcPr>
          <w:p w14:paraId="679259ED">
            <w:pPr>
              <w:spacing w:before="207"/>
              <w:ind w:left="249"/>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X</w:t>
            </w:r>
            <w:r>
              <w:rPr>
                <w:rFonts w:hint="eastAsia" w:ascii="宋体" w:hAnsi="宋体" w:cs="宋体"/>
                <w:color w:val="auto"/>
                <w:spacing w:val="6"/>
                <w:position w:val="1"/>
                <w:sz w:val="21"/>
                <w:szCs w:val="21"/>
                <w:highlight w:val="none"/>
              </w:rPr>
              <w:t>≥300</w:t>
            </w:r>
          </w:p>
        </w:tc>
        <w:tc>
          <w:tcPr>
            <w:tcW w:w="1448" w:type="dxa"/>
          </w:tcPr>
          <w:p w14:paraId="424D0260">
            <w:pPr>
              <w:spacing w:before="207"/>
              <w:ind w:left="240"/>
              <w:rPr>
                <w:rFonts w:hint="eastAsia" w:ascii="宋体" w:hAnsi="宋体" w:cs="宋体"/>
                <w:color w:val="auto"/>
                <w:sz w:val="21"/>
                <w:szCs w:val="21"/>
                <w:highlight w:val="none"/>
              </w:rPr>
            </w:pPr>
            <w:r>
              <w:rPr>
                <w:rFonts w:hint="eastAsia" w:ascii="宋体" w:hAnsi="宋体" w:cs="宋体"/>
                <w:color w:val="auto"/>
                <w:spacing w:val="4"/>
                <w:position w:val="1"/>
                <w:sz w:val="21"/>
                <w:szCs w:val="21"/>
                <w:highlight w:val="none"/>
              </w:rPr>
              <w:t>100≤</w:t>
            </w:r>
            <w:r>
              <w:rPr>
                <w:rFonts w:hint="eastAsia" w:ascii="宋体" w:hAnsi="宋体" w:cs="宋体"/>
                <w:color w:val="auto"/>
                <w:position w:val="1"/>
                <w:sz w:val="21"/>
                <w:szCs w:val="21"/>
                <w:highlight w:val="none"/>
              </w:rPr>
              <w:t>X</w:t>
            </w:r>
            <w:r>
              <w:rPr>
                <w:rFonts w:hint="eastAsia" w:ascii="宋体" w:hAnsi="宋体" w:cs="宋体"/>
                <w:color w:val="auto"/>
                <w:spacing w:val="4"/>
                <w:position w:val="1"/>
                <w:sz w:val="21"/>
                <w:szCs w:val="21"/>
                <w:highlight w:val="none"/>
              </w:rPr>
              <w:t>＜300</w:t>
            </w:r>
          </w:p>
        </w:tc>
        <w:tc>
          <w:tcPr>
            <w:tcW w:w="1677" w:type="dxa"/>
          </w:tcPr>
          <w:p w14:paraId="48616DC3">
            <w:pPr>
              <w:spacing w:before="207"/>
              <w:ind w:left="261"/>
              <w:rPr>
                <w:rFonts w:hint="eastAsia" w:ascii="宋体" w:hAnsi="宋体" w:cs="宋体"/>
                <w:color w:val="auto"/>
                <w:sz w:val="21"/>
                <w:szCs w:val="21"/>
                <w:highlight w:val="none"/>
              </w:rPr>
            </w:pPr>
            <w:r>
              <w:rPr>
                <w:rFonts w:hint="eastAsia" w:ascii="宋体" w:hAnsi="宋体" w:cs="宋体"/>
                <w:color w:val="auto"/>
                <w:spacing w:val="4"/>
                <w:position w:val="1"/>
                <w:sz w:val="21"/>
                <w:szCs w:val="21"/>
                <w:highlight w:val="none"/>
              </w:rPr>
              <w:t>10≤</w:t>
            </w:r>
            <w:r>
              <w:rPr>
                <w:rFonts w:hint="eastAsia" w:ascii="宋体" w:hAnsi="宋体" w:cs="宋体"/>
                <w:color w:val="auto"/>
                <w:position w:val="1"/>
                <w:sz w:val="21"/>
                <w:szCs w:val="21"/>
                <w:highlight w:val="none"/>
              </w:rPr>
              <w:t>X</w:t>
            </w:r>
            <w:r>
              <w:rPr>
                <w:rFonts w:hint="eastAsia" w:ascii="宋体" w:hAnsi="宋体" w:cs="宋体"/>
                <w:color w:val="auto"/>
                <w:spacing w:val="4"/>
                <w:position w:val="1"/>
                <w:sz w:val="21"/>
                <w:szCs w:val="21"/>
                <w:highlight w:val="none"/>
              </w:rPr>
              <w:t>＜100</w:t>
            </w:r>
          </w:p>
        </w:tc>
        <w:tc>
          <w:tcPr>
            <w:tcW w:w="996" w:type="dxa"/>
          </w:tcPr>
          <w:p w14:paraId="3B763ACA">
            <w:pPr>
              <w:spacing w:before="207"/>
              <w:ind w:left="239"/>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X</w:t>
            </w:r>
            <w:r>
              <w:rPr>
                <w:rFonts w:hint="eastAsia" w:ascii="宋体" w:hAnsi="宋体" w:cs="宋体"/>
                <w:color w:val="auto"/>
                <w:spacing w:val="6"/>
                <w:position w:val="1"/>
                <w:sz w:val="21"/>
                <w:szCs w:val="21"/>
                <w:highlight w:val="none"/>
              </w:rPr>
              <w:t>＜10</w:t>
            </w:r>
          </w:p>
        </w:tc>
      </w:tr>
      <w:tr w14:paraId="4BEC6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71" w:type="dxa"/>
            <w:vMerge w:val="continue"/>
            <w:tcBorders>
              <w:top w:val="nil"/>
            </w:tcBorders>
          </w:tcPr>
          <w:p w14:paraId="166130A8">
            <w:pPr>
              <w:jc w:val="center"/>
              <w:rPr>
                <w:rFonts w:hint="eastAsia" w:ascii="宋体" w:hAnsi="宋体" w:cs="宋体"/>
                <w:color w:val="auto"/>
                <w:sz w:val="21"/>
                <w:szCs w:val="21"/>
                <w:highlight w:val="none"/>
              </w:rPr>
            </w:pPr>
          </w:p>
        </w:tc>
        <w:tc>
          <w:tcPr>
            <w:tcW w:w="2014" w:type="dxa"/>
          </w:tcPr>
          <w:p w14:paraId="794BA47E">
            <w:pPr>
              <w:spacing w:before="51"/>
              <w:ind w:left="274"/>
              <w:rPr>
                <w:rFonts w:hint="eastAsia" w:ascii="宋体" w:hAnsi="宋体" w:cs="宋体"/>
                <w:color w:val="auto"/>
                <w:sz w:val="21"/>
                <w:szCs w:val="21"/>
                <w:highlight w:val="none"/>
              </w:rPr>
            </w:pPr>
            <w:r>
              <w:rPr>
                <w:rFonts w:hint="eastAsia" w:ascii="宋体" w:hAnsi="宋体" w:cs="宋体"/>
                <w:color w:val="auto"/>
                <w:spacing w:val="8"/>
                <w:sz w:val="21"/>
                <w:szCs w:val="21"/>
                <w:highlight w:val="none"/>
              </w:rPr>
              <w:t>营</w:t>
            </w:r>
            <w:r>
              <w:rPr>
                <w:rFonts w:hint="eastAsia" w:ascii="宋体" w:hAnsi="宋体" w:cs="宋体"/>
                <w:color w:val="auto"/>
                <w:spacing w:val="5"/>
                <w:sz w:val="21"/>
                <w:szCs w:val="21"/>
                <w:highlight w:val="none"/>
              </w:rPr>
              <w:t>业收入</w:t>
            </w:r>
          </w:p>
          <w:p w14:paraId="7DE30758">
            <w:pPr>
              <w:spacing w:before="64"/>
              <w:ind w:left="568"/>
              <w:rPr>
                <w:rFonts w:hint="eastAsia" w:ascii="宋体" w:hAnsi="宋体" w:cs="宋体"/>
                <w:color w:val="auto"/>
                <w:sz w:val="21"/>
                <w:szCs w:val="21"/>
                <w:highlight w:val="none"/>
              </w:rPr>
            </w:pPr>
            <w:r>
              <w:rPr>
                <w:rFonts w:hint="eastAsia" w:ascii="宋体" w:hAnsi="宋体" w:cs="宋体"/>
                <w:color w:val="auto"/>
                <w:spacing w:val="-12"/>
                <w:sz w:val="21"/>
                <w:szCs w:val="21"/>
                <w:highlight w:val="none"/>
              </w:rPr>
              <w:t>(</w:t>
            </w:r>
            <w:r>
              <w:rPr>
                <w:rFonts w:hint="eastAsia" w:ascii="宋体" w:hAnsi="宋体" w:cs="宋体"/>
                <w:color w:val="auto"/>
                <w:spacing w:val="-9"/>
                <w:sz w:val="21"/>
                <w:szCs w:val="21"/>
                <w:highlight w:val="none"/>
              </w:rPr>
              <w:t>Y)</w:t>
            </w:r>
          </w:p>
        </w:tc>
        <w:tc>
          <w:tcPr>
            <w:tcW w:w="709" w:type="dxa"/>
          </w:tcPr>
          <w:p w14:paraId="56949C29">
            <w:pPr>
              <w:spacing w:before="208"/>
              <w:ind w:left="154"/>
              <w:rPr>
                <w:rFonts w:hint="eastAsia" w:ascii="宋体" w:hAnsi="宋体" w:cs="宋体"/>
                <w:color w:val="auto"/>
                <w:sz w:val="21"/>
                <w:szCs w:val="21"/>
                <w:highlight w:val="none"/>
              </w:rPr>
            </w:pPr>
            <w:r>
              <w:rPr>
                <w:rFonts w:hint="eastAsia" w:ascii="宋体" w:hAnsi="宋体" w:cs="宋体"/>
                <w:color w:val="auto"/>
                <w:spacing w:val="2"/>
                <w:sz w:val="21"/>
                <w:szCs w:val="21"/>
                <w:highlight w:val="none"/>
              </w:rPr>
              <w:t>万元</w:t>
            </w:r>
          </w:p>
        </w:tc>
        <w:tc>
          <w:tcPr>
            <w:tcW w:w="1124" w:type="dxa"/>
          </w:tcPr>
          <w:p w14:paraId="3F0F66F3">
            <w:pPr>
              <w:spacing w:before="208"/>
              <w:ind w:left="143"/>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Y</w:t>
            </w:r>
            <w:r>
              <w:rPr>
                <w:rFonts w:hint="eastAsia" w:ascii="宋体" w:hAnsi="宋体" w:cs="宋体"/>
                <w:color w:val="auto"/>
                <w:spacing w:val="9"/>
                <w:position w:val="1"/>
                <w:sz w:val="21"/>
                <w:szCs w:val="21"/>
                <w:highlight w:val="none"/>
              </w:rPr>
              <w:t>≥</w:t>
            </w:r>
            <w:r>
              <w:rPr>
                <w:rFonts w:hint="eastAsia" w:ascii="宋体" w:hAnsi="宋体" w:cs="宋体"/>
                <w:color w:val="auto"/>
                <w:spacing w:val="5"/>
                <w:position w:val="1"/>
                <w:sz w:val="21"/>
                <w:szCs w:val="21"/>
                <w:highlight w:val="none"/>
              </w:rPr>
              <w:t>10000</w:t>
            </w:r>
          </w:p>
        </w:tc>
        <w:tc>
          <w:tcPr>
            <w:tcW w:w="1448" w:type="dxa"/>
          </w:tcPr>
          <w:p w14:paraId="5243971E">
            <w:pPr>
              <w:spacing w:before="208"/>
              <w:ind w:left="137"/>
              <w:rPr>
                <w:rFonts w:hint="eastAsia" w:ascii="宋体" w:hAnsi="宋体" w:cs="宋体"/>
                <w:color w:val="auto"/>
                <w:sz w:val="21"/>
                <w:szCs w:val="21"/>
                <w:highlight w:val="none"/>
              </w:rPr>
            </w:pPr>
            <w:r>
              <w:rPr>
                <w:rFonts w:hint="eastAsia" w:ascii="宋体" w:hAnsi="宋体" w:cs="宋体"/>
                <w:color w:val="auto"/>
                <w:spacing w:val="4"/>
                <w:position w:val="1"/>
                <w:sz w:val="21"/>
                <w:szCs w:val="21"/>
                <w:highlight w:val="none"/>
              </w:rPr>
              <w:t>1000≤</w:t>
            </w:r>
            <w:r>
              <w:rPr>
                <w:rFonts w:hint="eastAsia" w:ascii="宋体" w:hAnsi="宋体" w:cs="宋体"/>
                <w:color w:val="auto"/>
                <w:position w:val="1"/>
                <w:sz w:val="21"/>
                <w:szCs w:val="21"/>
                <w:highlight w:val="none"/>
              </w:rPr>
              <w:t>Y</w:t>
            </w:r>
            <w:r>
              <w:rPr>
                <w:rFonts w:hint="eastAsia" w:ascii="宋体" w:hAnsi="宋体" w:cs="宋体"/>
                <w:color w:val="auto"/>
                <w:spacing w:val="4"/>
                <w:position w:val="1"/>
                <w:sz w:val="21"/>
                <w:szCs w:val="21"/>
                <w:highlight w:val="none"/>
              </w:rPr>
              <w:t>＜10000</w:t>
            </w:r>
          </w:p>
        </w:tc>
        <w:tc>
          <w:tcPr>
            <w:tcW w:w="1677" w:type="dxa"/>
          </w:tcPr>
          <w:p w14:paraId="2ABCA5AA">
            <w:pPr>
              <w:spacing w:before="52"/>
              <w:ind w:left="525" w:right="261" w:hanging="64"/>
              <w:rPr>
                <w:rFonts w:hint="eastAsia" w:ascii="宋体" w:hAnsi="宋体" w:cs="宋体"/>
                <w:color w:val="auto"/>
                <w:sz w:val="21"/>
                <w:szCs w:val="21"/>
                <w:highlight w:val="none"/>
              </w:rPr>
            </w:pPr>
            <w:r>
              <w:rPr>
                <w:rFonts w:hint="eastAsia" w:ascii="宋体" w:hAnsi="宋体" w:cs="宋体"/>
                <w:color w:val="auto"/>
                <w:spacing w:val="-1"/>
                <w:sz w:val="21"/>
                <w:szCs w:val="21"/>
                <w:highlight w:val="none"/>
              </w:rPr>
              <w:t>50≤</w:t>
            </w:r>
            <w:r>
              <w:rPr>
                <w:rFonts w:hint="eastAsia" w:ascii="宋体" w:hAnsi="宋体" w:cs="宋体"/>
                <w:color w:val="auto"/>
                <w:sz w:val="21"/>
                <w:szCs w:val="21"/>
                <w:highlight w:val="none"/>
              </w:rPr>
              <w:t>Y</w:t>
            </w:r>
            <w:r>
              <w:rPr>
                <w:rFonts w:hint="eastAsia" w:ascii="宋体" w:hAnsi="宋体" w:cs="宋体"/>
                <w:color w:val="auto"/>
                <w:spacing w:val="-1"/>
                <w:sz w:val="21"/>
                <w:szCs w:val="21"/>
                <w:highlight w:val="none"/>
              </w:rPr>
              <w:t>＜</w:t>
            </w:r>
            <w:r>
              <w:rPr>
                <w:rFonts w:hint="eastAsia" w:ascii="宋体" w:hAnsi="宋体" w:cs="宋体"/>
                <w:color w:val="auto"/>
                <w:sz w:val="21"/>
                <w:szCs w:val="21"/>
                <w:highlight w:val="none"/>
              </w:rPr>
              <w:t xml:space="preserve"> </w:t>
            </w:r>
            <w:r>
              <w:rPr>
                <w:rFonts w:hint="eastAsia" w:ascii="宋体" w:hAnsi="宋体" w:cs="宋体"/>
                <w:color w:val="auto"/>
                <w:spacing w:val="-1"/>
                <w:sz w:val="21"/>
                <w:szCs w:val="21"/>
                <w:highlight w:val="none"/>
              </w:rPr>
              <w:t>100</w:t>
            </w:r>
            <w:r>
              <w:rPr>
                <w:rFonts w:hint="eastAsia" w:ascii="宋体" w:hAnsi="宋体" w:cs="宋体"/>
                <w:color w:val="auto"/>
                <w:sz w:val="21"/>
                <w:szCs w:val="21"/>
                <w:highlight w:val="none"/>
              </w:rPr>
              <w:t>0</w:t>
            </w:r>
          </w:p>
        </w:tc>
        <w:tc>
          <w:tcPr>
            <w:tcW w:w="996" w:type="dxa"/>
          </w:tcPr>
          <w:p w14:paraId="4484B4DB">
            <w:pPr>
              <w:spacing w:before="208"/>
              <w:ind w:left="238"/>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Y</w:t>
            </w:r>
            <w:r>
              <w:rPr>
                <w:rFonts w:hint="eastAsia" w:ascii="宋体" w:hAnsi="宋体" w:cs="宋体"/>
                <w:color w:val="auto"/>
                <w:spacing w:val="7"/>
                <w:position w:val="1"/>
                <w:sz w:val="21"/>
                <w:szCs w:val="21"/>
                <w:highlight w:val="none"/>
              </w:rPr>
              <w:t>＜</w:t>
            </w:r>
            <w:r>
              <w:rPr>
                <w:rFonts w:hint="eastAsia" w:ascii="宋体" w:hAnsi="宋体" w:cs="宋体"/>
                <w:color w:val="auto"/>
                <w:spacing w:val="6"/>
                <w:position w:val="1"/>
                <w:sz w:val="21"/>
                <w:szCs w:val="21"/>
                <w:highlight w:val="none"/>
              </w:rPr>
              <w:t>50</w:t>
            </w:r>
          </w:p>
        </w:tc>
      </w:tr>
      <w:tr w14:paraId="41905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71" w:type="dxa"/>
            <w:vMerge w:val="restart"/>
            <w:tcBorders>
              <w:bottom w:val="nil"/>
            </w:tcBorders>
          </w:tcPr>
          <w:p w14:paraId="684B4603">
            <w:pPr>
              <w:jc w:val="center"/>
              <w:rPr>
                <w:rFonts w:hint="eastAsia" w:ascii="宋体" w:hAnsi="宋体" w:cs="宋体"/>
                <w:color w:val="auto"/>
                <w:sz w:val="21"/>
                <w:szCs w:val="21"/>
                <w:highlight w:val="none"/>
              </w:rPr>
            </w:pPr>
          </w:p>
          <w:p w14:paraId="535F8B23">
            <w:pPr>
              <w:spacing w:before="65"/>
              <w:ind w:left="117"/>
              <w:jc w:val="center"/>
              <w:rPr>
                <w:rFonts w:hint="eastAsia" w:ascii="宋体" w:hAnsi="宋体" w:cs="宋体"/>
                <w:color w:val="auto"/>
                <w:sz w:val="21"/>
                <w:szCs w:val="21"/>
                <w:highlight w:val="none"/>
              </w:rPr>
            </w:pPr>
            <w:r>
              <w:rPr>
                <w:rFonts w:hint="eastAsia" w:ascii="宋体" w:hAnsi="宋体" w:cs="宋体"/>
                <w:color w:val="auto"/>
                <w:spacing w:val="11"/>
                <w:sz w:val="21"/>
                <w:szCs w:val="21"/>
                <w:highlight w:val="none"/>
              </w:rPr>
              <w:t>房</w:t>
            </w:r>
            <w:r>
              <w:rPr>
                <w:rFonts w:hint="eastAsia" w:ascii="宋体" w:hAnsi="宋体" w:cs="宋体"/>
                <w:color w:val="auto"/>
                <w:spacing w:val="8"/>
                <w:sz w:val="21"/>
                <w:szCs w:val="21"/>
                <w:highlight w:val="none"/>
              </w:rPr>
              <w:t>地产开发经营</w:t>
            </w:r>
          </w:p>
        </w:tc>
        <w:tc>
          <w:tcPr>
            <w:tcW w:w="2014" w:type="dxa"/>
          </w:tcPr>
          <w:p w14:paraId="10572F1B">
            <w:pPr>
              <w:spacing w:before="51"/>
              <w:ind w:left="274"/>
              <w:rPr>
                <w:rFonts w:hint="eastAsia" w:ascii="宋体" w:hAnsi="宋体" w:cs="宋体"/>
                <w:color w:val="auto"/>
                <w:sz w:val="21"/>
                <w:szCs w:val="21"/>
                <w:highlight w:val="none"/>
              </w:rPr>
            </w:pPr>
            <w:r>
              <w:rPr>
                <w:rFonts w:hint="eastAsia" w:ascii="宋体" w:hAnsi="宋体" w:cs="宋体"/>
                <w:color w:val="auto"/>
                <w:spacing w:val="8"/>
                <w:sz w:val="21"/>
                <w:szCs w:val="21"/>
                <w:highlight w:val="none"/>
              </w:rPr>
              <w:t>营</w:t>
            </w:r>
            <w:r>
              <w:rPr>
                <w:rFonts w:hint="eastAsia" w:ascii="宋体" w:hAnsi="宋体" w:cs="宋体"/>
                <w:color w:val="auto"/>
                <w:spacing w:val="5"/>
                <w:sz w:val="21"/>
                <w:szCs w:val="21"/>
                <w:highlight w:val="none"/>
              </w:rPr>
              <w:t>业收入</w:t>
            </w:r>
          </w:p>
          <w:p w14:paraId="164AFFD9">
            <w:pPr>
              <w:spacing w:before="64"/>
              <w:ind w:left="568"/>
              <w:rPr>
                <w:rFonts w:hint="eastAsia" w:ascii="宋体" w:hAnsi="宋体" w:cs="宋体"/>
                <w:color w:val="auto"/>
                <w:sz w:val="21"/>
                <w:szCs w:val="21"/>
                <w:highlight w:val="none"/>
              </w:rPr>
            </w:pPr>
            <w:r>
              <w:rPr>
                <w:rFonts w:hint="eastAsia" w:ascii="宋体" w:hAnsi="宋体" w:cs="宋体"/>
                <w:color w:val="auto"/>
                <w:spacing w:val="-12"/>
                <w:sz w:val="21"/>
                <w:szCs w:val="21"/>
                <w:highlight w:val="none"/>
              </w:rPr>
              <w:t>(</w:t>
            </w:r>
            <w:r>
              <w:rPr>
                <w:rFonts w:hint="eastAsia" w:ascii="宋体" w:hAnsi="宋体" w:cs="宋体"/>
                <w:color w:val="auto"/>
                <w:spacing w:val="-9"/>
                <w:sz w:val="21"/>
                <w:szCs w:val="21"/>
                <w:highlight w:val="none"/>
              </w:rPr>
              <w:t>Y)</w:t>
            </w:r>
          </w:p>
        </w:tc>
        <w:tc>
          <w:tcPr>
            <w:tcW w:w="709" w:type="dxa"/>
          </w:tcPr>
          <w:p w14:paraId="76E9094B">
            <w:pPr>
              <w:spacing w:before="208"/>
              <w:ind w:left="154"/>
              <w:rPr>
                <w:rFonts w:hint="eastAsia" w:ascii="宋体" w:hAnsi="宋体" w:cs="宋体"/>
                <w:color w:val="auto"/>
                <w:sz w:val="21"/>
                <w:szCs w:val="21"/>
                <w:highlight w:val="none"/>
              </w:rPr>
            </w:pPr>
            <w:r>
              <w:rPr>
                <w:rFonts w:hint="eastAsia" w:ascii="宋体" w:hAnsi="宋体" w:cs="宋体"/>
                <w:color w:val="auto"/>
                <w:spacing w:val="2"/>
                <w:sz w:val="21"/>
                <w:szCs w:val="21"/>
                <w:highlight w:val="none"/>
              </w:rPr>
              <w:t>万元</w:t>
            </w:r>
          </w:p>
        </w:tc>
        <w:tc>
          <w:tcPr>
            <w:tcW w:w="1124" w:type="dxa"/>
          </w:tcPr>
          <w:p w14:paraId="20249AFA">
            <w:pPr>
              <w:spacing w:before="51"/>
              <w:ind w:left="407"/>
              <w:rPr>
                <w:rFonts w:hint="eastAsia" w:ascii="宋体" w:hAnsi="宋体" w:cs="宋体"/>
                <w:color w:val="auto"/>
                <w:sz w:val="21"/>
                <w:szCs w:val="21"/>
                <w:highlight w:val="none"/>
              </w:rPr>
            </w:pPr>
            <w:r>
              <w:rPr>
                <w:rFonts w:hint="eastAsia" w:ascii="宋体" w:hAnsi="宋体" w:cs="宋体"/>
                <w:color w:val="auto"/>
                <w:position w:val="10"/>
                <w:sz w:val="21"/>
                <w:szCs w:val="21"/>
                <w:highlight w:val="none"/>
              </w:rPr>
              <w:t>Y</w:t>
            </w:r>
            <w:r>
              <w:rPr>
                <w:rFonts w:hint="eastAsia" w:ascii="宋体" w:hAnsi="宋体" w:cs="宋体"/>
                <w:color w:val="auto"/>
                <w:spacing w:val="7"/>
                <w:position w:val="10"/>
                <w:sz w:val="21"/>
                <w:szCs w:val="21"/>
                <w:highlight w:val="none"/>
              </w:rPr>
              <w:t>≥</w:t>
            </w:r>
          </w:p>
          <w:p w14:paraId="51375E62">
            <w:pPr>
              <w:ind w:left="254"/>
              <w:rPr>
                <w:rFonts w:hint="eastAsia" w:ascii="宋体" w:hAnsi="宋体" w:cs="宋体"/>
                <w:color w:val="auto"/>
                <w:sz w:val="21"/>
                <w:szCs w:val="21"/>
                <w:highlight w:val="none"/>
              </w:rPr>
            </w:pPr>
            <w:r>
              <w:rPr>
                <w:rFonts w:hint="eastAsia" w:ascii="宋体" w:hAnsi="宋体" w:cs="宋体"/>
                <w:color w:val="auto"/>
                <w:spacing w:val="4"/>
                <w:sz w:val="21"/>
                <w:szCs w:val="21"/>
                <w:highlight w:val="none"/>
              </w:rPr>
              <w:t>2</w:t>
            </w:r>
            <w:r>
              <w:rPr>
                <w:rFonts w:hint="eastAsia" w:ascii="宋体" w:hAnsi="宋体" w:cs="宋体"/>
                <w:color w:val="auto"/>
                <w:spacing w:val="3"/>
                <w:sz w:val="21"/>
                <w:szCs w:val="21"/>
                <w:highlight w:val="none"/>
              </w:rPr>
              <w:t>00000</w:t>
            </w:r>
          </w:p>
        </w:tc>
        <w:tc>
          <w:tcPr>
            <w:tcW w:w="1448" w:type="dxa"/>
          </w:tcPr>
          <w:p w14:paraId="76E5EB2A">
            <w:pPr>
              <w:spacing w:before="51"/>
              <w:ind w:left="451"/>
              <w:rPr>
                <w:rFonts w:hint="eastAsia" w:ascii="宋体" w:hAnsi="宋体" w:cs="宋体"/>
                <w:color w:val="auto"/>
                <w:sz w:val="21"/>
                <w:szCs w:val="21"/>
                <w:highlight w:val="none"/>
              </w:rPr>
            </w:pPr>
            <w:r>
              <w:rPr>
                <w:rFonts w:hint="eastAsia" w:ascii="宋体" w:hAnsi="宋体" w:cs="宋体"/>
                <w:color w:val="auto"/>
                <w:spacing w:val="2"/>
                <w:position w:val="10"/>
                <w:sz w:val="21"/>
                <w:szCs w:val="21"/>
                <w:highlight w:val="none"/>
              </w:rPr>
              <w:t>100</w:t>
            </w:r>
            <w:r>
              <w:rPr>
                <w:rFonts w:hint="eastAsia" w:ascii="宋体" w:hAnsi="宋体" w:cs="宋体"/>
                <w:color w:val="auto"/>
                <w:spacing w:val="1"/>
                <w:position w:val="10"/>
                <w:sz w:val="21"/>
                <w:szCs w:val="21"/>
                <w:highlight w:val="none"/>
              </w:rPr>
              <w:t>0≤</w:t>
            </w:r>
            <w:r>
              <w:rPr>
                <w:rFonts w:hint="eastAsia" w:ascii="宋体" w:hAnsi="宋体" w:cs="宋体"/>
                <w:color w:val="auto"/>
                <w:position w:val="10"/>
                <w:sz w:val="21"/>
                <w:szCs w:val="21"/>
                <w:highlight w:val="none"/>
              </w:rPr>
              <w:t>Y</w:t>
            </w:r>
            <w:r>
              <w:rPr>
                <w:rFonts w:hint="eastAsia" w:ascii="宋体" w:hAnsi="宋体" w:cs="宋体"/>
                <w:color w:val="auto"/>
                <w:spacing w:val="1"/>
                <w:position w:val="10"/>
                <w:sz w:val="21"/>
                <w:szCs w:val="21"/>
                <w:highlight w:val="none"/>
              </w:rPr>
              <w:t>＜</w:t>
            </w:r>
          </w:p>
          <w:p w14:paraId="4AC9B335">
            <w:pPr>
              <w:ind w:left="544"/>
              <w:rPr>
                <w:rFonts w:hint="eastAsia" w:ascii="宋体" w:hAnsi="宋体" w:cs="宋体"/>
                <w:color w:val="auto"/>
                <w:sz w:val="21"/>
                <w:szCs w:val="21"/>
                <w:highlight w:val="none"/>
              </w:rPr>
            </w:pPr>
            <w:r>
              <w:rPr>
                <w:rFonts w:hint="eastAsia" w:ascii="宋体" w:hAnsi="宋体" w:cs="宋体"/>
                <w:color w:val="auto"/>
                <w:spacing w:val="4"/>
                <w:sz w:val="21"/>
                <w:szCs w:val="21"/>
                <w:highlight w:val="none"/>
              </w:rPr>
              <w:t>2</w:t>
            </w:r>
            <w:r>
              <w:rPr>
                <w:rFonts w:hint="eastAsia" w:ascii="宋体" w:hAnsi="宋体" w:cs="宋体"/>
                <w:color w:val="auto"/>
                <w:spacing w:val="3"/>
                <w:sz w:val="21"/>
                <w:szCs w:val="21"/>
                <w:highlight w:val="none"/>
              </w:rPr>
              <w:t>00000</w:t>
            </w:r>
          </w:p>
        </w:tc>
        <w:tc>
          <w:tcPr>
            <w:tcW w:w="1677" w:type="dxa"/>
          </w:tcPr>
          <w:p w14:paraId="1F2591DE">
            <w:pPr>
              <w:spacing w:before="52"/>
              <w:ind w:left="524" w:right="261" w:hanging="158"/>
              <w:rPr>
                <w:rFonts w:hint="eastAsia" w:ascii="宋体" w:hAnsi="宋体" w:cs="宋体"/>
                <w:color w:val="auto"/>
                <w:sz w:val="21"/>
                <w:szCs w:val="21"/>
                <w:highlight w:val="none"/>
              </w:rPr>
            </w:pPr>
            <w:r>
              <w:rPr>
                <w:rFonts w:hint="eastAsia" w:ascii="宋体" w:hAnsi="宋体" w:cs="宋体"/>
                <w:color w:val="auto"/>
                <w:spacing w:val="-2"/>
                <w:sz w:val="21"/>
                <w:szCs w:val="21"/>
                <w:highlight w:val="none"/>
              </w:rPr>
              <w:t>100</w:t>
            </w:r>
            <w:r>
              <w:rPr>
                <w:rFonts w:hint="eastAsia" w:ascii="宋体" w:hAnsi="宋体" w:cs="宋体"/>
                <w:color w:val="auto"/>
                <w:spacing w:val="-1"/>
                <w:sz w:val="21"/>
                <w:szCs w:val="21"/>
                <w:highlight w:val="none"/>
              </w:rPr>
              <w:t>≤Y＜</w:t>
            </w:r>
            <w:r>
              <w:rPr>
                <w:rFonts w:hint="eastAsia" w:ascii="宋体" w:hAnsi="宋体" w:cs="宋体"/>
                <w:color w:val="auto"/>
                <w:sz w:val="21"/>
                <w:szCs w:val="21"/>
                <w:highlight w:val="none"/>
              </w:rPr>
              <w:t xml:space="preserve"> </w:t>
            </w:r>
            <w:r>
              <w:rPr>
                <w:rFonts w:hint="eastAsia" w:ascii="宋体" w:hAnsi="宋体" w:cs="宋体"/>
                <w:color w:val="auto"/>
                <w:spacing w:val="-1"/>
                <w:sz w:val="21"/>
                <w:szCs w:val="21"/>
                <w:highlight w:val="none"/>
              </w:rPr>
              <w:t>100</w:t>
            </w:r>
            <w:r>
              <w:rPr>
                <w:rFonts w:hint="eastAsia" w:ascii="宋体" w:hAnsi="宋体" w:cs="宋体"/>
                <w:color w:val="auto"/>
                <w:sz w:val="21"/>
                <w:szCs w:val="21"/>
                <w:highlight w:val="none"/>
              </w:rPr>
              <w:t>0</w:t>
            </w:r>
          </w:p>
        </w:tc>
        <w:tc>
          <w:tcPr>
            <w:tcW w:w="996" w:type="dxa"/>
          </w:tcPr>
          <w:p w14:paraId="4F11443A">
            <w:pPr>
              <w:spacing w:before="207"/>
              <w:ind w:left="185"/>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Y</w:t>
            </w:r>
            <w:r>
              <w:rPr>
                <w:rFonts w:hint="eastAsia" w:ascii="宋体" w:hAnsi="宋体" w:cs="宋体"/>
                <w:color w:val="auto"/>
                <w:spacing w:val="7"/>
                <w:position w:val="1"/>
                <w:sz w:val="21"/>
                <w:szCs w:val="21"/>
                <w:highlight w:val="none"/>
              </w:rPr>
              <w:t>＜</w:t>
            </w:r>
            <w:r>
              <w:rPr>
                <w:rFonts w:hint="eastAsia" w:ascii="宋体" w:hAnsi="宋体" w:cs="宋体"/>
                <w:color w:val="auto"/>
                <w:spacing w:val="6"/>
                <w:position w:val="1"/>
                <w:sz w:val="21"/>
                <w:szCs w:val="21"/>
                <w:highlight w:val="none"/>
              </w:rPr>
              <w:t>100</w:t>
            </w:r>
          </w:p>
        </w:tc>
      </w:tr>
      <w:tr w14:paraId="479BD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71" w:type="dxa"/>
            <w:vMerge w:val="continue"/>
            <w:tcBorders>
              <w:top w:val="nil"/>
            </w:tcBorders>
          </w:tcPr>
          <w:p w14:paraId="5330C68D">
            <w:pPr>
              <w:jc w:val="center"/>
              <w:rPr>
                <w:rFonts w:hint="eastAsia" w:ascii="宋体" w:hAnsi="宋体" w:cs="宋体"/>
                <w:color w:val="auto"/>
                <w:sz w:val="21"/>
                <w:szCs w:val="21"/>
                <w:highlight w:val="none"/>
              </w:rPr>
            </w:pPr>
          </w:p>
        </w:tc>
        <w:tc>
          <w:tcPr>
            <w:tcW w:w="2014" w:type="dxa"/>
          </w:tcPr>
          <w:p w14:paraId="148A8039">
            <w:pPr>
              <w:spacing w:before="85"/>
              <w:ind w:left="276"/>
              <w:rPr>
                <w:rFonts w:hint="eastAsia" w:ascii="宋体" w:hAnsi="宋体" w:cs="宋体"/>
                <w:color w:val="auto"/>
                <w:sz w:val="21"/>
                <w:szCs w:val="21"/>
                <w:highlight w:val="none"/>
              </w:rPr>
            </w:pPr>
            <w:r>
              <w:rPr>
                <w:rFonts w:hint="eastAsia" w:ascii="宋体" w:hAnsi="宋体" w:cs="宋体"/>
                <w:color w:val="auto"/>
                <w:spacing w:val="5"/>
                <w:sz w:val="21"/>
                <w:szCs w:val="21"/>
                <w:highlight w:val="none"/>
              </w:rPr>
              <w:t>资产总额</w:t>
            </w:r>
          </w:p>
          <w:p w14:paraId="6C78EC9C">
            <w:pPr>
              <w:ind w:left="568"/>
              <w:rPr>
                <w:rFonts w:hint="eastAsia" w:ascii="宋体" w:hAnsi="宋体" w:cs="宋体"/>
                <w:color w:val="auto"/>
                <w:sz w:val="21"/>
                <w:szCs w:val="21"/>
                <w:highlight w:val="none"/>
              </w:rPr>
            </w:pPr>
            <w:r>
              <w:rPr>
                <w:rFonts w:hint="eastAsia" w:ascii="宋体" w:hAnsi="宋体" w:cs="宋体"/>
                <w:color w:val="auto"/>
                <w:spacing w:val="-12"/>
                <w:sz w:val="21"/>
                <w:szCs w:val="21"/>
                <w:highlight w:val="none"/>
              </w:rPr>
              <w:t>(</w:t>
            </w:r>
            <w:r>
              <w:rPr>
                <w:rFonts w:hint="eastAsia" w:ascii="宋体" w:hAnsi="宋体" w:cs="宋体"/>
                <w:color w:val="auto"/>
                <w:spacing w:val="-9"/>
                <w:sz w:val="21"/>
                <w:szCs w:val="21"/>
                <w:highlight w:val="none"/>
              </w:rPr>
              <w:t>Z)</w:t>
            </w:r>
          </w:p>
        </w:tc>
        <w:tc>
          <w:tcPr>
            <w:tcW w:w="709" w:type="dxa"/>
          </w:tcPr>
          <w:p w14:paraId="1C6BCDD9">
            <w:pPr>
              <w:spacing w:before="208"/>
              <w:ind w:left="154"/>
              <w:rPr>
                <w:rFonts w:hint="eastAsia" w:ascii="宋体" w:hAnsi="宋体" w:cs="宋体"/>
                <w:color w:val="auto"/>
                <w:sz w:val="21"/>
                <w:szCs w:val="21"/>
                <w:highlight w:val="none"/>
              </w:rPr>
            </w:pPr>
            <w:r>
              <w:rPr>
                <w:rFonts w:hint="eastAsia" w:ascii="宋体" w:hAnsi="宋体" w:cs="宋体"/>
                <w:color w:val="auto"/>
                <w:spacing w:val="2"/>
                <w:sz w:val="21"/>
                <w:szCs w:val="21"/>
                <w:highlight w:val="none"/>
              </w:rPr>
              <w:t>万元</w:t>
            </w:r>
          </w:p>
        </w:tc>
        <w:tc>
          <w:tcPr>
            <w:tcW w:w="1124" w:type="dxa"/>
          </w:tcPr>
          <w:p w14:paraId="76A0B04B">
            <w:pPr>
              <w:spacing w:before="208"/>
              <w:ind w:left="145"/>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Z</w:t>
            </w:r>
            <w:r>
              <w:rPr>
                <w:rFonts w:hint="eastAsia" w:ascii="宋体" w:hAnsi="宋体" w:cs="宋体"/>
                <w:color w:val="auto"/>
                <w:spacing w:val="6"/>
                <w:position w:val="1"/>
                <w:sz w:val="21"/>
                <w:szCs w:val="21"/>
                <w:highlight w:val="none"/>
              </w:rPr>
              <w:t>≥</w:t>
            </w:r>
            <w:r>
              <w:rPr>
                <w:rFonts w:hint="eastAsia" w:ascii="宋体" w:hAnsi="宋体" w:cs="宋体"/>
                <w:color w:val="auto"/>
                <w:spacing w:val="5"/>
                <w:position w:val="1"/>
                <w:sz w:val="21"/>
                <w:szCs w:val="21"/>
                <w:highlight w:val="none"/>
              </w:rPr>
              <w:t>10000</w:t>
            </w:r>
          </w:p>
        </w:tc>
        <w:tc>
          <w:tcPr>
            <w:tcW w:w="1448" w:type="dxa"/>
          </w:tcPr>
          <w:p w14:paraId="12B35237">
            <w:pPr>
              <w:spacing w:before="208"/>
              <w:ind w:left="125"/>
              <w:rPr>
                <w:rFonts w:hint="eastAsia" w:ascii="宋体" w:hAnsi="宋体" w:cs="宋体"/>
                <w:color w:val="auto"/>
                <w:sz w:val="21"/>
                <w:szCs w:val="21"/>
                <w:highlight w:val="none"/>
              </w:rPr>
            </w:pPr>
            <w:r>
              <w:rPr>
                <w:rFonts w:hint="eastAsia" w:ascii="宋体" w:hAnsi="宋体" w:cs="宋体"/>
                <w:color w:val="auto"/>
                <w:spacing w:val="5"/>
                <w:position w:val="1"/>
                <w:sz w:val="21"/>
                <w:szCs w:val="21"/>
                <w:highlight w:val="none"/>
              </w:rPr>
              <w:t>5000≤</w:t>
            </w:r>
            <w:r>
              <w:rPr>
                <w:rFonts w:hint="eastAsia" w:ascii="宋体" w:hAnsi="宋体" w:cs="宋体"/>
                <w:color w:val="auto"/>
                <w:position w:val="1"/>
                <w:sz w:val="21"/>
                <w:szCs w:val="21"/>
                <w:highlight w:val="none"/>
              </w:rPr>
              <w:t>Z</w:t>
            </w:r>
            <w:r>
              <w:rPr>
                <w:rFonts w:hint="eastAsia" w:ascii="宋体" w:hAnsi="宋体" w:cs="宋体"/>
                <w:color w:val="auto"/>
                <w:spacing w:val="5"/>
                <w:position w:val="1"/>
                <w:sz w:val="21"/>
                <w:szCs w:val="21"/>
                <w:highlight w:val="none"/>
              </w:rPr>
              <w:t>＜10000</w:t>
            </w:r>
          </w:p>
        </w:tc>
        <w:tc>
          <w:tcPr>
            <w:tcW w:w="1677" w:type="dxa"/>
          </w:tcPr>
          <w:p w14:paraId="197599E1">
            <w:pPr>
              <w:spacing w:before="53"/>
              <w:ind w:left="513" w:right="261" w:hanging="265"/>
              <w:rPr>
                <w:rFonts w:hint="eastAsia" w:ascii="宋体" w:hAnsi="宋体" w:cs="宋体"/>
                <w:color w:val="auto"/>
                <w:sz w:val="21"/>
                <w:szCs w:val="21"/>
                <w:highlight w:val="none"/>
              </w:rPr>
            </w:pPr>
            <w:r>
              <w:rPr>
                <w:rFonts w:hint="eastAsia" w:ascii="宋体" w:hAnsi="宋体" w:cs="宋体"/>
                <w:color w:val="auto"/>
                <w:spacing w:val="2"/>
                <w:sz w:val="21"/>
                <w:szCs w:val="21"/>
                <w:highlight w:val="none"/>
              </w:rPr>
              <w:t>200</w:t>
            </w:r>
            <w:r>
              <w:rPr>
                <w:rFonts w:hint="eastAsia" w:ascii="宋体" w:hAnsi="宋体" w:cs="宋体"/>
                <w:color w:val="auto"/>
                <w:spacing w:val="1"/>
                <w:sz w:val="21"/>
                <w:szCs w:val="21"/>
                <w:highlight w:val="none"/>
              </w:rPr>
              <w:t>0≤</w:t>
            </w:r>
            <w:r>
              <w:rPr>
                <w:rFonts w:hint="eastAsia" w:ascii="宋体" w:hAnsi="宋体" w:cs="宋体"/>
                <w:color w:val="auto"/>
                <w:sz w:val="21"/>
                <w:szCs w:val="21"/>
                <w:highlight w:val="none"/>
              </w:rPr>
              <w:t>Z</w:t>
            </w:r>
            <w:r>
              <w:rPr>
                <w:rFonts w:hint="eastAsia" w:ascii="宋体" w:hAnsi="宋体" w:cs="宋体"/>
                <w:color w:val="auto"/>
                <w:spacing w:val="1"/>
                <w:sz w:val="21"/>
                <w:szCs w:val="21"/>
                <w:highlight w:val="none"/>
              </w:rPr>
              <w:t>＜</w:t>
            </w:r>
            <w:r>
              <w:rPr>
                <w:rFonts w:hint="eastAsia" w:ascii="宋体" w:hAnsi="宋体" w:cs="宋体"/>
                <w:color w:val="auto"/>
                <w:sz w:val="21"/>
                <w:szCs w:val="21"/>
                <w:highlight w:val="none"/>
              </w:rPr>
              <w:t xml:space="preserve"> </w:t>
            </w:r>
            <w:r>
              <w:rPr>
                <w:rFonts w:hint="eastAsia" w:ascii="宋体" w:hAnsi="宋体" w:cs="宋体"/>
                <w:color w:val="auto"/>
                <w:spacing w:val="2"/>
                <w:sz w:val="21"/>
                <w:szCs w:val="21"/>
                <w:highlight w:val="none"/>
              </w:rPr>
              <w:t>5000</w:t>
            </w:r>
          </w:p>
        </w:tc>
        <w:tc>
          <w:tcPr>
            <w:tcW w:w="996" w:type="dxa"/>
          </w:tcPr>
          <w:p w14:paraId="13DED811">
            <w:pPr>
              <w:spacing w:before="208"/>
              <w:ind w:left="135"/>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Z</w:t>
            </w:r>
            <w:r>
              <w:rPr>
                <w:rFonts w:hint="eastAsia" w:ascii="宋体" w:hAnsi="宋体" w:cs="宋体"/>
                <w:color w:val="auto"/>
                <w:spacing w:val="8"/>
                <w:position w:val="1"/>
                <w:sz w:val="21"/>
                <w:szCs w:val="21"/>
                <w:highlight w:val="none"/>
              </w:rPr>
              <w:t>＜</w:t>
            </w:r>
            <w:r>
              <w:rPr>
                <w:rFonts w:hint="eastAsia" w:ascii="宋体" w:hAnsi="宋体" w:cs="宋体"/>
                <w:color w:val="auto"/>
                <w:spacing w:val="5"/>
                <w:position w:val="1"/>
                <w:sz w:val="21"/>
                <w:szCs w:val="21"/>
                <w:highlight w:val="none"/>
              </w:rPr>
              <w:t>2000</w:t>
            </w:r>
          </w:p>
        </w:tc>
      </w:tr>
      <w:tr w14:paraId="59782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71" w:type="dxa"/>
            <w:vMerge w:val="restart"/>
            <w:tcBorders>
              <w:bottom w:val="nil"/>
            </w:tcBorders>
          </w:tcPr>
          <w:p w14:paraId="19E448AF">
            <w:pPr>
              <w:jc w:val="center"/>
              <w:rPr>
                <w:rFonts w:hint="eastAsia" w:ascii="宋体" w:hAnsi="宋体" w:cs="宋体"/>
                <w:color w:val="auto"/>
                <w:sz w:val="21"/>
                <w:szCs w:val="21"/>
                <w:highlight w:val="none"/>
              </w:rPr>
            </w:pPr>
          </w:p>
          <w:p w14:paraId="3D06DE6B">
            <w:pPr>
              <w:spacing w:before="65"/>
              <w:ind w:left="116"/>
              <w:jc w:val="center"/>
              <w:rPr>
                <w:rFonts w:hint="eastAsia" w:ascii="宋体" w:hAnsi="宋体" w:cs="宋体"/>
                <w:color w:val="auto"/>
                <w:sz w:val="21"/>
                <w:szCs w:val="21"/>
                <w:highlight w:val="none"/>
              </w:rPr>
            </w:pPr>
            <w:r>
              <w:rPr>
                <w:rFonts w:hint="eastAsia" w:ascii="宋体" w:hAnsi="宋体" w:cs="宋体"/>
                <w:color w:val="auto"/>
                <w:spacing w:val="8"/>
                <w:sz w:val="21"/>
                <w:szCs w:val="21"/>
                <w:highlight w:val="none"/>
              </w:rPr>
              <w:t>物</w:t>
            </w:r>
            <w:r>
              <w:rPr>
                <w:rFonts w:hint="eastAsia" w:ascii="宋体" w:hAnsi="宋体" w:cs="宋体"/>
                <w:color w:val="auto"/>
                <w:spacing w:val="7"/>
                <w:sz w:val="21"/>
                <w:szCs w:val="21"/>
                <w:highlight w:val="none"/>
              </w:rPr>
              <w:t>业管理</w:t>
            </w:r>
          </w:p>
        </w:tc>
        <w:tc>
          <w:tcPr>
            <w:tcW w:w="2014" w:type="dxa"/>
          </w:tcPr>
          <w:p w14:paraId="78D2507E">
            <w:pPr>
              <w:spacing w:before="54"/>
              <w:ind w:left="270"/>
              <w:rPr>
                <w:rFonts w:hint="eastAsia" w:ascii="宋体" w:hAnsi="宋体" w:cs="宋体"/>
                <w:color w:val="auto"/>
                <w:sz w:val="21"/>
                <w:szCs w:val="21"/>
                <w:highlight w:val="none"/>
              </w:rPr>
            </w:pPr>
            <w:r>
              <w:rPr>
                <w:rFonts w:hint="eastAsia" w:ascii="宋体" w:hAnsi="宋体" w:cs="宋体"/>
                <w:color w:val="auto"/>
                <w:spacing w:val="9"/>
                <w:sz w:val="21"/>
                <w:szCs w:val="21"/>
                <w:highlight w:val="none"/>
              </w:rPr>
              <w:t>从</w:t>
            </w:r>
            <w:r>
              <w:rPr>
                <w:rFonts w:hint="eastAsia" w:ascii="宋体" w:hAnsi="宋体" w:cs="宋体"/>
                <w:color w:val="auto"/>
                <w:spacing w:val="6"/>
                <w:sz w:val="21"/>
                <w:szCs w:val="21"/>
                <w:highlight w:val="none"/>
              </w:rPr>
              <w:t>业人员</w:t>
            </w:r>
          </w:p>
          <w:p w14:paraId="012948B8">
            <w:pPr>
              <w:spacing w:before="64"/>
              <w:ind w:left="568"/>
              <w:rPr>
                <w:rFonts w:hint="eastAsia" w:ascii="宋体" w:hAnsi="宋体" w:cs="宋体"/>
                <w:color w:val="auto"/>
                <w:sz w:val="21"/>
                <w:szCs w:val="21"/>
                <w:highlight w:val="none"/>
              </w:rPr>
            </w:pPr>
            <w:r>
              <w:rPr>
                <w:rFonts w:hint="eastAsia" w:ascii="宋体" w:hAnsi="宋体" w:cs="宋体"/>
                <w:color w:val="auto"/>
                <w:spacing w:val="-12"/>
                <w:sz w:val="21"/>
                <w:szCs w:val="21"/>
                <w:highlight w:val="none"/>
              </w:rPr>
              <w:t>(</w:t>
            </w:r>
            <w:r>
              <w:rPr>
                <w:rFonts w:hint="eastAsia" w:ascii="宋体" w:hAnsi="宋体" w:cs="宋体"/>
                <w:color w:val="auto"/>
                <w:spacing w:val="-9"/>
                <w:sz w:val="21"/>
                <w:szCs w:val="21"/>
                <w:highlight w:val="none"/>
              </w:rPr>
              <w:t>X)</w:t>
            </w:r>
          </w:p>
        </w:tc>
        <w:tc>
          <w:tcPr>
            <w:tcW w:w="709" w:type="dxa"/>
          </w:tcPr>
          <w:p w14:paraId="4A5063CB">
            <w:pPr>
              <w:spacing w:before="209"/>
              <w:ind w:left="254"/>
              <w:rPr>
                <w:rFonts w:hint="eastAsia" w:ascii="宋体" w:hAnsi="宋体" w:cs="宋体"/>
                <w:color w:val="auto"/>
                <w:sz w:val="21"/>
                <w:szCs w:val="21"/>
                <w:highlight w:val="none"/>
              </w:rPr>
            </w:pPr>
            <w:r>
              <w:rPr>
                <w:rFonts w:hint="eastAsia" w:ascii="宋体" w:hAnsi="宋体" w:cs="宋体"/>
                <w:color w:val="auto"/>
                <w:sz w:val="21"/>
                <w:szCs w:val="21"/>
                <w:highlight w:val="none"/>
              </w:rPr>
              <w:t>人</w:t>
            </w:r>
          </w:p>
        </w:tc>
        <w:tc>
          <w:tcPr>
            <w:tcW w:w="1124" w:type="dxa"/>
          </w:tcPr>
          <w:p w14:paraId="46F7B95C">
            <w:pPr>
              <w:spacing w:before="210"/>
              <w:ind w:left="196"/>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X</w:t>
            </w:r>
            <w:r>
              <w:rPr>
                <w:rFonts w:hint="eastAsia" w:ascii="宋体" w:hAnsi="宋体" w:cs="宋体"/>
                <w:color w:val="auto"/>
                <w:spacing w:val="6"/>
                <w:position w:val="1"/>
                <w:sz w:val="21"/>
                <w:szCs w:val="21"/>
                <w:highlight w:val="none"/>
              </w:rPr>
              <w:t>≥1000</w:t>
            </w:r>
          </w:p>
        </w:tc>
        <w:tc>
          <w:tcPr>
            <w:tcW w:w="1448" w:type="dxa"/>
          </w:tcPr>
          <w:p w14:paraId="2447A0E4">
            <w:pPr>
              <w:spacing w:before="210"/>
              <w:ind w:left="229"/>
              <w:rPr>
                <w:rFonts w:hint="eastAsia" w:ascii="宋体" w:hAnsi="宋体" w:cs="宋体"/>
                <w:color w:val="auto"/>
                <w:sz w:val="21"/>
                <w:szCs w:val="21"/>
                <w:highlight w:val="none"/>
              </w:rPr>
            </w:pPr>
            <w:r>
              <w:rPr>
                <w:rFonts w:hint="eastAsia" w:ascii="宋体" w:hAnsi="宋体" w:cs="宋体"/>
                <w:color w:val="auto"/>
                <w:spacing w:val="8"/>
                <w:position w:val="1"/>
                <w:sz w:val="21"/>
                <w:szCs w:val="21"/>
                <w:highlight w:val="none"/>
              </w:rPr>
              <w:t>3</w:t>
            </w:r>
            <w:r>
              <w:rPr>
                <w:rFonts w:hint="eastAsia" w:ascii="宋体" w:hAnsi="宋体" w:cs="宋体"/>
                <w:color w:val="auto"/>
                <w:spacing w:val="5"/>
                <w:position w:val="1"/>
                <w:sz w:val="21"/>
                <w:szCs w:val="21"/>
                <w:highlight w:val="none"/>
              </w:rPr>
              <w:t>00≤</w:t>
            </w:r>
            <w:r>
              <w:rPr>
                <w:rFonts w:hint="eastAsia" w:ascii="宋体" w:hAnsi="宋体" w:cs="宋体"/>
                <w:color w:val="auto"/>
                <w:position w:val="1"/>
                <w:sz w:val="21"/>
                <w:szCs w:val="21"/>
                <w:highlight w:val="none"/>
              </w:rPr>
              <w:t>X</w:t>
            </w:r>
            <w:r>
              <w:rPr>
                <w:rFonts w:hint="eastAsia" w:ascii="宋体" w:hAnsi="宋体" w:cs="宋体"/>
                <w:color w:val="auto"/>
                <w:spacing w:val="5"/>
                <w:position w:val="1"/>
                <w:sz w:val="21"/>
                <w:szCs w:val="21"/>
                <w:highlight w:val="none"/>
              </w:rPr>
              <w:t>＜1000</w:t>
            </w:r>
          </w:p>
        </w:tc>
        <w:tc>
          <w:tcPr>
            <w:tcW w:w="1677" w:type="dxa"/>
          </w:tcPr>
          <w:p w14:paraId="37AE8062">
            <w:pPr>
              <w:spacing w:before="210"/>
              <w:ind w:left="158"/>
              <w:rPr>
                <w:rFonts w:hint="eastAsia" w:ascii="宋体" w:hAnsi="宋体" w:cs="宋体"/>
                <w:color w:val="auto"/>
                <w:sz w:val="21"/>
                <w:szCs w:val="21"/>
                <w:highlight w:val="none"/>
              </w:rPr>
            </w:pPr>
            <w:r>
              <w:rPr>
                <w:rFonts w:hint="eastAsia" w:ascii="宋体" w:hAnsi="宋体" w:cs="宋体"/>
                <w:color w:val="auto"/>
                <w:spacing w:val="4"/>
                <w:position w:val="1"/>
                <w:sz w:val="21"/>
                <w:szCs w:val="21"/>
                <w:highlight w:val="none"/>
              </w:rPr>
              <w:t>100≤</w:t>
            </w:r>
            <w:r>
              <w:rPr>
                <w:rFonts w:hint="eastAsia" w:ascii="宋体" w:hAnsi="宋体" w:cs="宋体"/>
                <w:color w:val="auto"/>
                <w:position w:val="1"/>
                <w:sz w:val="21"/>
                <w:szCs w:val="21"/>
                <w:highlight w:val="none"/>
              </w:rPr>
              <w:t>X</w:t>
            </w:r>
            <w:r>
              <w:rPr>
                <w:rFonts w:hint="eastAsia" w:ascii="宋体" w:hAnsi="宋体" w:cs="宋体"/>
                <w:color w:val="auto"/>
                <w:spacing w:val="4"/>
                <w:position w:val="1"/>
                <w:sz w:val="21"/>
                <w:szCs w:val="21"/>
                <w:highlight w:val="none"/>
              </w:rPr>
              <w:t>＜300</w:t>
            </w:r>
          </w:p>
        </w:tc>
        <w:tc>
          <w:tcPr>
            <w:tcW w:w="996" w:type="dxa"/>
          </w:tcPr>
          <w:p w14:paraId="7FBE8C44">
            <w:pPr>
              <w:spacing w:before="210"/>
              <w:ind w:left="186"/>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X</w:t>
            </w:r>
            <w:r>
              <w:rPr>
                <w:rFonts w:hint="eastAsia" w:ascii="宋体" w:hAnsi="宋体" w:cs="宋体"/>
                <w:color w:val="auto"/>
                <w:spacing w:val="6"/>
                <w:position w:val="1"/>
                <w:sz w:val="21"/>
                <w:szCs w:val="21"/>
                <w:highlight w:val="none"/>
              </w:rPr>
              <w:t>＜100</w:t>
            </w:r>
          </w:p>
        </w:tc>
      </w:tr>
      <w:tr w14:paraId="617DC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71" w:type="dxa"/>
            <w:vMerge w:val="continue"/>
            <w:tcBorders>
              <w:top w:val="nil"/>
            </w:tcBorders>
          </w:tcPr>
          <w:p w14:paraId="56A604CF">
            <w:pPr>
              <w:jc w:val="center"/>
              <w:rPr>
                <w:rFonts w:hint="eastAsia" w:ascii="宋体" w:hAnsi="宋体" w:cs="宋体"/>
                <w:color w:val="auto"/>
                <w:sz w:val="21"/>
                <w:szCs w:val="21"/>
                <w:highlight w:val="none"/>
              </w:rPr>
            </w:pPr>
          </w:p>
        </w:tc>
        <w:tc>
          <w:tcPr>
            <w:tcW w:w="2014" w:type="dxa"/>
          </w:tcPr>
          <w:p w14:paraId="47FF9769">
            <w:pPr>
              <w:spacing w:before="87"/>
              <w:ind w:left="274"/>
              <w:rPr>
                <w:rFonts w:hint="eastAsia" w:ascii="宋体" w:hAnsi="宋体" w:cs="宋体"/>
                <w:color w:val="auto"/>
                <w:sz w:val="21"/>
                <w:szCs w:val="21"/>
                <w:highlight w:val="none"/>
              </w:rPr>
            </w:pPr>
            <w:r>
              <w:rPr>
                <w:rFonts w:hint="eastAsia" w:ascii="宋体" w:hAnsi="宋体" w:cs="宋体"/>
                <w:color w:val="auto"/>
                <w:spacing w:val="8"/>
                <w:sz w:val="21"/>
                <w:szCs w:val="21"/>
                <w:highlight w:val="none"/>
              </w:rPr>
              <w:t>营</w:t>
            </w:r>
            <w:r>
              <w:rPr>
                <w:rFonts w:hint="eastAsia" w:ascii="宋体" w:hAnsi="宋体" w:cs="宋体"/>
                <w:color w:val="auto"/>
                <w:spacing w:val="5"/>
                <w:sz w:val="21"/>
                <w:szCs w:val="21"/>
                <w:highlight w:val="none"/>
              </w:rPr>
              <w:t>业收入</w:t>
            </w:r>
          </w:p>
          <w:p w14:paraId="52104339">
            <w:pPr>
              <w:ind w:left="568"/>
              <w:rPr>
                <w:rFonts w:hint="eastAsia" w:ascii="宋体" w:hAnsi="宋体" w:cs="宋体"/>
                <w:color w:val="auto"/>
                <w:sz w:val="21"/>
                <w:szCs w:val="21"/>
                <w:highlight w:val="none"/>
              </w:rPr>
            </w:pPr>
            <w:r>
              <w:rPr>
                <w:rFonts w:hint="eastAsia" w:ascii="宋体" w:hAnsi="宋体" w:cs="宋体"/>
                <w:color w:val="auto"/>
                <w:spacing w:val="-12"/>
                <w:sz w:val="21"/>
                <w:szCs w:val="21"/>
                <w:highlight w:val="none"/>
              </w:rPr>
              <w:t>(</w:t>
            </w:r>
            <w:r>
              <w:rPr>
                <w:rFonts w:hint="eastAsia" w:ascii="宋体" w:hAnsi="宋体" w:cs="宋体"/>
                <w:color w:val="auto"/>
                <w:spacing w:val="-9"/>
                <w:sz w:val="21"/>
                <w:szCs w:val="21"/>
                <w:highlight w:val="none"/>
              </w:rPr>
              <w:t>Y)</w:t>
            </w:r>
          </w:p>
        </w:tc>
        <w:tc>
          <w:tcPr>
            <w:tcW w:w="709" w:type="dxa"/>
          </w:tcPr>
          <w:p w14:paraId="70E825AA">
            <w:pPr>
              <w:spacing w:before="211"/>
              <w:ind w:left="154"/>
              <w:rPr>
                <w:rFonts w:hint="eastAsia" w:ascii="宋体" w:hAnsi="宋体" w:cs="宋体"/>
                <w:color w:val="auto"/>
                <w:sz w:val="21"/>
                <w:szCs w:val="21"/>
                <w:highlight w:val="none"/>
              </w:rPr>
            </w:pPr>
            <w:r>
              <w:rPr>
                <w:rFonts w:hint="eastAsia" w:ascii="宋体" w:hAnsi="宋体" w:cs="宋体"/>
                <w:color w:val="auto"/>
                <w:spacing w:val="2"/>
                <w:sz w:val="21"/>
                <w:szCs w:val="21"/>
                <w:highlight w:val="none"/>
              </w:rPr>
              <w:t>万元</w:t>
            </w:r>
          </w:p>
        </w:tc>
        <w:tc>
          <w:tcPr>
            <w:tcW w:w="1124" w:type="dxa"/>
          </w:tcPr>
          <w:p w14:paraId="6D93A763">
            <w:pPr>
              <w:spacing w:before="210"/>
              <w:ind w:left="196"/>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Y</w:t>
            </w:r>
            <w:r>
              <w:rPr>
                <w:rFonts w:hint="eastAsia" w:ascii="宋体" w:hAnsi="宋体" w:cs="宋体"/>
                <w:color w:val="auto"/>
                <w:spacing w:val="6"/>
                <w:position w:val="1"/>
                <w:sz w:val="21"/>
                <w:szCs w:val="21"/>
                <w:highlight w:val="none"/>
              </w:rPr>
              <w:t>≥5000</w:t>
            </w:r>
          </w:p>
        </w:tc>
        <w:tc>
          <w:tcPr>
            <w:tcW w:w="1448" w:type="dxa"/>
          </w:tcPr>
          <w:p w14:paraId="3C1313DE">
            <w:pPr>
              <w:spacing w:before="210"/>
              <w:ind w:left="134"/>
              <w:rPr>
                <w:rFonts w:hint="eastAsia" w:ascii="宋体" w:hAnsi="宋体" w:cs="宋体"/>
                <w:color w:val="auto"/>
                <w:sz w:val="21"/>
                <w:szCs w:val="21"/>
                <w:highlight w:val="none"/>
              </w:rPr>
            </w:pPr>
            <w:r>
              <w:rPr>
                <w:rFonts w:hint="eastAsia" w:ascii="宋体" w:hAnsi="宋体" w:cs="宋体"/>
                <w:color w:val="auto"/>
                <w:spacing w:val="7"/>
                <w:position w:val="1"/>
                <w:sz w:val="21"/>
                <w:szCs w:val="21"/>
                <w:highlight w:val="none"/>
              </w:rPr>
              <w:t>1</w:t>
            </w:r>
            <w:r>
              <w:rPr>
                <w:rFonts w:hint="eastAsia" w:ascii="宋体" w:hAnsi="宋体" w:cs="宋体"/>
                <w:color w:val="auto"/>
                <w:spacing w:val="4"/>
                <w:position w:val="1"/>
                <w:sz w:val="21"/>
                <w:szCs w:val="21"/>
                <w:highlight w:val="none"/>
              </w:rPr>
              <w:t>000≤</w:t>
            </w:r>
            <w:r>
              <w:rPr>
                <w:rFonts w:hint="eastAsia" w:ascii="宋体" w:hAnsi="宋体" w:cs="宋体"/>
                <w:color w:val="auto"/>
                <w:position w:val="1"/>
                <w:sz w:val="21"/>
                <w:szCs w:val="21"/>
                <w:highlight w:val="none"/>
              </w:rPr>
              <w:t>Y</w:t>
            </w:r>
            <w:r>
              <w:rPr>
                <w:rFonts w:hint="eastAsia" w:ascii="宋体" w:hAnsi="宋体" w:cs="宋体"/>
                <w:color w:val="auto"/>
                <w:spacing w:val="4"/>
                <w:position w:val="1"/>
                <w:sz w:val="21"/>
                <w:szCs w:val="21"/>
                <w:highlight w:val="none"/>
              </w:rPr>
              <w:t>＜5000</w:t>
            </w:r>
          </w:p>
        </w:tc>
        <w:tc>
          <w:tcPr>
            <w:tcW w:w="1677" w:type="dxa"/>
          </w:tcPr>
          <w:p w14:paraId="72F1080D">
            <w:pPr>
              <w:spacing w:before="55"/>
              <w:ind w:left="524" w:right="261" w:hanging="169"/>
              <w:rPr>
                <w:rFonts w:hint="eastAsia" w:ascii="宋体" w:hAnsi="宋体" w:cs="宋体"/>
                <w:color w:val="auto"/>
                <w:sz w:val="21"/>
                <w:szCs w:val="21"/>
                <w:highlight w:val="none"/>
              </w:rPr>
            </w:pPr>
            <w:r>
              <w:rPr>
                <w:rFonts w:hint="eastAsia" w:ascii="宋体" w:hAnsi="宋体" w:cs="宋体"/>
                <w:color w:val="auto"/>
                <w:spacing w:val="1"/>
                <w:sz w:val="21"/>
                <w:szCs w:val="21"/>
                <w:highlight w:val="none"/>
              </w:rPr>
              <w:t>50</w:t>
            </w:r>
            <w:r>
              <w:rPr>
                <w:rFonts w:hint="eastAsia" w:ascii="宋体" w:hAnsi="宋体" w:cs="宋体"/>
                <w:color w:val="auto"/>
                <w:sz w:val="21"/>
                <w:szCs w:val="21"/>
                <w:highlight w:val="none"/>
              </w:rPr>
              <w:t xml:space="preserve">0≤Y＜ </w:t>
            </w:r>
            <w:r>
              <w:rPr>
                <w:rFonts w:hint="eastAsia" w:ascii="宋体" w:hAnsi="宋体" w:cs="宋体"/>
                <w:color w:val="auto"/>
                <w:spacing w:val="-1"/>
                <w:sz w:val="21"/>
                <w:szCs w:val="21"/>
                <w:highlight w:val="none"/>
              </w:rPr>
              <w:t>100</w:t>
            </w:r>
            <w:r>
              <w:rPr>
                <w:rFonts w:hint="eastAsia" w:ascii="宋体" w:hAnsi="宋体" w:cs="宋体"/>
                <w:color w:val="auto"/>
                <w:sz w:val="21"/>
                <w:szCs w:val="21"/>
                <w:highlight w:val="none"/>
              </w:rPr>
              <w:t>0</w:t>
            </w:r>
          </w:p>
        </w:tc>
        <w:tc>
          <w:tcPr>
            <w:tcW w:w="996" w:type="dxa"/>
          </w:tcPr>
          <w:p w14:paraId="2B4AA6D9">
            <w:pPr>
              <w:spacing w:before="210"/>
              <w:ind w:left="185"/>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Y</w:t>
            </w:r>
            <w:r>
              <w:rPr>
                <w:rFonts w:hint="eastAsia" w:ascii="宋体" w:hAnsi="宋体" w:cs="宋体"/>
                <w:color w:val="auto"/>
                <w:spacing w:val="7"/>
                <w:position w:val="1"/>
                <w:sz w:val="21"/>
                <w:szCs w:val="21"/>
                <w:highlight w:val="none"/>
              </w:rPr>
              <w:t>＜</w:t>
            </w:r>
            <w:r>
              <w:rPr>
                <w:rFonts w:hint="eastAsia" w:ascii="宋体" w:hAnsi="宋体" w:cs="宋体"/>
                <w:color w:val="auto"/>
                <w:spacing w:val="6"/>
                <w:position w:val="1"/>
                <w:sz w:val="21"/>
                <w:szCs w:val="21"/>
                <w:highlight w:val="none"/>
              </w:rPr>
              <w:t>500</w:t>
            </w:r>
          </w:p>
        </w:tc>
      </w:tr>
      <w:tr w14:paraId="7D03E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71" w:type="dxa"/>
            <w:vMerge w:val="restart"/>
            <w:tcBorders>
              <w:bottom w:val="nil"/>
            </w:tcBorders>
          </w:tcPr>
          <w:p w14:paraId="63069655">
            <w:pPr>
              <w:jc w:val="center"/>
              <w:rPr>
                <w:rFonts w:hint="eastAsia" w:ascii="宋体" w:hAnsi="宋体" w:cs="宋体"/>
                <w:color w:val="auto"/>
                <w:sz w:val="21"/>
                <w:szCs w:val="21"/>
                <w:highlight w:val="none"/>
              </w:rPr>
            </w:pPr>
          </w:p>
          <w:p w14:paraId="3A6F0EB8">
            <w:pPr>
              <w:spacing w:before="65"/>
              <w:ind w:left="118"/>
              <w:jc w:val="center"/>
              <w:rPr>
                <w:rFonts w:hint="eastAsia" w:ascii="宋体" w:hAnsi="宋体" w:cs="宋体"/>
                <w:color w:val="auto"/>
                <w:sz w:val="21"/>
                <w:szCs w:val="21"/>
                <w:highlight w:val="none"/>
              </w:rPr>
            </w:pPr>
            <w:r>
              <w:rPr>
                <w:rFonts w:hint="eastAsia" w:ascii="宋体" w:hAnsi="宋体" w:cs="宋体"/>
                <w:color w:val="auto"/>
                <w:spacing w:val="11"/>
                <w:sz w:val="21"/>
                <w:szCs w:val="21"/>
                <w:highlight w:val="none"/>
              </w:rPr>
              <w:t>租</w:t>
            </w:r>
            <w:r>
              <w:rPr>
                <w:rFonts w:hint="eastAsia" w:ascii="宋体" w:hAnsi="宋体" w:cs="宋体"/>
                <w:color w:val="auto"/>
                <w:spacing w:val="8"/>
                <w:sz w:val="21"/>
                <w:szCs w:val="21"/>
                <w:highlight w:val="none"/>
              </w:rPr>
              <w:t>赁和商务服务业</w:t>
            </w:r>
          </w:p>
        </w:tc>
        <w:tc>
          <w:tcPr>
            <w:tcW w:w="2014" w:type="dxa"/>
          </w:tcPr>
          <w:p w14:paraId="26FC11EC">
            <w:pPr>
              <w:spacing w:before="55"/>
              <w:ind w:left="270"/>
              <w:rPr>
                <w:rFonts w:hint="eastAsia" w:ascii="宋体" w:hAnsi="宋体" w:cs="宋体"/>
                <w:color w:val="auto"/>
                <w:sz w:val="21"/>
                <w:szCs w:val="21"/>
                <w:highlight w:val="none"/>
              </w:rPr>
            </w:pPr>
            <w:r>
              <w:rPr>
                <w:rFonts w:hint="eastAsia" w:ascii="宋体" w:hAnsi="宋体" w:cs="宋体"/>
                <w:color w:val="auto"/>
                <w:spacing w:val="9"/>
                <w:sz w:val="21"/>
                <w:szCs w:val="21"/>
                <w:highlight w:val="none"/>
              </w:rPr>
              <w:t>从</w:t>
            </w:r>
            <w:r>
              <w:rPr>
                <w:rFonts w:hint="eastAsia" w:ascii="宋体" w:hAnsi="宋体" w:cs="宋体"/>
                <w:color w:val="auto"/>
                <w:spacing w:val="6"/>
                <w:sz w:val="21"/>
                <w:szCs w:val="21"/>
                <w:highlight w:val="none"/>
              </w:rPr>
              <w:t>业人员</w:t>
            </w:r>
          </w:p>
          <w:p w14:paraId="55E0706C">
            <w:pPr>
              <w:spacing w:before="64"/>
              <w:ind w:left="568"/>
              <w:rPr>
                <w:rFonts w:hint="eastAsia" w:ascii="宋体" w:hAnsi="宋体" w:cs="宋体"/>
                <w:color w:val="auto"/>
                <w:sz w:val="21"/>
                <w:szCs w:val="21"/>
                <w:highlight w:val="none"/>
              </w:rPr>
            </w:pPr>
            <w:r>
              <w:rPr>
                <w:rFonts w:hint="eastAsia" w:ascii="宋体" w:hAnsi="宋体" w:cs="宋体"/>
                <w:color w:val="auto"/>
                <w:spacing w:val="-12"/>
                <w:sz w:val="21"/>
                <w:szCs w:val="21"/>
                <w:highlight w:val="none"/>
              </w:rPr>
              <w:t>(</w:t>
            </w:r>
            <w:r>
              <w:rPr>
                <w:rFonts w:hint="eastAsia" w:ascii="宋体" w:hAnsi="宋体" w:cs="宋体"/>
                <w:color w:val="auto"/>
                <w:spacing w:val="-9"/>
                <w:sz w:val="21"/>
                <w:szCs w:val="21"/>
                <w:highlight w:val="none"/>
              </w:rPr>
              <w:t>X)</w:t>
            </w:r>
          </w:p>
        </w:tc>
        <w:tc>
          <w:tcPr>
            <w:tcW w:w="709" w:type="dxa"/>
          </w:tcPr>
          <w:p w14:paraId="27DF556B">
            <w:pPr>
              <w:spacing w:before="210"/>
              <w:ind w:left="254"/>
              <w:rPr>
                <w:rFonts w:hint="eastAsia" w:ascii="宋体" w:hAnsi="宋体" w:cs="宋体"/>
                <w:color w:val="auto"/>
                <w:sz w:val="21"/>
                <w:szCs w:val="21"/>
                <w:highlight w:val="none"/>
              </w:rPr>
            </w:pPr>
            <w:r>
              <w:rPr>
                <w:rFonts w:hint="eastAsia" w:ascii="宋体" w:hAnsi="宋体" w:cs="宋体"/>
                <w:color w:val="auto"/>
                <w:sz w:val="21"/>
                <w:szCs w:val="21"/>
                <w:highlight w:val="none"/>
              </w:rPr>
              <w:t>人</w:t>
            </w:r>
          </w:p>
        </w:tc>
        <w:tc>
          <w:tcPr>
            <w:tcW w:w="1124" w:type="dxa"/>
          </w:tcPr>
          <w:p w14:paraId="4D9C8B2F">
            <w:pPr>
              <w:spacing w:before="211"/>
              <w:ind w:left="249"/>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X</w:t>
            </w:r>
            <w:r>
              <w:rPr>
                <w:rFonts w:hint="eastAsia" w:ascii="宋体" w:hAnsi="宋体" w:cs="宋体"/>
                <w:color w:val="auto"/>
                <w:spacing w:val="6"/>
                <w:position w:val="1"/>
                <w:sz w:val="21"/>
                <w:szCs w:val="21"/>
                <w:highlight w:val="none"/>
              </w:rPr>
              <w:t>≥300</w:t>
            </w:r>
          </w:p>
        </w:tc>
        <w:tc>
          <w:tcPr>
            <w:tcW w:w="1448" w:type="dxa"/>
          </w:tcPr>
          <w:p w14:paraId="5E867897">
            <w:pPr>
              <w:spacing w:before="211"/>
              <w:ind w:left="240"/>
              <w:rPr>
                <w:rFonts w:hint="eastAsia" w:ascii="宋体" w:hAnsi="宋体" w:cs="宋体"/>
                <w:color w:val="auto"/>
                <w:sz w:val="21"/>
                <w:szCs w:val="21"/>
                <w:highlight w:val="none"/>
              </w:rPr>
            </w:pPr>
            <w:r>
              <w:rPr>
                <w:rFonts w:hint="eastAsia" w:ascii="宋体" w:hAnsi="宋体" w:cs="宋体"/>
                <w:color w:val="auto"/>
                <w:spacing w:val="4"/>
                <w:position w:val="1"/>
                <w:sz w:val="21"/>
                <w:szCs w:val="21"/>
                <w:highlight w:val="none"/>
              </w:rPr>
              <w:t>100≤</w:t>
            </w:r>
            <w:r>
              <w:rPr>
                <w:rFonts w:hint="eastAsia" w:ascii="宋体" w:hAnsi="宋体" w:cs="宋体"/>
                <w:color w:val="auto"/>
                <w:position w:val="1"/>
                <w:sz w:val="21"/>
                <w:szCs w:val="21"/>
                <w:highlight w:val="none"/>
              </w:rPr>
              <w:t>X</w:t>
            </w:r>
            <w:r>
              <w:rPr>
                <w:rFonts w:hint="eastAsia" w:ascii="宋体" w:hAnsi="宋体" w:cs="宋体"/>
                <w:color w:val="auto"/>
                <w:spacing w:val="4"/>
                <w:position w:val="1"/>
                <w:sz w:val="21"/>
                <w:szCs w:val="21"/>
                <w:highlight w:val="none"/>
              </w:rPr>
              <w:t>＜300</w:t>
            </w:r>
          </w:p>
        </w:tc>
        <w:tc>
          <w:tcPr>
            <w:tcW w:w="1677" w:type="dxa"/>
          </w:tcPr>
          <w:p w14:paraId="7AFD66F6">
            <w:pPr>
              <w:spacing w:before="211"/>
              <w:ind w:left="261"/>
              <w:rPr>
                <w:rFonts w:hint="eastAsia" w:ascii="宋体" w:hAnsi="宋体" w:cs="宋体"/>
                <w:color w:val="auto"/>
                <w:sz w:val="21"/>
                <w:szCs w:val="21"/>
                <w:highlight w:val="none"/>
              </w:rPr>
            </w:pPr>
            <w:r>
              <w:rPr>
                <w:rFonts w:hint="eastAsia" w:ascii="宋体" w:hAnsi="宋体" w:cs="宋体"/>
                <w:color w:val="auto"/>
                <w:spacing w:val="4"/>
                <w:position w:val="1"/>
                <w:sz w:val="21"/>
                <w:szCs w:val="21"/>
                <w:highlight w:val="none"/>
              </w:rPr>
              <w:t>10≤</w:t>
            </w:r>
            <w:r>
              <w:rPr>
                <w:rFonts w:hint="eastAsia" w:ascii="宋体" w:hAnsi="宋体" w:cs="宋体"/>
                <w:color w:val="auto"/>
                <w:position w:val="1"/>
                <w:sz w:val="21"/>
                <w:szCs w:val="21"/>
                <w:highlight w:val="none"/>
              </w:rPr>
              <w:t>X</w:t>
            </w:r>
            <w:r>
              <w:rPr>
                <w:rFonts w:hint="eastAsia" w:ascii="宋体" w:hAnsi="宋体" w:cs="宋体"/>
                <w:color w:val="auto"/>
                <w:spacing w:val="4"/>
                <w:position w:val="1"/>
                <w:sz w:val="21"/>
                <w:szCs w:val="21"/>
                <w:highlight w:val="none"/>
              </w:rPr>
              <w:t>＜100</w:t>
            </w:r>
          </w:p>
        </w:tc>
        <w:tc>
          <w:tcPr>
            <w:tcW w:w="996" w:type="dxa"/>
          </w:tcPr>
          <w:p w14:paraId="0D8DC1AA">
            <w:pPr>
              <w:spacing w:before="211"/>
              <w:ind w:left="239"/>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X</w:t>
            </w:r>
            <w:r>
              <w:rPr>
                <w:rFonts w:hint="eastAsia" w:ascii="宋体" w:hAnsi="宋体" w:cs="宋体"/>
                <w:color w:val="auto"/>
                <w:spacing w:val="6"/>
                <w:position w:val="1"/>
                <w:sz w:val="21"/>
                <w:szCs w:val="21"/>
                <w:highlight w:val="none"/>
              </w:rPr>
              <w:t>＜10</w:t>
            </w:r>
          </w:p>
        </w:tc>
      </w:tr>
      <w:tr w14:paraId="6B1FD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71" w:type="dxa"/>
            <w:vMerge w:val="continue"/>
            <w:tcBorders>
              <w:top w:val="nil"/>
            </w:tcBorders>
          </w:tcPr>
          <w:p w14:paraId="2EDF0DDF">
            <w:pPr>
              <w:jc w:val="center"/>
              <w:rPr>
                <w:rFonts w:hint="eastAsia" w:ascii="宋体" w:hAnsi="宋体" w:cs="宋体"/>
                <w:color w:val="auto"/>
                <w:sz w:val="21"/>
                <w:szCs w:val="21"/>
                <w:highlight w:val="none"/>
              </w:rPr>
            </w:pPr>
          </w:p>
        </w:tc>
        <w:tc>
          <w:tcPr>
            <w:tcW w:w="2014" w:type="dxa"/>
          </w:tcPr>
          <w:p w14:paraId="58239BEE">
            <w:pPr>
              <w:spacing w:before="88"/>
              <w:ind w:left="276"/>
              <w:rPr>
                <w:rFonts w:hint="eastAsia" w:ascii="宋体" w:hAnsi="宋体" w:cs="宋体"/>
                <w:color w:val="auto"/>
                <w:sz w:val="21"/>
                <w:szCs w:val="21"/>
                <w:highlight w:val="none"/>
              </w:rPr>
            </w:pPr>
            <w:r>
              <w:rPr>
                <w:rFonts w:hint="eastAsia" w:ascii="宋体" w:hAnsi="宋体" w:cs="宋体"/>
                <w:color w:val="auto"/>
                <w:spacing w:val="5"/>
                <w:sz w:val="21"/>
                <w:szCs w:val="21"/>
                <w:highlight w:val="none"/>
              </w:rPr>
              <w:t>资产总额</w:t>
            </w:r>
          </w:p>
          <w:p w14:paraId="60BB33D0">
            <w:pPr>
              <w:ind w:left="568"/>
              <w:rPr>
                <w:rFonts w:hint="eastAsia" w:ascii="宋体" w:hAnsi="宋体" w:cs="宋体"/>
                <w:color w:val="auto"/>
                <w:sz w:val="21"/>
                <w:szCs w:val="21"/>
                <w:highlight w:val="none"/>
              </w:rPr>
            </w:pPr>
            <w:r>
              <w:rPr>
                <w:rFonts w:hint="eastAsia" w:ascii="宋体" w:hAnsi="宋体" w:cs="宋体"/>
                <w:color w:val="auto"/>
                <w:spacing w:val="-12"/>
                <w:sz w:val="21"/>
                <w:szCs w:val="21"/>
                <w:highlight w:val="none"/>
              </w:rPr>
              <w:t>(</w:t>
            </w:r>
            <w:r>
              <w:rPr>
                <w:rFonts w:hint="eastAsia" w:ascii="宋体" w:hAnsi="宋体" w:cs="宋体"/>
                <w:color w:val="auto"/>
                <w:spacing w:val="-9"/>
                <w:sz w:val="21"/>
                <w:szCs w:val="21"/>
                <w:highlight w:val="none"/>
              </w:rPr>
              <w:t>Z)</w:t>
            </w:r>
          </w:p>
        </w:tc>
        <w:tc>
          <w:tcPr>
            <w:tcW w:w="709" w:type="dxa"/>
          </w:tcPr>
          <w:p w14:paraId="0707E919">
            <w:pPr>
              <w:spacing w:before="211"/>
              <w:ind w:left="154"/>
              <w:rPr>
                <w:rFonts w:hint="eastAsia" w:ascii="宋体" w:hAnsi="宋体" w:cs="宋体"/>
                <w:color w:val="auto"/>
                <w:sz w:val="21"/>
                <w:szCs w:val="21"/>
                <w:highlight w:val="none"/>
              </w:rPr>
            </w:pPr>
            <w:r>
              <w:rPr>
                <w:rFonts w:hint="eastAsia" w:ascii="宋体" w:hAnsi="宋体" w:cs="宋体"/>
                <w:color w:val="auto"/>
                <w:spacing w:val="2"/>
                <w:sz w:val="21"/>
                <w:szCs w:val="21"/>
                <w:highlight w:val="none"/>
              </w:rPr>
              <w:t>万元</w:t>
            </w:r>
          </w:p>
        </w:tc>
        <w:tc>
          <w:tcPr>
            <w:tcW w:w="1124" w:type="dxa"/>
          </w:tcPr>
          <w:p w14:paraId="246B19A8">
            <w:pPr>
              <w:spacing w:before="55"/>
              <w:ind w:left="409"/>
              <w:rPr>
                <w:rFonts w:hint="eastAsia" w:ascii="宋体" w:hAnsi="宋体" w:cs="宋体"/>
                <w:color w:val="auto"/>
                <w:sz w:val="21"/>
                <w:szCs w:val="21"/>
                <w:highlight w:val="none"/>
              </w:rPr>
            </w:pPr>
            <w:r>
              <w:rPr>
                <w:rFonts w:hint="eastAsia" w:ascii="宋体" w:hAnsi="宋体" w:cs="宋体"/>
                <w:color w:val="auto"/>
                <w:position w:val="10"/>
                <w:sz w:val="21"/>
                <w:szCs w:val="21"/>
                <w:highlight w:val="none"/>
              </w:rPr>
              <w:t>Z</w:t>
            </w:r>
            <w:r>
              <w:rPr>
                <w:rFonts w:hint="eastAsia" w:ascii="宋体" w:hAnsi="宋体" w:cs="宋体"/>
                <w:color w:val="auto"/>
                <w:spacing w:val="4"/>
                <w:position w:val="10"/>
                <w:sz w:val="21"/>
                <w:szCs w:val="21"/>
                <w:highlight w:val="none"/>
              </w:rPr>
              <w:t>≥</w:t>
            </w:r>
          </w:p>
          <w:p w14:paraId="6157E4B4">
            <w:pPr>
              <w:ind w:left="267"/>
              <w:rPr>
                <w:rFonts w:hint="eastAsia" w:ascii="宋体" w:hAnsi="宋体" w:cs="宋体"/>
                <w:color w:val="auto"/>
                <w:sz w:val="21"/>
                <w:szCs w:val="21"/>
                <w:highlight w:val="none"/>
              </w:rPr>
            </w:pPr>
            <w:r>
              <w:rPr>
                <w:rFonts w:hint="eastAsia" w:ascii="宋体" w:hAnsi="宋体" w:cs="宋体"/>
                <w:color w:val="auto"/>
                <w:spacing w:val="1"/>
                <w:sz w:val="21"/>
                <w:szCs w:val="21"/>
                <w:highlight w:val="none"/>
              </w:rPr>
              <w:t>120000</w:t>
            </w:r>
          </w:p>
        </w:tc>
        <w:tc>
          <w:tcPr>
            <w:tcW w:w="1448" w:type="dxa"/>
          </w:tcPr>
          <w:p w14:paraId="26AF248E">
            <w:pPr>
              <w:spacing w:before="55"/>
              <w:ind w:left="436"/>
              <w:rPr>
                <w:rFonts w:hint="eastAsia" w:ascii="宋体" w:hAnsi="宋体" w:cs="宋体"/>
                <w:color w:val="auto"/>
                <w:sz w:val="21"/>
                <w:szCs w:val="21"/>
                <w:highlight w:val="none"/>
              </w:rPr>
            </w:pPr>
            <w:r>
              <w:rPr>
                <w:rFonts w:hint="eastAsia" w:ascii="宋体" w:hAnsi="宋体" w:cs="宋体"/>
                <w:color w:val="auto"/>
                <w:spacing w:val="4"/>
                <w:position w:val="10"/>
                <w:sz w:val="21"/>
                <w:szCs w:val="21"/>
                <w:highlight w:val="none"/>
              </w:rPr>
              <w:t>8000≤</w:t>
            </w:r>
            <w:r>
              <w:rPr>
                <w:rFonts w:hint="eastAsia" w:ascii="宋体" w:hAnsi="宋体" w:cs="宋体"/>
                <w:color w:val="auto"/>
                <w:position w:val="10"/>
                <w:sz w:val="21"/>
                <w:szCs w:val="21"/>
                <w:highlight w:val="none"/>
              </w:rPr>
              <w:t>Z</w:t>
            </w:r>
            <w:r>
              <w:rPr>
                <w:rFonts w:hint="eastAsia" w:ascii="宋体" w:hAnsi="宋体" w:cs="宋体"/>
                <w:color w:val="auto"/>
                <w:spacing w:val="4"/>
                <w:position w:val="10"/>
                <w:sz w:val="21"/>
                <w:szCs w:val="21"/>
                <w:highlight w:val="none"/>
              </w:rPr>
              <w:t>＜</w:t>
            </w:r>
          </w:p>
          <w:p w14:paraId="3E53884E">
            <w:pPr>
              <w:ind w:left="557"/>
              <w:rPr>
                <w:rFonts w:hint="eastAsia" w:ascii="宋体" w:hAnsi="宋体" w:cs="宋体"/>
                <w:color w:val="auto"/>
                <w:sz w:val="21"/>
                <w:szCs w:val="21"/>
                <w:highlight w:val="none"/>
              </w:rPr>
            </w:pPr>
            <w:r>
              <w:rPr>
                <w:rFonts w:hint="eastAsia" w:ascii="宋体" w:hAnsi="宋体" w:cs="宋体"/>
                <w:color w:val="auto"/>
                <w:spacing w:val="1"/>
                <w:sz w:val="21"/>
                <w:szCs w:val="21"/>
                <w:highlight w:val="none"/>
              </w:rPr>
              <w:t>120000</w:t>
            </w:r>
          </w:p>
        </w:tc>
        <w:tc>
          <w:tcPr>
            <w:tcW w:w="1677" w:type="dxa"/>
          </w:tcPr>
          <w:p w14:paraId="68A30A99">
            <w:pPr>
              <w:spacing w:before="55"/>
              <w:ind w:left="509" w:right="261" w:hanging="143"/>
              <w:rPr>
                <w:rFonts w:hint="eastAsia" w:ascii="宋体" w:hAnsi="宋体" w:cs="宋体"/>
                <w:color w:val="auto"/>
                <w:sz w:val="21"/>
                <w:szCs w:val="21"/>
                <w:highlight w:val="none"/>
              </w:rPr>
            </w:pPr>
            <w:r>
              <w:rPr>
                <w:rFonts w:hint="eastAsia" w:ascii="宋体" w:hAnsi="宋体" w:cs="宋体"/>
                <w:color w:val="auto"/>
                <w:spacing w:val="-2"/>
                <w:sz w:val="21"/>
                <w:szCs w:val="21"/>
                <w:highlight w:val="none"/>
              </w:rPr>
              <w:t>100</w:t>
            </w:r>
            <w:r>
              <w:rPr>
                <w:rFonts w:hint="eastAsia" w:ascii="宋体" w:hAnsi="宋体" w:cs="宋体"/>
                <w:color w:val="auto"/>
                <w:spacing w:val="-1"/>
                <w:sz w:val="21"/>
                <w:szCs w:val="21"/>
                <w:highlight w:val="none"/>
              </w:rPr>
              <w:t>≤Z＜</w:t>
            </w:r>
            <w:r>
              <w:rPr>
                <w:rFonts w:hint="eastAsia" w:ascii="宋体" w:hAnsi="宋体" w:cs="宋体"/>
                <w:color w:val="auto"/>
                <w:sz w:val="21"/>
                <w:szCs w:val="21"/>
                <w:highlight w:val="none"/>
              </w:rPr>
              <w:t xml:space="preserve"> </w:t>
            </w:r>
            <w:r>
              <w:rPr>
                <w:rFonts w:hint="eastAsia" w:ascii="宋体" w:hAnsi="宋体" w:cs="宋体"/>
                <w:color w:val="auto"/>
                <w:spacing w:val="3"/>
                <w:sz w:val="21"/>
                <w:szCs w:val="21"/>
                <w:highlight w:val="none"/>
              </w:rPr>
              <w:t>8000</w:t>
            </w:r>
          </w:p>
        </w:tc>
        <w:tc>
          <w:tcPr>
            <w:tcW w:w="996" w:type="dxa"/>
          </w:tcPr>
          <w:p w14:paraId="11A409A0">
            <w:pPr>
              <w:spacing w:before="211"/>
              <w:ind w:left="187"/>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Z</w:t>
            </w:r>
            <w:r>
              <w:rPr>
                <w:rFonts w:hint="eastAsia" w:ascii="宋体" w:hAnsi="宋体" w:cs="宋体"/>
                <w:color w:val="auto"/>
                <w:spacing w:val="7"/>
                <w:position w:val="1"/>
                <w:sz w:val="21"/>
                <w:szCs w:val="21"/>
                <w:highlight w:val="none"/>
              </w:rPr>
              <w:t>＜</w:t>
            </w:r>
            <w:r>
              <w:rPr>
                <w:rFonts w:hint="eastAsia" w:ascii="宋体" w:hAnsi="宋体" w:cs="宋体"/>
                <w:color w:val="auto"/>
                <w:spacing w:val="5"/>
                <w:position w:val="1"/>
                <w:sz w:val="21"/>
                <w:szCs w:val="21"/>
                <w:highlight w:val="none"/>
              </w:rPr>
              <w:t>100</w:t>
            </w:r>
          </w:p>
        </w:tc>
      </w:tr>
      <w:tr w14:paraId="0867F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71" w:type="dxa"/>
          </w:tcPr>
          <w:p w14:paraId="1A7EBAA0">
            <w:pPr>
              <w:spacing w:before="209"/>
              <w:ind w:left="117"/>
              <w:jc w:val="center"/>
              <w:rPr>
                <w:rFonts w:hint="eastAsia" w:ascii="宋体" w:hAnsi="宋体" w:cs="宋体"/>
                <w:color w:val="auto"/>
                <w:sz w:val="21"/>
                <w:szCs w:val="21"/>
                <w:highlight w:val="none"/>
              </w:rPr>
            </w:pPr>
            <w:r>
              <w:rPr>
                <w:rFonts w:hint="eastAsia" w:ascii="宋体" w:hAnsi="宋体" w:cs="宋体"/>
                <w:color w:val="auto"/>
                <w:spacing w:val="8"/>
                <w:sz w:val="21"/>
                <w:szCs w:val="21"/>
                <w:highlight w:val="none"/>
              </w:rPr>
              <w:t>其他未列明行业 *</w:t>
            </w:r>
          </w:p>
        </w:tc>
        <w:tc>
          <w:tcPr>
            <w:tcW w:w="2014" w:type="dxa"/>
          </w:tcPr>
          <w:p w14:paraId="1A1EB792">
            <w:pPr>
              <w:spacing w:before="56"/>
              <w:ind w:left="270"/>
              <w:rPr>
                <w:rFonts w:hint="eastAsia" w:ascii="宋体" w:hAnsi="宋体" w:cs="宋体"/>
                <w:color w:val="auto"/>
                <w:sz w:val="21"/>
                <w:szCs w:val="21"/>
                <w:highlight w:val="none"/>
              </w:rPr>
            </w:pPr>
            <w:r>
              <w:rPr>
                <w:rFonts w:hint="eastAsia" w:ascii="宋体" w:hAnsi="宋体" w:cs="宋体"/>
                <w:color w:val="auto"/>
                <w:spacing w:val="9"/>
                <w:sz w:val="21"/>
                <w:szCs w:val="21"/>
                <w:highlight w:val="none"/>
              </w:rPr>
              <w:t>从</w:t>
            </w:r>
            <w:r>
              <w:rPr>
                <w:rFonts w:hint="eastAsia" w:ascii="宋体" w:hAnsi="宋体" w:cs="宋体"/>
                <w:color w:val="auto"/>
                <w:spacing w:val="6"/>
                <w:sz w:val="21"/>
                <w:szCs w:val="21"/>
                <w:highlight w:val="none"/>
              </w:rPr>
              <w:t>业人员</w:t>
            </w:r>
          </w:p>
          <w:p w14:paraId="5D4C1EE0">
            <w:pPr>
              <w:spacing w:before="64"/>
              <w:ind w:left="568"/>
              <w:rPr>
                <w:rFonts w:hint="eastAsia" w:ascii="宋体" w:hAnsi="宋体" w:cs="宋体"/>
                <w:color w:val="auto"/>
                <w:sz w:val="21"/>
                <w:szCs w:val="21"/>
                <w:highlight w:val="none"/>
              </w:rPr>
            </w:pPr>
            <w:r>
              <w:rPr>
                <w:rFonts w:hint="eastAsia" w:ascii="宋体" w:hAnsi="宋体" w:cs="宋体"/>
                <w:color w:val="auto"/>
                <w:spacing w:val="-12"/>
                <w:sz w:val="21"/>
                <w:szCs w:val="21"/>
                <w:highlight w:val="none"/>
              </w:rPr>
              <w:t>(</w:t>
            </w:r>
            <w:r>
              <w:rPr>
                <w:rFonts w:hint="eastAsia" w:ascii="宋体" w:hAnsi="宋体" w:cs="宋体"/>
                <w:color w:val="auto"/>
                <w:spacing w:val="-9"/>
                <w:sz w:val="21"/>
                <w:szCs w:val="21"/>
                <w:highlight w:val="none"/>
              </w:rPr>
              <w:t>X)</w:t>
            </w:r>
          </w:p>
        </w:tc>
        <w:tc>
          <w:tcPr>
            <w:tcW w:w="709" w:type="dxa"/>
          </w:tcPr>
          <w:p w14:paraId="7167E0C4">
            <w:pPr>
              <w:spacing w:before="211"/>
              <w:ind w:left="254"/>
              <w:rPr>
                <w:rFonts w:hint="eastAsia" w:ascii="宋体" w:hAnsi="宋体" w:cs="宋体"/>
                <w:color w:val="auto"/>
                <w:sz w:val="21"/>
                <w:szCs w:val="21"/>
                <w:highlight w:val="none"/>
              </w:rPr>
            </w:pPr>
            <w:r>
              <w:rPr>
                <w:rFonts w:hint="eastAsia" w:ascii="宋体" w:hAnsi="宋体" w:cs="宋体"/>
                <w:color w:val="auto"/>
                <w:sz w:val="21"/>
                <w:szCs w:val="21"/>
                <w:highlight w:val="none"/>
              </w:rPr>
              <w:t>人</w:t>
            </w:r>
          </w:p>
        </w:tc>
        <w:tc>
          <w:tcPr>
            <w:tcW w:w="1124" w:type="dxa"/>
          </w:tcPr>
          <w:p w14:paraId="391AE9F8">
            <w:pPr>
              <w:spacing w:before="211"/>
              <w:ind w:left="249"/>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X</w:t>
            </w:r>
            <w:r>
              <w:rPr>
                <w:rFonts w:hint="eastAsia" w:ascii="宋体" w:hAnsi="宋体" w:cs="宋体"/>
                <w:color w:val="auto"/>
                <w:spacing w:val="6"/>
                <w:position w:val="1"/>
                <w:sz w:val="21"/>
                <w:szCs w:val="21"/>
                <w:highlight w:val="none"/>
              </w:rPr>
              <w:t>≥300</w:t>
            </w:r>
          </w:p>
        </w:tc>
        <w:tc>
          <w:tcPr>
            <w:tcW w:w="1448" w:type="dxa"/>
          </w:tcPr>
          <w:p w14:paraId="215C5EFA">
            <w:pPr>
              <w:spacing w:before="211"/>
              <w:ind w:left="240"/>
              <w:rPr>
                <w:rFonts w:hint="eastAsia" w:ascii="宋体" w:hAnsi="宋体" w:cs="宋体"/>
                <w:color w:val="auto"/>
                <w:sz w:val="21"/>
                <w:szCs w:val="21"/>
                <w:highlight w:val="none"/>
              </w:rPr>
            </w:pPr>
            <w:r>
              <w:rPr>
                <w:rFonts w:hint="eastAsia" w:ascii="宋体" w:hAnsi="宋体" w:cs="宋体"/>
                <w:color w:val="auto"/>
                <w:spacing w:val="4"/>
                <w:position w:val="1"/>
                <w:sz w:val="21"/>
                <w:szCs w:val="21"/>
                <w:highlight w:val="none"/>
              </w:rPr>
              <w:t>100≤</w:t>
            </w:r>
            <w:r>
              <w:rPr>
                <w:rFonts w:hint="eastAsia" w:ascii="宋体" w:hAnsi="宋体" w:cs="宋体"/>
                <w:color w:val="auto"/>
                <w:position w:val="1"/>
                <w:sz w:val="21"/>
                <w:szCs w:val="21"/>
                <w:highlight w:val="none"/>
              </w:rPr>
              <w:t>X</w:t>
            </w:r>
            <w:r>
              <w:rPr>
                <w:rFonts w:hint="eastAsia" w:ascii="宋体" w:hAnsi="宋体" w:cs="宋体"/>
                <w:color w:val="auto"/>
                <w:spacing w:val="4"/>
                <w:position w:val="1"/>
                <w:sz w:val="21"/>
                <w:szCs w:val="21"/>
                <w:highlight w:val="none"/>
              </w:rPr>
              <w:t>＜300</w:t>
            </w:r>
          </w:p>
        </w:tc>
        <w:tc>
          <w:tcPr>
            <w:tcW w:w="1677" w:type="dxa"/>
          </w:tcPr>
          <w:p w14:paraId="1EE82110">
            <w:pPr>
              <w:spacing w:before="211"/>
              <w:ind w:left="261"/>
              <w:rPr>
                <w:rFonts w:hint="eastAsia" w:ascii="宋体" w:hAnsi="宋体" w:cs="宋体"/>
                <w:color w:val="auto"/>
                <w:sz w:val="21"/>
                <w:szCs w:val="21"/>
                <w:highlight w:val="none"/>
              </w:rPr>
            </w:pPr>
            <w:r>
              <w:rPr>
                <w:rFonts w:hint="eastAsia" w:ascii="宋体" w:hAnsi="宋体" w:cs="宋体"/>
                <w:color w:val="auto"/>
                <w:spacing w:val="4"/>
                <w:position w:val="1"/>
                <w:sz w:val="21"/>
                <w:szCs w:val="21"/>
                <w:highlight w:val="none"/>
              </w:rPr>
              <w:t>10≤</w:t>
            </w:r>
            <w:r>
              <w:rPr>
                <w:rFonts w:hint="eastAsia" w:ascii="宋体" w:hAnsi="宋体" w:cs="宋体"/>
                <w:color w:val="auto"/>
                <w:position w:val="1"/>
                <w:sz w:val="21"/>
                <w:szCs w:val="21"/>
                <w:highlight w:val="none"/>
              </w:rPr>
              <w:t>X</w:t>
            </w:r>
            <w:r>
              <w:rPr>
                <w:rFonts w:hint="eastAsia" w:ascii="宋体" w:hAnsi="宋体" w:cs="宋体"/>
                <w:color w:val="auto"/>
                <w:spacing w:val="4"/>
                <w:position w:val="1"/>
                <w:sz w:val="21"/>
                <w:szCs w:val="21"/>
                <w:highlight w:val="none"/>
              </w:rPr>
              <w:t>＜100</w:t>
            </w:r>
          </w:p>
        </w:tc>
        <w:tc>
          <w:tcPr>
            <w:tcW w:w="996" w:type="dxa"/>
          </w:tcPr>
          <w:p w14:paraId="0783CB2C">
            <w:pPr>
              <w:spacing w:before="211"/>
              <w:ind w:left="239"/>
              <w:rPr>
                <w:rFonts w:hint="eastAsia" w:ascii="宋体" w:hAnsi="宋体" w:cs="宋体"/>
                <w:color w:val="auto"/>
                <w:sz w:val="21"/>
                <w:szCs w:val="21"/>
                <w:highlight w:val="none"/>
              </w:rPr>
            </w:pPr>
            <w:r>
              <w:rPr>
                <w:rFonts w:hint="eastAsia" w:ascii="宋体" w:hAnsi="宋体" w:cs="宋体"/>
                <w:color w:val="auto"/>
                <w:position w:val="1"/>
                <w:sz w:val="21"/>
                <w:szCs w:val="21"/>
                <w:highlight w:val="none"/>
              </w:rPr>
              <w:t>X</w:t>
            </w:r>
            <w:r>
              <w:rPr>
                <w:rFonts w:hint="eastAsia" w:ascii="宋体" w:hAnsi="宋体" w:cs="宋体"/>
                <w:color w:val="auto"/>
                <w:spacing w:val="6"/>
                <w:position w:val="1"/>
                <w:sz w:val="21"/>
                <w:szCs w:val="21"/>
                <w:highlight w:val="none"/>
              </w:rPr>
              <w:t>＜10</w:t>
            </w:r>
          </w:p>
        </w:tc>
      </w:tr>
    </w:tbl>
    <w:p w14:paraId="4006CD61">
      <w:pPr>
        <w:rPr>
          <w:rFonts w:hint="eastAsia" w:ascii="宋体" w:hAnsi="宋体" w:cs="宋体"/>
          <w:color w:val="auto"/>
          <w:sz w:val="21"/>
          <w:szCs w:val="21"/>
          <w:highlight w:val="none"/>
        </w:rPr>
      </w:pPr>
    </w:p>
    <w:p w14:paraId="11AAADDF">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说明：</w:t>
      </w:r>
    </w:p>
    <w:p w14:paraId="7B9DCC6B">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1.大型、中型和小型企业须同时满足所列指标的下限，否则下划一档；微型企业只需满足所列指标中的一项即可。</w:t>
      </w:r>
    </w:p>
    <w:p w14:paraId="57F5B419">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2.附表中各行业的范围以《国民经济行业分类》(GB/T4754-2017) 为准 。带*的项为行业 组合类别 ，其中，工业包括采矿业，制造业，电力、热力、燃气及水生产和供应业；交通运输 业包括道路运输业，水上运输业，航空运输业，管道运输业，多式联运和运输代理业、装卸搬运，不包括铁路运输业；仓储业包括通用仓储，低温仓储 ，危险品仓储，谷物、棉花等农产品仓储，中药材仓储和其他仓储业;信息传输业包括电信、广播电视和卫星传输服务 ，互联网和相关服务；其他未列明行业包括科学研究和技术服务业，水利、环境和公共设施管理业 ，居民服务、修理和其他服务业，社会工作，文化 、体育和娱乐业，以及房地产中介服务，其他房地产业等，不包括自有房地产经营活动。</w:t>
      </w:r>
    </w:p>
    <w:p w14:paraId="245550A6">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3.企业划分指标以现行统计制度为准 。  </w:t>
      </w:r>
    </w:p>
    <w:p w14:paraId="179D5531">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(1)从业人员，是指期末从业人员数，没有期末 从业人员数的 ，采用全年平均人员数代替。  </w:t>
      </w:r>
    </w:p>
    <w:p w14:paraId="4560BE83">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(2)营业收入，工业、建筑业、限额以上批发和零售业、限额以上住宿和餐饮业以及其他设置主营业务收入指标的行业，采用主营业务收入；限额以下批发与零售业企业采用商品销售额代替； 限额以下住宿与餐饮业企业采用营业额代替；农、林、牧、渔业企业采用营业总收入代替；其他未设置主营业务收入的行业 ，采用营业收入指标。  </w:t>
      </w:r>
    </w:p>
    <w:p w14:paraId="32ED3545">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(3)资产总额 ，采用资产总计代替。</w:t>
      </w:r>
    </w:p>
    <w:p w14:paraId="6760236A">
      <w:pPr>
        <w:spacing w:line="360" w:lineRule="auto"/>
        <w:rPr>
          <w:rFonts w:hint="eastAsia" w:ascii="宋体" w:hAnsi="宋体" w:cs="宋体"/>
          <w:color w:val="auto"/>
          <w:sz w:val="21"/>
          <w:szCs w:val="21"/>
          <w:highlight w:val="none"/>
        </w:rPr>
        <w:sectPr>
          <w:footerReference r:id="rId29" w:type="default"/>
          <w:pgSz w:w="11906" w:h="16839"/>
          <w:pgMar w:top="820" w:right="1264" w:bottom="1156" w:left="1425" w:header="0" w:footer="996" w:gutter="0"/>
          <w:cols w:space="720" w:num="1"/>
        </w:sectPr>
      </w:pPr>
    </w:p>
    <w:p w14:paraId="6FB5D182">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附件</w:t>
      </w:r>
    </w:p>
    <w:p w14:paraId="5A989AC8">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《统计上大中小微型企业划分办法 (2017) 》修订说明</w:t>
      </w:r>
    </w:p>
    <w:p w14:paraId="21073143">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一、修订背景</w:t>
      </w:r>
    </w:p>
    <w:p w14:paraId="4666C220">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目前执行的《统计上大中小微型企业划分办法》是 2011 年国家统计局根据工业和信息化部、国家 统计局、国家发展改革委、财政部《关于印发中小企业划型标准规定的通知》 (工信部联企业〔2011〕300 号) ，同时依据《国民经济行业分类》  (GB/T 4754—2011) ，制定并颁布的。</w:t>
      </w:r>
    </w:p>
    <w:p w14:paraId="7B2DBACA">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2017年6月30日，《国民经济行业分类》  (GB/T 4754—2017) 正式颁布。8 月 29 日，国家统计局印发《关于执行新国民经济行业分类国家标准的通知》 (国统字〔2017〕142 号) ，规定从2017年统计年报和2018年定期统计报表起统一使用新分类标准。为此，我们对2011年印发的《统计上大中 小微型企业划分办法》进行修订。</w:t>
      </w:r>
    </w:p>
    <w:p w14:paraId="184C9C83">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二、修订主要内容</w:t>
      </w:r>
    </w:p>
    <w:p w14:paraId="31216447">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本次修订是在 2011 年《统计上大中小微型企业划分办法》基础上进行的，修订延续原有的分类原 则、方法和结构框架，在保持适用范围不变的情况下,依据标准由《国民经济行业分类》  (GB/T 4754 —2011) 修改为《国民经济行业分类》  (GB/T 4754—2017) ，并根据新旧国民经济行业的对应关系， 进行了行业所包含类别的对应调整。</w:t>
      </w:r>
    </w:p>
    <w:p w14:paraId="579F5DF2">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将交通运输业中包括的“装卸搬运和运输代理业”修改为“多式联运和运输代理业、装卸搬运”。</w:t>
      </w:r>
    </w:p>
    <w:p w14:paraId="06617629">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仓储业所包括的行业种类 ，根据《国民经济行业分类》  (GB/T 4754—2017) 调整为 “通用 仓储 ，低温仓储 ，危险品仓储 ，谷物 、棉花等农产品仓储 ， 中药材仓储和其他仓储业”。</w:t>
      </w:r>
    </w:p>
    <w:p w14:paraId="6264A4CC">
      <w:pPr>
        <w:spacing w:line="360" w:lineRule="auto"/>
        <w:rPr>
          <w:rFonts w:hint="eastAsia" w:ascii="宋体" w:hAnsi="宋体" w:cs="宋体"/>
          <w:color w:val="auto"/>
          <w:sz w:val="21"/>
          <w:szCs w:val="21"/>
          <w:highlight w:val="none"/>
        </w:rPr>
        <w:sectPr>
          <w:footerReference r:id="rId30" w:type="default"/>
          <w:pgSz w:w="11906" w:h="16839"/>
          <w:pgMar w:top="820" w:right="1179" w:bottom="1156" w:left="1424" w:header="0" w:footer="996" w:gutter="0"/>
          <w:cols w:space="720" w:num="1"/>
        </w:sectPr>
      </w:pPr>
    </w:p>
    <w:p w14:paraId="7A32B463">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附件 1</w:t>
      </w:r>
    </w:p>
    <w:p w14:paraId="127A097F">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《中小企业划型标准规定 (修订征求意见稿) 》</w:t>
      </w:r>
    </w:p>
    <w:p w14:paraId="4813EFEF">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一、根据《中华人民共和国中小企业促进法》和国民经济社会发展需要，制定本规定。</w:t>
      </w:r>
    </w:p>
    <w:p w14:paraId="576E40EA">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二、中小企业划分为中型、小型、微型三种类型，具体标准根据企业从业人员、营业收入、资产 总额等指标以及企业控股等情况，结合行业特点制定。</w:t>
      </w:r>
    </w:p>
    <w:p w14:paraId="7013578A">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三、本规定适用于《国民经济行业分类》中的以下行业：农、林、牧、渔业，采矿业，制造业， 电力、热力、燃气及水生产和供应业，建筑业，批发和零售业，交通运输、仓储和邮政业，住宿和餐 饮业，信息传输、软件和信息技术服务业，房地产业，租赁和商务服务业，科学研究和技术服务业， 水利、环境和公共设施管理业，居民服务、修理和其他服务业，教育，卫生和社会工作，文化、体育 和娱乐业。</w:t>
      </w:r>
    </w:p>
    <w:p w14:paraId="68B43824">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四、各行业中小企业划型定量标准为：</w:t>
      </w:r>
    </w:p>
    <w:p w14:paraId="646D450E">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一) 农、林、牧、渔业。营业收入 2 亿元以下的为中小微型企业。其中：营业收入 300 万元以 下的为微型企业；营业收入 3000 万元以下的为小型企业；营业收入 2 亿元以下的为中型企业。</w:t>
      </w:r>
    </w:p>
    <w:p w14:paraId="373C8237">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(二) 工业 (采矿业，制造业， 电力、热力、燃气及水生产和供应业) ，交通运输、仓储和邮政 业。从业人员 1000 人以下且营业收入 20 亿元以下的为中小微型企业。其中：从业人员 20 人以下且营 业收入 2000 万元以下的为微型企业；从业人员 300 人以下且营业收入 2 亿元以下的为小型企业；从业 人员 1000 人以下且营业收入 20 亿元以下的为中型企业。</w:t>
      </w:r>
    </w:p>
    <w:p w14:paraId="64EDEF49">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(三) 建筑业，组织管理服务。营业收入 8 亿元以下且资产总额 10 亿元以下的为中小微型企业。 其中：营业收入800万元以下且资产总额 1000 万元以下的为微型企业；营业收入8000万元以下且资 产总额 1 亿元以下的为小型企业；营业收入 8 亿元以下且资产总额 10 亿元以下的为中型企业。</w:t>
      </w:r>
    </w:p>
    <w:p w14:paraId="51E64F6A">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(四) 批发业。从业人员 200 人以下且营业收入20亿元以下的为中小微型企业。其中：从业人员 5 人以下且营业收入 2000 万元以下的为微型企业；从业人员 20 人以下且营业收入 2 亿元以下的为小型企业；从业人员 200人以下且营业收入20 亿元以下的为中型企业。</w:t>
      </w:r>
    </w:p>
    <w:p w14:paraId="5914E04A">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(五) 零售业。从业人员300人以下且营业收入 5 亿元以下的为中小微型企业。其中：从业人员 10 人以下且营业收入 500 万元以下的为微型企业；从业人员 50 人以下且营业收入 5000 万元以下的为 小型企业；从业人员 300 人以下且营业收入 5 亿元以下的为中型企业。</w:t>
      </w:r>
    </w:p>
    <w:p w14:paraId="46BDFEE0">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(六) 住宿和餐饮业。从业人员300 人以下且营业收入 4 亿元以下的为中小微型企业。其中：从 业人员 10 人以下且营业收入 200 万元以下的为微型企业；从业人员 100 人以下且营业收入 4000 万元 以下的为小型企业；从业人员 300 人以下且营业收入 4 亿元以下的为中型企业。</w:t>
      </w:r>
    </w:p>
    <w:p w14:paraId="0D56DE2D">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(七) 信息传输、软件和信息技术服务业。从业人员 500 人以下且营业收入 10 亿元以下的为中小 微型企业。其中：从业人员 10 人以下且营业收入 1000 万元以下的为微型企业；从业人员 100 人以下 且营业收入 1 亿元以下的为小型企业；从业人员 500 人以下且营业收入 10 亿元以下的为中型企业。</w:t>
      </w:r>
    </w:p>
    <w:p w14:paraId="111B4FFC">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(八) 房地产开发经营。营业收入 10 亿元以下且资产总额 50 亿元以下的为中小微型企业。其中： 营业收入 1000 万元以下且资产总额 5000 万元以下的为微型企业；营业收入 1 亿元以下且资产总额 5 亿元以下的为小型企业；营业收入 10 亿元以下且资产总额 50 亿元以下的为中型企业。</w:t>
      </w:r>
    </w:p>
    <w:p w14:paraId="6631A61A">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(九) 房地产业 (不含房地产开发经营) ，租赁和商务服务业 (不含组织管理服务) ，科学研究 和技术服务业，水利、环境和公共设施管理业，居民服务、修理和其他服务业，教育，卫生和社会工 作，文化、体育和娱乐业。从业人员 300 人以下且营业收入 5 亿元以下的为中小微型企业。其中：从 业人员 10 人以下且营业收入 500 万元以下的为微型企业；从业人员 100 人以下且营业收入 5000 万元 以下的为小型企业；从业人员 300 人以下且营业收入 5 亿元以下的为中型企业。</w:t>
      </w:r>
    </w:p>
    <w:p w14:paraId="6A2BF8A3">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五、企业规模类型划分以企业有关指标上年度数据为定量依据。</w:t>
      </w:r>
    </w:p>
    <w:p w14:paraId="67AC336B">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没有上年度完整数据的企业规模类型划分，从业人员、资产总额以划型时的数据为定量依据，营 业收入按照以下公式计算：</w:t>
      </w:r>
    </w:p>
    <w:p w14:paraId="1219585A">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营业收入 (年) =企业实际存续期间营业收入/企业实际存续月数*12。</w:t>
      </w:r>
    </w:p>
    <w:p w14:paraId="47E1ADB5">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六、不符合中小企业划型定量标准的企业即为大型企业。国家统计部门据此制定大中小微型企业 的统计分类。</w:t>
      </w:r>
    </w:p>
    <w:p w14:paraId="41E53125">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七、本规定适用于在中华人民共和国境内依法设立的企业，企业的分支机构除外。 符合中小企业划型定量标准，但有下列情形之一的，视同大型企业：</w:t>
      </w:r>
    </w:p>
    <w:p w14:paraId="6F1A9119">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一) 单个大型企业或大型企业全资子公司直接控股超过 50%的企业；</w:t>
      </w:r>
    </w:p>
    <w:p w14:paraId="629A5A7E">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(二) 两个以上大型企业或大型企业全资子公司直接控股超过 50%的企业；</w:t>
      </w:r>
    </w:p>
    <w:p w14:paraId="50BB1FA6">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(三) 与大型企业或大型企业全资子公司的法定代表人为同一人的企业。</w:t>
      </w:r>
    </w:p>
    <w:p w14:paraId="5AA299B8">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八、企业规模类型采用自我声明的方式，企业对自我声明内容的真实性负责。</w:t>
      </w:r>
    </w:p>
    <w:p w14:paraId="171F02FC">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在监督检查、投诉处理中对中小企业规模类型有争议的，有关部门可以向有争议的企业登记所在地同级负责中小企业促进工作综合管理部门书面提请认定。</w:t>
      </w:r>
    </w:p>
    <w:p w14:paraId="5B3B2F99">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九、本规定由国务院负责中小企业促进工作综合管理部门、国家统计部门会同有关部门根据经济 社会发展情况，每 5 年定期评估，根据评估情况适时修订。</w:t>
      </w:r>
    </w:p>
    <w:p w14:paraId="2A0CD3A0">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十、本规定由国务院负责中小企业促进工作综合管理部门、国家统计部门会同有关部门负责解释。 各部门各地区不得制定与本规定不一致的中小企业划型标准。</w:t>
      </w:r>
    </w:p>
    <w:p w14:paraId="03CE1B6F">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十一、个体工商户参照本规定进行划型。</w:t>
      </w:r>
    </w:p>
    <w:p w14:paraId="198088E1">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十二、本规定自发布之日起执行，工业和信息化部、国家统计局、国家发展和改革委员会、财政 部 2011 年颁布的《中小企业划型标准规定》同时废止。</w:t>
      </w:r>
    </w:p>
    <w:p w14:paraId="72670F73">
      <w:pPr>
        <w:spacing w:line="360" w:lineRule="auto"/>
        <w:rPr>
          <w:rFonts w:hint="eastAsia" w:ascii="宋体" w:hAnsi="宋体" w:cs="宋体"/>
          <w:color w:val="auto"/>
          <w:sz w:val="21"/>
          <w:szCs w:val="21"/>
          <w:highlight w:val="none"/>
        </w:rPr>
        <w:sectPr>
          <w:footerReference r:id="rId31" w:type="default"/>
          <w:pgSz w:w="11906" w:h="16839"/>
          <w:pgMar w:top="840" w:right="1179" w:bottom="1153" w:left="1425" w:header="0" w:footer="996" w:gutter="0"/>
          <w:cols w:space="720" w:num="1"/>
        </w:sectPr>
      </w:pPr>
    </w:p>
    <w:p w14:paraId="1A6611F2">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附件 2</w:t>
      </w:r>
    </w:p>
    <w:p w14:paraId="51A2E1E4">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关于《中小企业划型标准规定》修订情况的说明</w:t>
      </w:r>
    </w:p>
    <w:p w14:paraId="4D6A6EBA">
      <w:pPr>
        <w:spacing w:line="360" w:lineRule="auto"/>
        <w:rPr>
          <w:rFonts w:hint="eastAsia" w:ascii="宋体" w:hAnsi="宋体" w:cs="宋体"/>
          <w:color w:val="auto"/>
          <w:sz w:val="21"/>
          <w:szCs w:val="21"/>
          <w:highlight w:val="none"/>
        </w:rPr>
      </w:pPr>
    </w:p>
    <w:p w14:paraId="62E11656">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一、修订背景</w:t>
      </w:r>
    </w:p>
    <w:p w14:paraId="46FA8DD7">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现行《中小企业划型标准规定》  (工信部联企业〔2011〕300 号， 以下简称《划型标准》 ) 是经 国务院同意，由工业和信息化部、国家统计局、国家发展和改革委员会、财政部于 2011 年 6 月发布的。 《划型标准》作为促进中小企业发展政策实施和国民经济统计分类的基础依据，发布十年来，得到了 较好地执行，为各级政府部门制定和实施促进中小企业特别是小微企业发展政策提供了基础数据和决 策参考。但随着经济发展和产业结构调整，执行中也遇到了一些问题，主要是：一是部分中小企业规模过大。因采用从业人员、营业收入或资产总额双指标并集划型，导致少数从业人员少而营业收入高 或资产规模大的企业划入中小企业。二是行业分类复杂繁琐，且未覆盖“教育”门类和“卫生”大类。 三是定性标准缺位。四是部分行业划型指标不适合行业大多数企业经营特征。五是定量标准需随劳动 生产率提高等进行调整。</w:t>
      </w:r>
    </w:p>
    <w:p w14:paraId="41731F43">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二、修订的原则</w:t>
      </w:r>
    </w:p>
    <w:p w14:paraId="6237C4D3">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一是坚持问题导向。针对《划型标准》执行中存在的问题，提出解决的方法和路径。</w:t>
      </w:r>
    </w:p>
    <w:p w14:paraId="05BDDE2F">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二是综合现实发展需要和历史衔接。《划型标准》修订既要适应国民经济和促进中小企业发展需要，又要保持相对的稳定性和连续性。</w:t>
      </w:r>
    </w:p>
    <w:p w14:paraId="75AF7DA8">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三是注重与国际一般标准的可比性。借鉴国际经验，结合我国实际确定各行业划型指标及标准， 为中小企业发展国际比较提供参照。</w:t>
      </w:r>
    </w:p>
    <w:p w14:paraId="5F9A3694">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四是注重简单易行，便于操作。从实际出发，注重易于理解、识别和执行。</w:t>
      </w:r>
    </w:p>
    <w:p w14:paraId="13011077">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三、修订的主要内容</w:t>
      </w:r>
    </w:p>
    <w:p w14:paraId="16DC0FA0">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一) 关于行业分类的修订</w:t>
      </w:r>
    </w:p>
    <w:p w14:paraId="2757AA6C">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一是部分行业分类保持不变。包括农、林、牧、渔业，工业，建筑业，批发业，零售业，房地产 开发经营业等 (涉及企业数量约占60%) 。</w:t>
      </w:r>
    </w:p>
    <w:p w14:paraId="22967CC2">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二是以门类为基础调整简并行业分类。如将住宿业、餐饮业合并，按“住宿和餐饮业”门类统一 划型；将信息传输业、软件和信息技术服务业合并，按“信息传输、软件和信息技术服务业”门类统 一划型；将交通运输业、仓储业、邮政业合并，按“交通运输、仓储和邮政业”门类与工业统一划型。</w:t>
      </w:r>
    </w:p>
    <w:p w14:paraId="2A94BDFF">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三是增加《划型标准》 尚未覆盖的行业，如“教育”门类和“卫生”大类。</w:t>
      </w:r>
    </w:p>
    <w:p w14:paraId="1BD5CFF9">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四是行业性质或特征相近的行业归并划型。将房地产业 (房地产开发经营除外) ，租赁与商务服务业 (组织管理服务除外) ，科学研究和技术服务业，水利、环境和公共设施管理业，居民服务、修理和其他服务业，社会工作，文化、体育和娱乐业，以及新增的教育、卫生等八个行业门类归并统一划型。</w:t>
      </w:r>
    </w:p>
    <w:p w14:paraId="1D7079EC">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五是将不属于中小企业扶持重点领域的“组织管理服务”(属于租赁和商务服务业门类，主要包括“企 业总部管理”“投资与资产管理”“资源与产权交易服务”等资产密集型行业小类) 采用建筑业指标 划型，降低其小微企业占比。</w:t>
      </w:r>
    </w:p>
    <w:p w14:paraId="700D6DCD">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本次修订后，行业分类由原来的 16 类减少为 9 类，覆盖《国民经济行业分类》  (GB/T 4754-2017) 除 金融业、公共管理和社会组织、国际组织三个门类之外的所有行业企业。</w:t>
      </w:r>
    </w:p>
    <w:p w14:paraId="373CE5CC">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(二) 关于划型指标的修订</w:t>
      </w:r>
    </w:p>
    <w:p w14:paraId="6E2525F9">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各行业划型指标基本沿用现行《划型标准》，主要是采用从业人员和营业收入双指标划型，仅有农业采用营业收入、建筑业和组织管理服务采用营业收入和资产总额划型。</w:t>
      </w:r>
    </w:p>
    <w:p w14:paraId="536C1012">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(三) 关于双指标并集转交集的调整</w:t>
      </w:r>
    </w:p>
    <w:p w14:paraId="554D548C">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本次修订借鉴欧盟双指标交集模式，即双指标同时低于微型、小型、中型企业的阈值标准，才能划入相应规模类型，强调“小企业要有小企业的样子”。这样可有效解决从业人员少、营业收入高或资产总额大的企业划入中小企业的问题，更为客观地反映中小企业的经营规模，并可降低从业人员统计口径对企业规模变化的影响。</w:t>
      </w:r>
    </w:p>
    <w:p w14:paraId="72E7FD76">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(四) 关于定量指标阈值的调整</w:t>
      </w:r>
    </w:p>
    <w:p w14:paraId="224F31AA">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1.关于从业人员指标阈值。鉴于现行《划型标准》从业人员指标标准基本具有国际可比性且符合国情。微型企业的人员标准基本与其他国家接近；中型和小型企业标准与其他国家有所差异，但基本适应我国人口众多、劳动生产率相对较低的基本国情。因此，本次修订中从业人员指标阈值主要沿用 现行《划型标准》，仅对仓储业，信息传输业、软件和信息技术服务业，物业管理业等少数涉及行业 分类调整的从业人员指标进行调整。</w:t>
      </w:r>
    </w:p>
    <w:p w14:paraId="2CBC230E">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2.关于财务指标阈值。参考国际经验，结合我国国情，本次修订主要考虑四方面因素影响：一是劳动生产率提高的影响；二是双指标划型区间并集转交集的影响；三是定量指标阈值调整与部分行 业现有统计规模 (或限额) 口径衔接；四是各行业规模类型比例相对稳定。</w:t>
      </w:r>
    </w:p>
    <w:p w14:paraId="0584B358">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修订后，各行业各类型企业比例与《划型标准》制定时的大中小微企业类型分布比例相对稳定， 中小企业特别是小微企业分布维持相对合理比例。所有行业的规模 (限额) 以上企业中将不再含有微 型企业，微型企业均为规模 (限额) 以下企业。</w:t>
      </w:r>
    </w:p>
    <w:p w14:paraId="5B1FC466">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(五) 增加定性标准</w:t>
      </w:r>
    </w:p>
    <w:p w14:paraId="75D7E951">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为解决实践中大型企业所属子公司因符合中小企业划型定量标准，挤占中小企业有限的政策资源 或悬空大型企业法律责任义务问题，借鉴欧美日等设置中小企业独立经营方面定性标准的经验，增加“定性”标准，即规定“符合中小企业划型定量标准，但有下列情形之一的，视同大型企业：单个大 型企业或大型企业全资子公司直接控股超过 50%的企业；两个以上大型企业或大型企业全资子公司直 接控股超过 50%的企业；与大型企业或大型企业全资子公司的法定代表人为同一人的企业。 ”将大型 企业所属或直接控制企业排除在中小企业之外。</w:t>
      </w:r>
    </w:p>
    <w:p w14:paraId="2EDC5475">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(六) 增加有关中小企业规模类型自我声明及认定内容</w:t>
      </w:r>
    </w:p>
    <w:p w14:paraId="15A0C027">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按照《国务院办公厅关于全面推行证明事项和涉企经营许可事项告知承诺制的指导意见》和《政 府采购促进中小企业发展管理办法》的实践做法，《划型标准》修订中明确“中小企业规模类型采用 自我声明的方式，企业对自我声明内容的真实性负责” 。同时，明确“在监督检查、投诉处理中对中 小企业规模类型有争议的，有关部门可以向有争议的企业登记所在地同级负责中小企业促进工作综合 管理部门书面提请认定”。</w:t>
      </w:r>
    </w:p>
    <w:p w14:paraId="5168198B">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(七) 建立《划型标准》定期评估制度</w:t>
      </w:r>
    </w:p>
    <w:p w14:paraId="16CE8FBB">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借鉴国际经验，设立我国中小企业划型标准定期评估制度：“由国务院促进中小企业发展综合管 理部门、国家统计部门会同有关部门根据经济社会发展情况，每5年定期评估，根据评估情况适时修订。 ”</w:t>
      </w:r>
    </w:p>
    <w:p w14:paraId="7D5C6396">
      <w:pPr>
        <w:rPr>
          <w:rFonts w:hint="eastAsia" w:ascii="宋体" w:hAnsi="宋体" w:cs="宋体"/>
          <w:color w:val="auto"/>
          <w:sz w:val="21"/>
          <w:szCs w:val="21"/>
          <w:highlight w:val="none"/>
        </w:rPr>
        <w:sectPr>
          <w:footerReference r:id="rId32" w:type="default"/>
          <w:pgSz w:w="11906" w:h="16839"/>
          <w:pgMar w:top="820" w:right="1247" w:bottom="1156" w:left="1416" w:header="0" w:footer="996" w:gutter="0"/>
          <w:cols w:space="720" w:num="1"/>
        </w:sectPr>
      </w:pPr>
    </w:p>
    <w:p w14:paraId="1F6D0790">
      <w:pPr>
        <w:pStyle w:val="39"/>
        <w:rPr>
          <w:rFonts w:hint="eastAsia"/>
          <w:color w:val="auto"/>
          <w:highlight w:val="none"/>
        </w:rPr>
      </w:pPr>
      <w:r>
        <w:rPr>
          <w:rFonts w:hint="eastAsia"/>
          <w:color w:val="auto"/>
          <w:highlight w:val="none"/>
        </w:rPr>
        <w:t>附件：</w:t>
      </w:r>
    </w:p>
    <w:p w14:paraId="1385F9D2">
      <w:pPr>
        <w:pStyle w:val="39"/>
        <w:jc w:val="center"/>
        <w:rPr>
          <w:rFonts w:hint="eastAsia"/>
          <w:color w:val="auto"/>
          <w:highlight w:val="none"/>
        </w:rPr>
      </w:pPr>
      <w:r>
        <w:rPr>
          <w:rFonts w:hint="eastAsia"/>
          <w:color w:val="auto"/>
          <w:highlight w:val="none"/>
        </w:rPr>
        <w:t>　</w:t>
      </w:r>
      <w:r>
        <w:rPr>
          <w:rStyle w:val="48"/>
          <w:rFonts w:hint="eastAsia"/>
          <w:color w:val="auto"/>
          <w:sz w:val="36"/>
          <w:szCs w:val="36"/>
          <w:highlight w:val="none"/>
        </w:rPr>
        <w:t>　吉林省强化政府采购政策支持中小企业发展落实举措</w:t>
      </w:r>
    </w:p>
    <w:p w14:paraId="299A8A54">
      <w:pPr>
        <w:pStyle w:val="39"/>
        <w:spacing w:before="0" w:beforeAutospacing="0" w:after="0" w:afterAutospacing="0" w:line="360" w:lineRule="auto"/>
        <w:rPr>
          <w:rFonts w:hint="eastAsia"/>
          <w:color w:val="auto"/>
          <w:sz w:val="21"/>
          <w:szCs w:val="21"/>
          <w:highlight w:val="none"/>
        </w:rPr>
      </w:pPr>
      <w:r>
        <w:rPr>
          <w:rFonts w:hint="eastAsia"/>
          <w:color w:val="auto"/>
          <w:highlight w:val="none"/>
        </w:rPr>
        <w:t>　　</w:t>
      </w:r>
      <w:r>
        <w:rPr>
          <w:rFonts w:hint="eastAsia"/>
          <w:color w:val="auto"/>
          <w:sz w:val="21"/>
          <w:szCs w:val="21"/>
          <w:highlight w:val="none"/>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p>
    <w:p w14:paraId="6600E075">
      <w:pPr>
        <w:pStyle w:val="39"/>
        <w:spacing w:before="0" w:beforeAutospacing="0" w:after="0" w:afterAutospacing="0" w:line="360" w:lineRule="auto"/>
        <w:rPr>
          <w:rFonts w:hint="eastAsia"/>
          <w:color w:val="auto"/>
          <w:sz w:val="21"/>
          <w:szCs w:val="21"/>
          <w:highlight w:val="none"/>
        </w:rPr>
      </w:pPr>
      <w:r>
        <w:rPr>
          <w:rStyle w:val="48"/>
          <w:rFonts w:hint="eastAsia"/>
          <w:color w:val="auto"/>
          <w:sz w:val="21"/>
          <w:szCs w:val="21"/>
          <w:highlight w:val="none"/>
        </w:rPr>
        <w:t>　　一、强化政策落实支持中小企业发展</w:t>
      </w:r>
    </w:p>
    <w:p w14:paraId="4D0EF504">
      <w:pPr>
        <w:pStyle w:val="39"/>
        <w:spacing w:before="0" w:beforeAutospacing="0" w:after="0" w:afterAutospacing="0" w:line="360" w:lineRule="auto"/>
        <w:rPr>
          <w:rFonts w:hint="eastAsia"/>
          <w:color w:val="auto"/>
          <w:sz w:val="21"/>
          <w:szCs w:val="21"/>
          <w:highlight w:val="none"/>
        </w:rPr>
      </w:pPr>
      <w:r>
        <w:rPr>
          <w:rFonts w:hint="eastAsia"/>
          <w:color w:val="auto"/>
          <w:sz w:val="21"/>
          <w:szCs w:val="21"/>
          <w:highlight w:val="none"/>
        </w:rPr>
        <w:t>　　各级预算单位要认真落实《政府采购促进中小企业发展管理办法》（财库〔2020〕46号，以下简称《办法》）的规定，加强采购需求管理，规范资格条件设置，降低中小企业参加政府采购活动门槛 。科学编制政府项目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p>
    <w:p w14:paraId="45DD74C8">
      <w:pPr>
        <w:pStyle w:val="39"/>
        <w:spacing w:before="0" w:beforeAutospacing="0" w:after="0" w:afterAutospacing="0" w:line="360" w:lineRule="auto"/>
        <w:rPr>
          <w:rFonts w:hint="eastAsia"/>
          <w:color w:val="auto"/>
          <w:sz w:val="21"/>
          <w:szCs w:val="21"/>
          <w:highlight w:val="none"/>
        </w:rPr>
      </w:pPr>
      <w:r>
        <w:rPr>
          <w:rFonts w:hint="eastAsia"/>
          <w:color w:val="auto"/>
          <w:sz w:val="21"/>
          <w:szCs w:val="21"/>
          <w:highlight w:val="none"/>
        </w:rPr>
        <w:t>　　</w:t>
      </w:r>
      <w:r>
        <w:rPr>
          <w:rStyle w:val="48"/>
          <w:rFonts w:hint="eastAsia"/>
          <w:color w:val="auto"/>
          <w:sz w:val="21"/>
          <w:szCs w:val="21"/>
          <w:highlight w:val="none"/>
        </w:rPr>
        <w:t>二、提高政府采购项目价格评审优惠幅度</w:t>
      </w:r>
    </w:p>
    <w:p w14:paraId="2CBFF252">
      <w:pPr>
        <w:pStyle w:val="39"/>
        <w:spacing w:before="0" w:beforeAutospacing="0" w:after="0" w:afterAutospacing="0" w:line="360" w:lineRule="auto"/>
        <w:rPr>
          <w:rFonts w:hint="eastAsia"/>
          <w:color w:val="auto"/>
          <w:sz w:val="21"/>
          <w:szCs w:val="21"/>
          <w:highlight w:val="none"/>
        </w:rPr>
      </w:pPr>
      <w:r>
        <w:rPr>
          <w:rFonts w:hint="eastAsia"/>
          <w:color w:val="auto"/>
          <w:sz w:val="21"/>
          <w:szCs w:val="21"/>
          <w:highlight w:val="none"/>
        </w:rPr>
        <w:t>　　自2022年7月1日起发布采购公告或者发出采购邀请，未预留份额专门面向中小企业采购的货物、服务项目，</w:t>
      </w:r>
      <w:r>
        <w:rPr>
          <w:rFonts w:hint="eastAsia"/>
          <w:b/>
          <w:bCs/>
          <w:color w:val="auto"/>
          <w:sz w:val="21"/>
          <w:szCs w:val="21"/>
          <w:highlight w:val="none"/>
        </w:rPr>
        <w:t>给予小微企业的价格扣除优惠由《办法》规定的6%-10%提高至10%-20%；</w:t>
      </w:r>
      <w:r>
        <w:rPr>
          <w:rFonts w:hint="eastAsia"/>
          <w:color w:val="auto"/>
          <w:sz w:val="21"/>
          <w:szCs w:val="21"/>
          <w:highlight w:val="none"/>
        </w:rPr>
        <w:t>大中型企业与小微企业组成联合体或者大中型企业向小微企业分包的，评审优惠幅度由2%—3%提高至4%—6%。政府采购工程的价格评审优惠按照《办法》的规定执行。</w:t>
      </w:r>
    </w:p>
    <w:p w14:paraId="6718D27A">
      <w:pPr>
        <w:pStyle w:val="39"/>
        <w:spacing w:before="0" w:beforeAutospacing="0" w:after="0" w:afterAutospacing="0" w:line="360" w:lineRule="auto"/>
        <w:rPr>
          <w:rFonts w:hint="eastAsia"/>
          <w:color w:val="auto"/>
          <w:sz w:val="21"/>
          <w:szCs w:val="21"/>
          <w:highlight w:val="none"/>
        </w:rPr>
      </w:pPr>
      <w:r>
        <w:rPr>
          <w:rFonts w:hint="eastAsia"/>
          <w:color w:val="auto"/>
          <w:sz w:val="21"/>
          <w:szCs w:val="21"/>
          <w:highlight w:val="none"/>
        </w:rPr>
        <w:t>　　</w:t>
      </w:r>
      <w:r>
        <w:rPr>
          <w:rStyle w:val="48"/>
          <w:rFonts w:hint="eastAsia"/>
          <w:color w:val="auto"/>
          <w:sz w:val="21"/>
          <w:szCs w:val="21"/>
          <w:highlight w:val="none"/>
        </w:rPr>
        <w:t>三、提高政府采购工程项目预留份额比例</w:t>
      </w:r>
    </w:p>
    <w:p w14:paraId="37D35A20">
      <w:pPr>
        <w:pStyle w:val="39"/>
        <w:spacing w:before="0" w:beforeAutospacing="0" w:after="0" w:afterAutospacing="0" w:line="360" w:lineRule="auto"/>
        <w:rPr>
          <w:rFonts w:hint="eastAsia"/>
          <w:color w:val="auto"/>
          <w:sz w:val="21"/>
          <w:szCs w:val="21"/>
          <w:highlight w:val="none"/>
        </w:rPr>
      </w:pPr>
      <w:r>
        <w:rPr>
          <w:rFonts w:hint="eastAsia"/>
          <w:color w:val="auto"/>
          <w:sz w:val="21"/>
          <w:szCs w:val="21"/>
          <w:highlight w:val="none"/>
        </w:rPr>
        <w:t>　　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省财政厅将协调发改、工信、住建、交通、水利、商务等部门，按照国家相关工程招投标行政监督部门对工程招投标领域落实政府采购支持中小企业的政策要求，及时调整完善工程招投标领域有关标准文本、评标制度等，支持督促各预算单位严格落实政府采购政策。</w:t>
      </w:r>
    </w:p>
    <w:p w14:paraId="4D710676">
      <w:pPr>
        <w:pStyle w:val="39"/>
        <w:spacing w:before="0" w:beforeAutospacing="0" w:after="0" w:afterAutospacing="0" w:line="360" w:lineRule="auto"/>
        <w:rPr>
          <w:rFonts w:hint="eastAsia"/>
          <w:color w:val="auto"/>
          <w:sz w:val="21"/>
          <w:szCs w:val="21"/>
          <w:highlight w:val="none"/>
        </w:rPr>
      </w:pPr>
      <w:r>
        <w:rPr>
          <w:rFonts w:hint="eastAsia"/>
          <w:color w:val="auto"/>
          <w:sz w:val="21"/>
          <w:szCs w:val="21"/>
          <w:highlight w:val="none"/>
        </w:rPr>
        <w:t>　　</w:t>
      </w:r>
      <w:r>
        <w:rPr>
          <w:rStyle w:val="48"/>
          <w:rFonts w:hint="eastAsia"/>
          <w:color w:val="auto"/>
          <w:sz w:val="21"/>
          <w:szCs w:val="21"/>
          <w:highlight w:val="none"/>
        </w:rPr>
        <w:t>四、降低经营成本提高履约能力</w:t>
      </w:r>
    </w:p>
    <w:p w14:paraId="39F78C2F">
      <w:pPr>
        <w:pStyle w:val="39"/>
        <w:spacing w:before="0" w:beforeAutospacing="0" w:after="0" w:afterAutospacing="0" w:line="360" w:lineRule="auto"/>
        <w:rPr>
          <w:rFonts w:hint="eastAsia"/>
          <w:color w:val="auto"/>
          <w:sz w:val="21"/>
          <w:szCs w:val="21"/>
          <w:highlight w:val="none"/>
        </w:rPr>
      </w:pPr>
      <w:r>
        <w:rPr>
          <w:rFonts w:hint="eastAsia"/>
          <w:color w:val="auto"/>
          <w:sz w:val="21"/>
          <w:szCs w:val="21"/>
          <w:highlight w:val="none"/>
        </w:rPr>
        <w:t>　　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地确定首期预付款比例，并尽量缩短资金支付期限。</w:t>
      </w:r>
    </w:p>
    <w:p w14:paraId="49DD269E">
      <w:pPr>
        <w:pStyle w:val="39"/>
        <w:spacing w:before="0" w:beforeAutospacing="0" w:after="0" w:afterAutospacing="0" w:line="360" w:lineRule="auto"/>
        <w:rPr>
          <w:rFonts w:hint="eastAsia"/>
          <w:color w:val="auto"/>
          <w:sz w:val="21"/>
          <w:szCs w:val="21"/>
          <w:highlight w:val="none"/>
        </w:rPr>
      </w:pPr>
      <w:r>
        <w:rPr>
          <w:rFonts w:hint="eastAsia"/>
          <w:color w:val="auto"/>
          <w:sz w:val="21"/>
          <w:szCs w:val="21"/>
          <w:highlight w:val="none"/>
        </w:rPr>
        <w:t>　　</w:t>
      </w:r>
      <w:r>
        <w:rPr>
          <w:rStyle w:val="48"/>
          <w:rFonts w:hint="eastAsia"/>
          <w:color w:val="auto"/>
          <w:sz w:val="21"/>
          <w:szCs w:val="21"/>
          <w:highlight w:val="none"/>
        </w:rPr>
        <w:t>五、优化政府采购程序推进全流程电子化</w:t>
      </w:r>
    </w:p>
    <w:p w14:paraId="4996ADBE">
      <w:pPr>
        <w:pStyle w:val="39"/>
        <w:spacing w:before="0" w:beforeAutospacing="0" w:after="0" w:afterAutospacing="0" w:line="360" w:lineRule="auto"/>
        <w:rPr>
          <w:rFonts w:hint="eastAsia"/>
          <w:color w:val="auto"/>
          <w:sz w:val="21"/>
          <w:szCs w:val="21"/>
          <w:highlight w:val="none"/>
        </w:rPr>
      </w:pPr>
      <w:r>
        <w:rPr>
          <w:rFonts w:hint="eastAsia"/>
          <w:color w:val="auto"/>
          <w:sz w:val="21"/>
          <w:szCs w:val="21"/>
          <w:highlight w:val="none"/>
        </w:rPr>
        <w:t>　　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p>
    <w:p w14:paraId="15851EC4">
      <w:pPr>
        <w:pStyle w:val="39"/>
        <w:spacing w:before="0" w:beforeAutospacing="0" w:after="0" w:afterAutospacing="0" w:line="360" w:lineRule="auto"/>
        <w:rPr>
          <w:rFonts w:hint="eastAsia"/>
          <w:color w:val="auto"/>
          <w:sz w:val="21"/>
          <w:szCs w:val="21"/>
          <w:highlight w:val="none"/>
        </w:rPr>
      </w:pPr>
      <w:r>
        <w:rPr>
          <w:rFonts w:hint="eastAsia"/>
          <w:color w:val="auto"/>
          <w:sz w:val="21"/>
          <w:szCs w:val="21"/>
          <w:highlight w:val="none"/>
        </w:rPr>
        <w:t>　　</w:t>
      </w:r>
      <w:r>
        <w:rPr>
          <w:rStyle w:val="48"/>
          <w:rFonts w:hint="eastAsia"/>
          <w:color w:val="auto"/>
          <w:sz w:val="21"/>
          <w:szCs w:val="21"/>
          <w:highlight w:val="none"/>
        </w:rPr>
        <w:t>六、加强项目执行管理提升政府采购透明度</w:t>
      </w:r>
    </w:p>
    <w:p w14:paraId="33CB7A01">
      <w:pPr>
        <w:pStyle w:val="39"/>
        <w:spacing w:before="0" w:beforeAutospacing="0" w:after="0" w:afterAutospacing="0" w:line="360" w:lineRule="auto"/>
        <w:rPr>
          <w:rFonts w:hint="eastAsia"/>
          <w:color w:val="auto"/>
          <w:sz w:val="21"/>
          <w:szCs w:val="21"/>
          <w:highlight w:val="none"/>
        </w:rPr>
      </w:pPr>
      <w:r>
        <w:rPr>
          <w:rFonts w:hint="eastAsia"/>
          <w:color w:val="auto"/>
          <w:sz w:val="21"/>
          <w:szCs w:val="21"/>
          <w:highlight w:val="none"/>
        </w:rPr>
        <w:t>　　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p>
    <w:p w14:paraId="1A042A43">
      <w:pPr>
        <w:spacing w:line="360" w:lineRule="auto"/>
        <w:rPr>
          <w:color w:val="auto"/>
          <w:highlight w:val="none"/>
        </w:rPr>
        <w:sectPr>
          <w:footerReference r:id="rId33" w:type="default"/>
          <w:pgSz w:w="11906" w:h="16839"/>
          <w:pgMar w:top="820" w:right="1800" w:bottom="1440" w:left="1800" w:header="0" w:footer="996" w:gutter="0"/>
          <w:cols w:space="720" w:num="1"/>
        </w:sectPr>
      </w:pPr>
      <w:r>
        <w:rPr>
          <w:rFonts w:hint="eastAsia"/>
          <w:color w:val="auto"/>
          <w:sz w:val="21"/>
          <w:szCs w:val="21"/>
          <w:highlight w:val="none"/>
        </w:rPr>
        <w:t>　　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2B236876">
      <w:pPr>
        <w:numPr>
          <w:ilvl w:val="2"/>
          <w:numId w:val="0"/>
        </w:numPr>
        <w:tabs>
          <w:tab w:val="left" w:pos="720"/>
        </w:tabs>
        <w:jc w:val="center"/>
        <w:rPr>
          <w:rFonts w:hint="eastAsia" w:ascii="宋体" w:hAnsi="宋体" w:cs="宋体"/>
          <w:bCs/>
          <w:color w:val="auto"/>
          <w:sz w:val="30"/>
          <w:szCs w:val="30"/>
          <w:highlight w:val="none"/>
        </w:rPr>
      </w:pPr>
      <w:bookmarkStart w:id="166" w:name="_Toc8579"/>
      <w:r>
        <w:rPr>
          <w:rFonts w:hint="eastAsia" w:ascii="宋体" w:hAnsi="宋体" w:cs="宋体"/>
          <w:b/>
          <w:color w:val="auto"/>
          <w:sz w:val="30"/>
          <w:szCs w:val="30"/>
          <w:highlight w:val="none"/>
        </w:rPr>
        <w:t>监狱企业的证明文件</w:t>
      </w:r>
      <w:bookmarkEnd w:id="166"/>
    </w:p>
    <w:p w14:paraId="68811073">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（如果是，提供）</w:t>
      </w:r>
    </w:p>
    <w:p w14:paraId="16AC8178">
      <w:pPr>
        <w:autoSpaceDE w:val="0"/>
        <w:autoSpaceDN w:val="0"/>
        <w:adjustRightInd w:val="0"/>
        <w:spacing w:before="156" w:beforeLines="50" w:after="156" w:afterLines="50"/>
        <w:jc w:val="center"/>
        <w:rPr>
          <w:rFonts w:hint="eastAsia" w:ascii="宋体" w:hAnsi="宋体" w:cs="宋体"/>
          <w:color w:val="auto"/>
          <w:sz w:val="24"/>
          <w:highlight w:val="none"/>
        </w:rPr>
      </w:pPr>
      <w:r>
        <w:rPr>
          <w:rFonts w:hint="eastAsia" w:ascii="宋体" w:hAnsi="宋体" w:cs="宋体"/>
          <w:color w:val="auto"/>
          <w:sz w:val="24"/>
          <w:highlight w:val="none"/>
        </w:rPr>
        <w:t>（如果是，提供</w:t>
      </w:r>
      <w:r>
        <w:rPr>
          <w:rFonts w:hint="eastAsia" w:ascii="宋体" w:hAnsi="宋体" w:cs="宋体"/>
          <w:bCs/>
          <w:color w:val="auto"/>
          <w:sz w:val="24"/>
          <w:highlight w:val="none"/>
        </w:rPr>
        <w:t>省级以上监狱管理局、戒毒管理局（含新疆生产建设兵团）出具的属于监狱企业的证明文件</w:t>
      </w:r>
      <w:r>
        <w:rPr>
          <w:rFonts w:hint="eastAsia" w:ascii="宋体" w:hAnsi="宋体" w:cs="宋体"/>
          <w:color w:val="auto"/>
          <w:sz w:val="24"/>
          <w:highlight w:val="none"/>
        </w:rPr>
        <w:t>）</w:t>
      </w:r>
      <w:r>
        <w:rPr>
          <w:rFonts w:hint="eastAsia" w:ascii="宋体" w:hAnsi="宋体" w:cs="宋体"/>
          <w:color w:val="auto"/>
          <w:sz w:val="24"/>
          <w:highlight w:val="none"/>
        </w:rPr>
        <w:tab/>
      </w:r>
    </w:p>
    <w:p w14:paraId="1C189AC3">
      <w:pPr>
        <w:spacing w:line="480" w:lineRule="auto"/>
        <w:rPr>
          <w:rFonts w:hint="eastAsia" w:ascii="宋体" w:hAnsi="宋体" w:cs="宋体"/>
          <w:color w:val="auto"/>
          <w:sz w:val="24"/>
          <w:highlight w:val="none"/>
        </w:rPr>
      </w:pPr>
      <w:r>
        <w:rPr>
          <w:rFonts w:hint="eastAsia" w:ascii="宋体" w:hAnsi="宋体" w:cs="宋体"/>
          <w:b/>
          <w:bCs/>
          <w:color w:val="auto"/>
          <w:sz w:val="30"/>
          <w:szCs w:val="30"/>
          <w:highlight w:val="none"/>
        </w:rPr>
        <w:br w:type="page"/>
      </w:r>
    </w:p>
    <w:p w14:paraId="68665555">
      <w:pPr>
        <w:tabs>
          <w:tab w:val="left" w:pos="720"/>
        </w:tabs>
        <w:ind w:left="720" w:hanging="720"/>
        <w:jc w:val="center"/>
        <w:rPr>
          <w:rFonts w:hint="eastAsia" w:ascii="宋体" w:hAnsi="宋体" w:cs="宋体"/>
          <w:bCs/>
          <w:color w:val="auto"/>
          <w:sz w:val="30"/>
          <w:szCs w:val="30"/>
          <w:highlight w:val="none"/>
        </w:rPr>
      </w:pPr>
      <w:bookmarkStart w:id="167" w:name="_Toc14638"/>
      <w:r>
        <w:rPr>
          <w:rFonts w:hint="eastAsia" w:ascii="宋体" w:hAnsi="宋体" w:cs="宋体"/>
          <w:b/>
          <w:color w:val="auto"/>
          <w:sz w:val="30"/>
          <w:szCs w:val="30"/>
          <w:highlight w:val="none"/>
        </w:rPr>
        <w:t>残疾人福利性单位声明函</w:t>
      </w:r>
      <w:bookmarkEnd w:id="167"/>
    </w:p>
    <w:p w14:paraId="7E47D434">
      <w:pPr>
        <w:autoSpaceDE w:val="0"/>
        <w:autoSpaceDN w:val="0"/>
        <w:spacing w:line="360" w:lineRule="auto"/>
        <w:jc w:val="center"/>
        <w:rPr>
          <w:rFonts w:hint="eastAsia" w:ascii="宋体" w:hAnsi="宋体" w:cs="宋体"/>
          <w:b/>
          <w:bCs/>
          <w:color w:val="auto"/>
          <w:sz w:val="30"/>
          <w:szCs w:val="30"/>
          <w:highlight w:val="none"/>
        </w:rPr>
      </w:pPr>
      <w:r>
        <w:rPr>
          <w:rFonts w:hint="eastAsia" w:ascii="宋体" w:hAnsi="宋体" w:cs="宋体"/>
          <w:color w:val="auto"/>
          <w:sz w:val="24"/>
          <w:highlight w:val="none"/>
        </w:rPr>
        <w:t>（如果是，提供）</w:t>
      </w:r>
    </w:p>
    <w:p w14:paraId="70829C2E">
      <w:pPr>
        <w:autoSpaceDE w:val="0"/>
        <w:autoSpaceDN w:val="0"/>
        <w:spacing w:line="360" w:lineRule="auto"/>
        <w:ind w:firstLine="480" w:firstLineChars="200"/>
        <w:rPr>
          <w:rFonts w:hint="eastAsia" w:ascii="宋体" w:hAnsi="宋体" w:cs="宋体"/>
          <w:snapToGrid w:val="0"/>
          <w:color w:val="auto"/>
          <w:sz w:val="24"/>
          <w:highlight w:val="none"/>
        </w:rPr>
      </w:pPr>
      <w:r>
        <w:rPr>
          <w:rFonts w:hint="eastAsia" w:ascii="宋体" w:hAnsi="宋体" w:cs="宋体"/>
          <w:snapToGrid w:val="0"/>
          <w:color w:val="auto"/>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19B94E7">
      <w:pPr>
        <w:autoSpaceDE w:val="0"/>
        <w:autoSpaceDN w:val="0"/>
        <w:spacing w:line="360" w:lineRule="auto"/>
        <w:ind w:firstLine="480" w:firstLineChars="200"/>
        <w:rPr>
          <w:rFonts w:hint="eastAsia" w:ascii="宋体" w:hAnsi="宋体" w:cs="宋体"/>
          <w:snapToGrid w:val="0"/>
          <w:color w:val="auto"/>
          <w:sz w:val="24"/>
          <w:highlight w:val="none"/>
        </w:rPr>
      </w:pPr>
      <w:r>
        <w:rPr>
          <w:rFonts w:hint="eastAsia" w:ascii="宋体" w:hAnsi="宋体" w:cs="宋体"/>
          <w:snapToGrid w:val="0"/>
          <w:color w:val="auto"/>
          <w:sz w:val="24"/>
          <w:highlight w:val="none"/>
        </w:rPr>
        <w:t>本单位对上述声明的真实性负责。如有虚假，将依法承担相应责任。</w:t>
      </w:r>
    </w:p>
    <w:p w14:paraId="6AEF8D5F">
      <w:pPr>
        <w:spacing w:line="360" w:lineRule="auto"/>
        <w:ind w:firstLine="480" w:firstLineChars="200"/>
        <w:rPr>
          <w:rFonts w:hint="eastAsia" w:ascii="宋体" w:hAnsi="宋体" w:cs="宋体"/>
          <w:snapToGrid w:val="0"/>
          <w:color w:val="auto"/>
          <w:sz w:val="24"/>
          <w:highlight w:val="none"/>
        </w:rPr>
      </w:pPr>
    </w:p>
    <w:p w14:paraId="3E1668C1">
      <w:pPr>
        <w:spacing w:line="360" w:lineRule="auto"/>
        <w:ind w:firstLine="480" w:firstLineChars="200"/>
        <w:rPr>
          <w:rFonts w:hint="eastAsia" w:ascii="宋体" w:hAnsi="宋体" w:cs="宋体"/>
          <w:snapToGrid w:val="0"/>
          <w:color w:val="auto"/>
          <w:sz w:val="24"/>
          <w:highlight w:val="none"/>
        </w:rPr>
      </w:pPr>
    </w:p>
    <w:p w14:paraId="4CABE14A">
      <w:pPr>
        <w:spacing w:line="360" w:lineRule="auto"/>
        <w:ind w:firstLine="480" w:firstLineChars="200"/>
        <w:rPr>
          <w:rFonts w:hint="eastAsia" w:ascii="宋体" w:hAnsi="宋体" w:cs="宋体"/>
          <w:snapToGrid w:val="0"/>
          <w:color w:val="auto"/>
          <w:sz w:val="24"/>
          <w:highlight w:val="none"/>
        </w:rPr>
      </w:pPr>
      <w:r>
        <w:rPr>
          <w:rFonts w:hint="eastAsia" w:ascii="宋体" w:hAnsi="宋体" w:cs="宋体"/>
          <w:snapToGrid w:val="0"/>
          <w:color w:val="auto"/>
          <w:sz w:val="24"/>
          <w:highlight w:val="none"/>
        </w:rPr>
        <w:t xml:space="preserve">                                         </w:t>
      </w:r>
    </w:p>
    <w:p w14:paraId="764D0F0D">
      <w:pPr>
        <w:pStyle w:val="184"/>
        <w:tabs>
          <w:tab w:val="left" w:pos="9450"/>
        </w:tabs>
        <w:spacing w:line="360" w:lineRule="auto"/>
        <w:ind w:right="80" w:rightChars="4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供应商名称（盖</w:t>
      </w:r>
      <w:r>
        <w:rPr>
          <w:rFonts w:hint="eastAsia" w:ascii="宋体" w:hAnsi="宋体" w:cs="宋体"/>
          <w:color w:val="auto"/>
          <w:sz w:val="24"/>
          <w:highlight w:val="none"/>
          <w:shd w:val="clear" w:color="auto" w:fill="FFFFFF"/>
        </w:rPr>
        <w:t>单位公章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2029A90D">
      <w:pPr>
        <w:pStyle w:val="184"/>
        <w:tabs>
          <w:tab w:val="left" w:pos="9450"/>
        </w:tabs>
        <w:spacing w:line="360" w:lineRule="auto"/>
        <w:ind w:right="80" w:rightChars="40" w:firstLine="480" w:firstLineChars="200"/>
        <w:jc w:val="left"/>
        <w:rPr>
          <w:rFonts w:hint="eastAsia" w:ascii="宋体" w:hAnsi="宋体" w:cs="宋体"/>
          <w:color w:val="auto"/>
          <w:sz w:val="24"/>
          <w:highlight w:val="none"/>
        </w:rPr>
      </w:pPr>
    </w:p>
    <w:p w14:paraId="14D23B00">
      <w:pPr>
        <w:pStyle w:val="184"/>
        <w:tabs>
          <w:tab w:val="left" w:pos="9450"/>
        </w:tabs>
        <w:spacing w:line="360" w:lineRule="auto"/>
        <w:ind w:right="80" w:rightChars="4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法定代表人或其委托代理人（签字）：</w:t>
      </w:r>
      <w:r>
        <w:rPr>
          <w:rFonts w:hint="eastAsia" w:ascii="宋体" w:hAnsi="宋体" w:cs="宋体"/>
          <w:color w:val="auto"/>
          <w:sz w:val="24"/>
          <w:highlight w:val="none"/>
          <w:u w:val="single"/>
        </w:rPr>
        <w:t xml:space="preserve">                       </w:t>
      </w:r>
    </w:p>
    <w:p w14:paraId="5E38F84F">
      <w:pPr>
        <w:spacing w:line="360" w:lineRule="auto"/>
        <w:ind w:firstLine="480" w:firstLineChars="200"/>
        <w:rPr>
          <w:rFonts w:hint="eastAsia" w:ascii="宋体" w:hAnsi="宋体" w:cs="宋体"/>
          <w:snapToGrid w:val="0"/>
          <w:color w:val="auto"/>
          <w:sz w:val="24"/>
          <w:highlight w:val="none"/>
        </w:rPr>
      </w:pPr>
    </w:p>
    <w:p w14:paraId="15223CBC">
      <w:pPr>
        <w:spacing w:line="360" w:lineRule="auto"/>
        <w:ind w:firstLine="480" w:firstLineChars="200"/>
        <w:rPr>
          <w:rFonts w:hint="eastAsia" w:ascii="宋体" w:hAnsi="宋体" w:cs="宋体"/>
          <w:snapToGrid w:val="0"/>
          <w:color w:val="auto"/>
          <w:sz w:val="24"/>
          <w:highlight w:val="none"/>
        </w:rPr>
      </w:pPr>
      <w:r>
        <w:rPr>
          <w:rFonts w:hint="eastAsia" w:ascii="宋体" w:hAnsi="宋体" w:cs="宋体"/>
          <w:snapToGrid w:val="0"/>
          <w:color w:val="auto"/>
          <w:sz w:val="24"/>
          <w:highlight w:val="none"/>
        </w:rPr>
        <w:t>日  期：</w:t>
      </w:r>
    </w:p>
    <w:p w14:paraId="3CABDE3D">
      <w:pPr>
        <w:spacing w:line="480" w:lineRule="auto"/>
        <w:rPr>
          <w:rFonts w:hint="eastAsia" w:ascii="宋体" w:hAnsi="宋体" w:cs="宋体"/>
          <w:color w:val="auto"/>
          <w:sz w:val="24"/>
          <w:highlight w:val="none"/>
        </w:rPr>
      </w:pPr>
      <w:r>
        <w:rPr>
          <w:rFonts w:hint="eastAsia" w:ascii="宋体" w:hAnsi="宋体" w:cs="宋体"/>
          <w:color w:val="auto"/>
          <w:sz w:val="24"/>
          <w:highlight w:val="none"/>
        </w:rPr>
        <w:br w:type="page"/>
      </w:r>
    </w:p>
    <w:p w14:paraId="076B10CD">
      <w:pPr>
        <w:tabs>
          <w:tab w:val="left" w:pos="720"/>
        </w:tabs>
        <w:jc w:val="center"/>
        <w:rPr>
          <w:rFonts w:hint="eastAsia" w:ascii="宋体" w:hAnsi="宋体" w:cs="宋体"/>
          <w:bCs/>
          <w:color w:val="auto"/>
          <w:sz w:val="30"/>
          <w:szCs w:val="30"/>
          <w:highlight w:val="none"/>
        </w:rPr>
      </w:pPr>
      <w:bookmarkStart w:id="168" w:name="_Toc17846"/>
      <w:bookmarkStart w:id="169" w:name="_Toc9006527"/>
      <w:r>
        <w:rPr>
          <w:rFonts w:hint="eastAsia" w:ascii="宋体" w:hAnsi="宋体" w:cs="宋体"/>
          <w:b/>
          <w:color w:val="auto"/>
          <w:sz w:val="30"/>
          <w:szCs w:val="30"/>
          <w:highlight w:val="none"/>
        </w:rPr>
        <w:t>节能产品、环境标志产品政府优先采购认证证书一览表</w:t>
      </w:r>
      <w:bookmarkEnd w:id="168"/>
      <w:bookmarkEnd w:id="169"/>
    </w:p>
    <w:p w14:paraId="0ED9C7D0">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（如果有，提供）</w:t>
      </w:r>
    </w:p>
    <w:p w14:paraId="0CA388F9">
      <w:pPr>
        <w:jc w:val="center"/>
        <w:rPr>
          <w:rFonts w:hint="eastAsia" w:ascii="宋体" w:hAnsi="宋体" w:cs="宋体"/>
          <w:color w:val="auto"/>
          <w:highlight w:val="none"/>
        </w:rPr>
      </w:pPr>
    </w:p>
    <w:p w14:paraId="44A88B17">
      <w:pPr>
        <w:adjustRightInd w:val="0"/>
        <w:snapToGrid w:val="0"/>
        <w:spacing w:line="30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采购项目名称： </w:t>
      </w:r>
      <w:r>
        <w:rPr>
          <w:rFonts w:hint="eastAsia" w:ascii="宋体" w:hAnsi="宋体" w:cs="宋体"/>
          <w:color w:val="auto"/>
          <w:sz w:val="24"/>
          <w:highlight w:val="none"/>
          <w:u w:val="single"/>
        </w:rPr>
        <w:t xml:space="preserve">                       </w:t>
      </w:r>
    </w:p>
    <w:p w14:paraId="28E41F7D">
      <w:pPr>
        <w:adjustRightInd w:val="0"/>
        <w:snapToGrid w:val="0"/>
        <w:spacing w:line="300" w:lineRule="auto"/>
        <w:rPr>
          <w:rFonts w:hint="eastAsia" w:ascii="宋体" w:hAnsi="宋体" w:cs="宋体"/>
          <w:bCs/>
          <w:color w:val="auto"/>
          <w:sz w:val="24"/>
          <w:highlight w:val="none"/>
        </w:rPr>
      </w:pPr>
      <w:r>
        <w:rPr>
          <w:rFonts w:hint="eastAsia" w:ascii="宋体" w:hAnsi="宋体" w:cs="宋体"/>
          <w:color w:val="auto"/>
          <w:sz w:val="24"/>
          <w:highlight w:val="none"/>
        </w:rPr>
        <w:t>采购项目编号：</w:t>
      </w:r>
      <w:r>
        <w:rPr>
          <w:rFonts w:hint="eastAsia" w:ascii="宋体" w:hAnsi="宋体" w:cs="宋体"/>
          <w:i/>
          <w:iCs/>
          <w:color w:val="auto"/>
          <w:sz w:val="24"/>
          <w:highlight w:val="none"/>
        </w:rPr>
        <w:t xml:space="preserve"> </w:t>
      </w:r>
      <w:r>
        <w:rPr>
          <w:rFonts w:hint="eastAsia" w:ascii="宋体" w:hAnsi="宋体" w:cs="宋体"/>
          <w:color w:val="auto"/>
          <w:sz w:val="24"/>
          <w:highlight w:val="none"/>
          <w:u w:val="single"/>
        </w:rPr>
        <w:t xml:space="preserve">                       </w:t>
      </w:r>
    </w:p>
    <w:tbl>
      <w:tblPr>
        <w:tblStyle w:val="45"/>
        <w:tblpPr w:leftFromText="180" w:rightFromText="180" w:vertAnchor="text" w:horzAnchor="page" w:tblpXSpec="center" w:tblpY="108"/>
        <w:tblOverlap w:val="never"/>
        <w:tblW w:w="999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81"/>
        <w:gridCol w:w="903"/>
        <w:gridCol w:w="720"/>
        <w:gridCol w:w="1190"/>
        <w:gridCol w:w="1366"/>
        <w:gridCol w:w="1191"/>
        <w:gridCol w:w="999"/>
        <w:gridCol w:w="1221"/>
      </w:tblGrid>
      <w:tr w14:paraId="1C9505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8" w:type="dxa"/>
            <w:vAlign w:val="center"/>
          </w:tcPr>
          <w:p w14:paraId="099B8F0A">
            <w:pPr>
              <w:autoSpaceDE w:val="0"/>
              <w:autoSpaceDN w:val="0"/>
              <w:adjustRightInd w:val="0"/>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序号</w:t>
            </w:r>
          </w:p>
        </w:tc>
        <w:tc>
          <w:tcPr>
            <w:tcW w:w="1581" w:type="dxa"/>
            <w:vAlign w:val="center"/>
          </w:tcPr>
          <w:p w14:paraId="094216DC">
            <w:pPr>
              <w:autoSpaceDE w:val="0"/>
              <w:autoSpaceDN w:val="0"/>
              <w:adjustRightInd w:val="0"/>
              <w:jc w:val="center"/>
              <w:rPr>
                <w:rFonts w:hint="eastAsia" w:ascii="宋体" w:hAnsi="宋体" w:cs="宋体"/>
                <w:b/>
                <w:color w:val="auto"/>
                <w:sz w:val="24"/>
                <w:highlight w:val="none"/>
                <w:lang w:val="zh-CN"/>
              </w:rPr>
            </w:pPr>
            <w:r>
              <w:rPr>
                <w:rFonts w:hint="eastAsia" w:ascii="宋体" w:hAnsi="宋体" w:cs="宋体"/>
                <w:b/>
                <w:color w:val="auto"/>
                <w:sz w:val="24"/>
                <w:highlight w:val="none"/>
              </w:rPr>
              <w:t>标的</w:t>
            </w:r>
            <w:r>
              <w:rPr>
                <w:rFonts w:hint="eastAsia" w:ascii="宋体" w:hAnsi="宋体" w:cs="宋体"/>
                <w:b/>
                <w:color w:val="auto"/>
                <w:sz w:val="24"/>
                <w:highlight w:val="none"/>
                <w:lang w:val="zh-CN"/>
              </w:rPr>
              <w:t>名称</w:t>
            </w:r>
          </w:p>
        </w:tc>
        <w:tc>
          <w:tcPr>
            <w:tcW w:w="903" w:type="dxa"/>
            <w:vAlign w:val="center"/>
          </w:tcPr>
          <w:p w14:paraId="17AF3B6A">
            <w:pPr>
              <w:autoSpaceDE w:val="0"/>
              <w:autoSpaceDN w:val="0"/>
              <w:adjustRightInd w:val="0"/>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品目</w:t>
            </w:r>
          </w:p>
        </w:tc>
        <w:tc>
          <w:tcPr>
            <w:tcW w:w="720" w:type="dxa"/>
            <w:vAlign w:val="center"/>
          </w:tcPr>
          <w:p w14:paraId="6F5C6A6F">
            <w:pPr>
              <w:autoSpaceDE w:val="0"/>
              <w:autoSpaceDN w:val="0"/>
              <w:adjustRightInd w:val="0"/>
              <w:jc w:val="center"/>
              <w:rPr>
                <w:rFonts w:hint="eastAsia" w:ascii="宋体" w:hAnsi="宋体" w:cs="宋体"/>
                <w:b/>
                <w:color w:val="auto"/>
                <w:sz w:val="24"/>
                <w:highlight w:val="none"/>
              </w:rPr>
            </w:pPr>
            <w:r>
              <w:rPr>
                <w:rFonts w:hint="eastAsia" w:ascii="宋体" w:hAnsi="宋体" w:cs="宋体"/>
                <w:b/>
                <w:color w:val="auto"/>
                <w:sz w:val="24"/>
                <w:highlight w:val="none"/>
              </w:rPr>
              <w:t>品牌</w:t>
            </w:r>
          </w:p>
        </w:tc>
        <w:tc>
          <w:tcPr>
            <w:tcW w:w="1190" w:type="dxa"/>
            <w:vAlign w:val="center"/>
          </w:tcPr>
          <w:p w14:paraId="129759ED">
            <w:pPr>
              <w:autoSpaceDE w:val="0"/>
              <w:autoSpaceDN w:val="0"/>
              <w:adjustRightInd w:val="0"/>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规格型号</w:t>
            </w:r>
          </w:p>
        </w:tc>
        <w:tc>
          <w:tcPr>
            <w:tcW w:w="1366" w:type="dxa"/>
            <w:vAlign w:val="center"/>
          </w:tcPr>
          <w:p w14:paraId="0083DF16">
            <w:pPr>
              <w:autoSpaceDE w:val="0"/>
              <w:autoSpaceDN w:val="0"/>
              <w:adjustRightInd w:val="0"/>
              <w:jc w:val="center"/>
              <w:rPr>
                <w:rFonts w:hint="eastAsia" w:ascii="宋体" w:hAnsi="宋体" w:cs="宋体"/>
                <w:b/>
                <w:color w:val="auto"/>
                <w:sz w:val="24"/>
                <w:highlight w:val="none"/>
              </w:rPr>
            </w:pPr>
            <w:r>
              <w:rPr>
                <w:rFonts w:hint="eastAsia" w:ascii="宋体" w:hAnsi="宋体" w:cs="宋体"/>
                <w:b/>
                <w:color w:val="auto"/>
                <w:sz w:val="24"/>
                <w:highlight w:val="none"/>
              </w:rPr>
              <w:t xml:space="preserve">生产者 </w:t>
            </w:r>
          </w:p>
          <w:p w14:paraId="292F77B9">
            <w:pPr>
              <w:autoSpaceDE w:val="0"/>
              <w:autoSpaceDN w:val="0"/>
              <w:adjustRightInd w:val="0"/>
              <w:jc w:val="center"/>
              <w:rPr>
                <w:rFonts w:hint="eastAsia" w:ascii="宋体" w:hAnsi="宋体" w:cs="宋体"/>
                <w:b/>
                <w:color w:val="auto"/>
                <w:sz w:val="24"/>
                <w:highlight w:val="none"/>
                <w:lang w:val="zh-CN"/>
              </w:rPr>
            </w:pPr>
            <w:r>
              <w:rPr>
                <w:rFonts w:hint="eastAsia" w:ascii="宋体" w:hAnsi="宋体" w:cs="宋体"/>
                <w:b/>
                <w:color w:val="auto"/>
                <w:sz w:val="24"/>
                <w:highlight w:val="none"/>
              </w:rPr>
              <w:t>（制造商）</w:t>
            </w:r>
          </w:p>
        </w:tc>
        <w:tc>
          <w:tcPr>
            <w:tcW w:w="1191" w:type="dxa"/>
            <w:vAlign w:val="center"/>
          </w:tcPr>
          <w:p w14:paraId="4E762829">
            <w:pPr>
              <w:autoSpaceDE w:val="0"/>
              <w:autoSpaceDN w:val="0"/>
              <w:adjustRightInd w:val="0"/>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证书编号</w:t>
            </w:r>
          </w:p>
        </w:tc>
        <w:tc>
          <w:tcPr>
            <w:tcW w:w="999" w:type="dxa"/>
            <w:vAlign w:val="center"/>
          </w:tcPr>
          <w:p w14:paraId="6314E391">
            <w:pPr>
              <w:autoSpaceDE w:val="0"/>
              <w:autoSpaceDN w:val="0"/>
              <w:adjustRightInd w:val="0"/>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证书到期日期</w:t>
            </w:r>
          </w:p>
        </w:tc>
        <w:tc>
          <w:tcPr>
            <w:tcW w:w="1221" w:type="dxa"/>
            <w:vAlign w:val="center"/>
          </w:tcPr>
          <w:p w14:paraId="70209529">
            <w:pPr>
              <w:autoSpaceDE w:val="0"/>
              <w:autoSpaceDN w:val="0"/>
              <w:adjustRightInd w:val="0"/>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发证机构</w:t>
            </w:r>
          </w:p>
        </w:tc>
      </w:tr>
      <w:tr w14:paraId="713EB8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8" w:type="dxa"/>
            <w:vAlign w:val="center"/>
          </w:tcPr>
          <w:p w14:paraId="5A33FDEE">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581" w:type="dxa"/>
            <w:vAlign w:val="center"/>
          </w:tcPr>
          <w:p w14:paraId="09869588">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　</w:t>
            </w:r>
          </w:p>
        </w:tc>
        <w:tc>
          <w:tcPr>
            <w:tcW w:w="903" w:type="dxa"/>
            <w:vAlign w:val="center"/>
          </w:tcPr>
          <w:p w14:paraId="21DA1FA0">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　</w:t>
            </w:r>
          </w:p>
        </w:tc>
        <w:tc>
          <w:tcPr>
            <w:tcW w:w="720" w:type="dxa"/>
            <w:vAlign w:val="center"/>
          </w:tcPr>
          <w:p w14:paraId="60757777">
            <w:pPr>
              <w:adjustRightInd w:val="0"/>
              <w:snapToGrid w:val="0"/>
              <w:rPr>
                <w:rFonts w:hint="eastAsia" w:ascii="宋体" w:hAnsi="宋体" w:cs="宋体"/>
                <w:color w:val="auto"/>
                <w:sz w:val="24"/>
                <w:highlight w:val="none"/>
              </w:rPr>
            </w:pPr>
          </w:p>
        </w:tc>
        <w:tc>
          <w:tcPr>
            <w:tcW w:w="1190" w:type="dxa"/>
            <w:vAlign w:val="center"/>
          </w:tcPr>
          <w:p w14:paraId="042EF11C">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　</w:t>
            </w:r>
          </w:p>
        </w:tc>
        <w:tc>
          <w:tcPr>
            <w:tcW w:w="1366" w:type="dxa"/>
            <w:vAlign w:val="center"/>
          </w:tcPr>
          <w:p w14:paraId="0FDCBB2C">
            <w:pPr>
              <w:adjustRightInd w:val="0"/>
              <w:snapToGrid w:val="0"/>
              <w:rPr>
                <w:rFonts w:hint="eastAsia" w:ascii="宋体" w:hAnsi="宋体" w:cs="宋体"/>
                <w:color w:val="auto"/>
                <w:sz w:val="24"/>
                <w:highlight w:val="none"/>
              </w:rPr>
            </w:pPr>
          </w:p>
        </w:tc>
        <w:tc>
          <w:tcPr>
            <w:tcW w:w="1191" w:type="dxa"/>
            <w:vAlign w:val="center"/>
          </w:tcPr>
          <w:p w14:paraId="0BCF211D">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　</w:t>
            </w:r>
          </w:p>
        </w:tc>
        <w:tc>
          <w:tcPr>
            <w:tcW w:w="999" w:type="dxa"/>
            <w:vAlign w:val="center"/>
          </w:tcPr>
          <w:p w14:paraId="6E90D8E3">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　</w:t>
            </w:r>
          </w:p>
        </w:tc>
        <w:tc>
          <w:tcPr>
            <w:tcW w:w="1221" w:type="dxa"/>
            <w:vAlign w:val="center"/>
          </w:tcPr>
          <w:p w14:paraId="023E787E">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　</w:t>
            </w:r>
          </w:p>
        </w:tc>
      </w:tr>
      <w:tr w14:paraId="50B931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8" w:type="dxa"/>
            <w:vAlign w:val="center"/>
          </w:tcPr>
          <w:p w14:paraId="213D1AA9">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581" w:type="dxa"/>
            <w:vAlign w:val="center"/>
          </w:tcPr>
          <w:p w14:paraId="6B60A688">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　</w:t>
            </w:r>
          </w:p>
        </w:tc>
        <w:tc>
          <w:tcPr>
            <w:tcW w:w="903" w:type="dxa"/>
            <w:vAlign w:val="center"/>
          </w:tcPr>
          <w:p w14:paraId="474F671C">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　</w:t>
            </w:r>
          </w:p>
        </w:tc>
        <w:tc>
          <w:tcPr>
            <w:tcW w:w="720" w:type="dxa"/>
            <w:vAlign w:val="center"/>
          </w:tcPr>
          <w:p w14:paraId="44C2A0B7">
            <w:pPr>
              <w:adjustRightInd w:val="0"/>
              <w:snapToGrid w:val="0"/>
              <w:rPr>
                <w:rFonts w:hint="eastAsia" w:ascii="宋体" w:hAnsi="宋体" w:cs="宋体"/>
                <w:color w:val="auto"/>
                <w:sz w:val="24"/>
                <w:highlight w:val="none"/>
              </w:rPr>
            </w:pPr>
          </w:p>
        </w:tc>
        <w:tc>
          <w:tcPr>
            <w:tcW w:w="1190" w:type="dxa"/>
            <w:vAlign w:val="center"/>
          </w:tcPr>
          <w:p w14:paraId="7C39282C">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　</w:t>
            </w:r>
          </w:p>
        </w:tc>
        <w:tc>
          <w:tcPr>
            <w:tcW w:w="1366" w:type="dxa"/>
            <w:vAlign w:val="center"/>
          </w:tcPr>
          <w:p w14:paraId="1881247A">
            <w:pPr>
              <w:adjustRightInd w:val="0"/>
              <w:snapToGrid w:val="0"/>
              <w:rPr>
                <w:rFonts w:hint="eastAsia" w:ascii="宋体" w:hAnsi="宋体" w:cs="宋体"/>
                <w:color w:val="auto"/>
                <w:sz w:val="24"/>
                <w:highlight w:val="none"/>
              </w:rPr>
            </w:pPr>
          </w:p>
        </w:tc>
        <w:tc>
          <w:tcPr>
            <w:tcW w:w="1191" w:type="dxa"/>
            <w:vAlign w:val="center"/>
          </w:tcPr>
          <w:p w14:paraId="3194F890">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　</w:t>
            </w:r>
          </w:p>
        </w:tc>
        <w:tc>
          <w:tcPr>
            <w:tcW w:w="999" w:type="dxa"/>
            <w:vAlign w:val="center"/>
          </w:tcPr>
          <w:p w14:paraId="36D7BB5E">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　</w:t>
            </w:r>
          </w:p>
        </w:tc>
        <w:tc>
          <w:tcPr>
            <w:tcW w:w="1221" w:type="dxa"/>
            <w:vAlign w:val="center"/>
          </w:tcPr>
          <w:p w14:paraId="1CE05137">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　</w:t>
            </w:r>
          </w:p>
        </w:tc>
      </w:tr>
      <w:tr w14:paraId="5F24A0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8" w:type="dxa"/>
            <w:vAlign w:val="center"/>
          </w:tcPr>
          <w:p w14:paraId="6BA6D614">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581" w:type="dxa"/>
            <w:vAlign w:val="center"/>
          </w:tcPr>
          <w:p w14:paraId="7E391D2C">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　</w:t>
            </w:r>
          </w:p>
        </w:tc>
        <w:tc>
          <w:tcPr>
            <w:tcW w:w="903" w:type="dxa"/>
            <w:vAlign w:val="center"/>
          </w:tcPr>
          <w:p w14:paraId="4B6FA3AD">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　</w:t>
            </w:r>
          </w:p>
        </w:tc>
        <w:tc>
          <w:tcPr>
            <w:tcW w:w="720" w:type="dxa"/>
            <w:vAlign w:val="center"/>
          </w:tcPr>
          <w:p w14:paraId="72E73DCA">
            <w:pPr>
              <w:adjustRightInd w:val="0"/>
              <w:snapToGrid w:val="0"/>
              <w:rPr>
                <w:rFonts w:hint="eastAsia" w:ascii="宋体" w:hAnsi="宋体" w:cs="宋体"/>
                <w:color w:val="auto"/>
                <w:sz w:val="24"/>
                <w:highlight w:val="none"/>
              </w:rPr>
            </w:pPr>
          </w:p>
        </w:tc>
        <w:tc>
          <w:tcPr>
            <w:tcW w:w="1190" w:type="dxa"/>
            <w:vAlign w:val="center"/>
          </w:tcPr>
          <w:p w14:paraId="25C96A1D">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　</w:t>
            </w:r>
          </w:p>
        </w:tc>
        <w:tc>
          <w:tcPr>
            <w:tcW w:w="1366" w:type="dxa"/>
            <w:vAlign w:val="center"/>
          </w:tcPr>
          <w:p w14:paraId="75077428">
            <w:pPr>
              <w:adjustRightInd w:val="0"/>
              <w:snapToGrid w:val="0"/>
              <w:rPr>
                <w:rFonts w:hint="eastAsia" w:ascii="宋体" w:hAnsi="宋体" w:cs="宋体"/>
                <w:color w:val="auto"/>
                <w:sz w:val="24"/>
                <w:highlight w:val="none"/>
              </w:rPr>
            </w:pPr>
          </w:p>
        </w:tc>
        <w:tc>
          <w:tcPr>
            <w:tcW w:w="1191" w:type="dxa"/>
            <w:vAlign w:val="center"/>
          </w:tcPr>
          <w:p w14:paraId="2DD2CC84">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　</w:t>
            </w:r>
          </w:p>
        </w:tc>
        <w:tc>
          <w:tcPr>
            <w:tcW w:w="999" w:type="dxa"/>
            <w:vAlign w:val="center"/>
          </w:tcPr>
          <w:p w14:paraId="5D54B1B7">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　</w:t>
            </w:r>
          </w:p>
        </w:tc>
        <w:tc>
          <w:tcPr>
            <w:tcW w:w="1221" w:type="dxa"/>
            <w:vAlign w:val="center"/>
          </w:tcPr>
          <w:p w14:paraId="2AFBAA9F">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　</w:t>
            </w:r>
          </w:p>
        </w:tc>
      </w:tr>
      <w:tr w14:paraId="31F954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8" w:type="dxa"/>
            <w:vAlign w:val="center"/>
          </w:tcPr>
          <w:p w14:paraId="453587B7">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581" w:type="dxa"/>
            <w:vAlign w:val="center"/>
          </w:tcPr>
          <w:p w14:paraId="02318035">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　</w:t>
            </w:r>
          </w:p>
        </w:tc>
        <w:tc>
          <w:tcPr>
            <w:tcW w:w="903" w:type="dxa"/>
            <w:vAlign w:val="center"/>
          </w:tcPr>
          <w:p w14:paraId="0D423DEA">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　</w:t>
            </w:r>
          </w:p>
        </w:tc>
        <w:tc>
          <w:tcPr>
            <w:tcW w:w="720" w:type="dxa"/>
            <w:vAlign w:val="center"/>
          </w:tcPr>
          <w:p w14:paraId="38A3D627">
            <w:pPr>
              <w:adjustRightInd w:val="0"/>
              <w:snapToGrid w:val="0"/>
              <w:rPr>
                <w:rFonts w:hint="eastAsia" w:ascii="宋体" w:hAnsi="宋体" w:cs="宋体"/>
                <w:color w:val="auto"/>
                <w:sz w:val="24"/>
                <w:highlight w:val="none"/>
              </w:rPr>
            </w:pPr>
          </w:p>
        </w:tc>
        <w:tc>
          <w:tcPr>
            <w:tcW w:w="1190" w:type="dxa"/>
            <w:vAlign w:val="center"/>
          </w:tcPr>
          <w:p w14:paraId="520D9064">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　</w:t>
            </w:r>
          </w:p>
        </w:tc>
        <w:tc>
          <w:tcPr>
            <w:tcW w:w="1366" w:type="dxa"/>
            <w:vAlign w:val="center"/>
          </w:tcPr>
          <w:p w14:paraId="54C6A5D1">
            <w:pPr>
              <w:adjustRightInd w:val="0"/>
              <w:snapToGrid w:val="0"/>
              <w:rPr>
                <w:rFonts w:hint="eastAsia" w:ascii="宋体" w:hAnsi="宋体" w:cs="宋体"/>
                <w:color w:val="auto"/>
                <w:sz w:val="24"/>
                <w:highlight w:val="none"/>
              </w:rPr>
            </w:pPr>
          </w:p>
        </w:tc>
        <w:tc>
          <w:tcPr>
            <w:tcW w:w="1191" w:type="dxa"/>
            <w:vAlign w:val="center"/>
          </w:tcPr>
          <w:p w14:paraId="47C247C5">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　</w:t>
            </w:r>
          </w:p>
        </w:tc>
        <w:tc>
          <w:tcPr>
            <w:tcW w:w="999" w:type="dxa"/>
            <w:vAlign w:val="center"/>
          </w:tcPr>
          <w:p w14:paraId="0C2B3AE2">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　</w:t>
            </w:r>
          </w:p>
        </w:tc>
        <w:tc>
          <w:tcPr>
            <w:tcW w:w="1221" w:type="dxa"/>
            <w:vAlign w:val="center"/>
          </w:tcPr>
          <w:p w14:paraId="23AEC659">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　</w:t>
            </w:r>
          </w:p>
        </w:tc>
      </w:tr>
      <w:tr w14:paraId="15F6E9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8" w:type="dxa"/>
            <w:vAlign w:val="center"/>
          </w:tcPr>
          <w:p w14:paraId="0D9E98B1">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581" w:type="dxa"/>
            <w:vAlign w:val="center"/>
          </w:tcPr>
          <w:p w14:paraId="64BD1596">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　</w:t>
            </w:r>
          </w:p>
        </w:tc>
        <w:tc>
          <w:tcPr>
            <w:tcW w:w="903" w:type="dxa"/>
            <w:vAlign w:val="center"/>
          </w:tcPr>
          <w:p w14:paraId="43DC7E3B">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　</w:t>
            </w:r>
          </w:p>
        </w:tc>
        <w:tc>
          <w:tcPr>
            <w:tcW w:w="720" w:type="dxa"/>
            <w:vAlign w:val="center"/>
          </w:tcPr>
          <w:p w14:paraId="75207DBA">
            <w:pPr>
              <w:adjustRightInd w:val="0"/>
              <w:snapToGrid w:val="0"/>
              <w:rPr>
                <w:rFonts w:hint="eastAsia" w:ascii="宋体" w:hAnsi="宋体" w:cs="宋体"/>
                <w:color w:val="auto"/>
                <w:sz w:val="24"/>
                <w:highlight w:val="none"/>
              </w:rPr>
            </w:pPr>
          </w:p>
        </w:tc>
        <w:tc>
          <w:tcPr>
            <w:tcW w:w="1190" w:type="dxa"/>
            <w:vAlign w:val="center"/>
          </w:tcPr>
          <w:p w14:paraId="4631385F">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　</w:t>
            </w:r>
          </w:p>
        </w:tc>
        <w:tc>
          <w:tcPr>
            <w:tcW w:w="1366" w:type="dxa"/>
            <w:vAlign w:val="center"/>
          </w:tcPr>
          <w:p w14:paraId="1AEB85B4">
            <w:pPr>
              <w:adjustRightInd w:val="0"/>
              <w:snapToGrid w:val="0"/>
              <w:rPr>
                <w:rFonts w:hint="eastAsia" w:ascii="宋体" w:hAnsi="宋体" w:cs="宋体"/>
                <w:color w:val="auto"/>
                <w:sz w:val="24"/>
                <w:highlight w:val="none"/>
              </w:rPr>
            </w:pPr>
          </w:p>
        </w:tc>
        <w:tc>
          <w:tcPr>
            <w:tcW w:w="1191" w:type="dxa"/>
            <w:vAlign w:val="center"/>
          </w:tcPr>
          <w:p w14:paraId="5C0F0D9A">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　</w:t>
            </w:r>
          </w:p>
        </w:tc>
        <w:tc>
          <w:tcPr>
            <w:tcW w:w="999" w:type="dxa"/>
            <w:vAlign w:val="center"/>
          </w:tcPr>
          <w:p w14:paraId="182F1488">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　</w:t>
            </w:r>
          </w:p>
        </w:tc>
        <w:tc>
          <w:tcPr>
            <w:tcW w:w="1221" w:type="dxa"/>
            <w:vAlign w:val="center"/>
          </w:tcPr>
          <w:p w14:paraId="749490BA">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　</w:t>
            </w:r>
          </w:p>
        </w:tc>
      </w:tr>
      <w:tr w14:paraId="241CB8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8" w:type="dxa"/>
            <w:vAlign w:val="center"/>
          </w:tcPr>
          <w:p w14:paraId="623FDAE3">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581" w:type="dxa"/>
            <w:vAlign w:val="center"/>
          </w:tcPr>
          <w:p w14:paraId="4C38E711">
            <w:pPr>
              <w:adjustRightInd w:val="0"/>
              <w:snapToGrid w:val="0"/>
              <w:rPr>
                <w:rFonts w:hint="eastAsia" w:ascii="宋体" w:hAnsi="宋体" w:cs="宋体"/>
                <w:color w:val="auto"/>
                <w:sz w:val="24"/>
                <w:highlight w:val="none"/>
              </w:rPr>
            </w:pPr>
          </w:p>
        </w:tc>
        <w:tc>
          <w:tcPr>
            <w:tcW w:w="903" w:type="dxa"/>
            <w:vAlign w:val="center"/>
          </w:tcPr>
          <w:p w14:paraId="4E8DA9AD">
            <w:pPr>
              <w:adjustRightInd w:val="0"/>
              <w:snapToGrid w:val="0"/>
              <w:rPr>
                <w:rFonts w:hint="eastAsia" w:ascii="宋体" w:hAnsi="宋体" w:cs="宋体"/>
                <w:color w:val="auto"/>
                <w:sz w:val="24"/>
                <w:highlight w:val="none"/>
              </w:rPr>
            </w:pPr>
          </w:p>
        </w:tc>
        <w:tc>
          <w:tcPr>
            <w:tcW w:w="720" w:type="dxa"/>
            <w:vAlign w:val="center"/>
          </w:tcPr>
          <w:p w14:paraId="6D079DF2">
            <w:pPr>
              <w:adjustRightInd w:val="0"/>
              <w:snapToGrid w:val="0"/>
              <w:rPr>
                <w:rFonts w:hint="eastAsia" w:ascii="宋体" w:hAnsi="宋体" w:cs="宋体"/>
                <w:color w:val="auto"/>
                <w:sz w:val="24"/>
                <w:highlight w:val="none"/>
              </w:rPr>
            </w:pPr>
          </w:p>
        </w:tc>
        <w:tc>
          <w:tcPr>
            <w:tcW w:w="1190" w:type="dxa"/>
            <w:vAlign w:val="center"/>
          </w:tcPr>
          <w:p w14:paraId="1DF786EB">
            <w:pPr>
              <w:adjustRightInd w:val="0"/>
              <w:snapToGrid w:val="0"/>
              <w:rPr>
                <w:rFonts w:hint="eastAsia" w:ascii="宋体" w:hAnsi="宋体" w:cs="宋体"/>
                <w:color w:val="auto"/>
                <w:sz w:val="24"/>
                <w:highlight w:val="none"/>
              </w:rPr>
            </w:pPr>
          </w:p>
        </w:tc>
        <w:tc>
          <w:tcPr>
            <w:tcW w:w="1366" w:type="dxa"/>
            <w:vAlign w:val="center"/>
          </w:tcPr>
          <w:p w14:paraId="562311CE">
            <w:pPr>
              <w:adjustRightInd w:val="0"/>
              <w:snapToGrid w:val="0"/>
              <w:rPr>
                <w:rFonts w:hint="eastAsia" w:ascii="宋体" w:hAnsi="宋体" w:cs="宋体"/>
                <w:color w:val="auto"/>
                <w:sz w:val="24"/>
                <w:highlight w:val="none"/>
              </w:rPr>
            </w:pPr>
          </w:p>
        </w:tc>
        <w:tc>
          <w:tcPr>
            <w:tcW w:w="1191" w:type="dxa"/>
            <w:vAlign w:val="center"/>
          </w:tcPr>
          <w:p w14:paraId="1BBAB58F">
            <w:pPr>
              <w:adjustRightInd w:val="0"/>
              <w:snapToGrid w:val="0"/>
              <w:rPr>
                <w:rFonts w:hint="eastAsia" w:ascii="宋体" w:hAnsi="宋体" w:cs="宋体"/>
                <w:color w:val="auto"/>
                <w:sz w:val="24"/>
                <w:highlight w:val="none"/>
              </w:rPr>
            </w:pPr>
          </w:p>
        </w:tc>
        <w:tc>
          <w:tcPr>
            <w:tcW w:w="999" w:type="dxa"/>
            <w:vAlign w:val="center"/>
          </w:tcPr>
          <w:p w14:paraId="3783B71B">
            <w:pPr>
              <w:adjustRightInd w:val="0"/>
              <w:snapToGrid w:val="0"/>
              <w:rPr>
                <w:rFonts w:hint="eastAsia" w:ascii="宋体" w:hAnsi="宋体" w:cs="宋体"/>
                <w:color w:val="auto"/>
                <w:sz w:val="24"/>
                <w:highlight w:val="none"/>
              </w:rPr>
            </w:pPr>
          </w:p>
        </w:tc>
        <w:tc>
          <w:tcPr>
            <w:tcW w:w="1221" w:type="dxa"/>
            <w:vAlign w:val="center"/>
          </w:tcPr>
          <w:p w14:paraId="44F75A27">
            <w:pPr>
              <w:adjustRightInd w:val="0"/>
              <w:snapToGrid w:val="0"/>
              <w:rPr>
                <w:rFonts w:hint="eastAsia" w:ascii="宋体" w:hAnsi="宋体" w:cs="宋体"/>
                <w:color w:val="auto"/>
                <w:sz w:val="24"/>
                <w:highlight w:val="none"/>
              </w:rPr>
            </w:pPr>
          </w:p>
        </w:tc>
      </w:tr>
    </w:tbl>
    <w:p w14:paraId="0C20E78F">
      <w:pPr>
        <w:rPr>
          <w:rFonts w:hint="eastAsia" w:ascii="宋体" w:hAnsi="宋体" w:cs="宋体"/>
          <w:color w:val="auto"/>
          <w:highlight w:val="none"/>
        </w:rPr>
      </w:pPr>
    </w:p>
    <w:p w14:paraId="1A086F86">
      <w:pPr>
        <w:adjustRightInd w:val="0"/>
        <w:snapToGrid w:val="0"/>
        <w:ind w:firstLine="390"/>
        <w:rPr>
          <w:rFonts w:hint="eastAsia" w:ascii="宋体" w:hAnsi="宋体" w:cs="宋体"/>
          <w:color w:val="auto"/>
          <w:sz w:val="24"/>
          <w:highlight w:val="none"/>
        </w:rPr>
      </w:pPr>
      <w:r>
        <w:rPr>
          <w:rFonts w:hint="eastAsia" w:ascii="宋体" w:hAnsi="宋体" w:cs="宋体"/>
          <w:color w:val="auto"/>
          <w:sz w:val="24"/>
          <w:highlight w:val="none"/>
        </w:rPr>
        <w:t>注：本表填列要求详见本采购文件第四部分政府采购政策。</w:t>
      </w:r>
    </w:p>
    <w:p w14:paraId="633D9EF2">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1A3BBE0C">
      <w:pPr>
        <w:pStyle w:val="18"/>
        <w:adjustRightInd w:val="0"/>
        <w:snapToGrid w:val="0"/>
        <w:ind w:left="400" w:firstLine="3120" w:firstLineChars="1300"/>
        <w:rPr>
          <w:rFonts w:hint="eastAsia" w:ascii="宋体" w:hAnsi="宋体" w:cs="宋体"/>
          <w:snapToGrid w:val="0"/>
          <w:color w:val="auto"/>
          <w:sz w:val="24"/>
          <w:szCs w:val="24"/>
          <w:highlight w:val="none"/>
        </w:rPr>
      </w:pPr>
    </w:p>
    <w:p w14:paraId="39BB4DCD">
      <w:pPr>
        <w:pStyle w:val="18"/>
        <w:adjustRightInd w:val="0"/>
        <w:snapToGrid w:val="0"/>
        <w:ind w:left="400" w:firstLine="3120" w:firstLineChars="1300"/>
        <w:rPr>
          <w:rFonts w:hint="eastAsia" w:ascii="宋体" w:hAnsi="宋体" w:cs="宋体"/>
          <w:snapToGrid w:val="0"/>
          <w:color w:val="auto"/>
          <w:sz w:val="24"/>
          <w:szCs w:val="24"/>
          <w:highlight w:val="none"/>
        </w:rPr>
      </w:pPr>
    </w:p>
    <w:p w14:paraId="22E78BD2">
      <w:pPr>
        <w:pStyle w:val="18"/>
        <w:adjustRightInd w:val="0"/>
        <w:snapToGrid w:val="0"/>
        <w:ind w:left="400" w:firstLine="3120" w:firstLineChars="1300"/>
        <w:rPr>
          <w:rFonts w:hint="eastAsia" w:ascii="宋体" w:hAnsi="宋体" w:cs="宋体"/>
          <w:snapToGrid w:val="0"/>
          <w:color w:val="auto"/>
          <w:sz w:val="24"/>
          <w:szCs w:val="24"/>
          <w:highlight w:val="none"/>
        </w:rPr>
      </w:pPr>
    </w:p>
    <w:p w14:paraId="726F06C4">
      <w:pPr>
        <w:ind w:firstLine="1100" w:firstLineChars="550"/>
        <w:rPr>
          <w:rFonts w:hint="eastAsia" w:ascii="宋体" w:hAnsi="宋体" w:cs="宋体"/>
          <w:color w:val="auto"/>
          <w:szCs w:val="21"/>
          <w:highlight w:val="none"/>
        </w:rPr>
      </w:pPr>
    </w:p>
    <w:p w14:paraId="6D2C69D6">
      <w:pPr>
        <w:rPr>
          <w:rFonts w:hint="eastAsia" w:ascii="宋体" w:hAnsi="宋体" w:cs="宋体"/>
          <w:color w:val="auto"/>
          <w:szCs w:val="21"/>
          <w:highlight w:val="none"/>
        </w:rPr>
      </w:pPr>
    </w:p>
    <w:p w14:paraId="4380B3C4">
      <w:pPr>
        <w:spacing w:line="480" w:lineRule="auto"/>
        <w:jc w:val="both"/>
        <w:rPr>
          <w:rFonts w:hint="eastAsia" w:ascii="宋体" w:hAnsi="宋体" w:cs="宋体"/>
          <w:color w:val="auto"/>
          <w:sz w:val="24"/>
          <w:highlight w:val="none"/>
        </w:rPr>
      </w:pPr>
      <w:r>
        <w:rPr>
          <w:rFonts w:hint="eastAsia" w:ascii="宋体" w:hAnsi="宋体" w:cs="宋体"/>
          <w:color w:val="auto"/>
          <w:sz w:val="24"/>
          <w:highlight w:val="none"/>
        </w:rPr>
        <w:t>供应商（盖单位公章）</w:t>
      </w:r>
    </w:p>
    <w:p w14:paraId="024F6529">
      <w:pPr>
        <w:spacing w:line="480" w:lineRule="auto"/>
        <w:jc w:val="center"/>
        <w:rPr>
          <w:rFonts w:hint="eastAsia" w:ascii="宋体" w:hAnsi="宋体" w:cs="宋体"/>
          <w:color w:val="auto"/>
          <w:sz w:val="24"/>
          <w:highlight w:val="none"/>
        </w:rPr>
      </w:pPr>
    </w:p>
    <w:p w14:paraId="1858B17A">
      <w:pPr>
        <w:spacing w:line="480" w:lineRule="auto"/>
        <w:jc w:val="both"/>
        <w:rPr>
          <w:rFonts w:hint="eastAsia" w:ascii="宋体" w:hAnsi="宋体" w:cs="宋体"/>
          <w:color w:val="auto"/>
          <w:sz w:val="24"/>
          <w:highlight w:val="none"/>
        </w:rPr>
      </w:pPr>
      <w:r>
        <w:rPr>
          <w:rFonts w:hint="eastAsia" w:ascii="宋体" w:hAnsi="宋体" w:cs="宋体"/>
          <w:color w:val="auto"/>
          <w:sz w:val="24"/>
          <w:highlight w:val="none"/>
        </w:rPr>
        <w:t>法定代表人或其委托代理人（签字）</w:t>
      </w:r>
    </w:p>
    <w:p w14:paraId="0EC2BD74">
      <w:pPr>
        <w:rPr>
          <w:rFonts w:hint="eastAsia" w:ascii="宋体" w:hAnsi="宋体" w:cs="宋体"/>
          <w:color w:val="auto"/>
          <w:highlight w:val="none"/>
        </w:rPr>
      </w:pPr>
    </w:p>
    <w:p w14:paraId="4872A55C">
      <w:pPr>
        <w:spacing w:line="480" w:lineRule="auto"/>
        <w:ind w:left="1000" w:hanging="1000" w:hangingChars="500"/>
        <w:jc w:val="center"/>
        <w:rPr>
          <w:color w:val="auto"/>
          <w:highlight w:val="none"/>
        </w:rPr>
      </w:pPr>
      <w:r>
        <w:rPr>
          <w:rFonts w:hint="eastAsia" w:ascii="宋体" w:hAnsi="宋体" w:cs="宋体"/>
          <w:color w:val="auto"/>
          <w:highlight w:val="none"/>
        </w:rPr>
        <w:t xml:space="preserve">                                        </w:t>
      </w:r>
      <w:r>
        <w:rPr>
          <w:rFonts w:hint="eastAsia" w:ascii="宋体" w:hAnsi="宋体" w:cs="宋体"/>
          <w:color w:val="auto"/>
          <w:sz w:val="24"/>
          <w:highlight w:val="none"/>
        </w:rPr>
        <w:t>年     月     日</w:t>
      </w:r>
    </w:p>
    <w:sectPr>
      <w:pgSz w:w="11906" w:h="16838"/>
      <w:pgMar w:top="1247" w:right="964" w:bottom="1134" w:left="96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Sans Serif">
    <w:altName w:val="Arial"/>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G Times">
    <w:altName w:val="Times New Roman"/>
    <w:panose1 w:val="00000000000000000000"/>
    <w:charset w:val="00"/>
    <w:family w:val="roman"/>
    <w:pitch w:val="default"/>
    <w:sig w:usb0="00000000" w:usb1="00000000" w:usb2="00000000" w:usb3="00000000" w:csb0="00000093"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useo Sans For Dell">
    <w:altName w:val="Segoe Print"/>
    <w:panose1 w:val="00000000000000000000"/>
    <w:charset w:val="00"/>
    <w:family w:val="auto"/>
    <w:pitch w:val="default"/>
    <w:sig w:usb0="00000000" w:usb1="00000000" w:usb2="00000000" w:usb3="00000000" w:csb0="00000093" w:csb1="00000000"/>
  </w:font>
  <w:font w:nam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EF0F5">
    <w:pPr>
      <w:pStyle w:val="28"/>
      <w:jc w:val="center"/>
    </w:pPr>
  </w:p>
  <w:p w14:paraId="3FDEECB1">
    <w:pPr>
      <w:pStyle w:val="2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FB56F">
    <w:pPr>
      <w:pStyle w:val="2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B56DA">
    <w:pPr>
      <w:pStyle w:val="28"/>
    </w:pPr>
    <w:r>
      <w:pict>
        <v:shape id="_x0000_s3107" o:spid="_x0000_s3107"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14:paraId="46ABF3F8">
                <w:pPr>
                  <w:pStyle w:val="28"/>
                </w:pPr>
                <w:r>
                  <w:fldChar w:fldCharType="begin"/>
                </w:r>
                <w:r>
                  <w:instrText xml:space="preserve"> PAGE  \* MERGEFORMAT </w:instrText>
                </w:r>
                <w:r>
                  <w:fldChar w:fldCharType="separate"/>
                </w:r>
                <w:r>
                  <w:t>60</w:t>
                </w:r>
                <w:r>
                  <w:fldChar w:fldCharType="end"/>
                </w:r>
              </w:p>
            </w:txbxContent>
          </v:textbox>
        </v:shape>
      </w:pict>
    </w:r>
  </w:p>
  <w:p w14:paraId="1D2D041B">
    <w:pPr>
      <w:pStyle w:val="28"/>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28421">
    <w:pPr>
      <w:pStyle w:val="28"/>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8A39F">
    <w:pPr>
      <w:pStyle w:val="28"/>
    </w:pPr>
    <w:r>
      <w:pict>
        <v:shape id="_x0000_s3108" o:spid="_x0000_s3108"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14:paraId="07C9EF6C">
                <w:pPr>
                  <w:pStyle w:val="28"/>
                </w:pPr>
                <w:r>
                  <w:fldChar w:fldCharType="begin"/>
                </w:r>
                <w:r>
                  <w:instrText xml:space="preserve"> PAGE  \* MERGEFORMAT </w:instrText>
                </w:r>
                <w:r>
                  <w:fldChar w:fldCharType="separate"/>
                </w:r>
                <w:r>
                  <w:t>71</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63919">
    <w:pPr>
      <w:pStyle w:val="28"/>
      <w:tabs>
        <w:tab w:val="left" w:pos="4305"/>
        <w:tab w:val="center" w:pos="4486"/>
      </w:tabs>
    </w:pPr>
    <w:r>
      <w:pict>
        <v:shape id="_x0000_s3109" o:spid="_x0000_s3109"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14:paraId="3ECCE46A">
                <w:pPr>
                  <w:pStyle w:val="28"/>
                </w:pPr>
                <w:r>
                  <w:fldChar w:fldCharType="begin"/>
                </w:r>
                <w:r>
                  <w:instrText xml:space="preserve"> PAGE  \* MERGEFORMAT </w:instrText>
                </w:r>
                <w:r>
                  <w:fldChar w:fldCharType="separate"/>
                </w:r>
                <w:r>
                  <w:t>70</w:t>
                </w:r>
                <w: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6D325">
    <w:pPr>
      <w:pStyle w:val="28"/>
      <w:tabs>
        <w:tab w:val="left" w:pos="4305"/>
        <w:tab w:val="center" w:pos="4486"/>
      </w:tabs>
    </w:pPr>
    <w:r>
      <w:pict>
        <v:shape id="_x0000_s3110" o:spid="_x0000_s3110"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14:paraId="4D35956C">
                <w:pPr>
                  <w:pStyle w:val="28"/>
                </w:pPr>
                <w:r>
                  <w:fldChar w:fldCharType="begin"/>
                </w:r>
                <w:r>
                  <w:instrText xml:space="preserve"> PAGE  \* MERGEFORMAT </w:instrText>
                </w:r>
                <w:r>
                  <w:fldChar w:fldCharType="separate"/>
                </w:r>
                <w:r>
                  <w:t>77</w:t>
                </w:r>
                <w: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EA08A">
    <w:pPr>
      <w:spacing w:line="196" w:lineRule="auto"/>
      <w:ind w:left="4582"/>
      <w:rPr>
        <w:rFonts w:eastAsia="Times New Roman"/>
        <w:sz w:val="17"/>
        <w:szCs w:val="17"/>
      </w:rPr>
    </w:pPr>
    <w:r>
      <w:rPr>
        <w:sz w:val="17"/>
      </w:rPr>
      <w:pict>
        <v:shape id="_x0000_s3111" o:spid="_x0000_s3111"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joinstyle="miter"/>
          <v:imagedata o:title=""/>
          <o:lock v:ext="edit"/>
          <v:textbox inset="0mm,0mm,0mm,0mm" style="mso-fit-shape-to-text:t;">
            <w:txbxContent>
              <w:p w14:paraId="38B8309F">
                <w:pPr>
                  <w:pStyle w:val="28"/>
                </w:pPr>
                <w:r>
                  <w:fldChar w:fldCharType="begin"/>
                </w:r>
                <w:r>
                  <w:instrText xml:space="preserve"> PAGE  \* MERGEFORMAT </w:instrText>
                </w:r>
                <w:r>
                  <w:fldChar w:fldCharType="separate"/>
                </w:r>
                <w:r>
                  <w:t>79</w:t>
                </w:r>
                <w:r>
                  <w:fldChar w:fldCharType="end"/>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84C8E">
    <w:pPr>
      <w:spacing w:line="196" w:lineRule="auto"/>
      <w:ind w:left="4587"/>
      <w:rPr>
        <w:rFonts w:eastAsia="Times New Roman"/>
        <w:sz w:val="17"/>
        <w:szCs w:val="17"/>
      </w:rPr>
    </w:pPr>
    <w:r>
      <w:rPr>
        <w:sz w:val="17"/>
      </w:rPr>
      <w:pict>
        <v:shape id="_x0000_s3112" o:spid="_x0000_s3112"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joinstyle="miter"/>
          <v:imagedata o:title=""/>
          <o:lock v:ext="edit"/>
          <v:textbox inset="0mm,0mm,0mm,0mm" style="mso-fit-shape-to-text:t;">
            <w:txbxContent>
              <w:p w14:paraId="53B9AAE7">
                <w:pPr>
                  <w:pStyle w:val="28"/>
                </w:pPr>
                <w:r>
                  <w:fldChar w:fldCharType="begin"/>
                </w:r>
                <w:r>
                  <w:instrText xml:space="preserve"> PAGE  \* MERGEFORMAT </w:instrText>
                </w:r>
                <w:r>
                  <w:fldChar w:fldCharType="separate"/>
                </w:r>
                <w:r>
                  <w:t>83</w:t>
                </w:r>
                <w:r>
                  <w:fldChar w:fldCharType="end"/>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C1768">
    <w:pPr>
      <w:spacing w:line="196" w:lineRule="auto"/>
      <w:ind w:left="4588"/>
      <w:rPr>
        <w:rFonts w:eastAsia="Times New Roman"/>
        <w:sz w:val="17"/>
        <w:szCs w:val="17"/>
      </w:rPr>
    </w:pPr>
    <w:r>
      <w:rPr>
        <w:sz w:val="17"/>
      </w:rPr>
      <w:pict>
        <v:shape id="_x0000_s3113" o:spid="_x0000_s3113"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joinstyle="miter"/>
          <v:imagedata o:title=""/>
          <o:lock v:ext="edit"/>
          <v:textbox inset="0mm,0mm,0mm,0mm" style="mso-fit-shape-to-text:t;">
            <w:txbxContent>
              <w:p w14:paraId="6D5F7D34">
                <w:pPr>
                  <w:pStyle w:val="28"/>
                </w:pPr>
                <w:r>
                  <w:fldChar w:fldCharType="begin"/>
                </w:r>
                <w:r>
                  <w:instrText xml:space="preserve"> PAGE  \* MERGEFORMAT </w:instrText>
                </w:r>
                <w:r>
                  <w:fldChar w:fldCharType="separate"/>
                </w:r>
                <w:r>
                  <w:t>86</w:t>
                </w:r>
                <w:r>
                  <w:fldChar w:fldCharType="end"/>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4F74B">
    <w:pPr>
      <w:spacing w:line="193" w:lineRule="auto"/>
      <w:ind w:left="4587"/>
      <w:rPr>
        <w:rFonts w:eastAsia="Times New Roman"/>
        <w:sz w:val="17"/>
        <w:szCs w:val="17"/>
      </w:rPr>
    </w:pPr>
    <w:r>
      <w:rPr>
        <w:sz w:val="17"/>
      </w:rPr>
      <w:pict>
        <v:shape id="_x0000_s3114" o:spid="_x0000_s3114"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joinstyle="miter"/>
          <v:imagedata o:title=""/>
          <o:lock v:ext="edit"/>
          <v:textbox inset="0mm,0mm,0mm,0mm" style="mso-fit-shape-to-text:t;">
            <w:txbxContent>
              <w:p w14:paraId="390583B1">
                <w:pPr>
                  <w:pStyle w:val="28"/>
                </w:pPr>
                <w:r>
                  <w:fldChar w:fldCharType="begin"/>
                </w:r>
                <w:r>
                  <w:instrText xml:space="preserve"> PAGE  \* MERGEFORMAT </w:instrText>
                </w:r>
                <w:r>
                  <w:fldChar w:fldCharType="separate"/>
                </w:r>
                <w:r>
                  <w:t>87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9C98A">
    <w:pPr>
      <w:pStyle w:val="28"/>
      <w:framePr w:wrap="around" w:vAnchor="text" w:hAnchor="margin" w:xAlign="center" w:y="1"/>
      <w:rPr>
        <w:rStyle w:val="49"/>
      </w:rPr>
    </w:pPr>
    <w:r>
      <w:fldChar w:fldCharType="begin"/>
    </w:r>
    <w:r>
      <w:rPr>
        <w:rStyle w:val="49"/>
      </w:rPr>
      <w:instrText xml:space="preserve">PAGE  </w:instrText>
    </w:r>
    <w:r>
      <w:fldChar w:fldCharType="end"/>
    </w:r>
  </w:p>
  <w:p w14:paraId="4EEE18B4">
    <w:pPr>
      <w:pStyle w:val="28"/>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56210">
    <w:pPr>
      <w:spacing w:line="196" w:lineRule="auto"/>
      <w:ind w:left="4597"/>
      <w:rPr>
        <w:rFonts w:eastAsia="Times New Roman"/>
        <w:sz w:val="17"/>
        <w:szCs w:val="17"/>
      </w:rPr>
    </w:pPr>
    <w:r>
      <w:rPr>
        <w:sz w:val="17"/>
      </w:rPr>
      <w:pict>
        <v:shape id="_x0000_s3115" o:spid="_x0000_s3115"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joinstyle="miter"/>
          <v:imagedata o:title=""/>
          <o:lock v:ext="edit"/>
          <v:textbox inset="0mm,0mm,0mm,0mm" style="mso-fit-shape-to-text:t;">
            <w:txbxContent>
              <w:p w14:paraId="1CF171FD">
                <w:pPr>
                  <w:pStyle w:val="28"/>
                </w:pPr>
                <w:r>
                  <w:fldChar w:fldCharType="begin"/>
                </w:r>
                <w:r>
                  <w:instrText xml:space="preserve"> PAGE  \* MERGEFORMAT </w:instrText>
                </w:r>
                <w:r>
                  <w:fldChar w:fldCharType="separate"/>
                </w:r>
                <w:r>
                  <w:t>89</w:t>
                </w:r>
                <w:r>
                  <w:fldChar w:fldCharType="end"/>
                </w: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90E49">
    <w:pPr>
      <w:spacing w:line="196" w:lineRule="auto"/>
      <w:ind w:left="4582"/>
      <w:rPr>
        <w:rFonts w:eastAsia="Times New Roman"/>
        <w:sz w:val="17"/>
        <w:szCs w:val="17"/>
      </w:rPr>
    </w:pPr>
    <w:r>
      <w:rPr>
        <w:sz w:val="17"/>
      </w:rPr>
      <w:pict>
        <v:shape id="_x0000_s3116" o:spid="_x0000_s3116" o:spt="202" type="#_x0000_t202" style="position:absolute;left:0pt;margin-top:0pt;height:144pt;width:144pt;mso-position-horizontal:center;mso-position-horizontal-relative:margin;mso-wrap-style:none;z-index:251672576;mso-width-relative:page;mso-height-relative:page;" filled="f" stroked="f" coordsize="21600,21600">
          <v:path/>
          <v:fill on="f" focussize="0,0"/>
          <v:stroke on="f" joinstyle="miter"/>
          <v:imagedata o:title=""/>
          <o:lock v:ext="edit"/>
          <v:textbox inset="0mm,0mm,0mm,0mm" style="mso-fit-shape-to-text:t;">
            <w:txbxContent>
              <w:p w14:paraId="52609276">
                <w:pPr>
                  <w:pStyle w:val="28"/>
                </w:pPr>
                <w:r>
                  <w:fldChar w:fldCharType="begin"/>
                </w:r>
                <w:r>
                  <w:instrText xml:space="preserve"> PAGE  \* MERGEFORMAT </w:instrText>
                </w:r>
                <w:r>
                  <w:fldChar w:fldCharType="separate"/>
                </w:r>
                <w:r>
                  <w:t>91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88806">
    <w:pPr>
      <w:pStyle w:val="2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53C0B">
    <w:pPr>
      <w:pStyle w:val="28"/>
      <w:jc w:val="center"/>
    </w:pPr>
    <w:r>
      <w:pict>
        <v:shape id="_x0000_s3104" o:spid="_x0000_s310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55B16BD0">
                <w:pPr>
                  <w:pStyle w:val="28"/>
                </w:pPr>
                <w:r>
                  <w:fldChar w:fldCharType="begin"/>
                </w:r>
                <w:r>
                  <w:instrText xml:space="preserve"> PAGE  \* MERGEFORMAT </w:instrText>
                </w:r>
                <w:r>
                  <w:fldChar w:fldCharType="separate"/>
                </w:r>
                <w:r>
                  <w:t>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96162">
    <w:pPr>
      <w:pStyle w:val="28"/>
      <w:tabs>
        <w:tab w:val="left" w:pos="6965"/>
        <w:tab w:val="clear" w:pos="4153"/>
      </w:tabs>
    </w:pPr>
    <w:bookmarkStart w:id="171" w:name="DocumentMarkings1FooterEvenPages"/>
    <w:r>
      <w:rPr>
        <w:rFonts w:hint="eastAsia" w:ascii="Arial" w:hAnsi="Arial" w:cs="Arial"/>
        <w:color w:val="AAAAAA"/>
        <w:sz w:val="20"/>
      </w:rPr>
      <w:tab/>
    </w:r>
    <w:bookmarkEnd w:id="171"/>
  </w:p>
  <w:p w14:paraId="43295215">
    <w:pPr>
      <w:pStyle w:val="2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45E57">
    <w:pPr>
      <w:pStyle w:val="28"/>
      <w:rPr>
        <w:rFonts w:ascii="Museo Sans For Dell" w:hAnsi="Museo Sans For Dell"/>
        <w:b/>
        <w:color w:val="AAAAAA"/>
        <w:sz w:val="17"/>
      </w:rPr>
    </w:pPr>
    <w:bookmarkStart w:id="170" w:name="aliashClassificationFoot1FooterFirstPage"/>
    <w:bookmarkEnd w:id="170"/>
  </w:p>
  <w:p w14:paraId="1FD6C39E">
    <w:pPr>
      <w:pStyle w:val="2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0ED33">
    <w:pPr>
      <w:pStyle w:val="28"/>
      <w:jc w:val="center"/>
    </w:pPr>
    <w:r>
      <w:pict>
        <v:shape id="_x0000_s3105" o:spid="_x0000_s310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4733CA37">
                <w:pPr>
                  <w:pStyle w:val="28"/>
                </w:pPr>
                <w:r>
                  <w:fldChar w:fldCharType="begin"/>
                </w:r>
                <w:r>
                  <w:instrText xml:space="preserve"> PAGE  \* MERGEFORMAT </w:instrText>
                </w:r>
                <w:r>
                  <w:fldChar w:fldCharType="separate"/>
                </w:r>
                <w:r>
                  <w:t>56</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6A3BE">
    <w:pPr>
      <w:pStyle w:val="28"/>
    </w:pPr>
    <w:bookmarkStart w:id="172" w:name="DocumentMarkings2FooterEvenPages"/>
    <w:bookmarkEnd w:id="172"/>
  </w:p>
  <w:p w14:paraId="7E173D14">
    <w:pPr>
      <w:pStyle w:val="2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9B305">
    <w:pPr>
      <w:pStyle w:val="28"/>
      <w:jc w:val="center"/>
    </w:pPr>
    <w:r>
      <w:pict>
        <v:shape id="_x0000_s3106" o:spid="_x0000_s310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429CB588">
                <w:pPr>
                  <w:pStyle w:val="28"/>
                </w:pPr>
                <w:r>
                  <w:fldChar w:fldCharType="begin"/>
                </w:r>
                <w:r>
                  <w:instrText xml:space="preserve"> PAGE  \* MERGEFORMAT </w:instrText>
                </w:r>
                <w:r>
                  <w:fldChar w:fldCharType="separate"/>
                </w:r>
                <w:r>
                  <w:t>58</w:t>
                </w:r>
                <w:r>
                  <w:fldChar w:fldCharType="end"/>
                </w:r>
              </w:p>
            </w:txbxContent>
          </v:textbox>
        </v:shape>
      </w:pict>
    </w:r>
    <w:r>
      <w:pict>
        <v:shape id="文本框 5" o:spid="_x0000_s3076" o:spt="202" type="#_x0000_t202" style="position:absolute;left:0pt;margin-top:0pt;height:10.35pt;width:9.0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">
          <v:path/>
          <v:fill on="f" focussize="0,0"/>
          <v:stroke on="f" joinstyle="miter"/>
          <v:imagedata o:title=""/>
          <o:lock v:ext="edit"/>
          <v:textbox inset="0mm,0mm,0mm,0mm" style="mso-fit-shape-to-text:t;">
            <w:txbxContent>
              <w:p w14:paraId="28FD0117">
                <w:pPr>
                  <w:pStyle w:val="28"/>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EA95E">
    <w:pPr>
      <w:pStyle w:val="29"/>
      <w:pBdr>
        <w:bottom w:val="none" w:color="auto" w:sz="0" w:space="0"/>
      </w:pBdr>
      <w:jc w:val="right"/>
      <w:rPr>
        <w:sz w:val="15"/>
        <w:szCs w:val="15"/>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FCCBF">
    <w:pPr>
      <w:rPr>
        <w:sz w:val="15"/>
        <w:szCs w:val="15"/>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0F635">
    <w:pPr>
      <w:pStyle w:val="29"/>
      <w:pBdr>
        <w:bottom w:val="none" w:color="auto" w:sz="0" w:space="0"/>
      </w:pBdr>
      <w:rPr>
        <w:sz w:val="15"/>
        <w:szCs w:val="15"/>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F6974">
    <w:pPr>
      <w:pStyle w:val="2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92DCE">
    <w:pPr>
      <w:pStyle w:val="29"/>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6F160">
    <w:pPr>
      <w:pStyle w:val="29"/>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6FA2C">
    <w:pPr>
      <w:pStyle w:val="2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5A6CD">
    <w:pPr>
      <w:pStyle w:val="29"/>
      <w:pBdr>
        <w:bottom w:val="none" w:color="auto" w:sz="0" w:space="1"/>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2910F">
    <w:pPr>
      <w:pStyle w:val="2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5B675">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DD6B1"/>
    <w:multiLevelType w:val="singleLevel"/>
    <w:tmpl w:val="8D3DD6B1"/>
    <w:lvl w:ilvl="0" w:tentative="0">
      <w:start w:val="4"/>
      <w:numFmt w:val="chineseCounting"/>
      <w:suff w:val="nothing"/>
      <w:lvlText w:val="%1、"/>
      <w:lvlJc w:val="left"/>
      <w:rPr>
        <w:rFonts w:hint="eastAsia"/>
      </w:rPr>
    </w:lvl>
  </w:abstractNum>
  <w:abstractNum w:abstractNumId="1">
    <w:nsid w:val="00000007"/>
    <w:multiLevelType w:val="multilevel"/>
    <w:tmpl w:val="00000007"/>
    <w:lvl w:ilvl="0" w:tentative="0">
      <w:start w:val="1"/>
      <w:numFmt w:val="decimal"/>
      <w:lvlText w:val="%1."/>
      <w:lvlJc w:val="left"/>
      <w:pPr>
        <w:tabs>
          <w:tab w:val="left" w:pos="420"/>
        </w:tabs>
        <w:ind w:left="420" w:hanging="420"/>
      </w:pPr>
      <w:rPr>
        <w:b w:val="0"/>
        <w:bCs/>
      </w:rPr>
    </w:lvl>
    <w:lvl w:ilvl="1" w:tentative="0">
      <w:start w:val="2"/>
      <w:numFmt w:val="decimal"/>
      <w:isLgl/>
      <w:lvlText w:val="%1.%2."/>
      <w:lvlJc w:val="left"/>
      <w:pPr>
        <w:tabs>
          <w:tab w:val="left" w:pos="857"/>
        </w:tabs>
        <w:ind w:left="857" w:hanging="720"/>
      </w:pPr>
      <w:rPr>
        <w:rFonts w:hint="eastAsia"/>
      </w:rPr>
    </w:lvl>
    <w:lvl w:ilvl="2" w:tentative="0">
      <w:start w:val="2"/>
      <w:numFmt w:val="decimal"/>
      <w:isLgl/>
      <w:lvlText w:val="%1.%2.%3."/>
      <w:lvlJc w:val="left"/>
      <w:pPr>
        <w:tabs>
          <w:tab w:val="left" w:pos="994"/>
        </w:tabs>
        <w:ind w:left="994" w:hanging="720"/>
      </w:pPr>
      <w:rPr>
        <w:rFonts w:hint="eastAsia"/>
      </w:rPr>
    </w:lvl>
    <w:lvl w:ilvl="3" w:tentative="0">
      <w:start w:val="1"/>
      <w:numFmt w:val="decimal"/>
      <w:isLgl/>
      <w:lvlText w:val="%1.%2.%3.%4."/>
      <w:lvlJc w:val="left"/>
      <w:pPr>
        <w:tabs>
          <w:tab w:val="left" w:pos="1491"/>
        </w:tabs>
        <w:ind w:left="1491" w:hanging="1080"/>
      </w:pPr>
      <w:rPr>
        <w:rFonts w:hint="eastAsia"/>
      </w:rPr>
    </w:lvl>
    <w:lvl w:ilvl="4" w:tentative="0">
      <w:start w:val="1"/>
      <w:numFmt w:val="decimal"/>
      <w:isLgl/>
      <w:lvlText w:val="%1.%2.%3.%4.%5."/>
      <w:lvlJc w:val="left"/>
      <w:pPr>
        <w:tabs>
          <w:tab w:val="left" w:pos="1628"/>
        </w:tabs>
        <w:ind w:left="1628" w:hanging="1080"/>
      </w:pPr>
      <w:rPr>
        <w:rFonts w:hint="eastAsia"/>
      </w:rPr>
    </w:lvl>
    <w:lvl w:ilvl="5" w:tentative="0">
      <w:start w:val="1"/>
      <w:numFmt w:val="decimal"/>
      <w:isLgl/>
      <w:lvlText w:val="%1.%2.%3.%4.%5.%6."/>
      <w:lvlJc w:val="left"/>
      <w:pPr>
        <w:tabs>
          <w:tab w:val="left" w:pos="2125"/>
        </w:tabs>
        <w:ind w:left="2125" w:hanging="1440"/>
      </w:pPr>
      <w:rPr>
        <w:rFonts w:hint="eastAsia"/>
      </w:rPr>
    </w:lvl>
    <w:lvl w:ilvl="6" w:tentative="0">
      <w:start w:val="1"/>
      <w:numFmt w:val="decimal"/>
      <w:isLgl/>
      <w:lvlText w:val="%1.%2.%3.%4.%5.%6.%7."/>
      <w:lvlJc w:val="left"/>
      <w:pPr>
        <w:tabs>
          <w:tab w:val="left" w:pos="2622"/>
        </w:tabs>
        <w:ind w:left="2622" w:hanging="1800"/>
      </w:pPr>
      <w:rPr>
        <w:rFonts w:hint="eastAsia"/>
      </w:rPr>
    </w:lvl>
    <w:lvl w:ilvl="7" w:tentative="0">
      <w:start w:val="1"/>
      <w:numFmt w:val="decimal"/>
      <w:isLgl/>
      <w:lvlText w:val="%1.%2.%3.%4.%5.%6.%7.%8."/>
      <w:lvlJc w:val="left"/>
      <w:pPr>
        <w:tabs>
          <w:tab w:val="left" w:pos="2759"/>
        </w:tabs>
        <w:ind w:left="2759" w:hanging="1800"/>
      </w:pPr>
      <w:rPr>
        <w:rFonts w:hint="eastAsia"/>
      </w:rPr>
    </w:lvl>
    <w:lvl w:ilvl="8" w:tentative="0">
      <w:start w:val="1"/>
      <w:numFmt w:val="decimal"/>
      <w:isLgl/>
      <w:lvlText w:val="%1.%2.%3.%4.%5.%6.%7.%8.%9."/>
      <w:lvlJc w:val="left"/>
      <w:pPr>
        <w:tabs>
          <w:tab w:val="left" w:pos="3256"/>
        </w:tabs>
        <w:ind w:left="3256" w:hanging="2160"/>
      </w:pPr>
      <w:rPr>
        <w:rFonts w:hint="eastAsia"/>
      </w:rPr>
    </w:lvl>
  </w:abstractNum>
  <w:abstractNum w:abstractNumId="2">
    <w:nsid w:val="0000000D"/>
    <w:multiLevelType w:val="multilevel"/>
    <w:tmpl w:val="0000000D"/>
    <w:lvl w:ilvl="0" w:tentative="0">
      <w:start w:val="1"/>
      <w:numFmt w:val="none"/>
      <w:pStyle w:val="147"/>
      <w:lvlText w:val=""/>
      <w:lvlJc w:val="left"/>
      <w:pPr>
        <w:tabs>
          <w:tab w:val="left" w:pos="432"/>
        </w:tabs>
        <w:ind w:left="432" w:hanging="432"/>
      </w:pPr>
    </w:lvl>
    <w:lvl w:ilvl="1" w:tentative="0">
      <w:start w:val="1"/>
      <w:numFmt w:val="none"/>
      <w:lvlText w:val=" "/>
      <w:lvlJc w:val="left"/>
      <w:pPr>
        <w:tabs>
          <w:tab w:val="left" w:pos="576"/>
        </w:tabs>
        <w:ind w:left="576" w:hanging="576"/>
      </w:pPr>
    </w:lvl>
    <w:lvl w:ilvl="2" w:tentative="0">
      <w:start w:val="1"/>
      <w:numFmt w:val="none"/>
      <w:pStyle w:val="4"/>
      <w:lvlText w:val=""/>
      <w:lvlJc w:val="left"/>
      <w:pPr>
        <w:tabs>
          <w:tab w:val="left" w:pos="720"/>
        </w:tabs>
        <w:ind w:left="720" w:hanging="720"/>
      </w:p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pStyle w:val="7"/>
      <w:lvlText w:val="           "/>
      <w:lvlJc w:val="left"/>
      <w:pPr>
        <w:tabs>
          <w:tab w:val="left" w:pos="1440"/>
        </w:tabs>
        <w:ind w:left="1152" w:hanging="1152"/>
      </w:pPr>
    </w:lvl>
    <w:lvl w:ilvl="6" w:tentative="0">
      <w:start w:val="1"/>
      <w:numFmt w:val="decimal"/>
      <w:pStyle w:val="8"/>
      <w:lvlText w:val="%1.%2.%3.%4.%5.%6.%7"/>
      <w:lvlJc w:val="left"/>
      <w:pPr>
        <w:tabs>
          <w:tab w:val="left" w:pos="2520"/>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3">
    <w:nsid w:val="0000000E"/>
    <w:multiLevelType w:val="multilevel"/>
    <w:tmpl w:val="0000000E"/>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0C1A01B9"/>
    <w:multiLevelType w:val="multilevel"/>
    <w:tmpl w:val="0C1A01B9"/>
    <w:lvl w:ilvl="0" w:tentative="0">
      <w:start w:val="1"/>
      <w:numFmt w:val="decimal"/>
      <w:lvlText w:val="%1"/>
      <w:lvlJc w:val="left"/>
      <w:pPr>
        <w:ind w:left="425" w:hanging="425"/>
      </w:pPr>
      <w:rPr>
        <w:rFonts w:hint="default"/>
      </w:rPr>
    </w:lvl>
    <w:lvl w:ilvl="1" w:tentative="0">
      <w:start w:val="1"/>
      <w:numFmt w:val="decimal"/>
      <w:lvlText w:val="%1.%2"/>
      <w:lvlJc w:val="left"/>
      <w:pPr>
        <w:ind w:left="992" w:hanging="567"/>
      </w:pPr>
      <w:rPr>
        <w:rFonts w:hint="default"/>
      </w:rPr>
    </w:lvl>
    <w:lvl w:ilvl="2" w:tentative="0">
      <w:start w:val="1"/>
      <w:numFmt w:val="decimal"/>
      <w:lvlText w:val="%1.%2.%3"/>
      <w:lvlJc w:val="left"/>
      <w:pPr>
        <w:ind w:left="1418" w:hanging="567"/>
      </w:pPr>
      <w:rPr>
        <w:rFonts w:hint="default"/>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5">
    <w:nsid w:val="49D3BDE8"/>
    <w:multiLevelType w:val="singleLevel"/>
    <w:tmpl w:val="49D3BDE8"/>
    <w:lvl w:ilvl="0" w:tentative="0">
      <w:start w:val="1"/>
      <w:numFmt w:val="decimal"/>
      <w:suff w:val="nothing"/>
      <w:lvlText w:val="%1、"/>
      <w:lvlJc w:val="left"/>
    </w:lvl>
  </w:abstractNum>
  <w:abstractNum w:abstractNumId="6">
    <w:nsid w:val="4A1C68B5"/>
    <w:multiLevelType w:val="multilevel"/>
    <w:tmpl w:val="4A1C68B5"/>
    <w:lvl w:ilvl="0" w:tentative="0">
      <w:start w:val="1"/>
      <w:numFmt w:val="decimal"/>
      <w:lvlText w:val="%1"/>
      <w:lvlJc w:val="left"/>
      <w:pPr>
        <w:ind w:left="425" w:hanging="425"/>
      </w:pPr>
      <w:rPr>
        <w:rFonts w:hint="eastAsia"/>
      </w:rPr>
    </w:lvl>
    <w:lvl w:ilvl="1" w:tentative="0">
      <w:start w:val="1"/>
      <w:numFmt w:val="decimal"/>
      <w:lvlText w:val="3.%2"/>
      <w:lvlJc w:val="left"/>
      <w:pPr>
        <w:ind w:left="992" w:hanging="567"/>
      </w:pPr>
      <w:rPr>
        <w:rFonts w:hint="eastAsia"/>
      </w:rPr>
    </w:lvl>
    <w:lvl w:ilvl="2" w:tentative="0">
      <w:start w:val="1"/>
      <w:numFmt w:val="decimal"/>
      <w:lvlText w:val="2.3.%2"/>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55B18279"/>
    <w:multiLevelType w:val="singleLevel"/>
    <w:tmpl w:val="55B18279"/>
    <w:lvl w:ilvl="0" w:tentative="0">
      <w:start w:val="14"/>
      <w:numFmt w:val="chineseCounting"/>
      <w:suff w:val="nothing"/>
      <w:lvlText w:val="%1、"/>
      <w:lvlJc w:val="left"/>
    </w:lvl>
  </w:abstractNum>
  <w:abstractNum w:abstractNumId="8">
    <w:nsid w:val="6CEA2025"/>
    <w:multiLevelType w:val="multilevel"/>
    <w:tmpl w:val="6CEA2025"/>
    <w:lvl w:ilvl="0" w:tentative="0">
      <w:start w:val="1"/>
      <w:numFmt w:val="none"/>
      <w:pStyle w:val="101"/>
      <w:suff w:val="nothing"/>
      <w:lvlText w:val="%1"/>
      <w:lvlJc w:val="left"/>
      <w:pPr>
        <w:ind w:left="0" w:firstLine="0"/>
      </w:pPr>
      <w:rPr>
        <w:rFonts w:hint="default" w:ascii="Times New Roman" w:hAnsi="Times New Roman"/>
        <w:b/>
        <w:i w:val="0"/>
        <w:sz w:val="21"/>
      </w:rPr>
    </w:lvl>
    <w:lvl w:ilvl="1" w:tentative="0">
      <w:start w:val="1"/>
      <w:numFmt w:val="decimal"/>
      <w:pStyle w:val="83"/>
      <w:suff w:val="nothing"/>
      <w:lvlText w:val="%1%2　"/>
      <w:lvlJc w:val="left"/>
      <w:pPr>
        <w:ind w:left="0" w:firstLine="0"/>
      </w:pPr>
      <w:rPr>
        <w:rFonts w:hint="eastAsia" w:ascii="黑体" w:hAnsi="Times New Roman" w:eastAsia="黑体"/>
        <w:b w:val="0"/>
        <w:i w:val="0"/>
        <w:sz w:val="21"/>
      </w:rPr>
    </w:lvl>
    <w:lvl w:ilvl="2" w:tentative="0">
      <w:start w:val="1"/>
      <w:numFmt w:val="decimal"/>
      <w:pStyle w:val="82"/>
      <w:suff w:val="nothing"/>
      <w:lvlText w:val="%1%2.%3　"/>
      <w:lvlJc w:val="left"/>
      <w:pPr>
        <w:ind w:left="0" w:firstLine="0"/>
      </w:pPr>
      <w:rPr>
        <w:rFonts w:hint="eastAsia" w:ascii="黑体" w:hAnsi="Times New Roman" w:eastAsia="黑体"/>
        <w:b w:val="0"/>
        <w:i w:val="0"/>
        <w:sz w:val="21"/>
      </w:rPr>
    </w:lvl>
    <w:lvl w:ilvl="3" w:tentative="0">
      <w:start w:val="1"/>
      <w:numFmt w:val="decimal"/>
      <w:pStyle w:val="81"/>
      <w:suff w:val="nothing"/>
      <w:lvlText w:val="%1%2.%3.%4　"/>
      <w:lvlJc w:val="left"/>
      <w:pPr>
        <w:ind w:left="0" w:firstLine="0"/>
      </w:pPr>
      <w:rPr>
        <w:rFonts w:hint="eastAsia" w:ascii="黑体" w:hAnsi="Times New Roman" w:eastAsia="黑体"/>
        <w:b w:val="0"/>
        <w:i w:val="0"/>
        <w:sz w:val="21"/>
      </w:rPr>
    </w:lvl>
    <w:lvl w:ilvl="4" w:tentative="0">
      <w:start w:val="1"/>
      <w:numFmt w:val="decimal"/>
      <w:pStyle w:val="90"/>
      <w:suff w:val="nothing"/>
      <w:lvlText w:val="%1%2.%3.%4.%5　"/>
      <w:lvlJc w:val="left"/>
      <w:pPr>
        <w:ind w:left="0" w:firstLine="0"/>
      </w:pPr>
      <w:rPr>
        <w:rFonts w:hint="eastAsia" w:ascii="黑体" w:hAnsi="Times New Roman" w:eastAsia="黑体"/>
        <w:b w:val="0"/>
        <w:i w:val="0"/>
        <w:sz w:val="21"/>
      </w:rPr>
    </w:lvl>
    <w:lvl w:ilvl="5" w:tentative="0">
      <w:start w:val="1"/>
      <w:numFmt w:val="decimal"/>
      <w:pStyle w:val="91"/>
      <w:suff w:val="nothing"/>
      <w:lvlText w:val="%1%2.%3.%4.%5.%6　"/>
      <w:lvlJc w:val="left"/>
      <w:pPr>
        <w:ind w:left="0" w:firstLine="0"/>
      </w:pPr>
      <w:rPr>
        <w:rFonts w:hint="eastAsia" w:ascii="黑体" w:hAnsi="Times New Roman" w:eastAsia="黑体"/>
        <w:b w:val="0"/>
        <w:i w:val="0"/>
        <w:sz w:val="21"/>
      </w:rPr>
    </w:lvl>
    <w:lvl w:ilvl="6" w:tentative="0">
      <w:start w:val="1"/>
      <w:numFmt w:val="decimal"/>
      <w:pStyle w:val="10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8"/>
  </w:num>
  <w:num w:numId="3">
    <w:abstractNumId w:val="0"/>
  </w:num>
  <w:num w:numId="4">
    <w:abstractNumId w:val="1"/>
  </w:num>
  <w:num w:numId="5">
    <w:abstractNumId w:val="4"/>
  </w:num>
  <w:num w:numId="6">
    <w:abstractNumId w:val="6"/>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c0ZGEyMmI0ZmQxM2MyMTRlNDY1NmJhZWIwNGY3Y2UifQ=="/>
    <w:docVar w:name="KSO_WPS_MARK_KEY" w:val="15422667-c18d-42aa-adf2-ea2471bae41c"/>
  </w:docVars>
  <w:rsids>
    <w:rsidRoot w:val="00782DD6"/>
    <w:rsid w:val="00001D07"/>
    <w:rsid w:val="000027A6"/>
    <w:rsid w:val="00003218"/>
    <w:rsid w:val="000033F6"/>
    <w:rsid w:val="000038E5"/>
    <w:rsid w:val="00003A9E"/>
    <w:rsid w:val="00007428"/>
    <w:rsid w:val="000075A9"/>
    <w:rsid w:val="0002189F"/>
    <w:rsid w:val="000253B1"/>
    <w:rsid w:val="000302E6"/>
    <w:rsid w:val="00046607"/>
    <w:rsid w:val="00054B3C"/>
    <w:rsid w:val="000577AC"/>
    <w:rsid w:val="0005791B"/>
    <w:rsid w:val="0006000A"/>
    <w:rsid w:val="00063757"/>
    <w:rsid w:val="00063FAC"/>
    <w:rsid w:val="00070659"/>
    <w:rsid w:val="0007066F"/>
    <w:rsid w:val="000733C5"/>
    <w:rsid w:val="00073B86"/>
    <w:rsid w:val="00074043"/>
    <w:rsid w:val="000747EA"/>
    <w:rsid w:val="00075F22"/>
    <w:rsid w:val="000771BD"/>
    <w:rsid w:val="00081D1E"/>
    <w:rsid w:val="00082749"/>
    <w:rsid w:val="00083BAE"/>
    <w:rsid w:val="0008561E"/>
    <w:rsid w:val="00086CDB"/>
    <w:rsid w:val="00087ED4"/>
    <w:rsid w:val="0009481C"/>
    <w:rsid w:val="000960D9"/>
    <w:rsid w:val="000A09FC"/>
    <w:rsid w:val="000A2753"/>
    <w:rsid w:val="000A35D0"/>
    <w:rsid w:val="000A6A0C"/>
    <w:rsid w:val="000B0700"/>
    <w:rsid w:val="000B3170"/>
    <w:rsid w:val="000B3C48"/>
    <w:rsid w:val="000B582C"/>
    <w:rsid w:val="000B7653"/>
    <w:rsid w:val="000C1127"/>
    <w:rsid w:val="000C527F"/>
    <w:rsid w:val="000C754B"/>
    <w:rsid w:val="000D5C6D"/>
    <w:rsid w:val="000E0839"/>
    <w:rsid w:val="000E1544"/>
    <w:rsid w:val="000E2B56"/>
    <w:rsid w:val="000E2C14"/>
    <w:rsid w:val="000E33C9"/>
    <w:rsid w:val="000E40EB"/>
    <w:rsid w:val="000E43C5"/>
    <w:rsid w:val="000E4702"/>
    <w:rsid w:val="000E7B9B"/>
    <w:rsid w:val="000F13AB"/>
    <w:rsid w:val="000F569B"/>
    <w:rsid w:val="000F66B2"/>
    <w:rsid w:val="000F6E8E"/>
    <w:rsid w:val="00101282"/>
    <w:rsid w:val="00101A1C"/>
    <w:rsid w:val="00101B7A"/>
    <w:rsid w:val="0010266E"/>
    <w:rsid w:val="00110546"/>
    <w:rsid w:val="00112956"/>
    <w:rsid w:val="0011489A"/>
    <w:rsid w:val="00115309"/>
    <w:rsid w:val="00120385"/>
    <w:rsid w:val="0012472A"/>
    <w:rsid w:val="00131EDC"/>
    <w:rsid w:val="0013315E"/>
    <w:rsid w:val="00134373"/>
    <w:rsid w:val="00135135"/>
    <w:rsid w:val="0013521E"/>
    <w:rsid w:val="001404C7"/>
    <w:rsid w:val="00143646"/>
    <w:rsid w:val="00143922"/>
    <w:rsid w:val="00143B59"/>
    <w:rsid w:val="00151192"/>
    <w:rsid w:val="00155EEA"/>
    <w:rsid w:val="00157867"/>
    <w:rsid w:val="001578DE"/>
    <w:rsid w:val="00160E3F"/>
    <w:rsid w:val="00164329"/>
    <w:rsid w:val="00173AF4"/>
    <w:rsid w:val="00175313"/>
    <w:rsid w:val="00175C83"/>
    <w:rsid w:val="0018283A"/>
    <w:rsid w:val="001954DC"/>
    <w:rsid w:val="001A1453"/>
    <w:rsid w:val="001A1E85"/>
    <w:rsid w:val="001C33E9"/>
    <w:rsid w:val="001C5E40"/>
    <w:rsid w:val="001D1428"/>
    <w:rsid w:val="001D1B33"/>
    <w:rsid w:val="001D25E3"/>
    <w:rsid w:val="001D3532"/>
    <w:rsid w:val="001D4BEF"/>
    <w:rsid w:val="001E0474"/>
    <w:rsid w:val="001E2378"/>
    <w:rsid w:val="001E2728"/>
    <w:rsid w:val="001E62E5"/>
    <w:rsid w:val="001E6ABA"/>
    <w:rsid w:val="001F04C3"/>
    <w:rsid w:val="001F16A5"/>
    <w:rsid w:val="001F2568"/>
    <w:rsid w:val="001F4DB7"/>
    <w:rsid w:val="001F5282"/>
    <w:rsid w:val="001F68C5"/>
    <w:rsid w:val="00204C96"/>
    <w:rsid w:val="00205F25"/>
    <w:rsid w:val="0021536A"/>
    <w:rsid w:val="00217326"/>
    <w:rsid w:val="00217734"/>
    <w:rsid w:val="002224BF"/>
    <w:rsid w:val="002324D4"/>
    <w:rsid w:val="0023276D"/>
    <w:rsid w:val="00234FB8"/>
    <w:rsid w:val="00236100"/>
    <w:rsid w:val="002400E5"/>
    <w:rsid w:val="00255203"/>
    <w:rsid w:val="00257AA5"/>
    <w:rsid w:val="002658E5"/>
    <w:rsid w:val="0027056A"/>
    <w:rsid w:val="00272356"/>
    <w:rsid w:val="002749E2"/>
    <w:rsid w:val="00276F2A"/>
    <w:rsid w:val="00280AB9"/>
    <w:rsid w:val="00280B8C"/>
    <w:rsid w:val="00280F79"/>
    <w:rsid w:val="00283860"/>
    <w:rsid w:val="00284F04"/>
    <w:rsid w:val="00285A10"/>
    <w:rsid w:val="00285BD6"/>
    <w:rsid w:val="00291395"/>
    <w:rsid w:val="00293A50"/>
    <w:rsid w:val="00297699"/>
    <w:rsid w:val="002A61AE"/>
    <w:rsid w:val="002A7554"/>
    <w:rsid w:val="002B0720"/>
    <w:rsid w:val="002B3D91"/>
    <w:rsid w:val="002B4437"/>
    <w:rsid w:val="002C0B61"/>
    <w:rsid w:val="002C4BF4"/>
    <w:rsid w:val="002C6F47"/>
    <w:rsid w:val="002C6FA2"/>
    <w:rsid w:val="002D1E3A"/>
    <w:rsid w:val="002D5FE8"/>
    <w:rsid w:val="002D601F"/>
    <w:rsid w:val="002D6935"/>
    <w:rsid w:val="002D7934"/>
    <w:rsid w:val="002E2925"/>
    <w:rsid w:val="002E4CD2"/>
    <w:rsid w:val="002E56D2"/>
    <w:rsid w:val="002E5EB1"/>
    <w:rsid w:val="002F104E"/>
    <w:rsid w:val="002F1A45"/>
    <w:rsid w:val="002F38D4"/>
    <w:rsid w:val="002F47E4"/>
    <w:rsid w:val="002F694A"/>
    <w:rsid w:val="00301E52"/>
    <w:rsid w:val="0030586E"/>
    <w:rsid w:val="00305E27"/>
    <w:rsid w:val="00310476"/>
    <w:rsid w:val="00313D66"/>
    <w:rsid w:val="00314247"/>
    <w:rsid w:val="00322579"/>
    <w:rsid w:val="00322A68"/>
    <w:rsid w:val="00323117"/>
    <w:rsid w:val="00324186"/>
    <w:rsid w:val="003245FB"/>
    <w:rsid w:val="00326585"/>
    <w:rsid w:val="003274B6"/>
    <w:rsid w:val="00331059"/>
    <w:rsid w:val="00331137"/>
    <w:rsid w:val="00331E5B"/>
    <w:rsid w:val="00335CCE"/>
    <w:rsid w:val="003407D8"/>
    <w:rsid w:val="00341856"/>
    <w:rsid w:val="00342610"/>
    <w:rsid w:val="00346838"/>
    <w:rsid w:val="00346EB6"/>
    <w:rsid w:val="00357474"/>
    <w:rsid w:val="00364B5C"/>
    <w:rsid w:val="003732E0"/>
    <w:rsid w:val="003738B0"/>
    <w:rsid w:val="003744B9"/>
    <w:rsid w:val="00374EA2"/>
    <w:rsid w:val="00376D48"/>
    <w:rsid w:val="00380A31"/>
    <w:rsid w:val="00380CD4"/>
    <w:rsid w:val="003818E9"/>
    <w:rsid w:val="00382FE2"/>
    <w:rsid w:val="00390776"/>
    <w:rsid w:val="00392452"/>
    <w:rsid w:val="003959C0"/>
    <w:rsid w:val="003A1A89"/>
    <w:rsid w:val="003A3CED"/>
    <w:rsid w:val="003B3239"/>
    <w:rsid w:val="003B3CBB"/>
    <w:rsid w:val="003B49C9"/>
    <w:rsid w:val="003B4DE8"/>
    <w:rsid w:val="003C040A"/>
    <w:rsid w:val="003C2117"/>
    <w:rsid w:val="003C3334"/>
    <w:rsid w:val="003C4E2B"/>
    <w:rsid w:val="003C4F27"/>
    <w:rsid w:val="003C5E82"/>
    <w:rsid w:val="003D6C43"/>
    <w:rsid w:val="003E1C08"/>
    <w:rsid w:val="003E2E1E"/>
    <w:rsid w:val="003E4AA6"/>
    <w:rsid w:val="003E4D6D"/>
    <w:rsid w:val="003E7EED"/>
    <w:rsid w:val="003F167E"/>
    <w:rsid w:val="003F4F35"/>
    <w:rsid w:val="004007A9"/>
    <w:rsid w:val="00401A95"/>
    <w:rsid w:val="00402015"/>
    <w:rsid w:val="004035E9"/>
    <w:rsid w:val="004038D6"/>
    <w:rsid w:val="0040402D"/>
    <w:rsid w:val="00406999"/>
    <w:rsid w:val="00410184"/>
    <w:rsid w:val="004176C9"/>
    <w:rsid w:val="004205EA"/>
    <w:rsid w:val="00420E99"/>
    <w:rsid w:val="00421225"/>
    <w:rsid w:val="00425791"/>
    <w:rsid w:val="0043301C"/>
    <w:rsid w:val="00433C43"/>
    <w:rsid w:val="004415DF"/>
    <w:rsid w:val="00443FFD"/>
    <w:rsid w:val="00447392"/>
    <w:rsid w:val="00450A68"/>
    <w:rsid w:val="004539BC"/>
    <w:rsid w:val="004540B4"/>
    <w:rsid w:val="00454136"/>
    <w:rsid w:val="004550B1"/>
    <w:rsid w:val="00457B46"/>
    <w:rsid w:val="00460DD9"/>
    <w:rsid w:val="0046217B"/>
    <w:rsid w:val="0046395F"/>
    <w:rsid w:val="00463A2D"/>
    <w:rsid w:val="00465323"/>
    <w:rsid w:val="00465D03"/>
    <w:rsid w:val="00467290"/>
    <w:rsid w:val="004805B4"/>
    <w:rsid w:val="00480938"/>
    <w:rsid w:val="00484DA6"/>
    <w:rsid w:val="004900B9"/>
    <w:rsid w:val="00493E48"/>
    <w:rsid w:val="004943E2"/>
    <w:rsid w:val="004948D9"/>
    <w:rsid w:val="004A0BBF"/>
    <w:rsid w:val="004A1508"/>
    <w:rsid w:val="004A64B6"/>
    <w:rsid w:val="004A6899"/>
    <w:rsid w:val="004B1680"/>
    <w:rsid w:val="004B2F29"/>
    <w:rsid w:val="004B3EC2"/>
    <w:rsid w:val="004B5F1B"/>
    <w:rsid w:val="004C0504"/>
    <w:rsid w:val="004C0D47"/>
    <w:rsid w:val="004C70B0"/>
    <w:rsid w:val="004D0EE9"/>
    <w:rsid w:val="004D4972"/>
    <w:rsid w:val="004D7628"/>
    <w:rsid w:val="004E1294"/>
    <w:rsid w:val="004E2746"/>
    <w:rsid w:val="004E3924"/>
    <w:rsid w:val="004E4547"/>
    <w:rsid w:val="004E544F"/>
    <w:rsid w:val="004F73E4"/>
    <w:rsid w:val="004F7487"/>
    <w:rsid w:val="00503EDB"/>
    <w:rsid w:val="005050D8"/>
    <w:rsid w:val="00505181"/>
    <w:rsid w:val="00507D1C"/>
    <w:rsid w:val="00513E72"/>
    <w:rsid w:val="0051486C"/>
    <w:rsid w:val="00515F61"/>
    <w:rsid w:val="005225BE"/>
    <w:rsid w:val="00531972"/>
    <w:rsid w:val="00534258"/>
    <w:rsid w:val="00534D6C"/>
    <w:rsid w:val="0053623F"/>
    <w:rsid w:val="0054342B"/>
    <w:rsid w:val="00545FBD"/>
    <w:rsid w:val="005502A8"/>
    <w:rsid w:val="00550512"/>
    <w:rsid w:val="00560780"/>
    <w:rsid w:val="00566A75"/>
    <w:rsid w:val="00570E6C"/>
    <w:rsid w:val="00571356"/>
    <w:rsid w:val="00571F24"/>
    <w:rsid w:val="0057619A"/>
    <w:rsid w:val="00580B1D"/>
    <w:rsid w:val="0058368B"/>
    <w:rsid w:val="005839C0"/>
    <w:rsid w:val="0058511A"/>
    <w:rsid w:val="00586F01"/>
    <w:rsid w:val="005927A9"/>
    <w:rsid w:val="005948CD"/>
    <w:rsid w:val="0059679D"/>
    <w:rsid w:val="00597703"/>
    <w:rsid w:val="005A1B76"/>
    <w:rsid w:val="005A595D"/>
    <w:rsid w:val="005B1C63"/>
    <w:rsid w:val="005B3ECF"/>
    <w:rsid w:val="005C09F5"/>
    <w:rsid w:val="005C0D7E"/>
    <w:rsid w:val="005C49A1"/>
    <w:rsid w:val="005D032D"/>
    <w:rsid w:val="005D1389"/>
    <w:rsid w:val="005D305F"/>
    <w:rsid w:val="005D3975"/>
    <w:rsid w:val="005D654D"/>
    <w:rsid w:val="005D6951"/>
    <w:rsid w:val="005E13E4"/>
    <w:rsid w:val="005E177A"/>
    <w:rsid w:val="005E323D"/>
    <w:rsid w:val="005F6AF1"/>
    <w:rsid w:val="005F78CE"/>
    <w:rsid w:val="006013B9"/>
    <w:rsid w:val="006021A7"/>
    <w:rsid w:val="006071E6"/>
    <w:rsid w:val="006115E9"/>
    <w:rsid w:val="00613AF5"/>
    <w:rsid w:val="00614123"/>
    <w:rsid w:val="00615414"/>
    <w:rsid w:val="006156C3"/>
    <w:rsid w:val="006230A1"/>
    <w:rsid w:val="00625947"/>
    <w:rsid w:val="00625C7E"/>
    <w:rsid w:val="00632C8D"/>
    <w:rsid w:val="00635394"/>
    <w:rsid w:val="00640404"/>
    <w:rsid w:val="006411A0"/>
    <w:rsid w:val="0064620A"/>
    <w:rsid w:val="006477E8"/>
    <w:rsid w:val="00650093"/>
    <w:rsid w:val="00651BC8"/>
    <w:rsid w:val="006545CA"/>
    <w:rsid w:val="00656B0F"/>
    <w:rsid w:val="00657A89"/>
    <w:rsid w:val="00660070"/>
    <w:rsid w:val="0066025B"/>
    <w:rsid w:val="00660C48"/>
    <w:rsid w:val="00661AED"/>
    <w:rsid w:val="00661C5B"/>
    <w:rsid w:val="00661F6C"/>
    <w:rsid w:val="0066371D"/>
    <w:rsid w:val="006669CA"/>
    <w:rsid w:val="006776C6"/>
    <w:rsid w:val="00677E79"/>
    <w:rsid w:val="00680B08"/>
    <w:rsid w:val="0068334B"/>
    <w:rsid w:val="00684C5A"/>
    <w:rsid w:val="00686BC1"/>
    <w:rsid w:val="00686F74"/>
    <w:rsid w:val="00690D9A"/>
    <w:rsid w:val="0069683C"/>
    <w:rsid w:val="0069685B"/>
    <w:rsid w:val="00697053"/>
    <w:rsid w:val="006A1AC1"/>
    <w:rsid w:val="006A2605"/>
    <w:rsid w:val="006A28D2"/>
    <w:rsid w:val="006A5170"/>
    <w:rsid w:val="006A69A9"/>
    <w:rsid w:val="006B48A7"/>
    <w:rsid w:val="006B4C0C"/>
    <w:rsid w:val="006B5F5C"/>
    <w:rsid w:val="006C0D0A"/>
    <w:rsid w:val="006D1096"/>
    <w:rsid w:val="006D17E1"/>
    <w:rsid w:val="006D3C6D"/>
    <w:rsid w:val="006D6480"/>
    <w:rsid w:val="006E165D"/>
    <w:rsid w:val="006E3589"/>
    <w:rsid w:val="006E4BE3"/>
    <w:rsid w:val="006E4E71"/>
    <w:rsid w:val="006E72B6"/>
    <w:rsid w:val="006E7344"/>
    <w:rsid w:val="006F3256"/>
    <w:rsid w:val="006F40D4"/>
    <w:rsid w:val="006F6B95"/>
    <w:rsid w:val="006F7E41"/>
    <w:rsid w:val="006F7F56"/>
    <w:rsid w:val="00701E53"/>
    <w:rsid w:val="00703FC2"/>
    <w:rsid w:val="00704134"/>
    <w:rsid w:val="007062BC"/>
    <w:rsid w:val="00710253"/>
    <w:rsid w:val="0071313C"/>
    <w:rsid w:val="007179EE"/>
    <w:rsid w:val="0072160A"/>
    <w:rsid w:val="00730CA6"/>
    <w:rsid w:val="0073263E"/>
    <w:rsid w:val="0073475F"/>
    <w:rsid w:val="0074168D"/>
    <w:rsid w:val="007430F7"/>
    <w:rsid w:val="00744E2E"/>
    <w:rsid w:val="00746ECB"/>
    <w:rsid w:val="0074793F"/>
    <w:rsid w:val="007512F5"/>
    <w:rsid w:val="007547C8"/>
    <w:rsid w:val="007568D4"/>
    <w:rsid w:val="0076269E"/>
    <w:rsid w:val="00762BC1"/>
    <w:rsid w:val="00763CD9"/>
    <w:rsid w:val="0076496C"/>
    <w:rsid w:val="00764DCF"/>
    <w:rsid w:val="0077164D"/>
    <w:rsid w:val="00771E4A"/>
    <w:rsid w:val="0077242F"/>
    <w:rsid w:val="00773F72"/>
    <w:rsid w:val="00775863"/>
    <w:rsid w:val="00775930"/>
    <w:rsid w:val="00775AFA"/>
    <w:rsid w:val="00782264"/>
    <w:rsid w:val="00782DD6"/>
    <w:rsid w:val="00783FF4"/>
    <w:rsid w:val="0078521B"/>
    <w:rsid w:val="007876AB"/>
    <w:rsid w:val="00792D19"/>
    <w:rsid w:val="00793D07"/>
    <w:rsid w:val="007A0281"/>
    <w:rsid w:val="007A1468"/>
    <w:rsid w:val="007A2AA5"/>
    <w:rsid w:val="007A3DF3"/>
    <w:rsid w:val="007B1296"/>
    <w:rsid w:val="007B3E8F"/>
    <w:rsid w:val="007B582E"/>
    <w:rsid w:val="007B717F"/>
    <w:rsid w:val="007C276B"/>
    <w:rsid w:val="007C3A57"/>
    <w:rsid w:val="007C48E7"/>
    <w:rsid w:val="007C5962"/>
    <w:rsid w:val="007C60EE"/>
    <w:rsid w:val="007D04F8"/>
    <w:rsid w:val="007D435A"/>
    <w:rsid w:val="007D7D1D"/>
    <w:rsid w:val="007E39EF"/>
    <w:rsid w:val="007E548E"/>
    <w:rsid w:val="007E7270"/>
    <w:rsid w:val="007E7C3B"/>
    <w:rsid w:val="007F14E4"/>
    <w:rsid w:val="007F50A1"/>
    <w:rsid w:val="007F7715"/>
    <w:rsid w:val="00800596"/>
    <w:rsid w:val="008031D6"/>
    <w:rsid w:val="008065B3"/>
    <w:rsid w:val="00811B73"/>
    <w:rsid w:val="00814EDF"/>
    <w:rsid w:val="0081732E"/>
    <w:rsid w:val="0081784F"/>
    <w:rsid w:val="00820179"/>
    <w:rsid w:val="00821A7E"/>
    <w:rsid w:val="00830FAF"/>
    <w:rsid w:val="00831823"/>
    <w:rsid w:val="00832F65"/>
    <w:rsid w:val="00833C37"/>
    <w:rsid w:val="00834BFE"/>
    <w:rsid w:val="00840092"/>
    <w:rsid w:val="00840272"/>
    <w:rsid w:val="008435C5"/>
    <w:rsid w:val="008443A0"/>
    <w:rsid w:val="00845AB0"/>
    <w:rsid w:val="0084774D"/>
    <w:rsid w:val="0085164B"/>
    <w:rsid w:val="00854094"/>
    <w:rsid w:val="00854890"/>
    <w:rsid w:val="00855E08"/>
    <w:rsid w:val="0086116B"/>
    <w:rsid w:val="00863BFD"/>
    <w:rsid w:val="008702F1"/>
    <w:rsid w:val="00870512"/>
    <w:rsid w:val="008733EF"/>
    <w:rsid w:val="0087366B"/>
    <w:rsid w:val="00874837"/>
    <w:rsid w:val="0087493E"/>
    <w:rsid w:val="00874FC9"/>
    <w:rsid w:val="00875E4C"/>
    <w:rsid w:val="0087667C"/>
    <w:rsid w:val="0088631C"/>
    <w:rsid w:val="008865E9"/>
    <w:rsid w:val="0089056C"/>
    <w:rsid w:val="008955D5"/>
    <w:rsid w:val="00896D6C"/>
    <w:rsid w:val="0089708E"/>
    <w:rsid w:val="008A20B1"/>
    <w:rsid w:val="008A2EDC"/>
    <w:rsid w:val="008A3C69"/>
    <w:rsid w:val="008A5D7E"/>
    <w:rsid w:val="008B03EA"/>
    <w:rsid w:val="008B0445"/>
    <w:rsid w:val="008B0CBC"/>
    <w:rsid w:val="008B1563"/>
    <w:rsid w:val="008B4FEB"/>
    <w:rsid w:val="008B5F85"/>
    <w:rsid w:val="008C1731"/>
    <w:rsid w:val="008D10E8"/>
    <w:rsid w:val="008D14E8"/>
    <w:rsid w:val="008D733F"/>
    <w:rsid w:val="008E14C0"/>
    <w:rsid w:val="008E4C7F"/>
    <w:rsid w:val="008F1C84"/>
    <w:rsid w:val="008F325A"/>
    <w:rsid w:val="008F3346"/>
    <w:rsid w:val="008F7097"/>
    <w:rsid w:val="0090183C"/>
    <w:rsid w:val="0090248A"/>
    <w:rsid w:val="009031EA"/>
    <w:rsid w:val="00904B32"/>
    <w:rsid w:val="00905A68"/>
    <w:rsid w:val="00906526"/>
    <w:rsid w:val="0091120F"/>
    <w:rsid w:val="00911A54"/>
    <w:rsid w:val="00912508"/>
    <w:rsid w:val="00913637"/>
    <w:rsid w:val="00913C47"/>
    <w:rsid w:val="009146E8"/>
    <w:rsid w:val="00915A27"/>
    <w:rsid w:val="009166C9"/>
    <w:rsid w:val="00917B1A"/>
    <w:rsid w:val="0092153C"/>
    <w:rsid w:val="00921599"/>
    <w:rsid w:val="00923969"/>
    <w:rsid w:val="00925160"/>
    <w:rsid w:val="0092669D"/>
    <w:rsid w:val="0093227B"/>
    <w:rsid w:val="00933150"/>
    <w:rsid w:val="00935512"/>
    <w:rsid w:val="00936C3E"/>
    <w:rsid w:val="00943076"/>
    <w:rsid w:val="00954540"/>
    <w:rsid w:val="00957E92"/>
    <w:rsid w:val="00961026"/>
    <w:rsid w:val="00961327"/>
    <w:rsid w:val="00967C0E"/>
    <w:rsid w:val="0098627F"/>
    <w:rsid w:val="00990076"/>
    <w:rsid w:val="00990A19"/>
    <w:rsid w:val="009910F5"/>
    <w:rsid w:val="00991228"/>
    <w:rsid w:val="00992B61"/>
    <w:rsid w:val="00993856"/>
    <w:rsid w:val="00997611"/>
    <w:rsid w:val="00997A4F"/>
    <w:rsid w:val="009A1D63"/>
    <w:rsid w:val="009A3329"/>
    <w:rsid w:val="009A5226"/>
    <w:rsid w:val="009A5AF0"/>
    <w:rsid w:val="009B19CE"/>
    <w:rsid w:val="009B6A78"/>
    <w:rsid w:val="009C2424"/>
    <w:rsid w:val="009C2D5B"/>
    <w:rsid w:val="009C5A1E"/>
    <w:rsid w:val="009C5D81"/>
    <w:rsid w:val="009C7119"/>
    <w:rsid w:val="009D3E46"/>
    <w:rsid w:val="009E193C"/>
    <w:rsid w:val="009E2EC8"/>
    <w:rsid w:val="009E46C2"/>
    <w:rsid w:val="009E51B0"/>
    <w:rsid w:val="009E5247"/>
    <w:rsid w:val="009E5E7B"/>
    <w:rsid w:val="009F32E9"/>
    <w:rsid w:val="009F50E1"/>
    <w:rsid w:val="00A00021"/>
    <w:rsid w:val="00A00895"/>
    <w:rsid w:val="00A01DE6"/>
    <w:rsid w:val="00A131CC"/>
    <w:rsid w:val="00A15B3A"/>
    <w:rsid w:val="00A21D4D"/>
    <w:rsid w:val="00A24282"/>
    <w:rsid w:val="00A25B97"/>
    <w:rsid w:val="00A360BC"/>
    <w:rsid w:val="00A36909"/>
    <w:rsid w:val="00A37B05"/>
    <w:rsid w:val="00A37BFF"/>
    <w:rsid w:val="00A40609"/>
    <w:rsid w:val="00A4283F"/>
    <w:rsid w:val="00A4347D"/>
    <w:rsid w:val="00A526E8"/>
    <w:rsid w:val="00A5715B"/>
    <w:rsid w:val="00A626E6"/>
    <w:rsid w:val="00A70DE0"/>
    <w:rsid w:val="00A71368"/>
    <w:rsid w:val="00A8049A"/>
    <w:rsid w:val="00A85CF3"/>
    <w:rsid w:val="00A903FF"/>
    <w:rsid w:val="00A91302"/>
    <w:rsid w:val="00A91B37"/>
    <w:rsid w:val="00A91E87"/>
    <w:rsid w:val="00A92997"/>
    <w:rsid w:val="00A95324"/>
    <w:rsid w:val="00A96425"/>
    <w:rsid w:val="00AA53A7"/>
    <w:rsid w:val="00AA5869"/>
    <w:rsid w:val="00AB4993"/>
    <w:rsid w:val="00AB6CFD"/>
    <w:rsid w:val="00AC5C76"/>
    <w:rsid w:val="00AC6082"/>
    <w:rsid w:val="00AD106A"/>
    <w:rsid w:val="00AD18B6"/>
    <w:rsid w:val="00AD1DC9"/>
    <w:rsid w:val="00AD3E97"/>
    <w:rsid w:val="00AD490D"/>
    <w:rsid w:val="00AD7490"/>
    <w:rsid w:val="00AE3154"/>
    <w:rsid w:val="00AF27BE"/>
    <w:rsid w:val="00AF471D"/>
    <w:rsid w:val="00AF63FE"/>
    <w:rsid w:val="00AF7FE2"/>
    <w:rsid w:val="00B023E1"/>
    <w:rsid w:val="00B025A4"/>
    <w:rsid w:val="00B078D1"/>
    <w:rsid w:val="00B1155C"/>
    <w:rsid w:val="00B16E74"/>
    <w:rsid w:val="00B200CF"/>
    <w:rsid w:val="00B21828"/>
    <w:rsid w:val="00B2289E"/>
    <w:rsid w:val="00B22AEC"/>
    <w:rsid w:val="00B245B4"/>
    <w:rsid w:val="00B270EA"/>
    <w:rsid w:val="00B33475"/>
    <w:rsid w:val="00B3357F"/>
    <w:rsid w:val="00B34840"/>
    <w:rsid w:val="00B4114A"/>
    <w:rsid w:val="00B43E4A"/>
    <w:rsid w:val="00B44177"/>
    <w:rsid w:val="00B447FC"/>
    <w:rsid w:val="00B464A5"/>
    <w:rsid w:val="00B467B4"/>
    <w:rsid w:val="00B46EE7"/>
    <w:rsid w:val="00B52739"/>
    <w:rsid w:val="00B628FF"/>
    <w:rsid w:val="00B678CA"/>
    <w:rsid w:val="00B67C9D"/>
    <w:rsid w:val="00B72B3D"/>
    <w:rsid w:val="00B7387C"/>
    <w:rsid w:val="00B744D0"/>
    <w:rsid w:val="00B75064"/>
    <w:rsid w:val="00B827FD"/>
    <w:rsid w:val="00B8365D"/>
    <w:rsid w:val="00B86287"/>
    <w:rsid w:val="00B86974"/>
    <w:rsid w:val="00B878A3"/>
    <w:rsid w:val="00B90A42"/>
    <w:rsid w:val="00B92DD2"/>
    <w:rsid w:val="00B97072"/>
    <w:rsid w:val="00B97AFF"/>
    <w:rsid w:val="00BA11A1"/>
    <w:rsid w:val="00BA12FC"/>
    <w:rsid w:val="00BA1840"/>
    <w:rsid w:val="00BA1E37"/>
    <w:rsid w:val="00BA216C"/>
    <w:rsid w:val="00BB2C7D"/>
    <w:rsid w:val="00BB557E"/>
    <w:rsid w:val="00BC1E52"/>
    <w:rsid w:val="00BC3315"/>
    <w:rsid w:val="00BC429B"/>
    <w:rsid w:val="00BC5940"/>
    <w:rsid w:val="00BC6592"/>
    <w:rsid w:val="00BC6D0B"/>
    <w:rsid w:val="00BD0DD0"/>
    <w:rsid w:val="00BD64AE"/>
    <w:rsid w:val="00BD64EF"/>
    <w:rsid w:val="00BE0A03"/>
    <w:rsid w:val="00BE3CC3"/>
    <w:rsid w:val="00BE5049"/>
    <w:rsid w:val="00BE7E60"/>
    <w:rsid w:val="00BF1982"/>
    <w:rsid w:val="00BF2CF5"/>
    <w:rsid w:val="00BF3E5C"/>
    <w:rsid w:val="00C0033C"/>
    <w:rsid w:val="00C00491"/>
    <w:rsid w:val="00C03A73"/>
    <w:rsid w:val="00C04070"/>
    <w:rsid w:val="00C10CA9"/>
    <w:rsid w:val="00C13AB9"/>
    <w:rsid w:val="00C1760F"/>
    <w:rsid w:val="00C257ED"/>
    <w:rsid w:val="00C25FF4"/>
    <w:rsid w:val="00C26CE1"/>
    <w:rsid w:val="00C30020"/>
    <w:rsid w:val="00C33090"/>
    <w:rsid w:val="00C43DC5"/>
    <w:rsid w:val="00C4448F"/>
    <w:rsid w:val="00C51127"/>
    <w:rsid w:val="00C530F8"/>
    <w:rsid w:val="00C5356A"/>
    <w:rsid w:val="00C53AD0"/>
    <w:rsid w:val="00C55409"/>
    <w:rsid w:val="00C5579F"/>
    <w:rsid w:val="00C60BCF"/>
    <w:rsid w:val="00C643F9"/>
    <w:rsid w:val="00C7343A"/>
    <w:rsid w:val="00C800B6"/>
    <w:rsid w:val="00C8060D"/>
    <w:rsid w:val="00C85C37"/>
    <w:rsid w:val="00C8651B"/>
    <w:rsid w:val="00C9119C"/>
    <w:rsid w:val="00CA2357"/>
    <w:rsid w:val="00CA65C2"/>
    <w:rsid w:val="00CB4184"/>
    <w:rsid w:val="00CB57EA"/>
    <w:rsid w:val="00CC31BE"/>
    <w:rsid w:val="00CC4763"/>
    <w:rsid w:val="00CC565A"/>
    <w:rsid w:val="00CC5E8A"/>
    <w:rsid w:val="00CC5F20"/>
    <w:rsid w:val="00CC6818"/>
    <w:rsid w:val="00CD13A7"/>
    <w:rsid w:val="00CD3114"/>
    <w:rsid w:val="00CD3A98"/>
    <w:rsid w:val="00CE0F85"/>
    <w:rsid w:val="00CE5A3E"/>
    <w:rsid w:val="00CF00F3"/>
    <w:rsid w:val="00CF1251"/>
    <w:rsid w:val="00CF3598"/>
    <w:rsid w:val="00CF52FA"/>
    <w:rsid w:val="00CF70F0"/>
    <w:rsid w:val="00D0120B"/>
    <w:rsid w:val="00D038B3"/>
    <w:rsid w:val="00D05C71"/>
    <w:rsid w:val="00D10B9C"/>
    <w:rsid w:val="00D138E2"/>
    <w:rsid w:val="00D15DC7"/>
    <w:rsid w:val="00D16F2C"/>
    <w:rsid w:val="00D21EA1"/>
    <w:rsid w:val="00D2512C"/>
    <w:rsid w:val="00D255DD"/>
    <w:rsid w:val="00D259F0"/>
    <w:rsid w:val="00D25B4F"/>
    <w:rsid w:val="00D278A4"/>
    <w:rsid w:val="00D27C1E"/>
    <w:rsid w:val="00D27C6E"/>
    <w:rsid w:val="00D318FB"/>
    <w:rsid w:val="00D3267B"/>
    <w:rsid w:val="00D32B2A"/>
    <w:rsid w:val="00D32E82"/>
    <w:rsid w:val="00D34079"/>
    <w:rsid w:val="00D35769"/>
    <w:rsid w:val="00D368A5"/>
    <w:rsid w:val="00D36C2B"/>
    <w:rsid w:val="00D41E06"/>
    <w:rsid w:val="00D43682"/>
    <w:rsid w:val="00D44E33"/>
    <w:rsid w:val="00D47C56"/>
    <w:rsid w:val="00D50D00"/>
    <w:rsid w:val="00D526CF"/>
    <w:rsid w:val="00D54F9C"/>
    <w:rsid w:val="00D6060F"/>
    <w:rsid w:val="00D607AE"/>
    <w:rsid w:val="00D65535"/>
    <w:rsid w:val="00D67BDB"/>
    <w:rsid w:val="00D70C7D"/>
    <w:rsid w:val="00D724DD"/>
    <w:rsid w:val="00D72AF1"/>
    <w:rsid w:val="00D80E75"/>
    <w:rsid w:val="00D8398C"/>
    <w:rsid w:val="00D851B9"/>
    <w:rsid w:val="00D879AD"/>
    <w:rsid w:val="00D900C5"/>
    <w:rsid w:val="00D92796"/>
    <w:rsid w:val="00D947DA"/>
    <w:rsid w:val="00DA128E"/>
    <w:rsid w:val="00DA2151"/>
    <w:rsid w:val="00DA3225"/>
    <w:rsid w:val="00DB057C"/>
    <w:rsid w:val="00DB1FF6"/>
    <w:rsid w:val="00DB2C8C"/>
    <w:rsid w:val="00DB3BD7"/>
    <w:rsid w:val="00DB66E3"/>
    <w:rsid w:val="00DB670B"/>
    <w:rsid w:val="00DB7A22"/>
    <w:rsid w:val="00DB7E4D"/>
    <w:rsid w:val="00DC6AC9"/>
    <w:rsid w:val="00DC6DA9"/>
    <w:rsid w:val="00DC7DA6"/>
    <w:rsid w:val="00DD1BCC"/>
    <w:rsid w:val="00DD2572"/>
    <w:rsid w:val="00DE0B43"/>
    <w:rsid w:val="00DF0928"/>
    <w:rsid w:val="00DF0B7A"/>
    <w:rsid w:val="00DF2840"/>
    <w:rsid w:val="00DF2DAE"/>
    <w:rsid w:val="00E020AB"/>
    <w:rsid w:val="00E05B24"/>
    <w:rsid w:val="00E066A1"/>
    <w:rsid w:val="00E13611"/>
    <w:rsid w:val="00E14B0D"/>
    <w:rsid w:val="00E16596"/>
    <w:rsid w:val="00E20A73"/>
    <w:rsid w:val="00E22861"/>
    <w:rsid w:val="00E22CC1"/>
    <w:rsid w:val="00E23C11"/>
    <w:rsid w:val="00E25183"/>
    <w:rsid w:val="00E26BD3"/>
    <w:rsid w:val="00E27039"/>
    <w:rsid w:val="00E302D8"/>
    <w:rsid w:val="00E3171A"/>
    <w:rsid w:val="00E329CB"/>
    <w:rsid w:val="00E32C05"/>
    <w:rsid w:val="00E333DF"/>
    <w:rsid w:val="00E33961"/>
    <w:rsid w:val="00E35640"/>
    <w:rsid w:val="00E35E3E"/>
    <w:rsid w:val="00E37100"/>
    <w:rsid w:val="00E37CCF"/>
    <w:rsid w:val="00E414C9"/>
    <w:rsid w:val="00E4198F"/>
    <w:rsid w:val="00E455A2"/>
    <w:rsid w:val="00E47E28"/>
    <w:rsid w:val="00E5018F"/>
    <w:rsid w:val="00E53B07"/>
    <w:rsid w:val="00E5622C"/>
    <w:rsid w:val="00E6141A"/>
    <w:rsid w:val="00E64FAC"/>
    <w:rsid w:val="00E7053D"/>
    <w:rsid w:val="00E73666"/>
    <w:rsid w:val="00E74413"/>
    <w:rsid w:val="00E74FED"/>
    <w:rsid w:val="00E76066"/>
    <w:rsid w:val="00E80559"/>
    <w:rsid w:val="00E8085B"/>
    <w:rsid w:val="00E85D03"/>
    <w:rsid w:val="00E86EAA"/>
    <w:rsid w:val="00E8747D"/>
    <w:rsid w:val="00E94687"/>
    <w:rsid w:val="00E94F76"/>
    <w:rsid w:val="00E955A0"/>
    <w:rsid w:val="00E97BF7"/>
    <w:rsid w:val="00EA2D92"/>
    <w:rsid w:val="00EA33DC"/>
    <w:rsid w:val="00EA7E17"/>
    <w:rsid w:val="00EB3126"/>
    <w:rsid w:val="00EB3D99"/>
    <w:rsid w:val="00EB5A7B"/>
    <w:rsid w:val="00ED075C"/>
    <w:rsid w:val="00ED0D5F"/>
    <w:rsid w:val="00ED23D0"/>
    <w:rsid w:val="00ED783D"/>
    <w:rsid w:val="00EE5BA9"/>
    <w:rsid w:val="00EF3493"/>
    <w:rsid w:val="00EF5818"/>
    <w:rsid w:val="00F0245A"/>
    <w:rsid w:val="00F052FC"/>
    <w:rsid w:val="00F128F2"/>
    <w:rsid w:val="00F12ED5"/>
    <w:rsid w:val="00F14D0D"/>
    <w:rsid w:val="00F16949"/>
    <w:rsid w:val="00F16CF3"/>
    <w:rsid w:val="00F212EE"/>
    <w:rsid w:val="00F22287"/>
    <w:rsid w:val="00F24D25"/>
    <w:rsid w:val="00F25FFF"/>
    <w:rsid w:val="00F267C0"/>
    <w:rsid w:val="00F30B47"/>
    <w:rsid w:val="00F31785"/>
    <w:rsid w:val="00F32AB2"/>
    <w:rsid w:val="00F377B9"/>
    <w:rsid w:val="00F401D9"/>
    <w:rsid w:val="00F44FDF"/>
    <w:rsid w:val="00F46EDB"/>
    <w:rsid w:val="00F50CF3"/>
    <w:rsid w:val="00F63392"/>
    <w:rsid w:val="00F665F2"/>
    <w:rsid w:val="00F705E3"/>
    <w:rsid w:val="00F71835"/>
    <w:rsid w:val="00F72F9F"/>
    <w:rsid w:val="00F7393B"/>
    <w:rsid w:val="00F74A7A"/>
    <w:rsid w:val="00F759D8"/>
    <w:rsid w:val="00F772B6"/>
    <w:rsid w:val="00F77467"/>
    <w:rsid w:val="00F8412C"/>
    <w:rsid w:val="00F84E6F"/>
    <w:rsid w:val="00F852C2"/>
    <w:rsid w:val="00F922C0"/>
    <w:rsid w:val="00F928BD"/>
    <w:rsid w:val="00F953ED"/>
    <w:rsid w:val="00F961B9"/>
    <w:rsid w:val="00FA0AB6"/>
    <w:rsid w:val="00FA0F87"/>
    <w:rsid w:val="00FA6E47"/>
    <w:rsid w:val="00FA73AF"/>
    <w:rsid w:val="00FA7AFC"/>
    <w:rsid w:val="00FB006C"/>
    <w:rsid w:val="00FB10E4"/>
    <w:rsid w:val="00FB1CEA"/>
    <w:rsid w:val="00FB393F"/>
    <w:rsid w:val="00FB61EF"/>
    <w:rsid w:val="00FB6C84"/>
    <w:rsid w:val="00FC0A64"/>
    <w:rsid w:val="00FC0D10"/>
    <w:rsid w:val="00FC27CA"/>
    <w:rsid w:val="00FC2A0C"/>
    <w:rsid w:val="00FD0A73"/>
    <w:rsid w:val="00FD35FF"/>
    <w:rsid w:val="00FD3799"/>
    <w:rsid w:val="00FD4321"/>
    <w:rsid w:val="00FD49D2"/>
    <w:rsid w:val="00FD5F86"/>
    <w:rsid w:val="00FE1A6D"/>
    <w:rsid w:val="00FE1E68"/>
    <w:rsid w:val="00FE4481"/>
    <w:rsid w:val="00FF1A5A"/>
    <w:rsid w:val="00FF2B56"/>
    <w:rsid w:val="00FF374C"/>
    <w:rsid w:val="012A2FED"/>
    <w:rsid w:val="013E3E55"/>
    <w:rsid w:val="01695955"/>
    <w:rsid w:val="017A22DD"/>
    <w:rsid w:val="01B75F9B"/>
    <w:rsid w:val="01B85F94"/>
    <w:rsid w:val="01E53B5C"/>
    <w:rsid w:val="0259781F"/>
    <w:rsid w:val="0270686F"/>
    <w:rsid w:val="0295277A"/>
    <w:rsid w:val="02AD1871"/>
    <w:rsid w:val="03035AB8"/>
    <w:rsid w:val="038A3960"/>
    <w:rsid w:val="039B3C42"/>
    <w:rsid w:val="03E33DDA"/>
    <w:rsid w:val="04262532"/>
    <w:rsid w:val="04365D91"/>
    <w:rsid w:val="04625D95"/>
    <w:rsid w:val="046C6F59"/>
    <w:rsid w:val="047C774D"/>
    <w:rsid w:val="04B14F1D"/>
    <w:rsid w:val="04CB127C"/>
    <w:rsid w:val="04D20B9D"/>
    <w:rsid w:val="04EB39F0"/>
    <w:rsid w:val="0537037C"/>
    <w:rsid w:val="054B5371"/>
    <w:rsid w:val="05AE74E8"/>
    <w:rsid w:val="05C56ED2"/>
    <w:rsid w:val="05DE1326"/>
    <w:rsid w:val="05F628DA"/>
    <w:rsid w:val="06540E81"/>
    <w:rsid w:val="06784698"/>
    <w:rsid w:val="069A4E70"/>
    <w:rsid w:val="06A52657"/>
    <w:rsid w:val="06E4782C"/>
    <w:rsid w:val="072B7208"/>
    <w:rsid w:val="073A62E4"/>
    <w:rsid w:val="07775CD4"/>
    <w:rsid w:val="077A1F3E"/>
    <w:rsid w:val="07995F18"/>
    <w:rsid w:val="07BE1E2B"/>
    <w:rsid w:val="07DC6755"/>
    <w:rsid w:val="07FB08CC"/>
    <w:rsid w:val="083C7D20"/>
    <w:rsid w:val="089D5B18"/>
    <w:rsid w:val="095D4A7D"/>
    <w:rsid w:val="098715D9"/>
    <w:rsid w:val="098A731B"/>
    <w:rsid w:val="09B115CF"/>
    <w:rsid w:val="09DD7C6A"/>
    <w:rsid w:val="0A157218"/>
    <w:rsid w:val="0AA8756C"/>
    <w:rsid w:val="0ABA2D7D"/>
    <w:rsid w:val="0B1A65E0"/>
    <w:rsid w:val="0B2C17A1"/>
    <w:rsid w:val="0B6578D3"/>
    <w:rsid w:val="0B867FFD"/>
    <w:rsid w:val="0BF542B2"/>
    <w:rsid w:val="0C0149DC"/>
    <w:rsid w:val="0C221A88"/>
    <w:rsid w:val="0C270699"/>
    <w:rsid w:val="0C37664F"/>
    <w:rsid w:val="0CC22EB1"/>
    <w:rsid w:val="0D40740F"/>
    <w:rsid w:val="0D9D0734"/>
    <w:rsid w:val="0DA94381"/>
    <w:rsid w:val="0E703FC4"/>
    <w:rsid w:val="0ED85EC8"/>
    <w:rsid w:val="0F0934A8"/>
    <w:rsid w:val="0F3E3FD1"/>
    <w:rsid w:val="0FF46927"/>
    <w:rsid w:val="10321189"/>
    <w:rsid w:val="10526A40"/>
    <w:rsid w:val="10644427"/>
    <w:rsid w:val="106A7C51"/>
    <w:rsid w:val="10D17073"/>
    <w:rsid w:val="10E7223E"/>
    <w:rsid w:val="119A56B6"/>
    <w:rsid w:val="11A055D7"/>
    <w:rsid w:val="11B06C88"/>
    <w:rsid w:val="11D46355"/>
    <w:rsid w:val="11E27B18"/>
    <w:rsid w:val="11FD5C45"/>
    <w:rsid w:val="122A0CFA"/>
    <w:rsid w:val="12A55833"/>
    <w:rsid w:val="12B05BEF"/>
    <w:rsid w:val="12C33980"/>
    <w:rsid w:val="137B5074"/>
    <w:rsid w:val="1387515A"/>
    <w:rsid w:val="13FF5CA5"/>
    <w:rsid w:val="14C8253B"/>
    <w:rsid w:val="14EF02F9"/>
    <w:rsid w:val="15041748"/>
    <w:rsid w:val="1551074A"/>
    <w:rsid w:val="15791EA6"/>
    <w:rsid w:val="15B474DA"/>
    <w:rsid w:val="16094BB9"/>
    <w:rsid w:val="163E54BB"/>
    <w:rsid w:val="168C1381"/>
    <w:rsid w:val="169A5732"/>
    <w:rsid w:val="16DB6534"/>
    <w:rsid w:val="16ED545F"/>
    <w:rsid w:val="17241B53"/>
    <w:rsid w:val="172E220F"/>
    <w:rsid w:val="17822CC5"/>
    <w:rsid w:val="179761F4"/>
    <w:rsid w:val="17A039A3"/>
    <w:rsid w:val="17C47784"/>
    <w:rsid w:val="17E01CEC"/>
    <w:rsid w:val="17F95A9C"/>
    <w:rsid w:val="1869687E"/>
    <w:rsid w:val="18BA4EFB"/>
    <w:rsid w:val="1900445D"/>
    <w:rsid w:val="19595958"/>
    <w:rsid w:val="19A61F7F"/>
    <w:rsid w:val="19E971DB"/>
    <w:rsid w:val="1A22379D"/>
    <w:rsid w:val="1AC83294"/>
    <w:rsid w:val="1B0E12EF"/>
    <w:rsid w:val="1B9E2F69"/>
    <w:rsid w:val="1B9F0E44"/>
    <w:rsid w:val="1BA910E8"/>
    <w:rsid w:val="1BB448C0"/>
    <w:rsid w:val="1C0320AA"/>
    <w:rsid w:val="1C475F4A"/>
    <w:rsid w:val="1C7F7098"/>
    <w:rsid w:val="1CE94F1C"/>
    <w:rsid w:val="1D3C70E5"/>
    <w:rsid w:val="1D4D5CD3"/>
    <w:rsid w:val="1D5D789B"/>
    <w:rsid w:val="1DCE017F"/>
    <w:rsid w:val="1DDD02B9"/>
    <w:rsid w:val="1E522E75"/>
    <w:rsid w:val="1E7A512C"/>
    <w:rsid w:val="1E831280"/>
    <w:rsid w:val="1EB15399"/>
    <w:rsid w:val="1EE74F37"/>
    <w:rsid w:val="1F415890"/>
    <w:rsid w:val="1F8805A7"/>
    <w:rsid w:val="1FD249AE"/>
    <w:rsid w:val="1FFE739C"/>
    <w:rsid w:val="2000568E"/>
    <w:rsid w:val="200770BD"/>
    <w:rsid w:val="202A40A9"/>
    <w:rsid w:val="20971013"/>
    <w:rsid w:val="216F0667"/>
    <w:rsid w:val="2197751D"/>
    <w:rsid w:val="21D61015"/>
    <w:rsid w:val="22062365"/>
    <w:rsid w:val="22357D33"/>
    <w:rsid w:val="22553D1A"/>
    <w:rsid w:val="228850B7"/>
    <w:rsid w:val="22934188"/>
    <w:rsid w:val="22A83271"/>
    <w:rsid w:val="22E5250A"/>
    <w:rsid w:val="2331727F"/>
    <w:rsid w:val="234B5AF9"/>
    <w:rsid w:val="2351194D"/>
    <w:rsid w:val="236C6FA6"/>
    <w:rsid w:val="23A567FE"/>
    <w:rsid w:val="23CD5A37"/>
    <w:rsid w:val="23E97DD8"/>
    <w:rsid w:val="23FA251F"/>
    <w:rsid w:val="242C0DF1"/>
    <w:rsid w:val="243B4AD7"/>
    <w:rsid w:val="244D0366"/>
    <w:rsid w:val="24692086"/>
    <w:rsid w:val="249661B1"/>
    <w:rsid w:val="24B534FA"/>
    <w:rsid w:val="24C7636B"/>
    <w:rsid w:val="24CF521F"/>
    <w:rsid w:val="25140E84"/>
    <w:rsid w:val="25156DB1"/>
    <w:rsid w:val="25C94365"/>
    <w:rsid w:val="25CF57CE"/>
    <w:rsid w:val="25D16D75"/>
    <w:rsid w:val="25FF1B34"/>
    <w:rsid w:val="260929B3"/>
    <w:rsid w:val="26213859"/>
    <w:rsid w:val="264957ED"/>
    <w:rsid w:val="264F302E"/>
    <w:rsid w:val="26707858"/>
    <w:rsid w:val="26AD4C0A"/>
    <w:rsid w:val="270E0AB9"/>
    <w:rsid w:val="276E0D20"/>
    <w:rsid w:val="27AD54D7"/>
    <w:rsid w:val="288205D3"/>
    <w:rsid w:val="289F1401"/>
    <w:rsid w:val="28B262D5"/>
    <w:rsid w:val="28B30AE6"/>
    <w:rsid w:val="29372D63"/>
    <w:rsid w:val="294F2293"/>
    <w:rsid w:val="297C1D0E"/>
    <w:rsid w:val="29B31702"/>
    <w:rsid w:val="29FD45DD"/>
    <w:rsid w:val="2A0A6A78"/>
    <w:rsid w:val="2A2F4DB2"/>
    <w:rsid w:val="2A427EC0"/>
    <w:rsid w:val="2A6C52BE"/>
    <w:rsid w:val="2A6E122D"/>
    <w:rsid w:val="2A9A1E2C"/>
    <w:rsid w:val="2AB31777"/>
    <w:rsid w:val="2AB949A8"/>
    <w:rsid w:val="2B746B21"/>
    <w:rsid w:val="2BDD6474"/>
    <w:rsid w:val="2C2B6713"/>
    <w:rsid w:val="2C2F4682"/>
    <w:rsid w:val="2C6E748C"/>
    <w:rsid w:val="2CCB09C2"/>
    <w:rsid w:val="2CD868ED"/>
    <w:rsid w:val="2CF40897"/>
    <w:rsid w:val="2D8C48B8"/>
    <w:rsid w:val="2DC7118A"/>
    <w:rsid w:val="2EB7386D"/>
    <w:rsid w:val="2EC810F1"/>
    <w:rsid w:val="2F143FA9"/>
    <w:rsid w:val="2F486E27"/>
    <w:rsid w:val="2FCB3FCB"/>
    <w:rsid w:val="301D7787"/>
    <w:rsid w:val="30596C01"/>
    <w:rsid w:val="306E27B5"/>
    <w:rsid w:val="30AC33AE"/>
    <w:rsid w:val="30BD667B"/>
    <w:rsid w:val="30FF658D"/>
    <w:rsid w:val="31137223"/>
    <w:rsid w:val="313E79B5"/>
    <w:rsid w:val="3176277C"/>
    <w:rsid w:val="31E06CBE"/>
    <w:rsid w:val="323860B9"/>
    <w:rsid w:val="328461C2"/>
    <w:rsid w:val="32BF68D3"/>
    <w:rsid w:val="32F80DF9"/>
    <w:rsid w:val="32FD564D"/>
    <w:rsid w:val="33523A3E"/>
    <w:rsid w:val="33576B0C"/>
    <w:rsid w:val="33615BDC"/>
    <w:rsid w:val="33657175"/>
    <w:rsid w:val="33863185"/>
    <w:rsid w:val="33D150F4"/>
    <w:rsid w:val="34C06989"/>
    <w:rsid w:val="34DB0556"/>
    <w:rsid w:val="35020CF9"/>
    <w:rsid w:val="35B37169"/>
    <w:rsid w:val="35C745C8"/>
    <w:rsid w:val="363C648D"/>
    <w:rsid w:val="363D4628"/>
    <w:rsid w:val="37640DCA"/>
    <w:rsid w:val="37BF4BFB"/>
    <w:rsid w:val="37DF3E59"/>
    <w:rsid w:val="383F07EF"/>
    <w:rsid w:val="384F4255"/>
    <w:rsid w:val="385546F9"/>
    <w:rsid w:val="3891486E"/>
    <w:rsid w:val="38DB2732"/>
    <w:rsid w:val="391159AF"/>
    <w:rsid w:val="394B60EE"/>
    <w:rsid w:val="39537D75"/>
    <w:rsid w:val="396B46A6"/>
    <w:rsid w:val="39840E96"/>
    <w:rsid w:val="39D25184"/>
    <w:rsid w:val="39D864CC"/>
    <w:rsid w:val="3A6570E3"/>
    <w:rsid w:val="3ABE534C"/>
    <w:rsid w:val="3AD73C16"/>
    <w:rsid w:val="3ADF3E47"/>
    <w:rsid w:val="3B665F24"/>
    <w:rsid w:val="3B6D6CC5"/>
    <w:rsid w:val="3B82342F"/>
    <w:rsid w:val="3B842468"/>
    <w:rsid w:val="3BF26090"/>
    <w:rsid w:val="3BF94D96"/>
    <w:rsid w:val="3C2E61B3"/>
    <w:rsid w:val="3C862210"/>
    <w:rsid w:val="3CA45095"/>
    <w:rsid w:val="3D1337E6"/>
    <w:rsid w:val="3D442DB4"/>
    <w:rsid w:val="3D702F7F"/>
    <w:rsid w:val="3D93121D"/>
    <w:rsid w:val="3DB749E4"/>
    <w:rsid w:val="3DBF1E7D"/>
    <w:rsid w:val="3DE14523"/>
    <w:rsid w:val="3DF84969"/>
    <w:rsid w:val="3E087955"/>
    <w:rsid w:val="3E185FAA"/>
    <w:rsid w:val="3E370DD2"/>
    <w:rsid w:val="3E5209D9"/>
    <w:rsid w:val="3E8D0D43"/>
    <w:rsid w:val="3EFD1989"/>
    <w:rsid w:val="3F8558D4"/>
    <w:rsid w:val="3FAE3F57"/>
    <w:rsid w:val="3FEB6F5A"/>
    <w:rsid w:val="40311450"/>
    <w:rsid w:val="406E36E7"/>
    <w:rsid w:val="40D272EC"/>
    <w:rsid w:val="40DC68A2"/>
    <w:rsid w:val="40EE1A2D"/>
    <w:rsid w:val="40EF7433"/>
    <w:rsid w:val="415723CD"/>
    <w:rsid w:val="4184036C"/>
    <w:rsid w:val="427A2817"/>
    <w:rsid w:val="42A81706"/>
    <w:rsid w:val="435E5C94"/>
    <w:rsid w:val="43700631"/>
    <w:rsid w:val="439208E5"/>
    <w:rsid w:val="439A62FF"/>
    <w:rsid w:val="43AE6A1E"/>
    <w:rsid w:val="441647C1"/>
    <w:rsid w:val="444079C2"/>
    <w:rsid w:val="4475549A"/>
    <w:rsid w:val="449A0F4E"/>
    <w:rsid w:val="44FB18EF"/>
    <w:rsid w:val="451E56DB"/>
    <w:rsid w:val="453FA9EA"/>
    <w:rsid w:val="45A6648B"/>
    <w:rsid w:val="4698144B"/>
    <w:rsid w:val="46CF26B5"/>
    <w:rsid w:val="46F06FEE"/>
    <w:rsid w:val="46FF32EA"/>
    <w:rsid w:val="471A6376"/>
    <w:rsid w:val="47510724"/>
    <w:rsid w:val="47A67458"/>
    <w:rsid w:val="481C62E1"/>
    <w:rsid w:val="487B2E45"/>
    <w:rsid w:val="489F1CFE"/>
    <w:rsid w:val="48C51933"/>
    <w:rsid w:val="491A440C"/>
    <w:rsid w:val="492E789D"/>
    <w:rsid w:val="49675465"/>
    <w:rsid w:val="49731D6E"/>
    <w:rsid w:val="497A5DF0"/>
    <w:rsid w:val="49C54C7D"/>
    <w:rsid w:val="49C75D4D"/>
    <w:rsid w:val="49DC0A32"/>
    <w:rsid w:val="4A525E27"/>
    <w:rsid w:val="4A7C2976"/>
    <w:rsid w:val="4A865E8B"/>
    <w:rsid w:val="4AAE199A"/>
    <w:rsid w:val="4AAE7501"/>
    <w:rsid w:val="4ABB38B4"/>
    <w:rsid w:val="4ADE7553"/>
    <w:rsid w:val="4AE03B46"/>
    <w:rsid w:val="4B030220"/>
    <w:rsid w:val="4B1064E0"/>
    <w:rsid w:val="4B635AA0"/>
    <w:rsid w:val="4B6B318C"/>
    <w:rsid w:val="4B97513B"/>
    <w:rsid w:val="4BFC604B"/>
    <w:rsid w:val="4C4905C7"/>
    <w:rsid w:val="4CC91890"/>
    <w:rsid w:val="4DA538F8"/>
    <w:rsid w:val="4DEC34C0"/>
    <w:rsid w:val="4DF62F44"/>
    <w:rsid w:val="4E257683"/>
    <w:rsid w:val="4E284706"/>
    <w:rsid w:val="4E2E784A"/>
    <w:rsid w:val="4E541D62"/>
    <w:rsid w:val="4EA47000"/>
    <w:rsid w:val="4EA81D39"/>
    <w:rsid w:val="4EC92B5C"/>
    <w:rsid w:val="4EEE4370"/>
    <w:rsid w:val="4F275DB2"/>
    <w:rsid w:val="4F6C5621"/>
    <w:rsid w:val="4FA970DD"/>
    <w:rsid w:val="4FCA09F6"/>
    <w:rsid w:val="4FF41354"/>
    <w:rsid w:val="50371498"/>
    <w:rsid w:val="506E1301"/>
    <w:rsid w:val="50707007"/>
    <w:rsid w:val="50C63627"/>
    <w:rsid w:val="50FB4789"/>
    <w:rsid w:val="51022355"/>
    <w:rsid w:val="51977F76"/>
    <w:rsid w:val="51C57DE7"/>
    <w:rsid w:val="51CD3FDB"/>
    <w:rsid w:val="51DA5080"/>
    <w:rsid w:val="51F6353C"/>
    <w:rsid w:val="52126FF4"/>
    <w:rsid w:val="52206D30"/>
    <w:rsid w:val="526821EC"/>
    <w:rsid w:val="52746DE2"/>
    <w:rsid w:val="52880638"/>
    <w:rsid w:val="528A2602"/>
    <w:rsid w:val="52D42F85"/>
    <w:rsid w:val="52EB1A4D"/>
    <w:rsid w:val="53DE67F8"/>
    <w:rsid w:val="53F14CE1"/>
    <w:rsid w:val="54075114"/>
    <w:rsid w:val="540D646C"/>
    <w:rsid w:val="543703DB"/>
    <w:rsid w:val="54AA0BF4"/>
    <w:rsid w:val="55197C6D"/>
    <w:rsid w:val="55386323"/>
    <w:rsid w:val="55662590"/>
    <w:rsid w:val="55967510"/>
    <w:rsid w:val="55A27C63"/>
    <w:rsid w:val="55D4113D"/>
    <w:rsid w:val="55FF30A4"/>
    <w:rsid w:val="561072C2"/>
    <w:rsid w:val="56403593"/>
    <w:rsid w:val="56E758A3"/>
    <w:rsid w:val="57225DE4"/>
    <w:rsid w:val="572F4D3A"/>
    <w:rsid w:val="576A0C54"/>
    <w:rsid w:val="57FA6400"/>
    <w:rsid w:val="58005114"/>
    <w:rsid w:val="588502C1"/>
    <w:rsid w:val="58932126"/>
    <w:rsid w:val="58AB586B"/>
    <w:rsid w:val="58C45F54"/>
    <w:rsid w:val="58CA6732"/>
    <w:rsid w:val="58E9300D"/>
    <w:rsid w:val="58F70C03"/>
    <w:rsid w:val="5959734E"/>
    <w:rsid w:val="59680963"/>
    <w:rsid w:val="59DD570D"/>
    <w:rsid w:val="59E63D9B"/>
    <w:rsid w:val="59FC1F81"/>
    <w:rsid w:val="5A2450EA"/>
    <w:rsid w:val="5B0E71C5"/>
    <w:rsid w:val="5B1062CC"/>
    <w:rsid w:val="5B175704"/>
    <w:rsid w:val="5B8E7BDA"/>
    <w:rsid w:val="5B8F2A37"/>
    <w:rsid w:val="5BA14253"/>
    <w:rsid w:val="5BA638C2"/>
    <w:rsid w:val="5BD60FBC"/>
    <w:rsid w:val="5C1F6E7C"/>
    <w:rsid w:val="5C2E2208"/>
    <w:rsid w:val="5C380676"/>
    <w:rsid w:val="5CBD5382"/>
    <w:rsid w:val="5CCB2FE2"/>
    <w:rsid w:val="5CF232F9"/>
    <w:rsid w:val="5D414205"/>
    <w:rsid w:val="5D4303B1"/>
    <w:rsid w:val="5D4A2A18"/>
    <w:rsid w:val="5D6B1613"/>
    <w:rsid w:val="5D9E238C"/>
    <w:rsid w:val="5DAB25DA"/>
    <w:rsid w:val="5DD744D0"/>
    <w:rsid w:val="5E20787C"/>
    <w:rsid w:val="5E227B93"/>
    <w:rsid w:val="5E36562E"/>
    <w:rsid w:val="5E431394"/>
    <w:rsid w:val="5E4F3C33"/>
    <w:rsid w:val="5E5721AD"/>
    <w:rsid w:val="5E9E18F5"/>
    <w:rsid w:val="5EC77C83"/>
    <w:rsid w:val="5F3C2ED6"/>
    <w:rsid w:val="5FA10F8B"/>
    <w:rsid w:val="5FAE5D89"/>
    <w:rsid w:val="5FB40A22"/>
    <w:rsid w:val="5FE33352"/>
    <w:rsid w:val="6004059D"/>
    <w:rsid w:val="60107ADE"/>
    <w:rsid w:val="6027743C"/>
    <w:rsid w:val="60E90B28"/>
    <w:rsid w:val="60EA18F5"/>
    <w:rsid w:val="60EB3900"/>
    <w:rsid w:val="60F6303B"/>
    <w:rsid w:val="612F1AF3"/>
    <w:rsid w:val="61316749"/>
    <w:rsid w:val="615F2EAC"/>
    <w:rsid w:val="616E701B"/>
    <w:rsid w:val="61785D1C"/>
    <w:rsid w:val="61D2367E"/>
    <w:rsid w:val="61E81904"/>
    <w:rsid w:val="61EA41EB"/>
    <w:rsid w:val="623D4680"/>
    <w:rsid w:val="6329057B"/>
    <w:rsid w:val="63B24B00"/>
    <w:rsid w:val="63E55581"/>
    <w:rsid w:val="6409632F"/>
    <w:rsid w:val="64466770"/>
    <w:rsid w:val="64A2292B"/>
    <w:rsid w:val="64E8529B"/>
    <w:rsid w:val="65D707AC"/>
    <w:rsid w:val="65F86F2F"/>
    <w:rsid w:val="660238F8"/>
    <w:rsid w:val="66AF4103"/>
    <w:rsid w:val="66DD6E7B"/>
    <w:rsid w:val="671D35ED"/>
    <w:rsid w:val="67230DC3"/>
    <w:rsid w:val="67335C67"/>
    <w:rsid w:val="67945999"/>
    <w:rsid w:val="681273DF"/>
    <w:rsid w:val="686B49C4"/>
    <w:rsid w:val="68917D64"/>
    <w:rsid w:val="68951A5F"/>
    <w:rsid w:val="68975292"/>
    <w:rsid w:val="68D96849"/>
    <w:rsid w:val="68E7605B"/>
    <w:rsid w:val="68EB0ED6"/>
    <w:rsid w:val="68FE6336"/>
    <w:rsid w:val="6938470E"/>
    <w:rsid w:val="695271BA"/>
    <w:rsid w:val="6994390F"/>
    <w:rsid w:val="69C05197"/>
    <w:rsid w:val="69EF1796"/>
    <w:rsid w:val="69FF347E"/>
    <w:rsid w:val="6AE96809"/>
    <w:rsid w:val="6B481D3A"/>
    <w:rsid w:val="6B7BBC35"/>
    <w:rsid w:val="6B8C01BB"/>
    <w:rsid w:val="6B917291"/>
    <w:rsid w:val="6BCB7D5E"/>
    <w:rsid w:val="6C2A64A8"/>
    <w:rsid w:val="6C4C51B3"/>
    <w:rsid w:val="6C6B27E1"/>
    <w:rsid w:val="6C732DCA"/>
    <w:rsid w:val="6C793133"/>
    <w:rsid w:val="6CA26162"/>
    <w:rsid w:val="6CA53E75"/>
    <w:rsid w:val="6CCE79C7"/>
    <w:rsid w:val="6CDB271C"/>
    <w:rsid w:val="6CF33886"/>
    <w:rsid w:val="6D43581F"/>
    <w:rsid w:val="6DAD31F1"/>
    <w:rsid w:val="6DF42BCE"/>
    <w:rsid w:val="6E173F56"/>
    <w:rsid w:val="6E4753F3"/>
    <w:rsid w:val="6E4C7581"/>
    <w:rsid w:val="6E66579F"/>
    <w:rsid w:val="6E740745"/>
    <w:rsid w:val="6E7C1F13"/>
    <w:rsid w:val="6E967729"/>
    <w:rsid w:val="6EA2262A"/>
    <w:rsid w:val="6EA42C2C"/>
    <w:rsid w:val="6F023C10"/>
    <w:rsid w:val="6F0A61B7"/>
    <w:rsid w:val="6F4B4A6F"/>
    <w:rsid w:val="6F5A2F04"/>
    <w:rsid w:val="6F7E06DF"/>
    <w:rsid w:val="6FEB55B0"/>
    <w:rsid w:val="6FEE1CC3"/>
    <w:rsid w:val="7016644C"/>
    <w:rsid w:val="70701351"/>
    <w:rsid w:val="70BD7112"/>
    <w:rsid w:val="71155335"/>
    <w:rsid w:val="711A7410"/>
    <w:rsid w:val="712978E8"/>
    <w:rsid w:val="713152D1"/>
    <w:rsid w:val="71325EE7"/>
    <w:rsid w:val="715C2A36"/>
    <w:rsid w:val="71797077"/>
    <w:rsid w:val="717C05B9"/>
    <w:rsid w:val="71902C0D"/>
    <w:rsid w:val="7220420C"/>
    <w:rsid w:val="72420F47"/>
    <w:rsid w:val="72C723D6"/>
    <w:rsid w:val="72E254FD"/>
    <w:rsid w:val="73706A80"/>
    <w:rsid w:val="73F92CEC"/>
    <w:rsid w:val="740905D1"/>
    <w:rsid w:val="74B11819"/>
    <w:rsid w:val="74E51028"/>
    <w:rsid w:val="74EC47B9"/>
    <w:rsid w:val="74FA4F6E"/>
    <w:rsid w:val="757E5B9F"/>
    <w:rsid w:val="75826D11"/>
    <w:rsid w:val="758D5C48"/>
    <w:rsid w:val="759D26E0"/>
    <w:rsid w:val="75E556A7"/>
    <w:rsid w:val="75E91A34"/>
    <w:rsid w:val="75E9516B"/>
    <w:rsid w:val="765B51A1"/>
    <w:rsid w:val="7691545E"/>
    <w:rsid w:val="76D338D8"/>
    <w:rsid w:val="776E2536"/>
    <w:rsid w:val="77A17922"/>
    <w:rsid w:val="77E92434"/>
    <w:rsid w:val="77F1783E"/>
    <w:rsid w:val="786848E4"/>
    <w:rsid w:val="78847C7B"/>
    <w:rsid w:val="789F3E60"/>
    <w:rsid w:val="78AE2FCD"/>
    <w:rsid w:val="78D34F15"/>
    <w:rsid w:val="79141378"/>
    <w:rsid w:val="791B1956"/>
    <w:rsid w:val="794B7D0C"/>
    <w:rsid w:val="79960FDD"/>
    <w:rsid w:val="79A82650"/>
    <w:rsid w:val="79B10B27"/>
    <w:rsid w:val="79E33F63"/>
    <w:rsid w:val="79F521A7"/>
    <w:rsid w:val="79FCA41D"/>
    <w:rsid w:val="7A0B162F"/>
    <w:rsid w:val="7A224983"/>
    <w:rsid w:val="7A320D06"/>
    <w:rsid w:val="7A4F4E61"/>
    <w:rsid w:val="7A765096"/>
    <w:rsid w:val="7A886B78"/>
    <w:rsid w:val="7ACA37FD"/>
    <w:rsid w:val="7B3307AF"/>
    <w:rsid w:val="7B83167B"/>
    <w:rsid w:val="7BAF6B8A"/>
    <w:rsid w:val="7BE424D4"/>
    <w:rsid w:val="7BF70459"/>
    <w:rsid w:val="7BF74E5E"/>
    <w:rsid w:val="7BFD6463"/>
    <w:rsid w:val="7C480CB4"/>
    <w:rsid w:val="7C527A26"/>
    <w:rsid w:val="7CC15A39"/>
    <w:rsid w:val="7CD262A7"/>
    <w:rsid w:val="7CD3066C"/>
    <w:rsid w:val="7D3F11EF"/>
    <w:rsid w:val="7D5D619E"/>
    <w:rsid w:val="7D624BF2"/>
    <w:rsid w:val="7D741635"/>
    <w:rsid w:val="7DBE1A62"/>
    <w:rsid w:val="7E002DF6"/>
    <w:rsid w:val="7E2B5722"/>
    <w:rsid w:val="7E8B257D"/>
    <w:rsid w:val="7E9A2610"/>
    <w:rsid w:val="7F05000D"/>
    <w:rsid w:val="7F517BDB"/>
    <w:rsid w:val="7F5F0E61"/>
    <w:rsid w:val="7F666C97"/>
    <w:rsid w:val="7F6DEA0B"/>
    <w:rsid w:val="7F712D22"/>
    <w:rsid w:val="7F736048"/>
    <w:rsid w:val="7F7F5C7C"/>
    <w:rsid w:val="7FAE2FC0"/>
    <w:rsid w:val="7FDD4C7E"/>
    <w:rsid w:val="7FF66CEB"/>
    <w:rsid w:val="7FFD5A87"/>
    <w:rsid w:val="93BFDC52"/>
    <w:rsid w:val="9DFF8419"/>
    <w:rsid w:val="B4FBC770"/>
    <w:rsid w:val="D70AA392"/>
    <w:rsid w:val="DCDDD010"/>
    <w:rsid w:val="F6F7D869"/>
    <w:rsid w:val="F6FE19A9"/>
    <w:rsid w:val="FABFDDFB"/>
    <w:rsid w:val="FDF76773"/>
    <w:rsid w:val="FE3E362D"/>
    <w:rsid w:val="FEA7BC66"/>
    <w:rsid w:val="FFFF1B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qFormat="1"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link w:val="64"/>
    <w:qFormat/>
    <w:uiPriority w:val="0"/>
    <w:pPr>
      <w:keepNext/>
      <w:tabs>
        <w:tab w:val="left" w:pos="432"/>
      </w:tabs>
      <w:ind w:left="432" w:hanging="432"/>
      <w:jc w:val="center"/>
      <w:outlineLvl w:val="0"/>
    </w:pPr>
    <w:rPr>
      <w:rFonts w:ascii="黑体" w:hAnsi="宋体" w:eastAsia="黑体"/>
      <w:sz w:val="52"/>
    </w:rPr>
  </w:style>
  <w:style w:type="paragraph" w:styleId="3">
    <w:name w:val="heading 2"/>
    <w:basedOn w:val="1"/>
    <w:next w:val="1"/>
    <w:link w:val="65"/>
    <w:qFormat/>
    <w:uiPriority w:val="0"/>
    <w:pPr>
      <w:keepNext/>
      <w:keepLines/>
      <w:spacing w:before="260" w:after="260"/>
      <w:outlineLvl w:val="1"/>
    </w:pPr>
    <w:rPr>
      <w:rFonts w:ascii="Arial" w:hAnsi="Arial" w:eastAsia="黑体"/>
      <w:b/>
      <w:bCs/>
      <w:sz w:val="32"/>
      <w:szCs w:val="32"/>
    </w:rPr>
  </w:style>
  <w:style w:type="paragraph" w:styleId="4">
    <w:name w:val="heading 3"/>
    <w:basedOn w:val="1"/>
    <w:next w:val="1"/>
    <w:link w:val="66"/>
    <w:qFormat/>
    <w:uiPriority w:val="0"/>
    <w:pPr>
      <w:keepNext/>
      <w:keepLines/>
      <w:numPr>
        <w:ilvl w:val="2"/>
        <w:numId w:val="1"/>
      </w:numPr>
      <w:spacing w:before="120" w:after="120" w:line="360" w:lineRule="auto"/>
      <w:jc w:val="center"/>
      <w:outlineLvl w:val="2"/>
    </w:pPr>
    <w:rPr>
      <w:b/>
      <w:sz w:val="32"/>
    </w:rPr>
  </w:style>
  <w:style w:type="paragraph" w:styleId="5">
    <w:name w:val="heading 4"/>
    <w:basedOn w:val="1"/>
    <w:next w:val="1"/>
    <w:link w:val="67"/>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68"/>
    <w:qFormat/>
    <w:uiPriority w:val="0"/>
    <w:pPr>
      <w:keepNext/>
      <w:keepLines/>
      <w:spacing w:before="280" w:after="290" w:line="374" w:lineRule="auto"/>
      <w:outlineLvl w:val="4"/>
    </w:pPr>
    <w:rPr>
      <w:b/>
      <w:bCs/>
      <w:sz w:val="28"/>
      <w:szCs w:val="28"/>
    </w:rPr>
  </w:style>
  <w:style w:type="paragraph" w:styleId="7">
    <w:name w:val="heading 6"/>
    <w:basedOn w:val="1"/>
    <w:next w:val="1"/>
    <w:link w:val="69"/>
    <w:qFormat/>
    <w:uiPriority w:val="0"/>
    <w:pPr>
      <w:keepNext/>
      <w:keepLines/>
      <w:numPr>
        <w:ilvl w:val="5"/>
        <w:numId w:val="1"/>
      </w:numPr>
      <w:spacing w:before="240" w:after="64" w:line="317" w:lineRule="auto"/>
      <w:outlineLvl w:val="5"/>
    </w:pPr>
    <w:rPr>
      <w:rFonts w:ascii="Arial" w:hAnsi="Arial" w:eastAsia="黑体"/>
      <w:b/>
      <w:bCs/>
      <w:sz w:val="24"/>
      <w:szCs w:val="24"/>
    </w:rPr>
  </w:style>
  <w:style w:type="paragraph" w:styleId="8">
    <w:name w:val="heading 7"/>
    <w:basedOn w:val="1"/>
    <w:next w:val="1"/>
    <w:link w:val="70"/>
    <w:qFormat/>
    <w:uiPriority w:val="0"/>
    <w:pPr>
      <w:keepNext/>
      <w:keepLines/>
      <w:numPr>
        <w:ilvl w:val="6"/>
        <w:numId w:val="1"/>
      </w:numPr>
      <w:spacing w:before="240" w:after="64" w:line="317" w:lineRule="auto"/>
      <w:outlineLvl w:val="6"/>
    </w:pPr>
    <w:rPr>
      <w:b/>
      <w:bCs/>
      <w:sz w:val="24"/>
      <w:szCs w:val="24"/>
    </w:rPr>
  </w:style>
  <w:style w:type="paragraph" w:styleId="9">
    <w:name w:val="heading 8"/>
    <w:basedOn w:val="1"/>
    <w:next w:val="1"/>
    <w:link w:val="71"/>
    <w:qFormat/>
    <w:uiPriority w:val="0"/>
    <w:pPr>
      <w:keepNext/>
      <w:keepLines/>
      <w:numPr>
        <w:ilvl w:val="7"/>
        <w:numId w:val="1"/>
      </w:numPr>
      <w:spacing w:before="240" w:after="64" w:line="317" w:lineRule="auto"/>
      <w:outlineLvl w:val="7"/>
    </w:pPr>
    <w:rPr>
      <w:rFonts w:ascii="Arial" w:hAnsi="Arial" w:eastAsia="黑体"/>
      <w:sz w:val="24"/>
      <w:szCs w:val="24"/>
    </w:rPr>
  </w:style>
  <w:style w:type="paragraph" w:styleId="10">
    <w:name w:val="heading 9"/>
    <w:basedOn w:val="1"/>
    <w:next w:val="1"/>
    <w:link w:val="72"/>
    <w:qFormat/>
    <w:uiPriority w:val="0"/>
    <w:pPr>
      <w:keepNext/>
      <w:keepLines/>
      <w:numPr>
        <w:ilvl w:val="8"/>
        <w:numId w:val="1"/>
      </w:numPr>
      <w:spacing w:before="240" w:after="64" w:line="317" w:lineRule="auto"/>
      <w:outlineLvl w:val="8"/>
    </w:pPr>
    <w:rPr>
      <w:rFonts w:ascii="Arial" w:hAnsi="Arial" w:eastAsia="黑体"/>
      <w:sz w:val="21"/>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0"/>
    <w:pPr>
      <w:ind w:left="1200"/>
    </w:pPr>
    <w:rPr>
      <w:sz w:val="18"/>
      <w:szCs w:val="18"/>
    </w:rPr>
  </w:style>
  <w:style w:type="paragraph" w:styleId="12">
    <w:name w:val="Normal Indent"/>
    <w:basedOn w:val="1"/>
    <w:link w:val="123"/>
    <w:qFormat/>
    <w:uiPriority w:val="0"/>
    <w:pPr>
      <w:ind w:firstLine="420" w:firstLineChars="200"/>
    </w:pPr>
  </w:style>
  <w:style w:type="paragraph" w:styleId="13">
    <w:name w:val="Document Map"/>
    <w:basedOn w:val="1"/>
    <w:link w:val="93"/>
    <w:qFormat/>
    <w:uiPriority w:val="0"/>
    <w:pPr>
      <w:shd w:val="clear" w:color="auto" w:fill="000080"/>
    </w:pPr>
  </w:style>
  <w:style w:type="paragraph" w:styleId="14">
    <w:name w:val="annotation text"/>
    <w:basedOn w:val="1"/>
    <w:link w:val="98"/>
    <w:qFormat/>
    <w:uiPriority w:val="0"/>
    <w:pPr>
      <w:widowControl w:val="0"/>
      <w:adjustRightInd w:val="0"/>
      <w:spacing w:line="360" w:lineRule="atLeast"/>
      <w:textAlignment w:val="baseline"/>
    </w:pPr>
    <w:rPr>
      <w:sz w:val="24"/>
    </w:rPr>
  </w:style>
  <w:style w:type="paragraph" w:styleId="15">
    <w:name w:val="Body Text 3"/>
    <w:basedOn w:val="1"/>
    <w:link w:val="141"/>
    <w:qFormat/>
    <w:uiPriority w:val="0"/>
    <w:pPr>
      <w:widowControl w:val="0"/>
      <w:spacing w:line="80" w:lineRule="atLeast"/>
      <w:jc w:val="both"/>
    </w:pPr>
    <w:rPr>
      <w:rFonts w:ascii="楷体_GB2312" w:eastAsia="楷体_GB2312"/>
      <w:kern w:val="2"/>
      <w:sz w:val="28"/>
      <w:szCs w:val="24"/>
    </w:rPr>
  </w:style>
  <w:style w:type="paragraph" w:styleId="16">
    <w:name w:val="Body Text"/>
    <w:basedOn w:val="1"/>
    <w:next w:val="17"/>
    <w:link w:val="94"/>
    <w:unhideWhenUsed/>
    <w:qFormat/>
    <w:uiPriority w:val="99"/>
    <w:pPr>
      <w:spacing w:after="120"/>
    </w:pPr>
  </w:style>
  <w:style w:type="paragraph" w:customStyle="1" w:styleId="17">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18">
    <w:name w:val="Body Text Indent"/>
    <w:basedOn w:val="1"/>
    <w:link w:val="96"/>
    <w:qFormat/>
    <w:uiPriority w:val="0"/>
    <w:pPr>
      <w:spacing w:after="120"/>
      <w:ind w:left="420" w:leftChars="200"/>
    </w:pPr>
  </w:style>
  <w:style w:type="paragraph" w:styleId="19">
    <w:name w:val="List 2"/>
    <w:basedOn w:val="1"/>
    <w:qFormat/>
    <w:uiPriority w:val="0"/>
    <w:pPr>
      <w:widowControl w:val="0"/>
      <w:autoSpaceDE w:val="0"/>
      <w:autoSpaceDN w:val="0"/>
      <w:adjustRightInd w:val="0"/>
      <w:ind w:left="840" w:hanging="420"/>
    </w:pPr>
    <w:rPr>
      <w:rFonts w:ascii="宋体"/>
    </w:rPr>
  </w:style>
  <w:style w:type="paragraph" w:styleId="20">
    <w:name w:val="Block Text"/>
    <w:basedOn w:val="1"/>
    <w:qFormat/>
    <w:uiPriority w:val="0"/>
    <w:pPr>
      <w:widowControl w:val="0"/>
      <w:adjustRightInd w:val="0"/>
      <w:ind w:left="420" w:right="33"/>
      <w:textAlignment w:val="baseline"/>
    </w:pPr>
    <w:rPr>
      <w:sz w:val="24"/>
    </w:rPr>
  </w:style>
  <w:style w:type="paragraph" w:styleId="21">
    <w:name w:val="toc 5"/>
    <w:basedOn w:val="1"/>
    <w:next w:val="1"/>
    <w:semiHidden/>
    <w:qFormat/>
    <w:uiPriority w:val="0"/>
    <w:pPr>
      <w:ind w:left="800"/>
    </w:pPr>
    <w:rPr>
      <w:sz w:val="18"/>
      <w:szCs w:val="18"/>
    </w:rPr>
  </w:style>
  <w:style w:type="paragraph" w:styleId="22">
    <w:name w:val="toc 3"/>
    <w:basedOn w:val="1"/>
    <w:next w:val="1"/>
    <w:qFormat/>
    <w:uiPriority w:val="0"/>
    <w:pPr>
      <w:ind w:left="400"/>
    </w:pPr>
    <w:rPr>
      <w:i/>
      <w:iCs/>
    </w:rPr>
  </w:style>
  <w:style w:type="paragraph" w:styleId="23">
    <w:name w:val="Plain Text"/>
    <w:basedOn w:val="1"/>
    <w:link w:val="97"/>
    <w:qFormat/>
    <w:uiPriority w:val="0"/>
    <w:pPr>
      <w:widowControl w:val="0"/>
      <w:jc w:val="both"/>
    </w:pPr>
    <w:rPr>
      <w:rFonts w:ascii="宋体" w:hAnsi="Courier New"/>
      <w:kern w:val="2"/>
      <w:sz w:val="21"/>
    </w:rPr>
  </w:style>
  <w:style w:type="paragraph" w:styleId="24">
    <w:name w:val="toc 8"/>
    <w:basedOn w:val="1"/>
    <w:next w:val="1"/>
    <w:semiHidden/>
    <w:qFormat/>
    <w:uiPriority w:val="0"/>
    <w:pPr>
      <w:ind w:left="1400"/>
    </w:pPr>
    <w:rPr>
      <w:sz w:val="18"/>
      <w:szCs w:val="18"/>
    </w:rPr>
  </w:style>
  <w:style w:type="paragraph" w:styleId="25">
    <w:name w:val="Date"/>
    <w:basedOn w:val="1"/>
    <w:next w:val="1"/>
    <w:link w:val="86"/>
    <w:qFormat/>
    <w:uiPriority w:val="0"/>
    <w:pPr>
      <w:widowControl w:val="0"/>
      <w:jc w:val="both"/>
    </w:pPr>
    <w:rPr>
      <w:kern w:val="2"/>
      <w:sz w:val="24"/>
    </w:rPr>
  </w:style>
  <w:style w:type="paragraph" w:styleId="26">
    <w:name w:val="Body Text Indent 2"/>
    <w:basedOn w:val="1"/>
    <w:link w:val="88"/>
    <w:qFormat/>
    <w:uiPriority w:val="0"/>
    <w:pPr>
      <w:overflowPunct w:val="0"/>
      <w:autoSpaceDE w:val="0"/>
      <w:autoSpaceDN w:val="0"/>
      <w:adjustRightInd w:val="0"/>
      <w:spacing w:line="360" w:lineRule="auto"/>
      <w:ind w:firstLine="555"/>
      <w:jc w:val="both"/>
      <w:textAlignment w:val="baseline"/>
    </w:pPr>
    <w:rPr>
      <w:rFonts w:ascii="宋体" w:hAnsi="MS Sans Serif"/>
      <w:spacing w:val="12"/>
      <w:sz w:val="24"/>
    </w:rPr>
  </w:style>
  <w:style w:type="paragraph" w:styleId="27">
    <w:name w:val="Balloon Text"/>
    <w:basedOn w:val="1"/>
    <w:link w:val="99"/>
    <w:qFormat/>
    <w:uiPriority w:val="0"/>
    <w:rPr>
      <w:sz w:val="18"/>
      <w:szCs w:val="18"/>
    </w:rPr>
  </w:style>
  <w:style w:type="paragraph" w:styleId="28">
    <w:name w:val="footer"/>
    <w:basedOn w:val="1"/>
    <w:link w:val="63"/>
    <w:unhideWhenUsed/>
    <w:qFormat/>
    <w:uiPriority w:val="99"/>
    <w:pPr>
      <w:tabs>
        <w:tab w:val="center" w:pos="4153"/>
        <w:tab w:val="right" w:pos="8306"/>
      </w:tabs>
      <w:snapToGrid w:val="0"/>
    </w:pPr>
    <w:rPr>
      <w:sz w:val="18"/>
      <w:szCs w:val="18"/>
    </w:rPr>
  </w:style>
  <w:style w:type="paragraph" w:styleId="29">
    <w:name w:val="header"/>
    <w:basedOn w:val="1"/>
    <w:link w:val="62"/>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0"/>
    <w:pPr>
      <w:spacing w:before="120" w:after="120"/>
    </w:pPr>
    <w:rPr>
      <w:b/>
      <w:bCs/>
      <w:caps/>
    </w:rPr>
  </w:style>
  <w:style w:type="paragraph" w:styleId="31">
    <w:name w:val="toc 4"/>
    <w:basedOn w:val="1"/>
    <w:next w:val="1"/>
    <w:qFormat/>
    <w:uiPriority w:val="0"/>
    <w:pPr>
      <w:ind w:left="600"/>
    </w:pPr>
    <w:rPr>
      <w:sz w:val="18"/>
      <w:szCs w:val="18"/>
    </w:rPr>
  </w:style>
  <w:style w:type="paragraph" w:styleId="32">
    <w:name w:val="Subtitle"/>
    <w:basedOn w:val="1"/>
    <w:next w:val="1"/>
    <w:link w:val="85"/>
    <w:qFormat/>
    <w:uiPriority w:val="0"/>
    <w:pPr>
      <w:spacing w:before="240" w:after="60" w:line="312" w:lineRule="auto"/>
      <w:jc w:val="center"/>
      <w:outlineLvl w:val="1"/>
    </w:pPr>
    <w:rPr>
      <w:rFonts w:ascii="Cambria" w:hAnsi="Cambria" w:eastAsia="黑体"/>
      <w:b/>
      <w:bCs/>
      <w:kern w:val="28"/>
      <w:sz w:val="28"/>
      <w:szCs w:val="32"/>
    </w:rPr>
  </w:style>
  <w:style w:type="paragraph" w:styleId="33">
    <w:name w:val="toc 6"/>
    <w:basedOn w:val="1"/>
    <w:next w:val="1"/>
    <w:semiHidden/>
    <w:qFormat/>
    <w:uiPriority w:val="0"/>
    <w:pPr>
      <w:ind w:left="1000"/>
    </w:pPr>
    <w:rPr>
      <w:sz w:val="18"/>
      <w:szCs w:val="18"/>
    </w:rPr>
  </w:style>
  <w:style w:type="paragraph" w:styleId="34">
    <w:name w:val="Body Text Indent 3"/>
    <w:basedOn w:val="1"/>
    <w:link w:val="87"/>
    <w:qFormat/>
    <w:uiPriority w:val="0"/>
    <w:pPr>
      <w:overflowPunct w:val="0"/>
      <w:autoSpaceDE w:val="0"/>
      <w:autoSpaceDN w:val="0"/>
      <w:adjustRightInd w:val="0"/>
      <w:spacing w:line="360" w:lineRule="auto"/>
      <w:ind w:firstLine="540"/>
      <w:jc w:val="both"/>
      <w:textAlignment w:val="baseline"/>
    </w:pPr>
    <w:rPr>
      <w:rFonts w:ascii="宋体" w:hAnsi="MS Sans Serif"/>
      <w:color w:val="000000"/>
      <w:sz w:val="24"/>
    </w:rPr>
  </w:style>
  <w:style w:type="paragraph" w:styleId="35">
    <w:name w:val="toc 2"/>
    <w:basedOn w:val="1"/>
    <w:next w:val="1"/>
    <w:qFormat/>
    <w:uiPriority w:val="0"/>
    <w:pPr>
      <w:ind w:left="200"/>
    </w:pPr>
    <w:rPr>
      <w:smallCaps/>
    </w:rPr>
  </w:style>
  <w:style w:type="paragraph" w:styleId="36">
    <w:name w:val="toc 9"/>
    <w:basedOn w:val="1"/>
    <w:next w:val="1"/>
    <w:semiHidden/>
    <w:qFormat/>
    <w:uiPriority w:val="0"/>
    <w:pPr>
      <w:ind w:left="1600"/>
    </w:pPr>
    <w:rPr>
      <w:sz w:val="18"/>
      <w:szCs w:val="18"/>
    </w:rPr>
  </w:style>
  <w:style w:type="paragraph" w:styleId="37">
    <w:name w:val="Body Text 2"/>
    <w:basedOn w:val="1"/>
    <w:link w:val="117"/>
    <w:semiHidden/>
    <w:unhideWhenUsed/>
    <w:qFormat/>
    <w:uiPriority w:val="99"/>
    <w:pPr>
      <w:spacing w:after="120" w:line="480" w:lineRule="auto"/>
    </w:pPr>
  </w:style>
  <w:style w:type="paragraph" w:styleId="38">
    <w:name w:val="HTML Preformatted"/>
    <w:basedOn w:val="1"/>
    <w:link w:val="189"/>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szCs w:val="24"/>
    </w:rPr>
  </w:style>
  <w:style w:type="paragraph" w:styleId="39">
    <w:name w:val="Normal (Web)"/>
    <w:basedOn w:val="1"/>
    <w:qFormat/>
    <w:uiPriority w:val="0"/>
    <w:pPr>
      <w:spacing w:before="100" w:beforeAutospacing="1" w:after="100" w:afterAutospacing="1"/>
    </w:pPr>
    <w:rPr>
      <w:rFonts w:ascii="宋体" w:hAnsi="宋体" w:cs="宋体"/>
      <w:sz w:val="24"/>
      <w:szCs w:val="24"/>
    </w:rPr>
  </w:style>
  <w:style w:type="paragraph" w:styleId="40">
    <w:name w:val="index 1"/>
    <w:basedOn w:val="1"/>
    <w:next w:val="1"/>
    <w:link w:val="176"/>
    <w:qFormat/>
    <w:uiPriority w:val="0"/>
    <w:pPr>
      <w:widowControl w:val="0"/>
      <w:spacing w:line="360" w:lineRule="auto"/>
      <w:ind w:left="540" w:leftChars="225" w:firstLine="540"/>
    </w:pPr>
    <w:rPr>
      <w:rFonts w:ascii="宋体" w:hAnsi="Arial"/>
      <w:snapToGrid w:val="0"/>
      <w:sz w:val="24"/>
    </w:rPr>
  </w:style>
  <w:style w:type="paragraph" w:styleId="41">
    <w:name w:val="Title"/>
    <w:basedOn w:val="1"/>
    <w:next w:val="1"/>
    <w:link w:val="84"/>
    <w:qFormat/>
    <w:uiPriority w:val="0"/>
    <w:pPr>
      <w:spacing w:before="240" w:after="60"/>
      <w:jc w:val="center"/>
      <w:outlineLvl w:val="0"/>
    </w:pPr>
    <w:rPr>
      <w:rFonts w:ascii="Arial" w:hAnsi="Arial" w:cs="Arial"/>
      <w:b/>
      <w:bCs/>
      <w:sz w:val="44"/>
      <w:szCs w:val="32"/>
    </w:rPr>
  </w:style>
  <w:style w:type="paragraph" w:styleId="42">
    <w:name w:val="annotation subject"/>
    <w:basedOn w:val="14"/>
    <w:next w:val="14"/>
    <w:link w:val="111"/>
    <w:semiHidden/>
    <w:unhideWhenUsed/>
    <w:qFormat/>
    <w:uiPriority w:val="99"/>
    <w:pPr>
      <w:widowControl/>
      <w:adjustRightInd/>
      <w:spacing w:line="240" w:lineRule="auto"/>
      <w:textAlignment w:val="auto"/>
    </w:pPr>
    <w:rPr>
      <w:b/>
      <w:bCs/>
      <w:sz w:val="20"/>
    </w:rPr>
  </w:style>
  <w:style w:type="paragraph" w:styleId="43">
    <w:name w:val="Body Text First Indent"/>
    <w:basedOn w:val="16"/>
    <w:link w:val="95"/>
    <w:qFormat/>
    <w:uiPriority w:val="0"/>
    <w:pPr>
      <w:ind w:firstLine="420" w:firstLineChars="100"/>
    </w:pPr>
  </w:style>
  <w:style w:type="paragraph" w:styleId="44">
    <w:name w:val="Body Text First Indent 2"/>
    <w:basedOn w:val="18"/>
    <w:next w:val="1"/>
    <w:link w:val="119"/>
    <w:semiHidden/>
    <w:unhideWhenUsed/>
    <w:qFormat/>
    <w:uiPriority w:val="99"/>
    <w:pPr>
      <w:ind w:firstLine="420" w:firstLineChars="200"/>
    </w:pPr>
  </w:style>
  <w:style w:type="table" w:styleId="46">
    <w:name w:val="Table Grid"/>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0"/>
    <w:rPr>
      <w:b/>
      <w:bCs/>
    </w:rPr>
  </w:style>
  <w:style w:type="character" w:styleId="49">
    <w:name w:val="page number"/>
    <w:basedOn w:val="47"/>
    <w:qFormat/>
    <w:uiPriority w:val="0"/>
  </w:style>
  <w:style w:type="character" w:styleId="50">
    <w:name w:val="FollowedHyperlink"/>
    <w:basedOn w:val="47"/>
    <w:unhideWhenUsed/>
    <w:qFormat/>
    <w:uiPriority w:val="0"/>
    <w:rPr>
      <w:color w:val="800080"/>
      <w:u w:val="none"/>
    </w:rPr>
  </w:style>
  <w:style w:type="character" w:styleId="51">
    <w:name w:val="HTML Definition"/>
    <w:basedOn w:val="47"/>
    <w:semiHidden/>
    <w:unhideWhenUsed/>
    <w:qFormat/>
    <w:uiPriority w:val="99"/>
  </w:style>
  <w:style w:type="character" w:styleId="52">
    <w:name w:val="HTML Typewriter"/>
    <w:basedOn w:val="47"/>
    <w:semiHidden/>
    <w:unhideWhenUsed/>
    <w:qFormat/>
    <w:uiPriority w:val="99"/>
    <w:rPr>
      <w:rFonts w:hint="default" w:ascii="monospace" w:hAnsi="monospace" w:eastAsia="monospace" w:cs="monospace"/>
      <w:sz w:val="20"/>
    </w:rPr>
  </w:style>
  <w:style w:type="character" w:styleId="53">
    <w:name w:val="HTML Acronym"/>
    <w:basedOn w:val="47"/>
    <w:semiHidden/>
    <w:unhideWhenUsed/>
    <w:qFormat/>
    <w:uiPriority w:val="99"/>
  </w:style>
  <w:style w:type="character" w:styleId="54">
    <w:name w:val="HTML Variable"/>
    <w:basedOn w:val="47"/>
    <w:semiHidden/>
    <w:unhideWhenUsed/>
    <w:qFormat/>
    <w:uiPriority w:val="99"/>
  </w:style>
  <w:style w:type="character" w:styleId="55">
    <w:name w:val="Hyperlink"/>
    <w:qFormat/>
    <w:uiPriority w:val="0"/>
    <w:rPr>
      <w:color w:val="0000FF"/>
      <w:u w:val="single"/>
    </w:rPr>
  </w:style>
  <w:style w:type="character" w:styleId="56">
    <w:name w:val="HTML Code"/>
    <w:basedOn w:val="47"/>
    <w:semiHidden/>
    <w:unhideWhenUsed/>
    <w:qFormat/>
    <w:uiPriority w:val="99"/>
    <w:rPr>
      <w:rFonts w:ascii="monospace" w:hAnsi="monospace" w:eastAsia="monospace" w:cs="monospace"/>
      <w:sz w:val="20"/>
    </w:rPr>
  </w:style>
  <w:style w:type="character" w:styleId="57">
    <w:name w:val="annotation reference"/>
    <w:semiHidden/>
    <w:unhideWhenUsed/>
    <w:qFormat/>
    <w:uiPriority w:val="99"/>
    <w:rPr>
      <w:sz w:val="21"/>
      <w:szCs w:val="21"/>
    </w:rPr>
  </w:style>
  <w:style w:type="character" w:styleId="58">
    <w:name w:val="HTML Cite"/>
    <w:basedOn w:val="47"/>
    <w:semiHidden/>
    <w:unhideWhenUsed/>
    <w:qFormat/>
    <w:uiPriority w:val="99"/>
  </w:style>
  <w:style w:type="character" w:styleId="59">
    <w:name w:val="HTML Keyboard"/>
    <w:basedOn w:val="47"/>
    <w:semiHidden/>
    <w:unhideWhenUsed/>
    <w:qFormat/>
    <w:uiPriority w:val="99"/>
    <w:rPr>
      <w:rFonts w:hint="default" w:ascii="monospace" w:hAnsi="monospace" w:eastAsia="monospace" w:cs="monospace"/>
      <w:sz w:val="20"/>
    </w:rPr>
  </w:style>
  <w:style w:type="character" w:styleId="60">
    <w:name w:val="HTML Sample"/>
    <w:basedOn w:val="47"/>
    <w:semiHidden/>
    <w:unhideWhenUsed/>
    <w:qFormat/>
    <w:uiPriority w:val="99"/>
    <w:rPr>
      <w:rFonts w:hint="default" w:ascii="monospace" w:hAnsi="monospace" w:eastAsia="monospace" w:cs="monospace"/>
    </w:rPr>
  </w:style>
  <w:style w:type="paragraph" w:customStyle="1" w:styleId="61">
    <w:name w:val="目录 611"/>
    <w:next w:val="1"/>
    <w:qFormat/>
    <w:uiPriority w:val="0"/>
    <w:pPr>
      <w:wordWrap w:val="0"/>
      <w:ind w:left="2125"/>
      <w:jc w:val="both"/>
    </w:pPr>
    <w:rPr>
      <w:rFonts w:ascii="Times New Roman" w:hAnsi="Times New Roman" w:eastAsia="宋体" w:cs="Times New Roman"/>
      <w:sz w:val="21"/>
      <w:lang w:val="en-US" w:eastAsia="zh-CN" w:bidi="ar-SA"/>
    </w:rPr>
  </w:style>
  <w:style w:type="character" w:customStyle="1" w:styleId="62">
    <w:name w:val="页眉 字符"/>
    <w:basedOn w:val="47"/>
    <w:link w:val="29"/>
    <w:qFormat/>
    <w:uiPriority w:val="99"/>
    <w:rPr>
      <w:sz w:val="18"/>
      <w:szCs w:val="18"/>
    </w:rPr>
  </w:style>
  <w:style w:type="character" w:customStyle="1" w:styleId="63">
    <w:name w:val="页脚 字符"/>
    <w:basedOn w:val="47"/>
    <w:link w:val="28"/>
    <w:qFormat/>
    <w:uiPriority w:val="99"/>
    <w:rPr>
      <w:sz w:val="18"/>
      <w:szCs w:val="18"/>
    </w:rPr>
  </w:style>
  <w:style w:type="character" w:customStyle="1" w:styleId="64">
    <w:name w:val="标题 1 字符"/>
    <w:basedOn w:val="47"/>
    <w:link w:val="2"/>
    <w:qFormat/>
    <w:uiPriority w:val="0"/>
    <w:rPr>
      <w:rFonts w:ascii="黑体" w:hAnsi="宋体" w:eastAsia="黑体"/>
      <w:sz w:val="52"/>
    </w:rPr>
  </w:style>
  <w:style w:type="character" w:customStyle="1" w:styleId="65">
    <w:name w:val="标题 2 字符"/>
    <w:basedOn w:val="47"/>
    <w:link w:val="3"/>
    <w:qFormat/>
    <w:uiPriority w:val="0"/>
    <w:rPr>
      <w:rFonts w:ascii="Arial" w:hAnsi="Arial" w:eastAsia="黑体" w:cs="Times New Roman"/>
      <w:b/>
      <w:bCs/>
      <w:kern w:val="0"/>
      <w:sz w:val="32"/>
      <w:szCs w:val="32"/>
    </w:rPr>
  </w:style>
  <w:style w:type="character" w:customStyle="1" w:styleId="66">
    <w:name w:val="标题 3 字符"/>
    <w:basedOn w:val="47"/>
    <w:link w:val="4"/>
    <w:qFormat/>
    <w:uiPriority w:val="0"/>
    <w:rPr>
      <w:b/>
      <w:sz w:val="32"/>
    </w:rPr>
  </w:style>
  <w:style w:type="character" w:customStyle="1" w:styleId="67">
    <w:name w:val="标题 4 字符"/>
    <w:basedOn w:val="47"/>
    <w:link w:val="5"/>
    <w:qFormat/>
    <w:uiPriority w:val="0"/>
    <w:rPr>
      <w:rFonts w:ascii="Arial" w:hAnsi="Arial" w:eastAsia="黑体" w:cs="Times New Roman"/>
      <w:b/>
      <w:bCs/>
      <w:kern w:val="0"/>
      <w:sz w:val="28"/>
      <w:szCs w:val="28"/>
    </w:rPr>
  </w:style>
  <w:style w:type="character" w:customStyle="1" w:styleId="68">
    <w:name w:val="标题 5 字符"/>
    <w:basedOn w:val="47"/>
    <w:link w:val="6"/>
    <w:qFormat/>
    <w:uiPriority w:val="0"/>
    <w:rPr>
      <w:rFonts w:ascii="Times New Roman" w:hAnsi="Times New Roman" w:eastAsia="宋体" w:cs="Times New Roman"/>
      <w:b/>
      <w:bCs/>
      <w:kern w:val="0"/>
      <w:sz w:val="28"/>
      <w:szCs w:val="28"/>
    </w:rPr>
  </w:style>
  <w:style w:type="character" w:customStyle="1" w:styleId="69">
    <w:name w:val="标题 6 字符"/>
    <w:basedOn w:val="47"/>
    <w:link w:val="7"/>
    <w:qFormat/>
    <w:uiPriority w:val="0"/>
    <w:rPr>
      <w:rFonts w:ascii="Arial" w:hAnsi="Arial" w:eastAsia="黑体"/>
      <w:b/>
      <w:bCs/>
      <w:sz w:val="24"/>
      <w:szCs w:val="24"/>
    </w:rPr>
  </w:style>
  <w:style w:type="character" w:customStyle="1" w:styleId="70">
    <w:name w:val="标题 7 字符"/>
    <w:basedOn w:val="47"/>
    <w:link w:val="8"/>
    <w:qFormat/>
    <w:uiPriority w:val="0"/>
    <w:rPr>
      <w:b/>
      <w:bCs/>
      <w:sz w:val="24"/>
      <w:szCs w:val="24"/>
    </w:rPr>
  </w:style>
  <w:style w:type="character" w:customStyle="1" w:styleId="71">
    <w:name w:val="标题 8 字符"/>
    <w:basedOn w:val="47"/>
    <w:link w:val="9"/>
    <w:qFormat/>
    <w:uiPriority w:val="0"/>
    <w:rPr>
      <w:rFonts w:ascii="Arial" w:hAnsi="Arial" w:eastAsia="黑体"/>
      <w:sz w:val="24"/>
      <w:szCs w:val="24"/>
    </w:rPr>
  </w:style>
  <w:style w:type="character" w:customStyle="1" w:styleId="72">
    <w:name w:val="标题 9 字符"/>
    <w:basedOn w:val="47"/>
    <w:link w:val="10"/>
    <w:qFormat/>
    <w:uiPriority w:val="0"/>
    <w:rPr>
      <w:rFonts w:ascii="Arial" w:hAnsi="Arial" w:eastAsia="黑体"/>
      <w:sz w:val="21"/>
      <w:szCs w:val="21"/>
    </w:rPr>
  </w:style>
  <w:style w:type="character" w:customStyle="1" w:styleId="73">
    <w:name w:val="无间隔 字符"/>
    <w:link w:val="74"/>
    <w:qFormat/>
    <w:uiPriority w:val="1"/>
    <w:rPr>
      <w:rFonts w:ascii="Calibri" w:hAnsi="Calibri"/>
      <w:sz w:val="22"/>
    </w:rPr>
  </w:style>
  <w:style w:type="paragraph" w:styleId="74">
    <w:name w:val="No Spacing"/>
    <w:link w:val="73"/>
    <w:qFormat/>
    <w:uiPriority w:val="1"/>
    <w:rPr>
      <w:rFonts w:ascii="Calibri" w:hAnsi="Calibri" w:eastAsiaTheme="minorEastAsia" w:cstheme="minorBidi"/>
      <w:kern w:val="2"/>
      <w:sz w:val="22"/>
      <w:szCs w:val="22"/>
      <w:lang w:val="en-US" w:eastAsia="zh-CN" w:bidi="ar-SA"/>
    </w:rPr>
  </w:style>
  <w:style w:type="character" w:customStyle="1" w:styleId="75">
    <w:name w:val="apple-converted-space"/>
    <w:basedOn w:val="47"/>
    <w:qFormat/>
    <w:uiPriority w:val="0"/>
  </w:style>
  <w:style w:type="character" w:customStyle="1" w:styleId="76">
    <w:name w:val="sn2 Char"/>
    <w:link w:val="77"/>
    <w:qFormat/>
    <w:uiPriority w:val="0"/>
    <w:rPr>
      <w:rFonts w:ascii="宋体" w:hAnsi="宋体" w:eastAsia="宋体"/>
      <w:b/>
      <w:sz w:val="28"/>
      <w:szCs w:val="28"/>
    </w:rPr>
  </w:style>
  <w:style w:type="paragraph" w:customStyle="1" w:styleId="77">
    <w:name w:val="sn2"/>
    <w:basedOn w:val="1"/>
    <w:link w:val="76"/>
    <w:qFormat/>
    <w:uiPriority w:val="0"/>
    <w:pPr>
      <w:widowControl w:val="0"/>
      <w:spacing w:beforeLines="50" w:afterLines="50"/>
    </w:pPr>
    <w:rPr>
      <w:rFonts w:ascii="宋体" w:hAnsi="宋体" w:cstheme="minorBidi"/>
      <w:b/>
      <w:kern w:val="2"/>
      <w:sz w:val="28"/>
      <w:szCs w:val="28"/>
    </w:rPr>
  </w:style>
  <w:style w:type="character" w:customStyle="1" w:styleId="78">
    <w:name w:val="正文文本 Char"/>
    <w:basedOn w:val="47"/>
    <w:qFormat/>
    <w:uiPriority w:val="99"/>
  </w:style>
  <w:style w:type="paragraph" w:customStyle="1" w:styleId="79">
    <w:name w:val="一标1"/>
    <w:basedOn w:val="2"/>
    <w:qFormat/>
    <w:uiPriority w:val="0"/>
    <w:pPr>
      <w:snapToGrid w:val="0"/>
      <w:outlineLvl w:val="1"/>
    </w:pPr>
    <w:rPr>
      <w:rFonts w:ascii="宋体"/>
      <w:b/>
      <w:color w:val="000000"/>
      <w:sz w:val="32"/>
      <w:szCs w:val="32"/>
    </w:rPr>
  </w:style>
  <w:style w:type="paragraph" w:customStyle="1" w:styleId="80">
    <w:name w:val="Char Char Char Char"/>
    <w:basedOn w:val="1"/>
    <w:qFormat/>
    <w:uiPriority w:val="0"/>
    <w:pPr>
      <w:widowControl w:val="0"/>
      <w:spacing w:line="360" w:lineRule="auto"/>
      <w:ind w:firstLine="200" w:firstLineChars="200"/>
      <w:jc w:val="both"/>
    </w:pPr>
    <w:rPr>
      <w:rFonts w:ascii="宋体" w:hAnsi="宋体" w:cs="宋体"/>
      <w:kern w:val="2"/>
      <w:sz w:val="24"/>
      <w:szCs w:val="24"/>
    </w:rPr>
  </w:style>
  <w:style w:type="paragraph" w:customStyle="1" w:styleId="81">
    <w:name w:val="二级条标题"/>
    <w:basedOn w:val="82"/>
    <w:next w:val="1"/>
    <w:qFormat/>
    <w:uiPriority w:val="0"/>
    <w:pPr>
      <w:numPr>
        <w:ilvl w:val="3"/>
      </w:numPr>
      <w:outlineLvl w:val="3"/>
    </w:pPr>
  </w:style>
  <w:style w:type="paragraph" w:customStyle="1" w:styleId="82">
    <w:name w:val="一级条标题"/>
    <w:basedOn w:val="83"/>
    <w:next w:val="1"/>
    <w:qFormat/>
    <w:uiPriority w:val="0"/>
    <w:pPr>
      <w:numPr>
        <w:ilvl w:val="2"/>
      </w:numPr>
      <w:spacing w:beforeLines="0" w:afterLines="0"/>
      <w:outlineLvl w:val="2"/>
    </w:pPr>
  </w:style>
  <w:style w:type="paragraph" w:customStyle="1" w:styleId="83">
    <w:name w:val="章标题"/>
    <w:next w:val="1"/>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character" w:customStyle="1" w:styleId="84">
    <w:name w:val="标题 字符"/>
    <w:basedOn w:val="47"/>
    <w:link w:val="41"/>
    <w:qFormat/>
    <w:uiPriority w:val="0"/>
    <w:rPr>
      <w:rFonts w:ascii="Arial" w:hAnsi="Arial" w:eastAsia="宋体" w:cs="Arial"/>
      <w:b/>
      <w:bCs/>
      <w:kern w:val="0"/>
      <w:sz w:val="44"/>
      <w:szCs w:val="32"/>
    </w:rPr>
  </w:style>
  <w:style w:type="character" w:customStyle="1" w:styleId="85">
    <w:name w:val="副标题 字符"/>
    <w:basedOn w:val="47"/>
    <w:link w:val="32"/>
    <w:qFormat/>
    <w:uiPriority w:val="0"/>
    <w:rPr>
      <w:rFonts w:ascii="Cambria" w:hAnsi="Cambria" w:eastAsia="黑体" w:cs="Times New Roman"/>
      <w:b/>
      <w:bCs/>
      <w:kern w:val="28"/>
      <w:sz w:val="28"/>
      <w:szCs w:val="32"/>
    </w:rPr>
  </w:style>
  <w:style w:type="character" w:customStyle="1" w:styleId="86">
    <w:name w:val="日期 字符"/>
    <w:basedOn w:val="47"/>
    <w:link w:val="25"/>
    <w:qFormat/>
    <w:uiPriority w:val="0"/>
    <w:rPr>
      <w:rFonts w:ascii="Times New Roman" w:hAnsi="Times New Roman" w:eastAsia="宋体" w:cs="Times New Roman"/>
      <w:sz w:val="24"/>
      <w:szCs w:val="20"/>
    </w:rPr>
  </w:style>
  <w:style w:type="character" w:customStyle="1" w:styleId="87">
    <w:name w:val="正文文本缩进 3 字符"/>
    <w:basedOn w:val="47"/>
    <w:link w:val="34"/>
    <w:qFormat/>
    <w:uiPriority w:val="0"/>
    <w:rPr>
      <w:rFonts w:ascii="宋体" w:hAnsi="MS Sans Serif" w:eastAsia="宋体" w:cs="Times New Roman"/>
      <w:color w:val="000000"/>
      <w:kern w:val="0"/>
      <w:sz w:val="24"/>
      <w:szCs w:val="20"/>
    </w:rPr>
  </w:style>
  <w:style w:type="character" w:customStyle="1" w:styleId="88">
    <w:name w:val="正文文本缩进 2 字符"/>
    <w:basedOn w:val="47"/>
    <w:link w:val="26"/>
    <w:qFormat/>
    <w:uiPriority w:val="0"/>
    <w:rPr>
      <w:rFonts w:ascii="宋体" w:hAnsi="MS Sans Serif" w:eastAsia="宋体" w:cs="Times New Roman"/>
      <w:spacing w:val="12"/>
      <w:kern w:val="0"/>
      <w:sz w:val="24"/>
      <w:szCs w:val="20"/>
    </w:rPr>
  </w:style>
  <w:style w:type="paragraph" w:customStyle="1" w:styleId="89">
    <w:name w:val="Char Char Char1 Char"/>
    <w:basedOn w:val="1"/>
    <w:qFormat/>
    <w:uiPriority w:val="0"/>
    <w:pPr>
      <w:widowControl w:val="0"/>
      <w:jc w:val="both"/>
    </w:pPr>
    <w:rPr>
      <w:kern w:val="2"/>
      <w:sz w:val="21"/>
      <w:szCs w:val="24"/>
    </w:rPr>
  </w:style>
  <w:style w:type="paragraph" w:customStyle="1" w:styleId="90">
    <w:name w:val="三级条标题"/>
    <w:basedOn w:val="81"/>
    <w:next w:val="1"/>
    <w:qFormat/>
    <w:uiPriority w:val="0"/>
    <w:pPr>
      <w:numPr>
        <w:ilvl w:val="4"/>
      </w:numPr>
      <w:outlineLvl w:val="4"/>
    </w:pPr>
  </w:style>
  <w:style w:type="paragraph" w:customStyle="1" w:styleId="91">
    <w:name w:val="四级条标题"/>
    <w:basedOn w:val="90"/>
    <w:next w:val="1"/>
    <w:qFormat/>
    <w:uiPriority w:val="0"/>
    <w:pPr>
      <w:numPr>
        <w:ilvl w:val="5"/>
      </w:numPr>
      <w:outlineLvl w:val="5"/>
    </w:pPr>
  </w:style>
  <w:style w:type="paragraph" w:customStyle="1" w:styleId="92">
    <w:name w:val="2 Char Char Char Char"/>
    <w:basedOn w:val="1"/>
    <w:qFormat/>
    <w:uiPriority w:val="0"/>
    <w:pPr>
      <w:spacing w:after="160" w:line="240" w:lineRule="exact"/>
    </w:pPr>
    <w:rPr>
      <w:kern w:val="2"/>
      <w:sz w:val="21"/>
      <w:szCs w:val="24"/>
    </w:rPr>
  </w:style>
  <w:style w:type="character" w:customStyle="1" w:styleId="93">
    <w:name w:val="文档结构图 字符"/>
    <w:basedOn w:val="47"/>
    <w:link w:val="13"/>
    <w:qFormat/>
    <w:uiPriority w:val="0"/>
    <w:rPr>
      <w:rFonts w:ascii="Times New Roman" w:hAnsi="Times New Roman" w:eastAsia="宋体" w:cs="Times New Roman"/>
      <w:kern w:val="0"/>
      <w:sz w:val="20"/>
      <w:szCs w:val="20"/>
      <w:shd w:val="clear" w:color="auto" w:fill="000080"/>
    </w:rPr>
  </w:style>
  <w:style w:type="character" w:customStyle="1" w:styleId="94">
    <w:name w:val="正文文本 字符"/>
    <w:basedOn w:val="47"/>
    <w:link w:val="16"/>
    <w:semiHidden/>
    <w:qFormat/>
    <w:uiPriority w:val="99"/>
    <w:rPr>
      <w:rFonts w:ascii="Times New Roman" w:hAnsi="Times New Roman" w:eastAsia="宋体" w:cs="Times New Roman"/>
      <w:kern w:val="0"/>
      <w:sz w:val="20"/>
      <w:szCs w:val="20"/>
    </w:rPr>
  </w:style>
  <w:style w:type="character" w:customStyle="1" w:styleId="95">
    <w:name w:val="正文文本首行缩进 字符"/>
    <w:basedOn w:val="94"/>
    <w:link w:val="43"/>
    <w:qFormat/>
    <w:uiPriority w:val="0"/>
    <w:rPr>
      <w:rFonts w:ascii="Times New Roman" w:hAnsi="Times New Roman" w:eastAsia="宋体" w:cs="Times New Roman"/>
      <w:kern w:val="0"/>
      <w:sz w:val="20"/>
      <w:szCs w:val="20"/>
    </w:rPr>
  </w:style>
  <w:style w:type="character" w:customStyle="1" w:styleId="96">
    <w:name w:val="正文文本缩进 字符"/>
    <w:basedOn w:val="47"/>
    <w:link w:val="18"/>
    <w:qFormat/>
    <w:uiPriority w:val="0"/>
    <w:rPr>
      <w:rFonts w:ascii="Times New Roman" w:hAnsi="Times New Roman" w:eastAsia="宋体" w:cs="Times New Roman"/>
      <w:kern w:val="0"/>
      <w:sz w:val="20"/>
      <w:szCs w:val="20"/>
    </w:rPr>
  </w:style>
  <w:style w:type="character" w:customStyle="1" w:styleId="97">
    <w:name w:val="纯文本 字符"/>
    <w:basedOn w:val="47"/>
    <w:link w:val="23"/>
    <w:qFormat/>
    <w:uiPriority w:val="0"/>
    <w:rPr>
      <w:rFonts w:ascii="宋体" w:hAnsi="Courier New" w:eastAsia="宋体" w:cs="Times New Roman"/>
      <w:szCs w:val="20"/>
    </w:rPr>
  </w:style>
  <w:style w:type="character" w:customStyle="1" w:styleId="98">
    <w:name w:val="批注文字 字符"/>
    <w:basedOn w:val="47"/>
    <w:link w:val="14"/>
    <w:qFormat/>
    <w:uiPriority w:val="0"/>
    <w:rPr>
      <w:rFonts w:ascii="Times New Roman" w:hAnsi="Times New Roman" w:eastAsia="宋体" w:cs="Times New Roman"/>
      <w:kern w:val="0"/>
      <w:sz w:val="24"/>
      <w:szCs w:val="20"/>
    </w:rPr>
  </w:style>
  <w:style w:type="character" w:customStyle="1" w:styleId="99">
    <w:name w:val="批注框文本 字符"/>
    <w:basedOn w:val="47"/>
    <w:link w:val="27"/>
    <w:qFormat/>
    <w:uiPriority w:val="0"/>
    <w:rPr>
      <w:rFonts w:ascii="Times New Roman" w:hAnsi="Times New Roman" w:eastAsia="宋体" w:cs="Times New Roman"/>
      <w:kern w:val="0"/>
      <w:sz w:val="18"/>
      <w:szCs w:val="18"/>
    </w:rPr>
  </w:style>
  <w:style w:type="paragraph" w:customStyle="1" w:styleId="100">
    <w:name w:val="sn正文"/>
    <w:basedOn w:val="1"/>
    <w:qFormat/>
    <w:uiPriority w:val="0"/>
    <w:pPr>
      <w:widowControl w:val="0"/>
      <w:spacing w:line="500" w:lineRule="exact"/>
      <w:ind w:firstLine="200" w:firstLineChars="200"/>
      <w:jc w:val="both"/>
    </w:pPr>
    <w:rPr>
      <w:rFonts w:ascii="宋体" w:hAnsi="宋体"/>
      <w:kern w:val="2"/>
      <w:sz w:val="24"/>
      <w:szCs w:val="28"/>
    </w:rPr>
  </w:style>
  <w:style w:type="paragraph" w:customStyle="1" w:styleId="101">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2">
    <w:name w:val="五级条标题"/>
    <w:basedOn w:val="91"/>
    <w:next w:val="1"/>
    <w:qFormat/>
    <w:uiPriority w:val="0"/>
    <w:pPr>
      <w:numPr>
        <w:ilvl w:val="6"/>
      </w:numPr>
      <w:outlineLvl w:val="6"/>
    </w:pPr>
  </w:style>
  <w:style w:type="paragraph" w:customStyle="1" w:styleId="103">
    <w:name w:val="Char Char Char Char1"/>
    <w:basedOn w:val="1"/>
    <w:qFormat/>
    <w:uiPriority w:val="0"/>
    <w:pPr>
      <w:widowControl w:val="0"/>
      <w:jc w:val="both"/>
    </w:pPr>
    <w:rPr>
      <w:rFonts w:ascii="宋体"/>
      <w:kern w:val="2"/>
      <w:sz w:val="24"/>
      <w:szCs w:val="24"/>
    </w:rPr>
  </w:style>
  <w:style w:type="paragraph" w:customStyle="1" w:styleId="104">
    <w:name w:val="一标2中"/>
    <w:basedOn w:val="2"/>
    <w:qFormat/>
    <w:uiPriority w:val="0"/>
    <w:rPr>
      <w:rFonts w:ascii="宋体" w:eastAsia="宋体"/>
      <w:b/>
      <w:sz w:val="30"/>
      <w:szCs w:val="30"/>
    </w:rPr>
  </w:style>
  <w:style w:type="paragraph" w:customStyle="1" w:styleId="105">
    <w:name w:val="一标2左a"/>
    <w:basedOn w:val="1"/>
    <w:qFormat/>
    <w:uiPriority w:val="0"/>
    <w:pPr>
      <w:spacing w:line="400" w:lineRule="exact"/>
    </w:pPr>
    <w:rPr>
      <w:rFonts w:ascii="宋体" w:hAnsi="宋体"/>
      <w:b/>
      <w:sz w:val="24"/>
    </w:rPr>
  </w:style>
  <w:style w:type="paragraph" w:customStyle="1" w:styleId="106">
    <w:name w:val="普通(网站)1"/>
    <w:basedOn w:val="1"/>
    <w:qFormat/>
    <w:uiPriority w:val="0"/>
    <w:pPr>
      <w:spacing w:before="100" w:beforeAutospacing="1" w:after="100" w:afterAutospacing="1"/>
    </w:pPr>
    <w:rPr>
      <w:rFonts w:ascii="宋体" w:hAnsi="宋体" w:cs="宋体"/>
      <w:sz w:val="24"/>
    </w:rPr>
  </w:style>
  <w:style w:type="paragraph" w:customStyle="1" w:styleId="107">
    <w:name w:val="TOC 标题1"/>
    <w:basedOn w:val="2"/>
    <w:next w:val="1"/>
    <w:qFormat/>
    <w:uiPriority w:val="39"/>
    <w:pPr>
      <w:keepLines/>
      <w:spacing w:before="480" w:line="276" w:lineRule="auto"/>
      <w:ind w:left="0" w:firstLine="0"/>
      <w:jc w:val="left"/>
      <w:outlineLvl w:val="9"/>
    </w:pPr>
    <w:rPr>
      <w:rFonts w:ascii="Cambria" w:hAnsi="Cambria" w:eastAsia="宋体"/>
      <w:b/>
      <w:bCs/>
      <w:color w:val="365F91"/>
      <w:sz w:val="28"/>
      <w:szCs w:val="28"/>
    </w:rPr>
  </w:style>
  <w:style w:type="paragraph" w:customStyle="1" w:styleId="108">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rPr>
  </w:style>
  <w:style w:type="paragraph" w:customStyle="1" w:styleId="109">
    <w:name w:val="列出段落1"/>
    <w:basedOn w:val="1"/>
    <w:qFormat/>
    <w:uiPriority w:val="99"/>
    <w:pPr>
      <w:widowControl w:val="0"/>
      <w:ind w:firstLine="200" w:firstLineChars="200"/>
      <w:jc w:val="both"/>
    </w:pPr>
    <w:rPr>
      <w:rFonts w:ascii="Calibri" w:hAnsi="Calibri"/>
      <w:kern w:val="2"/>
      <w:sz w:val="21"/>
      <w:szCs w:val="24"/>
    </w:rPr>
  </w:style>
  <w:style w:type="paragraph" w:customStyle="1" w:styleId="110">
    <w:name w:val="Default"/>
    <w:next w:val="25"/>
    <w:qFormat/>
    <w:uiPriority w:val="0"/>
    <w:pPr>
      <w:widowControl w:val="0"/>
      <w:autoSpaceDE w:val="0"/>
      <w:autoSpaceDN w:val="0"/>
      <w:adjustRightInd w:val="0"/>
    </w:pPr>
    <w:rPr>
      <w:rFonts w:ascii="宋体" w:hAnsi="Calibri" w:eastAsia="宋体" w:cs="Times New Roman"/>
      <w:color w:val="000000"/>
      <w:sz w:val="24"/>
      <w:szCs w:val="22"/>
      <w:lang w:val="en-US" w:eastAsia="zh-CN" w:bidi="ar-SA"/>
    </w:rPr>
  </w:style>
  <w:style w:type="character" w:customStyle="1" w:styleId="111">
    <w:name w:val="批注主题 字符"/>
    <w:basedOn w:val="98"/>
    <w:link w:val="42"/>
    <w:semiHidden/>
    <w:qFormat/>
    <w:uiPriority w:val="99"/>
    <w:rPr>
      <w:rFonts w:ascii="Times New Roman" w:hAnsi="Times New Roman" w:eastAsia="宋体" w:cs="Times New Roman"/>
      <w:b/>
      <w:bCs/>
      <w:kern w:val="0"/>
      <w:sz w:val="20"/>
      <w:szCs w:val="20"/>
    </w:rPr>
  </w:style>
  <w:style w:type="paragraph" w:styleId="112">
    <w:name w:val="List Paragraph"/>
    <w:basedOn w:val="1"/>
    <w:qFormat/>
    <w:uiPriority w:val="0"/>
    <w:pPr>
      <w:ind w:firstLine="420" w:firstLineChars="200"/>
    </w:pPr>
  </w:style>
  <w:style w:type="paragraph" w:customStyle="1" w:styleId="113">
    <w:name w:val="列出段落2"/>
    <w:basedOn w:val="1"/>
    <w:qFormat/>
    <w:uiPriority w:val="0"/>
    <w:pPr>
      <w:widowControl w:val="0"/>
      <w:ind w:firstLine="420" w:firstLineChars="200"/>
      <w:jc w:val="both"/>
    </w:pPr>
    <w:rPr>
      <w:rFonts w:ascii="Calibri" w:hAnsi="Calibri"/>
      <w:kern w:val="2"/>
      <w:sz w:val="21"/>
      <w:szCs w:val="22"/>
    </w:rPr>
  </w:style>
  <w:style w:type="paragraph" w:customStyle="1" w:styleId="114">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115">
    <w:name w:val="常用正文1"/>
    <w:basedOn w:val="1"/>
    <w:qFormat/>
    <w:uiPriority w:val="0"/>
    <w:pPr>
      <w:widowControl w:val="0"/>
      <w:ind w:firstLine="200" w:firstLineChars="200"/>
      <w:jc w:val="both"/>
    </w:pPr>
    <w:rPr>
      <w:rFonts w:ascii="Calibri" w:hAnsi="Calibri" w:cs="宋体"/>
      <w:kern w:val="2"/>
      <w:sz w:val="21"/>
      <w:szCs w:val="22"/>
    </w:rPr>
  </w:style>
  <w:style w:type="paragraph" w:customStyle="1" w:styleId="116">
    <w:name w:val="列出段落3"/>
    <w:basedOn w:val="1"/>
    <w:qFormat/>
    <w:uiPriority w:val="0"/>
    <w:pPr>
      <w:widowControl w:val="0"/>
      <w:ind w:firstLine="420" w:firstLineChars="200"/>
      <w:jc w:val="both"/>
    </w:pPr>
    <w:rPr>
      <w:rFonts w:ascii="Calibri" w:hAnsi="Calibri"/>
      <w:kern w:val="2"/>
      <w:sz w:val="21"/>
      <w:szCs w:val="22"/>
    </w:rPr>
  </w:style>
  <w:style w:type="character" w:customStyle="1" w:styleId="117">
    <w:name w:val="正文文本 2 字符"/>
    <w:basedOn w:val="47"/>
    <w:link w:val="37"/>
    <w:semiHidden/>
    <w:qFormat/>
    <w:uiPriority w:val="99"/>
    <w:rPr>
      <w:rFonts w:ascii="Times New Roman" w:hAnsi="Times New Roman" w:eastAsia="宋体" w:cs="Times New Roman"/>
      <w:kern w:val="0"/>
      <w:sz w:val="20"/>
      <w:szCs w:val="20"/>
    </w:rPr>
  </w:style>
  <w:style w:type="character" w:customStyle="1" w:styleId="118">
    <w:name w:val="font01"/>
    <w:qFormat/>
    <w:uiPriority w:val="0"/>
    <w:rPr>
      <w:rFonts w:hint="eastAsia" w:ascii="宋体" w:hAnsi="宋体" w:eastAsia="宋体" w:cs="宋体"/>
      <w:color w:val="000000"/>
      <w:sz w:val="18"/>
      <w:szCs w:val="18"/>
      <w:u w:val="none"/>
    </w:rPr>
  </w:style>
  <w:style w:type="character" w:customStyle="1" w:styleId="119">
    <w:name w:val="正文文本首行缩进 2 字符"/>
    <w:basedOn w:val="96"/>
    <w:link w:val="44"/>
    <w:semiHidden/>
    <w:qFormat/>
    <w:uiPriority w:val="99"/>
    <w:rPr>
      <w:rFonts w:ascii="Times New Roman" w:hAnsi="Times New Roman" w:eastAsia="宋体" w:cs="Times New Roman"/>
      <w:kern w:val="0"/>
      <w:sz w:val="20"/>
      <w:szCs w:val="20"/>
    </w:rPr>
  </w:style>
  <w:style w:type="character" w:customStyle="1" w:styleId="120">
    <w:name w:val="huei12b1"/>
    <w:qFormat/>
    <w:uiPriority w:val="0"/>
    <w:rPr>
      <w:rFonts w:hint="eastAsia"/>
      <w:b/>
      <w:bCs/>
      <w:color w:val="333333"/>
      <w:sz w:val="24"/>
      <w:szCs w:val="24"/>
    </w:rPr>
  </w:style>
  <w:style w:type="character" w:customStyle="1" w:styleId="121">
    <w:name w:val="selected"/>
    <w:qFormat/>
    <w:uiPriority w:val="0"/>
    <w:rPr>
      <w:shd w:val="clear" w:color="auto" w:fill="B00006"/>
    </w:rPr>
  </w:style>
  <w:style w:type="character" w:customStyle="1" w:styleId="122">
    <w:name w:val="Char Char5"/>
    <w:qFormat/>
    <w:uiPriority w:val="0"/>
    <w:rPr>
      <w:rFonts w:hint="eastAsia"/>
      <w:sz w:val="18"/>
      <w:szCs w:val="18"/>
    </w:rPr>
  </w:style>
  <w:style w:type="character" w:customStyle="1" w:styleId="123">
    <w:name w:val="正文缩进 字符"/>
    <w:link w:val="12"/>
    <w:qFormat/>
    <w:uiPriority w:val="0"/>
  </w:style>
  <w:style w:type="character" w:customStyle="1" w:styleId="124">
    <w:name w:val="font11"/>
    <w:qFormat/>
    <w:uiPriority w:val="0"/>
    <w:rPr>
      <w:rFonts w:hint="eastAsia" w:ascii="宋体" w:hAnsi="宋体" w:eastAsia="宋体" w:cs="宋体"/>
      <w:color w:val="000000"/>
      <w:sz w:val="21"/>
      <w:szCs w:val="21"/>
      <w:u w:val="none"/>
    </w:rPr>
  </w:style>
  <w:style w:type="character" w:customStyle="1" w:styleId="125">
    <w:name w:val="16"/>
    <w:qFormat/>
    <w:uiPriority w:val="0"/>
    <w:rPr>
      <w:rFonts w:hint="eastAsia" w:ascii="宋体" w:hAnsi="宋体" w:eastAsia="宋体"/>
      <w:color w:val="FF0000"/>
      <w:sz w:val="24"/>
      <w:szCs w:val="24"/>
    </w:rPr>
  </w:style>
  <w:style w:type="character" w:customStyle="1" w:styleId="126">
    <w:name w:val="displayarti"/>
    <w:qFormat/>
    <w:uiPriority w:val="0"/>
    <w:rPr>
      <w:color w:val="FFFFFF"/>
      <w:shd w:val="clear" w:color="auto" w:fill="A00000"/>
    </w:rPr>
  </w:style>
  <w:style w:type="character" w:customStyle="1" w:styleId="127">
    <w:name w:val="tablebody"/>
    <w:basedOn w:val="47"/>
    <w:qFormat/>
    <w:uiPriority w:val="0"/>
  </w:style>
  <w:style w:type="character" w:customStyle="1" w:styleId="128">
    <w:name w:val="apple-style-span"/>
    <w:basedOn w:val="47"/>
    <w:qFormat/>
    <w:uiPriority w:val="0"/>
  </w:style>
  <w:style w:type="character" w:customStyle="1" w:styleId="129">
    <w:name w:val="15"/>
    <w:qFormat/>
    <w:uiPriority w:val="0"/>
    <w:rPr>
      <w:rFonts w:hint="default" w:ascii="Times New Roman" w:hAnsi="Times New Roman" w:cs="Times New Roman"/>
      <w:b/>
      <w:bCs/>
      <w:color w:val="000000"/>
      <w:sz w:val="24"/>
      <w:szCs w:val="24"/>
    </w:rPr>
  </w:style>
  <w:style w:type="character" w:customStyle="1" w:styleId="130">
    <w:name w:val="mh-map_new-info"/>
    <w:basedOn w:val="47"/>
    <w:qFormat/>
    <w:uiPriority w:val="0"/>
  </w:style>
  <w:style w:type="character" w:customStyle="1" w:styleId="131">
    <w:name w:val="gpa"/>
    <w:qFormat/>
    <w:uiPriority w:val="0"/>
    <w:rPr>
      <w:rFonts w:ascii="Arial" w:hAnsi="Arial" w:cs="Arial"/>
      <w:sz w:val="15"/>
      <w:szCs w:val="15"/>
    </w:rPr>
  </w:style>
  <w:style w:type="character" w:customStyle="1" w:styleId="132">
    <w:name w:val="Char Char4"/>
    <w:qFormat/>
    <w:uiPriority w:val="0"/>
    <w:rPr>
      <w:rFonts w:hint="eastAsia" w:ascii="Arial" w:hAnsi="Arial" w:eastAsia="黑体"/>
      <w:b/>
      <w:bCs/>
      <w:kern w:val="2"/>
      <w:sz w:val="32"/>
      <w:szCs w:val="32"/>
      <w:lang w:val="en-US" w:eastAsia="zh-CN" w:bidi="ar-SA"/>
    </w:rPr>
  </w:style>
  <w:style w:type="character" w:customStyle="1" w:styleId="133">
    <w:name w:val="正文（缩进） Char"/>
    <w:link w:val="134"/>
    <w:qFormat/>
    <w:uiPriority w:val="0"/>
    <w:rPr>
      <w:rFonts w:ascii="CG Times" w:hAnsi="CG Times"/>
      <w:kern w:val="2"/>
      <w:sz w:val="21"/>
    </w:rPr>
  </w:style>
  <w:style w:type="paragraph" w:customStyle="1" w:styleId="134">
    <w:name w:val="正文（缩进）"/>
    <w:basedOn w:val="1"/>
    <w:link w:val="133"/>
    <w:qFormat/>
    <w:uiPriority w:val="0"/>
    <w:pPr>
      <w:widowControl w:val="0"/>
      <w:spacing w:before="156" w:after="156"/>
      <w:ind w:firstLine="480"/>
      <w:jc w:val="both"/>
    </w:pPr>
    <w:rPr>
      <w:rFonts w:ascii="CG Times" w:hAnsi="CG Times"/>
      <w:kern w:val="2"/>
      <w:sz w:val="21"/>
    </w:rPr>
  </w:style>
  <w:style w:type="character" w:customStyle="1" w:styleId="135">
    <w:name w:val="普通文字 Char Char1"/>
    <w:qFormat/>
    <w:uiPriority w:val="0"/>
    <w:rPr>
      <w:rFonts w:hint="eastAsia" w:ascii="宋体" w:hAnsi="Courier New" w:eastAsia="宋体" w:cs="Times New Roman"/>
      <w:szCs w:val="20"/>
    </w:rPr>
  </w:style>
  <w:style w:type="character" w:customStyle="1" w:styleId="136">
    <w:name w:val="样式 Char"/>
    <w:link w:val="137"/>
    <w:qFormat/>
    <w:uiPriority w:val="0"/>
    <w:rPr>
      <w:rFonts w:ascii="宋体" w:hAnsi="宋体" w:cs="宋体"/>
      <w:sz w:val="24"/>
      <w:szCs w:val="24"/>
    </w:rPr>
  </w:style>
  <w:style w:type="paragraph" w:customStyle="1" w:styleId="137">
    <w:name w:val="样式"/>
    <w:link w:val="136"/>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38">
    <w:name w:val="项目标题 2 Char Char"/>
    <w:qFormat/>
    <w:uiPriority w:val="0"/>
    <w:rPr>
      <w:rFonts w:hint="eastAsia" w:ascii="Arial" w:hAnsi="Arial" w:eastAsia="黑体"/>
      <w:b/>
      <w:bCs/>
      <w:kern w:val="2"/>
      <w:sz w:val="32"/>
      <w:szCs w:val="32"/>
      <w:lang w:val="en-US" w:eastAsia="zh-CN" w:bidi="ar-SA"/>
    </w:rPr>
  </w:style>
  <w:style w:type="character" w:customStyle="1" w:styleId="139">
    <w:name w:val="font21"/>
    <w:qFormat/>
    <w:uiPriority w:val="0"/>
    <w:rPr>
      <w:rFonts w:hint="eastAsia" w:ascii="宋体" w:hAnsi="宋体" w:eastAsia="宋体" w:cs="宋体"/>
      <w:color w:val="000000"/>
      <w:sz w:val="21"/>
      <w:szCs w:val="21"/>
      <w:u w:val="none"/>
    </w:rPr>
  </w:style>
  <w:style w:type="character" w:customStyle="1" w:styleId="140">
    <w:name w:val="bt21"/>
    <w:qFormat/>
    <w:uiPriority w:val="0"/>
    <w:rPr>
      <w:rFonts w:hint="eastAsia"/>
      <w:color w:val="000000"/>
      <w:sz w:val="18"/>
      <w:szCs w:val="18"/>
    </w:rPr>
  </w:style>
  <w:style w:type="character" w:customStyle="1" w:styleId="141">
    <w:name w:val="正文文本 3 字符"/>
    <w:basedOn w:val="47"/>
    <w:link w:val="15"/>
    <w:qFormat/>
    <w:uiPriority w:val="0"/>
    <w:rPr>
      <w:rFonts w:ascii="楷体_GB2312" w:eastAsia="楷体_GB2312"/>
      <w:kern w:val="2"/>
      <w:sz w:val="28"/>
      <w:szCs w:val="24"/>
    </w:rPr>
  </w:style>
  <w:style w:type="paragraph" w:customStyle="1" w:styleId="142">
    <w:name w:val="样式1"/>
    <w:basedOn w:val="1"/>
    <w:qFormat/>
    <w:uiPriority w:val="0"/>
    <w:pPr>
      <w:widowControl w:val="0"/>
      <w:jc w:val="both"/>
    </w:pPr>
    <w:rPr>
      <w:rFonts w:ascii="仿宋_GB2312" w:hAnsi="宋体" w:eastAsia="仿宋_GB2312"/>
      <w:kern w:val="2"/>
      <w:sz w:val="28"/>
      <w:szCs w:val="28"/>
    </w:rPr>
  </w:style>
  <w:style w:type="paragraph" w:customStyle="1" w:styleId="143">
    <w:name w:val="表格内文字"/>
    <w:basedOn w:val="1"/>
    <w:qFormat/>
    <w:uiPriority w:val="0"/>
    <w:pPr>
      <w:widowControl w:val="0"/>
      <w:spacing w:line="300" w:lineRule="atLeast"/>
      <w:jc w:val="both"/>
    </w:pPr>
    <w:rPr>
      <w:kern w:val="2"/>
      <w:sz w:val="18"/>
      <w:szCs w:val="24"/>
    </w:rPr>
  </w:style>
  <w:style w:type="paragraph" w:customStyle="1" w:styleId="144">
    <w:name w:val="文档正文"/>
    <w:basedOn w:val="1"/>
    <w:qFormat/>
    <w:uiPriority w:val="0"/>
    <w:pPr>
      <w:widowControl w:val="0"/>
      <w:spacing w:line="480" w:lineRule="atLeast"/>
      <w:ind w:firstLine="567"/>
      <w:jc w:val="both"/>
    </w:pPr>
    <w:rPr>
      <w:rFonts w:ascii="仿宋_GB2312" w:eastAsia="仿宋_GB2312"/>
      <w:kern w:val="2"/>
      <w:sz w:val="24"/>
      <w:szCs w:val="24"/>
    </w:rPr>
  </w:style>
  <w:style w:type="paragraph" w:customStyle="1" w:styleId="145">
    <w:name w:val="标准正文 Char Char Char Char"/>
    <w:basedOn w:val="1"/>
    <w:qFormat/>
    <w:uiPriority w:val="99"/>
    <w:pPr>
      <w:widowControl w:val="0"/>
      <w:spacing w:after="60" w:line="360" w:lineRule="auto"/>
      <w:ind w:firstLine="482" w:firstLineChars="200"/>
      <w:jc w:val="both"/>
    </w:pPr>
    <w:rPr>
      <w:rFonts w:ascii="宋体"/>
      <w:color w:val="000000"/>
      <w:kern w:val="2"/>
      <w:sz w:val="28"/>
    </w:rPr>
  </w:style>
  <w:style w:type="paragraph" w:customStyle="1" w:styleId="146">
    <w:name w:val="_Style 1"/>
    <w:basedOn w:val="1"/>
    <w:qFormat/>
    <w:uiPriority w:val="0"/>
    <w:pPr>
      <w:widowControl w:val="0"/>
      <w:ind w:firstLine="200" w:firstLineChars="200"/>
      <w:jc w:val="both"/>
    </w:pPr>
    <w:rPr>
      <w:kern w:val="2"/>
      <w:sz w:val="21"/>
      <w:szCs w:val="24"/>
    </w:rPr>
  </w:style>
  <w:style w:type="paragraph" w:customStyle="1" w:styleId="147">
    <w:name w:val="党员标题7（并列）"/>
    <w:basedOn w:val="1"/>
    <w:qFormat/>
    <w:uiPriority w:val="0"/>
    <w:pPr>
      <w:widowControl w:val="0"/>
      <w:numPr>
        <w:ilvl w:val="0"/>
        <w:numId w:val="1"/>
      </w:numPr>
      <w:tabs>
        <w:tab w:val="left" w:pos="778"/>
      </w:tabs>
      <w:jc w:val="both"/>
    </w:pPr>
    <w:rPr>
      <w:kern w:val="2"/>
      <w:sz w:val="21"/>
      <w:szCs w:val="24"/>
    </w:rPr>
  </w:style>
  <w:style w:type="paragraph" w:customStyle="1" w:styleId="148">
    <w:name w:val="Char"/>
    <w:basedOn w:val="1"/>
    <w:qFormat/>
    <w:uiPriority w:val="0"/>
    <w:pPr>
      <w:spacing w:after="160" w:line="240" w:lineRule="exact"/>
    </w:pPr>
    <w:rPr>
      <w:kern w:val="2"/>
      <w:sz w:val="21"/>
      <w:szCs w:val="24"/>
    </w:rPr>
  </w:style>
  <w:style w:type="paragraph" w:customStyle="1" w:styleId="149">
    <w:name w:val="正文（标题三）"/>
    <w:basedOn w:val="1"/>
    <w:qFormat/>
    <w:uiPriority w:val="0"/>
    <w:pPr>
      <w:widowControl w:val="0"/>
      <w:spacing w:line="360" w:lineRule="auto"/>
      <w:ind w:left="170" w:firstLine="425"/>
      <w:jc w:val="both"/>
    </w:pPr>
    <w:rPr>
      <w:kern w:val="2"/>
      <w:sz w:val="24"/>
      <w:szCs w:val="24"/>
    </w:rPr>
  </w:style>
  <w:style w:type="paragraph" w:customStyle="1" w:styleId="150">
    <w:name w:val="默认段落字体 Para Char"/>
    <w:basedOn w:val="1"/>
    <w:qFormat/>
    <w:uiPriority w:val="0"/>
    <w:pPr>
      <w:adjustRightInd w:val="0"/>
      <w:spacing w:line="360" w:lineRule="auto"/>
    </w:pPr>
    <w:rPr>
      <w:rFonts w:ascii="宋体" w:hAnsi="宋体" w:cs="宋体"/>
      <w:sz w:val="24"/>
    </w:rPr>
  </w:style>
  <w:style w:type="paragraph" w:customStyle="1" w:styleId="151">
    <w:name w:val="新正文"/>
    <w:basedOn w:val="1"/>
    <w:qFormat/>
    <w:uiPriority w:val="0"/>
    <w:pPr>
      <w:widowControl w:val="0"/>
      <w:spacing w:line="360" w:lineRule="auto"/>
      <w:ind w:firstLine="200" w:firstLineChars="200"/>
    </w:pPr>
    <w:rPr>
      <w:rFonts w:eastAsia="仿宋_GB2312"/>
      <w:kern w:val="2"/>
      <w:sz w:val="28"/>
      <w:szCs w:val="24"/>
    </w:rPr>
  </w:style>
  <w:style w:type="paragraph" w:customStyle="1" w:styleId="152">
    <w:name w:val="Char Char1"/>
    <w:basedOn w:val="1"/>
    <w:qFormat/>
    <w:uiPriority w:val="0"/>
    <w:pPr>
      <w:spacing w:after="160" w:line="240" w:lineRule="exact"/>
    </w:pPr>
    <w:rPr>
      <w:rFonts w:ascii="Verdana" w:hAnsi="Verdana" w:eastAsia="楷体_GB2312"/>
      <w:b/>
      <w:i/>
      <w:iCs/>
      <w:color w:val="000000"/>
      <w:lang w:eastAsia="en-US"/>
    </w:rPr>
  </w:style>
  <w:style w:type="paragraph" w:customStyle="1" w:styleId="153">
    <w:name w:val="默认段落字体 Para Char Char Char Char Char Char Char Char Char1 Char"/>
    <w:basedOn w:val="1"/>
    <w:qFormat/>
    <w:uiPriority w:val="0"/>
    <w:pPr>
      <w:widowControl w:val="0"/>
      <w:jc w:val="both"/>
    </w:pPr>
    <w:rPr>
      <w:rFonts w:ascii="Tahoma" w:hAnsi="Tahoma"/>
      <w:kern w:val="2"/>
      <w:sz w:val="24"/>
    </w:rPr>
  </w:style>
  <w:style w:type="paragraph" w:customStyle="1" w:styleId="154">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55">
    <w:name w:val="普通正文"/>
    <w:basedOn w:val="1"/>
    <w:qFormat/>
    <w:uiPriority w:val="0"/>
    <w:pPr>
      <w:widowControl w:val="0"/>
      <w:adjustRightInd w:val="0"/>
      <w:spacing w:before="120" w:after="120" w:line="360" w:lineRule="auto"/>
      <w:ind w:firstLine="480"/>
      <w:textAlignment w:val="baseline"/>
    </w:pPr>
    <w:rPr>
      <w:rFonts w:ascii="Arial" w:hAnsi="Arial"/>
      <w:sz w:val="24"/>
      <w:szCs w:val="24"/>
    </w:rPr>
  </w:style>
  <w:style w:type="paragraph" w:customStyle="1" w:styleId="156">
    <w:name w:val="标题8"/>
    <w:basedOn w:val="1"/>
    <w:qFormat/>
    <w:uiPriority w:val="0"/>
    <w:pPr>
      <w:widowControl w:val="0"/>
      <w:tabs>
        <w:tab w:val="left" w:pos="360"/>
      </w:tabs>
      <w:spacing w:line="360" w:lineRule="auto"/>
      <w:ind w:firstLine="482"/>
      <w:jc w:val="both"/>
    </w:pPr>
    <w:rPr>
      <w:rFonts w:ascii="宋体" w:hAnsi="宋体"/>
      <w:kern w:val="2"/>
      <w:sz w:val="24"/>
      <w:szCs w:val="24"/>
    </w:rPr>
  </w:style>
  <w:style w:type="paragraph" w:customStyle="1" w:styleId="157">
    <w:name w:val="xl34"/>
    <w:basedOn w:val="1"/>
    <w:qFormat/>
    <w:uiPriority w:val="0"/>
    <w:pPr>
      <w:spacing w:before="100" w:beforeAutospacing="1" w:after="100" w:afterAutospacing="1"/>
      <w:jc w:val="center"/>
      <w:textAlignment w:val="center"/>
    </w:pPr>
    <w:rPr>
      <w:rFonts w:ascii="宋体" w:hAnsi="宋体"/>
      <w:sz w:val="18"/>
      <w:szCs w:val="18"/>
    </w:rPr>
  </w:style>
  <w:style w:type="paragraph" w:customStyle="1" w:styleId="158">
    <w:name w:val="正文（首行缩进）"/>
    <w:basedOn w:val="1"/>
    <w:qFormat/>
    <w:uiPriority w:val="0"/>
    <w:pPr>
      <w:widowControl w:val="0"/>
      <w:spacing w:line="360" w:lineRule="auto"/>
      <w:ind w:firstLine="200" w:firstLineChars="200"/>
      <w:jc w:val="both"/>
    </w:pPr>
    <w:rPr>
      <w:kern w:val="2"/>
      <w:sz w:val="21"/>
      <w:szCs w:val="24"/>
    </w:rPr>
  </w:style>
  <w:style w:type="paragraph" w:customStyle="1" w:styleId="159">
    <w:name w:val="_Style 2"/>
    <w:basedOn w:val="1"/>
    <w:qFormat/>
    <w:uiPriority w:val="0"/>
    <w:pPr>
      <w:widowControl w:val="0"/>
      <w:ind w:firstLine="420" w:firstLineChars="200"/>
      <w:jc w:val="both"/>
    </w:pPr>
    <w:rPr>
      <w:kern w:val="2"/>
      <w:sz w:val="21"/>
      <w:szCs w:val="24"/>
    </w:rPr>
  </w:style>
  <w:style w:type="paragraph" w:customStyle="1" w:styleId="160">
    <w:name w:val="z-窗体顶端1"/>
    <w:basedOn w:val="1"/>
    <w:link w:val="161"/>
    <w:qFormat/>
    <w:uiPriority w:val="34"/>
    <w:pPr>
      <w:widowControl w:val="0"/>
      <w:ind w:firstLine="420" w:firstLineChars="200"/>
      <w:jc w:val="both"/>
    </w:pPr>
    <w:rPr>
      <w:rFonts w:ascii="Calibri" w:hAnsi="Calibri"/>
      <w:kern w:val="2"/>
      <w:sz w:val="21"/>
      <w:szCs w:val="22"/>
    </w:rPr>
  </w:style>
  <w:style w:type="character" w:customStyle="1" w:styleId="161">
    <w:name w:val="z-窗体顶端 Char"/>
    <w:basedOn w:val="47"/>
    <w:link w:val="160"/>
    <w:qFormat/>
    <w:uiPriority w:val="34"/>
    <w:rPr>
      <w:rFonts w:ascii="Calibri" w:hAnsi="Calibri"/>
      <w:kern w:val="2"/>
      <w:sz w:val="21"/>
      <w:szCs w:val="22"/>
    </w:rPr>
  </w:style>
  <w:style w:type="paragraph" w:customStyle="1" w:styleId="162">
    <w:name w:val="_Style 48"/>
    <w:basedOn w:val="1"/>
    <w:qFormat/>
    <w:uiPriority w:val="0"/>
    <w:pPr>
      <w:spacing w:after="160" w:line="240" w:lineRule="exact"/>
    </w:pPr>
    <w:rPr>
      <w:kern w:val="2"/>
      <w:sz w:val="21"/>
      <w:szCs w:val="24"/>
    </w:rPr>
  </w:style>
  <w:style w:type="paragraph" w:customStyle="1" w:styleId="163">
    <w:name w:val="Char Char Char Char Char Char Char Char Char Char Char Char Char Char Char Char Char Char Char"/>
    <w:basedOn w:val="1"/>
    <w:qFormat/>
    <w:uiPriority w:val="0"/>
    <w:pPr>
      <w:widowControl w:val="0"/>
      <w:tabs>
        <w:tab w:val="left" w:pos="360"/>
      </w:tabs>
      <w:jc w:val="both"/>
    </w:pPr>
    <w:rPr>
      <w:kern w:val="2"/>
      <w:sz w:val="24"/>
      <w:szCs w:val="24"/>
    </w:rPr>
  </w:style>
  <w:style w:type="paragraph" w:customStyle="1" w:styleId="164">
    <w:name w:val="p0"/>
    <w:basedOn w:val="1"/>
    <w:qFormat/>
    <w:uiPriority w:val="0"/>
    <w:pPr>
      <w:jc w:val="both"/>
    </w:pPr>
    <w:rPr>
      <w:sz w:val="21"/>
      <w:szCs w:val="21"/>
    </w:rPr>
  </w:style>
  <w:style w:type="paragraph" w:customStyle="1" w:styleId="165">
    <w:name w:val="List Paragraph1"/>
    <w:basedOn w:val="1"/>
    <w:qFormat/>
    <w:uiPriority w:val="34"/>
    <w:pPr>
      <w:widowControl w:val="0"/>
      <w:ind w:firstLine="420" w:firstLineChars="200"/>
      <w:jc w:val="both"/>
    </w:pPr>
    <w:rPr>
      <w:kern w:val="2"/>
      <w:sz w:val="21"/>
      <w:szCs w:val="24"/>
    </w:rPr>
  </w:style>
  <w:style w:type="paragraph" w:customStyle="1" w:styleId="166">
    <w:name w:val="表文字"/>
    <w:qFormat/>
    <w:uiPriority w:val="0"/>
    <w:rPr>
      <w:rFonts w:ascii="宋体" w:hAnsi="Times New Roman" w:eastAsia="宋体" w:cs="Times New Roman"/>
      <w:kern w:val="2"/>
      <w:lang w:val="en-US" w:eastAsia="zh-CN" w:bidi="ar-SA"/>
    </w:rPr>
  </w:style>
  <w:style w:type="paragraph" w:customStyle="1" w:styleId="167">
    <w:name w:val="Char1 Char Char Char Char Char Char"/>
    <w:basedOn w:val="1"/>
    <w:qFormat/>
    <w:uiPriority w:val="0"/>
    <w:pPr>
      <w:spacing w:after="160" w:line="240" w:lineRule="exact"/>
    </w:pPr>
    <w:rPr>
      <w:kern w:val="2"/>
      <w:sz w:val="21"/>
      <w:szCs w:val="24"/>
    </w:rPr>
  </w:style>
  <w:style w:type="paragraph" w:customStyle="1" w:styleId="168">
    <w:name w:val="正文首行缩进2字符"/>
    <w:basedOn w:val="1"/>
    <w:qFormat/>
    <w:uiPriority w:val="0"/>
    <w:pPr>
      <w:widowControl w:val="0"/>
      <w:ind w:firstLine="482"/>
      <w:jc w:val="both"/>
    </w:pPr>
    <w:rPr>
      <w:kern w:val="2"/>
      <w:sz w:val="21"/>
    </w:rPr>
  </w:style>
  <w:style w:type="paragraph" w:customStyle="1" w:styleId="169">
    <w:name w:val="_Style 27"/>
    <w:basedOn w:val="1"/>
    <w:qFormat/>
    <w:uiPriority w:val="0"/>
    <w:pPr>
      <w:widowControl w:val="0"/>
      <w:jc w:val="both"/>
    </w:pPr>
    <w:rPr>
      <w:kern w:val="2"/>
      <w:sz w:val="21"/>
      <w:szCs w:val="24"/>
    </w:rPr>
  </w:style>
  <w:style w:type="paragraph" w:customStyle="1" w:styleId="170">
    <w:name w:val="表头文本"/>
    <w:qFormat/>
    <w:uiPriority w:val="0"/>
    <w:pPr>
      <w:jc w:val="center"/>
    </w:pPr>
    <w:rPr>
      <w:rFonts w:ascii="Arial" w:hAnsi="Arial" w:eastAsia="宋体" w:cs="Times New Roman"/>
      <w:b/>
      <w:sz w:val="21"/>
      <w:szCs w:val="21"/>
      <w:lang w:val="en-US" w:eastAsia="zh-CN" w:bidi="ar-SA"/>
    </w:rPr>
  </w:style>
  <w:style w:type="paragraph" w:customStyle="1" w:styleId="171">
    <w:name w:val="Char Char Char"/>
    <w:basedOn w:val="1"/>
    <w:qFormat/>
    <w:uiPriority w:val="0"/>
    <w:pPr>
      <w:widowControl w:val="0"/>
      <w:jc w:val="both"/>
    </w:pPr>
    <w:rPr>
      <w:kern w:val="2"/>
      <w:sz w:val="21"/>
      <w:szCs w:val="24"/>
    </w:rPr>
  </w:style>
  <w:style w:type="paragraph" w:customStyle="1" w:styleId="172">
    <w:name w:val="Char Char Char1"/>
    <w:basedOn w:val="1"/>
    <w:qFormat/>
    <w:uiPriority w:val="0"/>
    <w:pPr>
      <w:spacing w:after="160" w:line="240" w:lineRule="exact"/>
    </w:pPr>
    <w:rPr>
      <w:rFonts w:hint="eastAsia"/>
      <w:kern w:val="2"/>
      <w:sz w:val="21"/>
      <w:szCs w:val="24"/>
    </w:rPr>
  </w:style>
  <w:style w:type="paragraph" w:customStyle="1" w:styleId="173">
    <w:name w:val="Char Char Char2"/>
    <w:basedOn w:val="1"/>
    <w:qFormat/>
    <w:uiPriority w:val="0"/>
    <w:pPr>
      <w:widowControl w:val="0"/>
      <w:jc w:val="both"/>
    </w:pPr>
    <w:rPr>
      <w:kern w:val="2"/>
      <w:sz w:val="21"/>
      <w:szCs w:val="24"/>
    </w:rPr>
  </w:style>
  <w:style w:type="paragraph" w:customStyle="1" w:styleId="174">
    <w:name w:val="Table Paragraph"/>
    <w:basedOn w:val="1"/>
    <w:unhideWhenUsed/>
    <w:qFormat/>
    <w:uiPriority w:val="1"/>
    <w:pPr>
      <w:kinsoku w:val="0"/>
      <w:overflowPunct w:val="0"/>
      <w:ind w:left="234"/>
    </w:pPr>
    <w:rPr>
      <w:rFonts w:ascii="宋体" w:hAnsi="宋体" w:cs="宋体"/>
      <w:sz w:val="21"/>
      <w:szCs w:val="21"/>
    </w:rPr>
  </w:style>
  <w:style w:type="paragraph" w:customStyle="1" w:styleId="175">
    <w:name w:val="Normal_0"/>
    <w:qFormat/>
    <w:uiPriority w:val="0"/>
    <w:pPr>
      <w:widowControl w:val="0"/>
      <w:jc w:val="both"/>
    </w:pPr>
    <w:rPr>
      <w:rFonts w:ascii="Times New Roman" w:hAnsi="Times New Roman" w:eastAsia="宋体" w:cs="Times New Roman"/>
      <w:szCs w:val="21"/>
      <w:lang w:val="en-US" w:eastAsia="zh-CN" w:bidi="ar-SA"/>
    </w:rPr>
  </w:style>
  <w:style w:type="character" w:customStyle="1" w:styleId="176">
    <w:name w:val="索引 1 字符"/>
    <w:link w:val="40"/>
    <w:qFormat/>
    <w:uiPriority w:val="0"/>
    <w:rPr>
      <w:rFonts w:ascii="宋体" w:hAnsi="Arial"/>
      <w:snapToGrid w:val="0"/>
      <w:sz w:val="24"/>
    </w:rPr>
  </w:style>
  <w:style w:type="paragraph" w:customStyle="1" w:styleId="177">
    <w:name w:val="TOC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178">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79">
    <w:name w:val="font31"/>
    <w:basedOn w:val="47"/>
    <w:qFormat/>
    <w:uiPriority w:val="0"/>
    <w:rPr>
      <w:rFonts w:hint="eastAsia" w:ascii="宋体" w:hAnsi="宋体" w:eastAsia="宋体" w:cs="宋体"/>
      <w:color w:val="000000"/>
      <w:sz w:val="24"/>
      <w:szCs w:val="24"/>
      <w:u w:val="none"/>
    </w:rPr>
  </w:style>
  <w:style w:type="paragraph" w:customStyle="1" w:styleId="180">
    <w:name w:val="CM11"/>
    <w:basedOn w:val="110"/>
    <w:next w:val="110"/>
    <w:unhideWhenUsed/>
    <w:qFormat/>
    <w:uiPriority w:val="99"/>
    <w:pPr>
      <w:spacing w:line="520" w:lineRule="atLeast"/>
    </w:pPr>
  </w:style>
  <w:style w:type="paragraph" w:customStyle="1" w:styleId="181">
    <w:name w:val="CM13"/>
    <w:basedOn w:val="110"/>
    <w:next w:val="110"/>
    <w:unhideWhenUsed/>
    <w:qFormat/>
    <w:uiPriority w:val="99"/>
    <w:pPr>
      <w:spacing w:line="520" w:lineRule="atLeast"/>
    </w:pPr>
  </w:style>
  <w:style w:type="paragraph" w:customStyle="1" w:styleId="182">
    <w:name w:val="CM14"/>
    <w:basedOn w:val="110"/>
    <w:next w:val="110"/>
    <w:unhideWhenUsed/>
    <w:qFormat/>
    <w:uiPriority w:val="99"/>
    <w:pPr>
      <w:spacing w:line="546" w:lineRule="atLeast"/>
    </w:pPr>
  </w:style>
  <w:style w:type="paragraph" w:customStyle="1" w:styleId="183">
    <w:name w:val="List2"/>
    <w:basedOn w:val="1"/>
    <w:qFormat/>
    <w:uiPriority w:val="0"/>
    <w:pPr>
      <w:ind w:left="100" w:leftChars="200" w:hanging="200" w:hangingChars="200"/>
      <w:textAlignment w:val="baseline"/>
    </w:pPr>
  </w:style>
  <w:style w:type="paragraph" w:customStyle="1" w:styleId="184">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table" w:customStyle="1" w:styleId="185">
    <w:name w:val="Table Normal"/>
    <w:semiHidden/>
    <w:unhideWhenUsed/>
    <w:qFormat/>
    <w:uiPriority w:val="0"/>
    <w:tblPr>
      <w:tblCellMar>
        <w:top w:w="0" w:type="dxa"/>
        <w:left w:w="0" w:type="dxa"/>
        <w:bottom w:w="0" w:type="dxa"/>
        <w:right w:w="0" w:type="dxa"/>
      </w:tblCellMar>
    </w:tblPr>
  </w:style>
  <w:style w:type="paragraph" w:customStyle="1" w:styleId="186">
    <w:name w:val="_Style 3"/>
    <w:basedOn w:val="1"/>
    <w:qFormat/>
    <w:uiPriority w:val="99"/>
    <w:pPr>
      <w:ind w:firstLine="420" w:firstLineChars="200"/>
    </w:pPr>
  </w:style>
  <w:style w:type="character" w:customStyle="1" w:styleId="187">
    <w:name w:val="NormalCharacter"/>
    <w:qFormat/>
    <w:uiPriority w:val="0"/>
    <w:rPr>
      <w:kern w:val="2"/>
      <w:sz w:val="21"/>
      <w:szCs w:val="22"/>
      <w:lang w:val="en-US" w:eastAsia="zh-CN" w:bidi="ar-SA"/>
    </w:rPr>
  </w:style>
  <w:style w:type="paragraph" w:customStyle="1" w:styleId="188">
    <w:name w:val="Table Text"/>
    <w:basedOn w:val="1"/>
    <w:autoRedefine/>
    <w:semiHidden/>
    <w:qFormat/>
    <w:uiPriority w:val="0"/>
    <w:rPr>
      <w:rFonts w:ascii="宋体" w:hAnsi="宋体" w:cs="宋体"/>
      <w:lang w:eastAsia="en-US"/>
    </w:rPr>
  </w:style>
  <w:style w:type="character" w:customStyle="1" w:styleId="189">
    <w:name w:val="HTML 预设格式 字符"/>
    <w:basedOn w:val="47"/>
    <w:link w:val="38"/>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21.xml"/><Relationship Id="rId32" Type="http://schemas.openxmlformats.org/officeDocument/2006/relationships/footer" Target="footer20.xml"/><Relationship Id="rId31" Type="http://schemas.openxmlformats.org/officeDocument/2006/relationships/footer" Target="footer19.xml"/><Relationship Id="rId30" Type="http://schemas.openxmlformats.org/officeDocument/2006/relationships/footer" Target="footer18.xml"/><Relationship Id="rId3" Type="http://schemas.openxmlformats.org/officeDocument/2006/relationships/header" Target="header1.xml"/><Relationship Id="rId29" Type="http://schemas.openxmlformats.org/officeDocument/2006/relationships/footer" Target="footer17.xml"/><Relationship Id="rId28" Type="http://schemas.openxmlformats.org/officeDocument/2006/relationships/footer" Target="footer16.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104"/>
    <customShpInfo spid="_x0000_s3105"/>
    <customShpInfo spid="_x0000_s3106"/>
    <customShpInfo spid="_x0000_s3076"/>
    <customShpInfo spid="_x0000_s3107"/>
    <customShpInfo spid="_x0000_s3108"/>
    <customShpInfo spid="_x0000_s3109"/>
    <customShpInfo spid="_x0000_s3110"/>
    <customShpInfo spid="_x0000_s3111"/>
    <customShpInfo spid="_x0000_s3112"/>
    <customShpInfo spid="_x0000_s3113"/>
    <customShpInfo spid="_x0000_s3114"/>
    <customShpInfo spid="_x0000_s3115"/>
    <customShpInfo spid="_x0000_s311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99</Pages>
  <Words>1968</Words>
  <Characters>2400</Characters>
  <Lines>2706</Lines>
  <Paragraphs>1992</Paragraphs>
  <TotalTime>40</TotalTime>
  <ScaleCrop>false</ScaleCrop>
  <LinksUpToDate>false</LinksUpToDate>
  <CharactersWithSpaces>2604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2022-11-21T02:12:00Z</dcterms:created>
  <dc:creator>Administrator</dc:creator>
  <cp:lastModifiedBy>tianrun</cp:lastModifiedBy>
  <cp:lastPrinted>2023-11-21T04:57:00Z</cp:lastPrinted>
  <dcterms:modified xsi:type="dcterms:W3CDTF">2025-06-30T04:30:07Z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A9DE8906645C46CAB6EBD078954EDC04_13</vt:lpwstr>
  </property>
  <property fmtid="{D5CDD505-2E9C-101B-9397-08002B2CF9AE}" pid="4" name="KSOTemplateDocerSaveRecord">
    <vt:lpwstr>eyJoZGlkIjoiOGQ5MTkyODU2MGNiZDhiYTA1MzZhNTY0MGJhM2E4OGYiLCJ1c2VySWQiOiIxNDA2Mjk3MDAyIn0=</vt:lpwstr>
  </property>
</Properties>
</file>