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楷体" w:hAnsi="楷体" w:eastAsia="楷体" w:cs="楷体"/>
          <w:b/>
          <w:bCs/>
          <w:kern w:val="0"/>
          <w:sz w:val="52"/>
          <w:szCs w:val="52"/>
          <w:highlight w:val="none"/>
          <w:lang w:eastAsia="zh-CN"/>
        </w:rPr>
      </w:pPr>
      <w:bookmarkStart w:id="0" w:name="_Hlk64874400"/>
      <w:bookmarkEnd w:id="0"/>
      <w:bookmarkStart w:id="1" w:name="_Toc247085669"/>
      <w:bookmarkStart w:id="2" w:name="_Toc296602400"/>
      <w:bookmarkStart w:id="3" w:name="_Toc246996898"/>
    </w:p>
    <w:p>
      <w:pPr>
        <w:spacing w:line="360" w:lineRule="auto"/>
        <w:jc w:val="center"/>
        <w:rPr>
          <w:rFonts w:hint="eastAsia" w:ascii="楷体" w:hAnsi="楷体" w:eastAsia="楷体" w:cs="楷体"/>
          <w:b/>
          <w:bCs/>
          <w:kern w:val="0"/>
          <w:sz w:val="52"/>
          <w:szCs w:val="52"/>
          <w:highlight w:val="none"/>
          <w:lang w:val="en-US" w:eastAsia="zh-CN"/>
        </w:rPr>
      </w:pPr>
      <w:r>
        <w:rPr>
          <w:rFonts w:hint="eastAsia" w:ascii="楷体" w:hAnsi="楷体" w:eastAsia="楷体" w:cs="楷体"/>
          <w:b/>
          <w:bCs/>
          <w:kern w:val="0"/>
          <w:sz w:val="52"/>
          <w:szCs w:val="52"/>
          <w:highlight w:val="none"/>
          <w:lang w:eastAsia="zh-CN"/>
        </w:rPr>
        <w:t>长春新区教育局</w:t>
      </w:r>
      <w:r>
        <w:rPr>
          <w:rFonts w:hint="eastAsia" w:ascii="楷体" w:hAnsi="楷体" w:eastAsia="楷体" w:cs="楷体"/>
          <w:b/>
          <w:bCs/>
          <w:kern w:val="0"/>
          <w:sz w:val="52"/>
          <w:szCs w:val="52"/>
          <w:highlight w:val="none"/>
          <w:lang w:val="en-US" w:eastAsia="zh-CN"/>
        </w:rPr>
        <w:t>17所公办学校</w:t>
      </w:r>
    </w:p>
    <w:p>
      <w:pPr>
        <w:spacing w:line="360" w:lineRule="auto"/>
        <w:jc w:val="center"/>
        <w:rPr>
          <w:rFonts w:hint="default" w:ascii="楷体" w:hAnsi="楷体" w:eastAsia="楷体" w:cs="楷体"/>
          <w:b/>
          <w:bCs/>
          <w:kern w:val="0"/>
          <w:sz w:val="52"/>
          <w:szCs w:val="52"/>
          <w:highlight w:val="none"/>
          <w:lang w:val="en-US" w:eastAsia="zh-CN"/>
        </w:rPr>
      </w:pPr>
      <w:r>
        <w:rPr>
          <w:rFonts w:hint="eastAsia" w:ascii="楷体" w:hAnsi="楷体" w:eastAsia="楷体" w:cs="楷体"/>
          <w:b/>
          <w:bCs/>
          <w:kern w:val="0"/>
          <w:sz w:val="52"/>
          <w:szCs w:val="52"/>
          <w:highlight w:val="none"/>
          <w:lang w:val="en-US" w:eastAsia="zh-CN"/>
        </w:rPr>
        <w:t>安保服务采购项目</w:t>
      </w:r>
    </w:p>
    <w:p>
      <w:pPr>
        <w:pStyle w:val="20"/>
        <w:autoSpaceDN w:val="0"/>
        <w:spacing w:line="360" w:lineRule="auto"/>
        <w:jc w:val="center"/>
        <w:rPr>
          <w:rFonts w:hint="eastAsia" w:ascii="楷体" w:hAnsi="楷体" w:eastAsia="楷体" w:cs="楷体"/>
        </w:rPr>
      </w:pPr>
    </w:p>
    <w:p>
      <w:pPr>
        <w:jc w:val="center"/>
        <w:rPr>
          <w:rFonts w:hint="eastAsia" w:ascii="楷体" w:hAnsi="楷体" w:eastAsia="楷体" w:cs="楷体"/>
          <w:b/>
          <w:bCs/>
          <w:kern w:val="0"/>
          <w:sz w:val="96"/>
          <w:szCs w:val="96"/>
          <w:highlight w:val="none"/>
          <w:lang w:val="en-US" w:eastAsia="zh-CN"/>
        </w:rPr>
      </w:pPr>
      <w:r>
        <w:rPr>
          <w:rFonts w:hint="eastAsia" w:ascii="楷体" w:hAnsi="楷体" w:eastAsia="楷体" w:cs="楷体"/>
          <w:b/>
          <w:bCs/>
          <w:kern w:val="0"/>
          <w:sz w:val="96"/>
          <w:szCs w:val="96"/>
          <w:highlight w:val="none"/>
          <w:lang w:val="en-US" w:eastAsia="zh-CN"/>
        </w:rPr>
        <w:t>招 标 文 件</w:t>
      </w:r>
    </w:p>
    <w:p>
      <w:pPr>
        <w:jc w:val="center"/>
        <w:rPr>
          <w:rFonts w:hint="eastAsia" w:ascii="楷体" w:hAnsi="楷体" w:eastAsia="楷体" w:cs="楷体"/>
          <w:b/>
          <w:bCs/>
          <w:kern w:val="0"/>
          <w:sz w:val="32"/>
          <w:szCs w:val="32"/>
          <w:highlight w:val="none"/>
        </w:rPr>
      </w:pPr>
    </w:p>
    <w:p>
      <w:pPr>
        <w:jc w:val="center"/>
        <w:rPr>
          <w:rFonts w:hint="eastAsia" w:ascii="楷体" w:hAnsi="楷体" w:eastAsia="楷体" w:cs="楷体"/>
          <w:b/>
          <w:bCs/>
          <w:kern w:val="0"/>
          <w:sz w:val="32"/>
          <w:szCs w:val="32"/>
          <w:highlight w:val="none"/>
          <w:lang w:val="en-US"/>
        </w:rPr>
      </w:pPr>
      <w:r>
        <w:rPr>
          <w:rFonts w:hint="eastAsia" w:ascii="楷体" w:hAnsi="楷体" w:eastAsia="楷体" w:cs="楷体"/>
          <w:b/>
          <w:bCs/>
          <w:kern w:val="0"/>
          <w:sz w:val="32"/>
          <w:szCs w:val="32"/>
          <w:highlight w:val="none"/>
        </w:rPr>
        <w:t>项目编号：</w:t>
      </w:r>
      <w:bookmarkStart w:id="4" w:name="_Hlk64874388"/>
      <w:bookmarkEnd w:id="4"/>
      <w:r>
        <w:rPr>
          <w:rFonts w:hint="eastAsia" w:ascii="楷体" w:hAnsi="楷体" w:eastAsia="楷体" w:cs="楷体"/>
          <w:b/>
          <w:bCs/>
          <w:kern w:val="0"/>
          <w:sz w:val="32"/>
          <w:szCs w:val="32"/>
          <w:highlight w:val="none"/>
          <w:lang w:eastAsia="zh-CN"/>
        </w:rPr>
        <w:t>XQZC2023-083</w:t>
      </w:r>
    </w:p>
    <w:p>
      <w:pPr>
        <w:autoSpaceDN w:val="0"/>
        <w:spacing w:line="360" w:lineRule="auto"/>
        <w:jc w:val="center"/>
        <w:rPr>
          <w:rFonts w:hint="eastAsia" w:ascii="楷体" w:hAnsi="楷体" w:eastAsia="楷体" w:cs="楷体"/>
          <w:sz w:val="18"/>
          <w:szCs w:val="18"/>
        </w:rPr>
      </w:pPr>
    </w:p>
    <w:p>
      <w:pPr>
        <w:autoSpaceDN w:val="0"/>
        <w:spacing w:line="360" w:lineRule="auto"/>
        <w:jc w:val="center"/>
        <w:rPr>
          <w:rFonts w:hint="eastAsia" w:ascii="楷体" w:hAnsi="楷体" w:eastAsia="楷体" w:cs="楷体"/>
        </w:rPr>
      </w:pPr>
      <w:r>
        <w:rPr>
          <w:rFonts w:hint="eastAsia" w:ascii="楷体_GB2312" w:hAnsi="华文楷体" w:eastAsia="楷体_GB2312"/>
          <w:sz w:val="44"/>
          <w:szCs w:val="44"/>
          <w:lang w:eastAsia="zh-CN"/>
        </w:rPr>
        <w:drawing>
          <wp:inline distT="0" distB="0" distL="114300" distR="114300">
            <wp:extent cx="2619375" cy="1717675"/>
            <wp:effectExtent l="0" t="0" r="1905" b="4445"/>
            <wp:docPr id="1" name="图片 1" descr="tay951014 -亿安建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ay951014 -亿安建设"/>
                    <pic:cNvPicPr>
                      <a:picLocks noChangeAspect="1"/>
                    </pic:cNvPicPr>
                  </pic:nvPicPr>
                  <pic:blipFill>
                    <a:blip r:embed="rId5"/>
                    <a:stretch>
                      <a:fillRect/>
                    </a:stretch>
                  </pic:blipFill>
                  <pic:spPr>
                    <a:xfrm>
                      <a:off x="0" y="0"/>
                      <a:ext cx="2619375" cy="1717675"/>
                    </a:xfrm>
                    <a:prstGeom prst="rect">
                      <a:avLst/>
                    </a:prstGeom>
                    <a:noFill/>
                    <a:ln>
                      <a:noFill/>
                    </a:ln>
                  </pic:spPr>
                </pic:pic>
              </a:graphicData>
            </a:graphic>
          </wp:inline>
        </w:drawing>
      </w:r>
    </w:p>
    <w:p>
      <w:pPr>
        <w:pStyle w:val="20"/>
        <w:spacing w:line="360" w:lineRule="auto"/>
        <w:jc w:val="center"/>
        <w:rPr>
          <w:rFonts w:hint="eastAsia" w:ascii="楷体" w:hAnsi="楷体" w:eastAsia="楷体" w:cs="楷体"/>
        </w:rPr>
      </w:pPr>
    </w:p>
    <w:p>
      <w:pPr>
        <w:pStyle w:val="20"/>
        <w:spacing w:line="360" w:lineRule="auto"/>
        <w:jc w:val="center"/>
        <w:rPr>
          <w:rFonts w:hint="eastAsia" w:ascii="楷体" w:hAnsi="楷体" w:eastAsia="楷体" w:cs="楷体"/>
        </w:rPr>
      </w:pPr>
    </w:p>
    <w:p>
      <w:pPr>
        <w:pStyle w:val="20"/>
        <w:spacing w:line="360" w:lineRule="auto"/>
        <w:jc w:val="center"/>
        <w:rPr>
          <w:rFonts w:hint="eastAsia" w:ascii="楷体" w:hAnsi="楷体" w:eastAsia="楷体" w:cs="楷体"/>
        </w:rPr>
      </w:pPr>
    </w:p>
    <w:p>
      <w:pPr>
        <w:spacing w:line="600" w:lineRule="auto"/>
        <w:jc w:val="center"/>
        <w:rPr>
          <w:rFonts w:hint="eastAsia" w:ascii="楷体" w:hAnsi="楷体" w:eastAsia="楷体" w:cs="楷体"/>
          <w:b/>
          <w:bCs/>
          <w:kern w:val="0"/>
          <w:sz w:val="32"/>
          <w:szCs w:val="32"/>
          <w:highlight w:val="none"/>
          <w:lang w:val="en-US" w:eastAsia="zh-CN"/>
        </w:rPr>
      </w:pPr>
      <w:r>
        <w:rPr>
          <w:rFonts w:hint="eastAsia" w:ascii="楷体" w:hAnsi="楷体" w:eastAsia="楷体" w:cs="楷体"/>
          <w:b/>
          <w:bCs/>
          <w:kern w:val="0"/>
          <w:sz w:val="32"/>
          <w:szCs w:val="32"/>
          <w:highlight w:val="none"/>
          <w:lang w:val="en-US" w:eastAsia="zh-CN"/>
        </w:rPr>
        <w:t>采购人：</w:t>
      </w:r>
      <w:bookmarkStart w:id="5" w:name="blank0"/>
      <w:r>
        <w:rPr>
          <w:rFonts w:hint="eastAsia" w:ascii="楷体" w:hAnsi="楷体" w:eastAsia="楷体" w:cs="楷体"/>
          <w:b/>
          <w:bCs/>
          <w:kern w:val="0"/>
          <w:sz w:val="32"/>
          <w:szCs w:val="32"/>
          <w:highlight w:val="none"/>
          <w:lang w:val="en-US" w:eastAsia="zh-CN"/>
        </w:rPr>
        <w:t>长春新区教育局</w:t>
      </w:r>
      <w:bookmarkEnd w:id="5"/>
    </w:p>
    <w:p>
      <w:pPr>
        <w:spacing w:line="600" w:lineRule="auto"/>
        <w:jc w:val="center"/>
        <w:rPr>
          <w:rFonts w:hint="eastAsia" w:ascii="楷体" w:hAnsi="楷体" w:eastAsia="楷体" w:cs="楷体"/>
          <w:b/>
          <w:bCs/>
          <w:kern w:val="0"/>
          <w:sz w:val="32"/>
          <w:szCs w:val="32"/>
          <w:highlight w:val="none"/>
          <w:lang w:val="en-US" w:eastAsia="zh-CN"/>
        </w:rPr>
      </w:pPr>
      <w:r>
        <w:rPr>
          <w:rFonts w:hint="eastAsia" w:ascii="楷体" w:hAnsi="楷体" w:eastAsia="楷体" w:cs="楷体"/>
          <w:b/>
          <w:bCs/>
          <w:kern w:val="0"/>
          <w:sz w:val="32"/>
          <w:szCs w:val="32"/>
          <w:highlight w:val="none"/>
          <w:lang w:val="en-US" w:eastAsia="zh-CN"/>
        </w:rPr>
        <w:t>采购代理机构：</w:t>
      </w:r>
      <w:r>
        <w:rPr>
          <w:rFonts w:hint="eastAsia" w:ascii="楷体" w:hAnsi="楷体" w:eastAsia="楷体" w:cs="楷体"/>
          <w:b/>
          <w:bCs/>
          <w:sz w:val="32"/>
          <w:szCs w:val="32"/>
          <w:highlight w:val="none"/>
          <w:u w:val="none"/>
          <w:lang w:eastAsia="zh-CN"/>
        </w:rPr>
        <w:t>吉林省亿安建设项目管理有限公司</w:t>
      </w:r>
    </w:p>
    <w:p>
      <w:pPr>
        <w:spacing w:line="600" w:lineRule="auto"/>
        <w:jc w:val="center"/>
        <w:rPr>
          <w:rFonts w:hint="default" w:ascii="楷体" w:hAnsi="楷体" w:eastAsia="楷体" w:cs="楷体"/>
          <w:b/>
          <w:bCs/>
          <w:kern w:val="0"/>
          <w:sz w:val="32"/>
          <w:szCs w:val="32"/>
          <w:highlight w:val="none"/>
          <w:lang w:val="en-US" w:eastAsia="zh-CN"/>
        </w:rPr>
      </w:pPr>
      <w:r>
        <w:rPr>
          <w:rFonts w:hint="eastAsia" w:ascii="楷体" w:hAnsi="楷体" w:eastAsia="楷体" w:cs="楷体"/>
          <w:b/>
          <w:bCs/>
          <w:kern w:val="0"/>
          <w:sz w:val="32"/>
          <w:szCs w:val="32"/>
          <w:highlight w:val="none"/>
          <w:lang w:val="en-US" w:eastAsia="zh-CN"/>
        </w:rPr>
        <w:t>日     期：二零二三年十二月</w:t>
      </w:r>
    </w:p>
    <w:p>
      <w:pPr>
        <w:tabs>
          <w:tab w:val="left" w:pos="9379"/>
        </w:tabs>
        <w:autoSpaceDN w:val="0"/>
        <w:spacing w:line="360" w:lineRule="auto"/>
        <w:jc w:val="center"/>
        <w:rPr>
          <w:rFonts w:hint="eastAsia" w:asciiTheme="majorEastAsia" w:hAnsiTheme="majorEastAsia" w:eastAsiaTheme="majorEastAsia"/>
          <w:b/>
          <w:bCs/>
          <w:sz w:val="36"/>
          <w:szCs w:val="36"/>
        </w:rPr>
      </w:pPr>
      <w:bookmarkStart w:id="6" w:name="_Toc98580389"/>
    </w:p>
    <w:p>
      <w:pPr>
        <w:tabs>
          <w:tab w:val="left" w:pos="9379"/>
        </w:tabs>
        <w:autoSpaceDN w:val="0"/>
        <w:spacing w:line="36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目　　录</w:t>
      </w:r>
    </w:p>
    <w:p>
      <w:pPr>
        <w:pStyle w:val="15"/>
        <w:tabs>
          <w:tab w:val="right" w:leader="dot" w:pos="8787"/>
        </w:tabs>
        <w:spacing w:line="480" w:lineRule="auto"/>
        <w:rPr>
          <w:sz w:val="24"/>
          <w:szCs w:val="24"/>
        </w:rPr>
      </w:pPr>
      <w:r>
        <w:rPr>
          <w:rFonts w:hint="eastAsia" w:asciiTheme="majorEastAsia" w:hAnsiTheme="majorEastAsia" w:eastAsiaTheme="majorEastAsia"/>
          <w:b w:val="0"/>
          <w:bCs w:val="0"/>
          <w:sz w:val="36"/>
          <w:szCs w:val="36"/>
        </w:rPr>
        <w:fldChar w:fldCharType="begin"/>
      </w:r>
      <w:r>
        <w:rPr>
          <w:rFonts w:hint="eastAsia" w:asciiTheme="majorEastAsia" w:hAnsiTheme="majorEastAsia" w:eastAsiaTheme="majorEastAsia"/>
          <w:b w:val="0"/>
          <w:bCs w:val="0"/>
          <w:sz w:val="36"/>
          <w:szCs w:val="36"/>
        </w:rPr>
        <w:instrText xml:space="preserve">TOC \o "1-1" \h \z \u </w:instrText>
      </w:r>
      <w:r>
        <w:rPr>
          <w:rFonts w:hint="eastAsia" w:asciiTheme="majorEastAsia" w:hAnsiTheme="majorEastAsia" w:eastAsiaTheme="majorEastAsia"/>
          <w:b w:val="0"/>
          <w:bCs w:val="0"/>
          <w:sz w:val="36"/>
          <w:szCs w:val="36"/>
        </w:rPr>
        <w:fldChar w:fldCharType="separate"/>
      </w:r>
      <w:r>
        <w:rPr>
          <w:sz w:val="24"/>
          <w:szCs w:val="24"/>
        </w:rPr>
        <w:fldChar w:fldCharType="begin"/>
      </w:r>
      <w:r>
        <w:rPr>
          <w:sz w:val="24"/>
          <w:szCs w:val="24"/>
        </w:rPr>
        <w:instrText xml:space="preserve"> HYPERLINK \l "_Toc15421" </w:instrText>
      </w:r>
      <w:r>
        <w:rPr>
          <w:sz w:val="24"/>
          <w:szCs w:val="24"/>
        </w:rPr>
        <w:fldChar w:fldCharType="separate"/>
      </w:r>
      <w:r>
        <w:rPr>
          <w:rFonts w:hint="eastAsia" w:asciiTheme="majorEastAsia" w:hAnsiTheme="majorEastAsia" w:eastAsiaTheme="majorEastAsia"/>
          <w:sz w:val="24"/>
          <w:szCs w:val="24"/>
        </w:rPr>
        <w:t>第一部分</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招标公告</w:t>
      </w:r>
      <w:r>
        <w:rPr>
          <w:sz w:val="24"/>
          <w:szCs w:val="24"/>
        </w:rPr>
        <w:tab/>
      </w:r>
      <w:r>
        <w:rPr>
          <w:sz w:val="24"/>
          <w:szCs w:val="24"/>
        </w:rPr>
        <w:fldChar w:fldCharType="begin"/>
      </w:r>
      <w:r>
        <w:rPr>
          <w:sz w:val="24"/>
          <w:szCs w:val="24"/>
        </w:rPr>
        <w:instrText xml:space="preserve"> PAGEREF _Toc15421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5"/>
        <w:tabs>
          <w:tab w:val="right" w:leader="dot" w:pos="8787"/>
        </w:tabs>
        <w:spacing w:line="480" w:lineRule="auto"/>
        <w:rPr>
          <w:sz w:val="24"/>
          <w:szCs w:val="24"/>
        </w:rPr>
      </w:pPr>
      <w:r>
        <w:rPr>
          <w:sz w:val="24"/>
          <w:szCs w:val="24"/>
        </w:rPr>
        <w:fldChar w:fldCharType="begin"/>
      </w:r>
      <w:r>
        <w:rPr>
          <w:sz w:val="24"/>
          <w:szCs w:val="24"/>
        </w:rPr>
        <w:instrText xml:space="preserve"> HYPERLINK \l "_Toc12303" </w:instrText>
      </w:r>
      <w:r>
        <w:rPr>
          <w:sz w:val="24"/>
          <w:szCs w:val="24"/>
        </w:rPr>
        <w:fldChar w:fldCharType="separate"/>
      </w:r>
      <w:r>
        <w:rPr>
          <w:rFonts w:hint="eastAsia" w:asciiTheme="majorEastAsia" w:hAnsiTheme="majorEastAsia" w:eastAsiaTheme="majorEastAsia"/>
          <w:sz w:val="24"/>
          <w:szCs w:val="24"/>
        </w:rPr>
        <w:t>第二部分</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供应商须知</w:t>
      </w:r>
      <w:r>
        <w:rPr>
          <w:sz w:val="24"/>
          <w:szCs w:val="24"/>
        </w:rPr>
        <w:tab/>
      </w:r>
      <w:r>
        <w:rPr>
          <w:sz w:val="24"/>
          <w:szCs w:val="24"/>
        </w:rPr>
        <w:fldChar w:fldCharType="begin"/>
      </w:r>
      <w:r>
        <w:rPr>
          <w:sz w:val="24"/>
          <w:szCs w:val="24"/>
        </w:rPr>
        <w:instrText xml:space="preserve"> PAGEREF _Toc12303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tabs>
          <w:tab w:val="right" w:leader="dot" w:pos="8787"/>
        </w:tabs>
        <w:spacing w:line="480" w:lineRule="auto"/>
        <w:rPr>
          <w:sz w:val="24"/>
          <w:szCs w:val="24"/>
        </w:rPr>
      </w:pPr>
      <w:r>
        <w:rPr>
          <w:sz w:val="24"/>
          <w:szCs w:val="24"/>
        </w:rPr>
        <w:fldChar w:fldCharType="begin"/>
      </w:r>
      <w:r>
        <w:rPr>
          <w:sz w:val="24"/>
          <w:szCs w:val="24"/>
        </w:rPr>
        <w:instrText xml:space="preserve"> HYPERLINK \l "_Toc22071" </w:instrText>
      </w:r>
      <w:r>
        <w:rPr>
          <w:sz w:val="24"/>
          <w:szCs w:val="24"/>
        </w:rPr>
        <w:fldChar w:fldCharType="separate"/>
      </w:r>
      <w:r>
        <w:rPr>
          <w:rFonts w:hint="eastAsia" w:asciiTheme="majorEastAsia" w:hAnsiTheme="majorEastAsia" w:eastAsiaTheme="majorEastAsia"/>
          <w:sz w:val="24"/>
          <w:szCs w:val="24"/>
        </w:rPr>
        <w:t>第三部分</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评标办法</w:t>
      </w:r>
      <w:r>
        <w:rPr>
          <w:sz w:val="24"/>
          <w:szCs w:val="24"/>
        </w:rPr>
        <w:tab/>
      </w:r>
      <w:r>
        <w:rPr>
          <w:rFonts w:hint="eastAsia"/>
          <w:sz w:val="24"/>
          <w:szCs w:val="24"/>
          <w:lang w:val="en-US" w:eastAsia="zh-CN"/>
        </w:rPr>
        <w:t>17</w:t>
      </w:r>
      <w:r>
        <w:rPr>
          <w:sz w:val="24"/>
          <w:szCs w:val="24"/>
        </w:rPr>
        <w:fldChar w:fldCharType="end"/>
      </w:r>
    </w:p>
    <w:p>
      <w:pPr>
        <w:pStyle w:val="15"/>
        <w:tabs>
          <w:tab w:val="right" w:leader="dot" w:pos="8787"/>
        </w:tabs>
        <w:spacing w:line="480" w:lineRule="auto"/>
        <w:rPr>
          <w:rFonts w:hint="default" w:eastAsia="宋体"/>
          <w:sz w:val="24"/>
          <w:szCs w:val="24"/>
          <w:lang w:val="en-US" w:eastAsia="zh-CN"/>
        </w:rPr>
      </w:pPr>
      <w:r>
        <w:rPr>
          <w:sz w:val="24"/>
          <w:szCs w:val="24"/>
        </w:rPr>
        <w:fldChar w:fldCharType="begin"/>
      </w:r>
      <w:r>
        <w:rPr>
          <w:sz w:val="24"/>
          <w:szCs w:val="24"/>
        </w:rPr>
        <w:instrText xml:space="preserve"> HYPERLINK \l "_Toc30695" </w:instrText>
      </w:r>
      <w:r>
        <w:rPr>
          <w:sz w:val="24"/>
          <w:szCs w:val="24"/>
        </w:rPr>
        <w:fldChar w:fldCharType="separate"/>
      </w:r>
      <w:r>
        <w:rPr>
          <w:rFonts w:hint="eastAsia" w:asciiTheme="majorEastAsia" w:hAnsiTheme="majorEastAsia" w:eastAsiaTheme="majorEastAsia"/>
          <w:sz w:val="24"/>
          <w:szCs w:val="24"/>
        </w:rPr>
        <w:t>第四部分</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采购需求</w:t>
      </w:r>
      <w:r>
        <w:rPr>
          <w:sz w:val="24"/>
          <w:szCs w:val="24"/>
        </w:rPr>
        <w:tab/>
      </w:r>
      <w:r>
        <w:rPr>
          <w:rFonts w:hint="eastAsia"/>
          <w:sz w:val="24"/>
          <w:szCs w:val="24"/>
          <w:lang w:val="en-US" w:eastAsia="zh-CN"/>
        </w:rPr>
        <w:t>3</w:t>
      </w:r>
      <w:r>
        <w:rPr>
          <w:sz w:val="24"/>
          <w:szCs w:val="24"/>
        </w:rPr>
        <w:fldChar w:fldCharType="end"/>
      </w:r>
      <w:r>
        <w:rPr>
          <w:rFonts w:hint="eastAsia"/>
          <w:sz w:val="24"/>
          <w:szCs w:val="24"/>
          <w:lang w:val="en-US" w:eastAsia="zh-CN"/>
        </w:rPr>
        <w:t>5</w:t>
      </w:r>
    </w:p>
    <w:p>
      <w:pPr>
        <w:pStyle w:val="15"/>
        <w:tabs>
          <w:tab w:val="right" w:leader="dot" w:pos="8787"/>
        </w:tabs>
        <w:spacing w:line="480" w:lineRule="auto"/>
        <w:rPr>
          <w:rFonts w:hint="eastAsia" w:eastAsia="宋体"/>
          <w:sz w:val="24"/>
          <w:szCs w:val="24"/>
          <w:lang w:val="en-US" w:eastAsia="zh-CN"/>
        </w:rPr>
      </w:pPr>
      <w:r>
        <w:rPr>
          <w:sz w:val="24"/>
          <w:szCs w:val="24"/>
        </w:rPr>
        <w:fldChar w:fldCharType="begin"/>
      </w:r>
      <w:r>
        <w:rPr>
          <w:sz w:val="24"/>
          <w:szCs w:val="24"/>
        </w:rPr>
        <w:instrText xml:space="preserve"> HYPERLINK \l "_Toc2135" </w:instrText>
      </w:r>
      <w:r>
        <w:rPr>
          <w:sz w:val="24"/>
          <w:szCs w:val="24"/>
        </w:rPr>
        <w:fldChar w:fldCharType="separate"/>
      </w:r>
      <w:r>
        <w:rPr>
          <w:rFonts w:hint="eastAsia" w:cs="宋体" w:asciiTheme="majorEastAsia" w:hAnsiTheme="majorEastAsia" w:eastAsiaTheme="majorEastAsia"/>
          <w:sz w:val="24"/>
          <w:szCs w:val="24"/>
        </w:rPr>
        <w:t xml:space="preserve">第五部分 </w:t>
      </w:r>
      <w:r>
        <w:rPr>
          <w:rFonts w:hint="eastAsia" w:cs="宋体" w:asciiTheme="majorEastAsia" w:hAnsiTheme="majorEastAsia" w:eastAsiaTheme="majorEastAsia"/>
          <w:sz w:val="24"/>
          <w:szCs w:val="24"/>
          <w:lang w:val="en-US" w:eastAsia="zh-CN"/>
        </w:rPr>
        <w:t xml:space="preserve"> </w:t>
      </w:r>
      <w:r>
        <w:rPr>
          <w:rFonts w:hint="eastAsia" w:cs="宋体" w:asciiTheme="majorEastAsia" w:hAnsiTheme="majorEastAsia" w:eastAsiaTheme="majorEastAsia"/>
          <w:sz w:val="24"/>
          <w:szCs w:val="24"/>
        </w:rPr>
        <w:t>合同条款及格式</w:t>
      </w:r>
      <w:r>
        <w:rPr>
          <w:sz w:val="24"/>
          <w:szCs w:val="24"/>
        </w:rPr>
        <w:tab/>
      </w:r>
      <w:r>
        <w:rPr>
          <w:rFonts w:hint="eastAsia"/>
          <w:sz w:val="24"/>
          <w:szCs w:val="24"/>
          <w:lang w:val="en-US" w:eastAsia="zh-CN"/>
        </w:rPr>
        <w:t>3</w:t>
      </w:r>
      <w:r>
        <w:rPr>
          <w:sz w:val="24"/>
          <w:szCs w:val="24"/>
        </w:rPr>
        <w:fldChar w:fldCharType="end"/>
      </w:r>
      <w:r>
        <w:rPr>
          <w:rFonts w:hint="eastAsia"/>
          <w:sz w:val="24"/>
          <w:szCs w:val="24"/>
          <w:lang w:val="en-US" w:eastAsia="zh-CN"/>
        </w:rPr>
        <w:t>7</w:t>
      </w:r>
    </w:p>
    <w:p>
      <w:pPr>
        <w:pStyle w:val="15"/>
        <w:tabs>
          <w:tab w:val="right" w:leader="dot" w:pos="8787"/>
        </w:tabs>
        <w:spacing w:line="480" w:lineRule="auto"/>
        <w:rPr>
          <w:rFonts w:hint="eastAsia" w:eastAsia="宋体"/>
          <w:sz w:val="24"/>
          <w:szCs w:val="24"/>
          <w:lang w:val="en-US" w:eastAsia="zh-CN"/>
        </w:rPr>
      </w:pPr>
      <w:r>
        <w:rPr>
          <w:sz w:val="24"/>
          <w:szCs w:val="24"/>
        </w:rPr>
        <w:fldChar w:fldCharType="begin"/>
      </w:r>
      <w:r>
        <w:rPr>
          <w:sz w:val="24"/>
          <w:szCs w:val="24"/>
        </w:rPr>
        <w:instrText xml:space="preserve"> HYPERLINK \l "_Toc9933" </w:instrText>
      </w:r>
      <w:r>
        <w:rPr>
          <w:sz w:val="24"/>
          <w:szCs w:val="24"/>
        </w:rPr>
        <w:fldChar w:fldCharType="separate"/>
      </w:r>
      <w:r>
        <w:rPr>
          <w:rFonts w:hint="eastAsia" w:cs="宋体" w:asciiTheme="majorEastAsia" w:hAnsiTheme="majorEastAsia" w:eastAsiaTheme="majorEastAsia"/>
          <w:kern w:val="44"/>
          <w:sz w:val="24"/>
          <w:szCs w:val="56"/>
        </w:rPr>
        <w:t>第六部分  投标文件格式</w:t>
      </w:r>
      <w:r>
        <w:rPr>
          <w:sz w:val="24"/>
          <w:szCs w:val="24"/>
        </w:rPr>
        <w:tab/>
      </w:r>
      <w:r>
        <w:rPr>
          <w:rFonts w:hint="eastAsia"/>
          <w:sz w:val="24"/>
          <w:szCs w:val="24"/>
          <w:lang w:val="en-US" w:eastAsia="zh-CN"/>
        </w:rPr>
        <w:t>4</w:t>
      </w:r>
      <w:r>
        <w:rPr>
          <w:sz w:val="24"/>
          <w:szCs w:val="24"/>
        </w:rPr>
        <w:fldChar w:fldCharType="end"/>
      </w:r>
      <w:r>
        <w:rPr>
          <w:rFonts w:hint="eastAsia"/>
          <w:sz w:val="24"/>
          <w:szCs w:val="24"/>
          <w:lang w:val="en-US" w:eastAsia="zh-CN"/>
        </w:rPr>
        <w:t>2</w:t>
      </w:r>
    </w:p>
    <w:p>
      <w:pPr>
        <w:pStyle w:val="15"/>
        <w:tabs>
          <w:tab w:val="right" w:leader="dot" w:pos="8504"/>
        </w:tabs>
        <w:autoSpaceDN w:val="0"/>
        <w:spacing w:line="480" w:lineRule="auto"/>
        <w:rPr>
          <w:rFonts w:asciiTheme="majorEastAsia" w:hAnsiTheme="majorEastAsia" w:eastAsiaTheme="majorEastAsia"/>
          <w:sz w:val="24"/>
          <w:szCs w:val="24"/>
        </w:rPr>
      </w:pPr>
      <w:r>
        <w:rPr>
          <w:rFonts w:hint="eastAsia" w:asciiTheme="majorEastAsia" w:hAnsiTheme="majorEastAsia" w:eastAsiaTheme="majorEastAsia"/>
          <w:sz w:val="24"/>
          <w:szCs w:val="36"/>
        </w:rPr>
        <w:fldChar w:fldCharType="end"/>
      </w:r>
    </w:p>
    <w:p>
      <w:pPr>
        <w:autoSpaceDN w:val="0"/>
        <w:spacing w:line="360" w:lineRule="auto"/>
        <w:ind w:left="420" w:leftChars="200" w:right="420" w:rightChars="200"/>
        <w:rPr>
          <w:rFonts w:asciiTheme="majorEastAsia" w:hAnsiTheme="majorEastAsia" w:eastAsiaTheme="majorEastAsia"/>
          <w:sz w:val="28"/>
          <w:szCs w:val="28"/>
        </w:rPr>
      </w:pPr>
    </w:p>
    <w:bookmarkEnd w:id="6"/>
    <w:p>
      <w:pPr>
        <w:pStyle w:val="2"/>
        <w:autoSpaceDN w:val="0"/>
        <w:spacing w:before="0" w:after="0" w:line="360" w:lineRule="auto"/>
        <w:jc w:val="center"/>
        <w:rPr>
          <w:rFonts w:asciiTheme="majorEastAsia" w:hAnsiTheme="majorEastAsia" w:eastAsiaTheme="majorEastAsia"/>
        </w:rPr>
        <w:sectPr>
          <w:pgSz w:w="11906" w:h="16838"/>
          <w:pgMar w:top="1418" w:right="1418" w:bottom="1418" w:left="1701" w:header="851" w:footer="851" w:gutter="0"/>
          <w:pgNumType w:start="1"/>
          <w:cols w:space="720" w:num="1"/>
          <w:docGrid w:linePitch="312" w:charSpace="0"/>
        </w:sectPr>
      </w:pPr>
    </w:p>
    <w:p>
      <w:pPr>
        <w:pStyle w:val="2"/>
        <w:autoSpaceDN w:val="0"/>
        <w:spacing w:before="0" w:after="0" w:line="360" w:lineRule="auto"/>
        <w:jc w:val="center"/>
        <w:rPr>
          <w:rFonts w:asciiTheme="majorEastAsia" w:hAnsiTheme="majorEastAsia" w:eastAsiaTheme="majorEastAsia"/>
        </w:rPr>
      </w:pPr>
      <w:bookmarkStart w:id="7" w:name="_Toc15421"/>
      <w:r>
        <w:rPr>
          <w:rFonts w:hint="eastAsia" w:asciiTheme="majorEastAsia" w:hAnsiTheme="majorEastAsia" w:eastAsiaTheme="majorEastAsia"/>
        </w:rPr>
        <w:t>第一部分</w:t>
      </w:r>
      <w:r>
        <w:rPr>
          <w:rFonts w:asciiTheme="majorEastAsia" w:hAnsiTheme="majorEastAsia" w:eastAsiaTheme="majorEastAsia"/>
        </w:rPr>
        <w:t xml:space="preserve">  </w:t>
      </w:r>
      <w:r>
        <w:rPr>
          <w:rFonts w:hint="eastAsia" w:asciiTheme="majorEastAsia" w:hAnsiTheme="majorEastAsia" w:eastAsiaTheme="majorEastAsia"/>
        </w:rPr>
        <w:t>招标公告</w:t>
      </w:r>
      <w:bookmarkEnd w:id="7"/>
    </w:p>
    <w:p>
      <w:pPr>
        <w:autoSpaceDN w:val="0"/>
        <w:spacing w:line="360" w:lineRule="auto"/>
        <w:jc w:val="center"/>
        <w:rPr>
          <w:rFonts w:hint="eastAsia" w:ascii="宋体" w:hAnsi="宋体" w:eastAsia="宋体" w:cs="宋体"/>
          <w:b w:val="0"/>
          <w:color w:val="000000"/>
          <w:szCs w:val="32"/>
          <w:highlight w:val="none"/>
        </w:rPr>
      </w:pPr>
      <w:r>
        <w:rPr>
          <w:rFonts w:hint="eastAsia" w:asciiTheme="majorEastAsia" w:hAnsiTheme="majorEastAsia" w:eastAsiaTheme="majorEastAsia"/>
          <w:b/>
          <w:bCs/>
          <w:szCs w:val="21"/>
        </w:rPr>
        <w:t>（</w:t>
      </w:r>
      <w:bookmarkStart w:id="8" w:name="blank24_copy_1619581275000"/>
      <w:r>
        <w:rPr>
          <w:rFonts w:hint="eastAsia" w:asciiTheme="majorEastAsia" w:hAnsiTheme="majorEastAsia" w:eastAsiaTheme="majorEastAsia"/>
          <w:b/>
          <w:bCs/>
          <w:kern w:val="0"/>
          <w:szCs w:val="21"/>
        </w:rPr>
        <w:t>资格后审</w:t>
      </w:r>
      <w:bookmarkEnd w:id="8"/>
      <w:r>
        <w:rPr>
          <w:rFonts w:hint="eastAsia" w:asciiTheme="majorEastAsia" w:hAnsiTheme="majorEastAsia" w:eastAsiaTheme="majorEastAsia"/>
          <w:b/>
          <w:bCs/>
          <w:szCs w:val="21"/>
        </w:rPr>
        <w:t>）</w:t>
      </w:r>
    </w:p>
    <w:p>
      <w:pPr>
        <w:pBdr>
          <w:top w:val="single" w:color="auto" w:sz="4" w:space="1"/>
          <w:left w:val="single" w:color="auto" w:sz="4" w:space="4"/>
          <w:bottom w:val="single" w:color="auto" w:sz="4" w:space="1"/>
          <w:right w:val="single" w:color="auto" w:sz="4" w:space="4"/>
        </w:pBdr>
        <w:spacing w:line="360" w:lineRule="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sz w:val="21"/>
          <w:szCs w:val="21"/>
          <w:highlight w:val="none"/>
        </w:rPr>
      </w:pPr>
      <w:r>
        <w:rPr>
          <w:rFonts w:hint="eastAsia" w:ascii="宋体" w:hAnsi="宋体" w:cs="宋体"/>
          <w:sz w:val="21"/>
          <w:szCs w:val="21"/>
          <w:highlight w:val="none"/>
          <w:lang w:eastAsia="zh-CN"/>
        </w:rPr>
        <w:t>长春新区教育局17所公办学校安保服务采购项目</w:t>
      </w:r>
      <w:r>
        <w:rPr>
          <w:rFonts w:hint="eastAsia" w:ascii="宋体" w:hAnsi="宋体" w:eastAsia="宋体" w:cs="宋体"/>
          <w:sz w:val="21"/>
          <w:szCs w:val="21"/>
          <w:highlight w:val="none"/>
        </w:rPr>
        <w:t>已由长春新区财政局政府采购管理办公室批准采购。采购人为长春新区教育局，采购代理机构为</w:t>
      </w:r>
      <w:r>
        <w:rPr>
          <w:rFonts w:hint="eastAsia" w:hAnsi="宋体" w:cs="宋体"/>
          <w:sz w:val="21"/>
          <w:szCs w:val="21"/>
          <w:highlight w:val="none"/>
          <w:lang w:eastAsia="zh-CN"/>
        </w:rPr>
        <w:t>吉林省亿安建设项目管理有限公司</w:t>
      </w:r>
      <w:r>
        <w:rPr>
          <w:rFonts w:hint="eastAsia" w:ascii="宋体" w:hAnsi="宋体" w:eastAsia="宋体" w:cs="宋体"/>
          <w:sz w:val="21"/>
          <w:szCs w:val="21"/>
          <w:highlight w:val="none"/>
        </w:rPr>
        <w:t>，采购资金为财政资金，项目已具备采购条件，</w:t>
      </w:r>
      <w:r>
        <w:rPr>
          <w:rFonts w:hint="eastAsia" w:hAnsi="宋体" w:cs="宋体"/>
          <w:sz w:val="21"/>
          <w:szCs w:val="21"/>
          <w:highlight w:val="none"/>
          <w:lang w:eastAsia="zh-CN"/>
        </w:rPr>
        <w:t>申请人</w:t>
      </w:r>
      <w:r>
        <w:rPr>
          <w:rFonts w:hint="eastAsia" w:ascii="宋体" w:hAnsi="宋体" w:eastAsia="宋体" w:cs="宋体"/>
          <w:sz w:val="21"/>
          <w:szCs w:val="21"/>
          <w:highlight w:val="none"/>
        </w:rPr>
        <w:t>可自行在“政采云”平台（http：//www.zcygov.cn）下载</w:t>
      </w:r>
      <w:r>
        <w:rPr>
          <w:rFonts w:hint="eastAsia" w:ascii="宋体" w:hAnsi="宋体" w:cs="宋体"/>
          <w:sz w:val="21"/>
          <w:szCs w:val="21"/>
          <w:highlight w:val="none"/>
          <w:lang w:val="en-US" w:eastAsia="zh-CN"/>
        </w:rPr>
        <w:t>采购</w:t>
      </w:r>
      <w:r>
        <w:rPr>
          <w:rFonts w:hint="eastAsia" w:ascii="宋体" w:hAnsi="宋体" w:eastAsia="宋体" w:cs="宋体"/>
          <w:sz w:val="21"/>
          <w:szCs w:val="21"/>
          <w:highlight w:val="none"/>
        </w:rPr>
        <w:t>文件（操作路径：登录“政采云”平台-项目采购-获取</w:t>
      </w:r>
      <w:r>
        <w:rPr>
          <w:rFonts w:hint="eastAsia" w:ascii="宋体" w:hAnsi="宋体" w:cs="宋体"/>
          <w:sz w:val="21"/>
          <w:szCs w:val="21"/>
          <w:highlight w:val="none"/>
          <w:lang w:val="en-US" w:eastAsia="zh-CN"/>
        </w:rPr>
        <w:t>采购</w:t>
      </w:r>
      <w:r>
        <w:rPr>
          <w:rFonts w:hint="eastAsia" w:ascii="宋体" w:hAnsi="宋体" w:eastAsia="宋体" w:cs="宋体"/>
          <w:sz w:val="21"/>
          <w:szCs w:val="21"/>
          <w:highlight w:val="none"/>
        </w:rPr>
        <w:t>文件-找到本项目-点击“申请获取</w:t>
      </w:r>
      <w:r>
        <w:rPr>
          <w:rFonts w:hint="eastAsia" w:ascii="宋体" w:hAnsi="宋体" w:cs="宋体"/>
          <w:sz w:val="21"/>
          <w:szCs w:val="21"/>
          <w:highlight w:val="none"/>
          <w:lang w:val="en-US" w:eastAsia="zh-CN"/>
        </w:rPr>
        <w:t>采购</w:t>
      </w:r>
      <w:r>
        <w:rPr>
          <w:rFonts w:hint="eastAsia" w:ascii="宋体" w:hAnsi="宋体" w:eastAsia="宋体" w:cs="宋体"/>
          <w:sz w:val="21"/>
          <w:szCs w:val="21"/>
          <w:highlight w:val="none"/>
        </w:rPr>
        <w:t>文件”），电子投标文件制作需要基于“政采云”平台获取的招标文件编制。并于202</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rPr>
        <w:t>年</w:t>
      </w:r>
      <w:r>
        <w:rPr>
          <w:rFonts w:hint="eastAsia" w:ascii="宋体" w:hAnsi="宋体" w:cs="宋体"/>
          <w:sz w:val="21"/>
          <w:szCs w:val="21"/>
          <w:highlight w:val="none"/>
          <w:lang w:val="en-US" w:eastAsia="zh-CN"/>
        </w:rPr>
        <w:t>01月16日0</w:t>
      </w:r>
      <w:r>
        <w:rPr>
          <w:rFonts w:hint="eastAsia" w:ascii="宋体" w:hAnsi="宋体" w:eastAsia="宋体" w:cs="宋体"/>
          <w:sz w:val="21"/>
          <w:szCs w:val="21"/>
          <w:highlight w:val="none"/>
        </w:rPr>
        <w:t>9时30分（北京时间）前提交投标文件。</w:t>
      </w:r>
    </w:p>
    <w:p>
      <w:pPr>
        <w:autoSpaceDN w:val="0"/>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一、项目基本情况</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项目编号：</w:t>
      </w:r>
      <w:r>
        <w:rPr>
          <w:rFonts w:hint="eastAsia" w:asciiTheme="majorEastAsia" w:hAnsiTheme="majorEastAsia" w:eastAsiaTheme="majorEastAsia"/>
          <w:szCs w:val="21"/>
          <w:lang w:eastAsia="zh-CN"/>
        </w:rPr>
        <w:t>XQZC2023-083</w:t>
      </w:r>
      <w:r>
        <w:rPr>
          <w:rFonts w:hint="eastAsia" w:asciiTheme="majorEastAsia" w:hAnsiTheme="majorEastAsia" w:eastAsiaTheme="majorEastAsia"/>
          <w:szCs w:val="21"/>
        </w:rPr>
        <w:t>；</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项目名称：</w:t>
      </w:r>
      <w:r>
        <w:rPr>
          <w:rFonts w:hint="eastAsia" w:asciiTheme="majorEastAsia" w:hAnsiTheme="majorEastAsia" w:eastAsiaTheme="majorEastAsia"/>
          <w:szCs w:val="21"/>
          <w:lang w:eastAsia="zh-CN"/>
        </w:rPr>
        <w:t>长春新区教育局17所公办学校安保服务采购项目</w:t>
      </w:r>
      <w:r>
        <w:rPr>
          <w:rFonts w:hint="eastAsia" w:asciiTheme="majorEastAsia" w:hAnsiTheme="majorEastAsia" w:eastAsiaTheme="majorEastAsia"/>
          <w:szCs w:val="21"/>
        </w:rPr>
        <w:t>；</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预算金额：</w:t>
      </w:r>
      <w:r>
        <w:rPr>
          <w:rFonts w:hint="eastAsia" w:asciiTheme="majorEastAsia" w:hAnsiTheme="majorEastAsia" w:eastAsiaTheme="majorEastAsia"/>
          <w:kern w:val="0"/>
          <w:szCs w:val="21"/>
          <w:lang w:eastAsia="zh-CN"/>
        </w:rPr>
        <w:t>6440000</w:t>
      </w:r>
      <w:r>
        <w:rPr>
          <w:rFonts w:hint="eastAsia" w:asciiTheme="majorEastAsia" w:hAnsiTheme="majorEastAsia" w:eastAsiaTheme="majorEastAsia"/>
          <w:kern w:val="0"/>
          <w:szCs w:val="21"/>
        </w:rPr>
        <w:t>元</w:t>
      </w:r>
      <w:r>
        <w:rPr>
          <w:rFonts w:hint="eastAsia" w:asciiTheme="majorEastAsia" w:hAnsiTheme="majorEastAsia" w:eastAsiaTheme="majorEastAsia"/>
          <w:szCs w:val="21"/>
        </w:rPr>
        <w:t>；</w:t>
      </w:r>
    </w:p>
    <w:p>
      <w:pPr>
        <w:autoSpaceDN w:val="0"/>
        <w:spacing w:line="360" w:lineRule="auto"/>
        <w:ind w:firstLine="420" w:firstLineChars="200"/>
        <w:rPr>
          <w:rFonts w:asciiTheme="majorEastAsia" w:hAnsiTheme="majorEastAsia" w:eastAsiaTheme="majorEastAsia"/>
        </w:rPr>
      </w:pPr>
      <w:r>
        <w:rPr>
          <w:rFonts w:hint="eastAsia" w:asciiTheme="majorEastAsia" w:hAnsiTheme="majorEastAsia" w:eastAsiaTheme="majorEastAsia"/>
          <w:szCs w:val="21"/>
        </w:rPr>
        <w:t>最高</w:t>
      </w:r>
      <w:r>
        <w:rPr>
          <w:rFonts w:hint="eastAsia" w:asciiTheme="majorEastAsia" w:hAnsiTheme="majorEastAsia" w:eastAsiaTheme="majorEastAsia"/>
          <w:szCs w:val="21"/>
          <w:lang w:val="en-US" w:eastAsia="zh-CN"/>
        </w:rPr>
        <w:t>投标</w:t>
      </w:r>
      <w:r>
        <w:rPr>
          <w:rFonts w:hint="eastAsia" w:asciiTheme="majorEastAsia" w:hAnsiTheme="majorEastAsia" w:eastAsiaTheme="majorEastAsia"/>
          <w:szCs w:val="21"/>
        </w:rPr>
        <w:t>限价：</w:t>
      </w:r>
      <w:r>
        <w:rPr>
          <w:rFonts w:hint="eastAsia" w:asciiTheme="majorEastAsia" w:hAnsiTheme="majorEastAsia" w:eastAsiaTheme="majorEastAsia"/>
          <w:szCs w:val="21"/>
          <w:lang w:eastAsia="zh-CN"/>
        </w:rPr>
        <w:t>6440000</w:t>
      </w:r>
      <w:r>
        <w:rPr>
          <w:rFonts w:hint="eastAsia" w:asciiTheme="majorEastAsia" w:hAnsiTheme="majorEastAsia" w:eastAsiaTheme="majorEastAsia"/>
          <w:bCs/>
          <w:kern w:val="15"/>
          <w:szCs w:val="21"/>
        </w:rPr>
        <w:t>元；</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采购需求：</w:t>
      </w:r>
      <w:bookmarkStart w:id="9" w:name="blank16"/>
      <w:r>
        <w:rPr>
          <w:rFonts w:hint="eastAsia" w:asciiTheme="majorEastAsia" w:hAnsiTheme="majorEastAsia" w:eastAsiaTheme="majorEastAsia"/>
          <w:szCs w:val="21"/>
          <w:lang w:eastAsia="zh-CN"/>
        </w:rPr>
        <w:t>学校安保服务采购，</w:t>
      </w:r>
      <w:r>
        <w:rPr>
          <w:rFonts w:hint="eastAsia" w:asciiTheme="majorEastAsia" w:hAnsiTheme="majorEastAsia" w:eastAsiaTheme="majorEastAsia"/>
          <w:szCs w:val="21"/>
        </w:rPr>
        <w:t>具体</w:t>
      </w:r>
      <w:r>
        <w:rPr>
          <w:rFonts w:hint="eastAsia" w:asciiTheme="majorEastAsia" w:hAnsiTheme="majorEastAsia" w:eastAsiaTheme="majorEastAsia"/>
          <w:szCs w:val="21"/>
          <w:lang w:val="en-US" w:eastAsia="zh-CN"/>
        </w:rPr>
        <w:t>内容</w:t>
      </w:r>
      <w:r>
        <w:rPr>
          <w:rFonts w:hint="eastAsia" w:asciiTheme="majorEastAsia" w:hAnsiTheme="majorEastAsia" w:eastAsiaTheme="majorEastAsia"/>
          <w:szCs w:val="21"/>
        </w:rPr>
        <w:t>详见招标文件</w:t>
      </w:r>
      <w:r>
        <w:rPr>
          <w:rFonts w:hint="eastAsia" w:asciiTheme="majorEastAsia" w:hAnsiTheme="majorEastAsia" w:eastAsiaTheme="majorEastAsia"/>
          <w:kern w:val="0"/>
          <w:szCs w:val="21"/>
        </w:rPr>
        <w:t>；</w:t>
      </w:r>
      <w:bookmarkEnd w:id="9"/>
    </w:p>
    <w:p>
      <w:pPr>
        <w:autoSpaceDN w:val="0"/>
        <w:spacing w:line="360" w:lineRule="auto"/>
        <w:ind w:firstLine="420" w:firstLineChars="200"/>
        <w:rPr>
          <w:rFonts w:asciiTheme="majorEastAsia" w:hAnsiTheme="majorEastAsia" w:eastAsiaTheme="majorEastAsia"/>
          <w:kern w:val="0"/>
          <w:szCs w:val="21"/>
        </w:rPr>
      </w:pPr>
      <w:r>
        <w:rPr>
          <w:rFonts w:hint="eastAsia" w:asciiTheme="majorEastAsia" w:hAnsiTheme="majorEastAsia" w:eastAsiaTheme="majorEastAsia"/>
          <w:szCs w:val="21"/>
        </w:rPr>
        <w:t>合同履行期限：</w:t>
      </w:r>
      <w:bookmarkStart w:id="10" w:name="blank17"/>
      <w:r>
        <w:rPr>
          <w:rFonts w:hint="eastAsia" w:asciiTheme="majorEastAsia" w:hAnsiTheme="majorEastAsia" w:eastAsiaTheme="majorEastAsia"/>
          <w:kern w:val="0"/>
          <w:szCs w:val="21"/>
          <w:lang w:eastAsia="zh-CN"/>
        </w:rPr>
        <w:t>2024年2月1日至2024年12月31日</w:t>
      </w:r>
      <w:r>
        <w:rPr>
          <w:rFonts w:hint="eastAsia" w:asciiTheme="majorEastAsia" w:hAnsiTheme="majorEastAsia" w:eastAsiaTheme="majorEastAsia"/>
          <w:kern w:val="0"/>
          <w:szCs w:val="21"/>
        </w:rPr>
        <w:t>；</w:t>
      </w:r>
      <w:bookmarkEnd w:id="10"/>
    </w:p>
    <w:p>
      <w:pPr>
        <w:pStyle w:val="9"/>
        <w:autoSpaceDN w:val="0"/>
        <w:adjustRightInd w:val="0"/>
        <w:snapToGrid w:val="0"/>
        <w:spacing w:after="0" w:line="360" w:lineRule="auto"/>
        <w:ind w:firstLine="420" w:firstLineChars="200"/>
        <w:rPr>
          <w:rFonts w:asciiTheme="majorEastAsia" w:hAnsiTheme="majorEastAsia" w:eastAsiaTheme="majorEastAsia"/>
          <w:bCs/>
          <w:kern w:val="15"/>
          <w:szCs w:val="21"/>
        </w:rPr>
      </w:pPr>
      <w:r>
        <w:rPr>
          <w:rFonts w:hint="eastAsia" w:asciiTheme="majorEastAsia" w:hAnsiTheme="majorEastAsia" w:eastAsiaTheme="majorEastAsia"/>
          <w:bCs/>
          <w:kern w:val="15"/>
          <w:szCs w:val="21"/>
          <w:lang w:val="en-US" w:eastAsia="zh-CN"/>
        </w:rPr>
        <w:t>服务</w:t>
      </w:r>
      <w:r>
        <w:rPr>
          <w:rFonts w:hint="eastAsia" w:asciiTheme="majorEastAsia" w:hAnsiTheme="majorEastAsia" w:eastAsiaTheme="majorEastAsia"/>
          <w:bCs/>
          <w:kern w:val="15"/>
          <w:szCs w:val="21"/>
        </w:rPr>
        <w:t>地点：</w:t>
      </w:r>
      <w:r>
        <w:rPr>
          <w:rFonts w:hint="eastAsia" w:asciiTheme="majorEastAsia" w:hAnsiTheme="majorEastAsia" w:eastAsiaTheme="majorEastAsia"/>
          <w:bCs/>
          <w:kern w:val="15"/>
          <w:szCs w:val="21"/>
          <w:lang w:eastAsia="zh-CN"/>
        </w:rPr>
        <w:t>长春新区教育局17所公办学校</w:t>
      </w:r>
      <w:r>
        <w:rPr>
          <w:rFonts w:hint="eastAsia" w:asciiTheme="majorEastAsia" w:hAnsiTheme="majorEastAsia" w:eastAsiaTheme="majorEastAsia"/>
          <w:bCs/>
          <w:kern w:val="15"/>
          <w:szCs w:val="21"/>
        </w:rPr>
        <w:t>；</w:t>
      </w:r>
    </w:p>
    <w:p>
      <w:pPr>
        <w:pStyle w:val="9"/>
        <w:autoSpaceDN w:val="0"/>
        <w:adjustRightInd w:val="0"/>
        <w:snapToGrid w:val="0"/>
        <w:spacing w:after="0"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质量标准：符合国家及行业相关合格标准；</w:t>
      </w:r>
    </w:p>
    <w:p>
      <w:pPr>
        <w:autoSpaceDN w:val="0"/>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本项目是否接受联合体投标：</w:t>
      </w:r>
      <w:bookmarkStart w:id="11" w:name="blank35_copy_1629941207000"/>
      <w:r>
        <w:rPr>
          <w:rFonts w:hint="eastAsia" w:cs="宋体" w:asciiTheme="majorEastAsia" w:hAnsiTheme="majorEastAsia" w:eastAsiaTheme="majorEastAsia"/>
          <w:szCs w:val="21"/>
        </w:rPr>
        <w:t>否</w:t>
      </w:r>
      <w:bookmarkEnd w:id="11"/>
      <w:r>
        <w:rPr>
          <w:rFonts w:hint="eastAsia" w:cs="宋体" w:asciiTheme="majorEastAsia" w:hAnsiTheme="majorEastAsia" w:eastAsiaTheme="majorEastAsia"/>
          <w:szCs w:val="21"/>
        </w:rPr>
        <w:t>；</w:t>
      </w:r>
    </w:p>
    <w:p>
      <w:pPr>
        <w:numPr>
          <w:ilvl w:val="0"/>
          <w:numId w:val="0"/>
        </w:numPr>
        <w:tabs>
          <w:tab w:val="left" w:pos="0"/>
        </w:tabs>
        <w:autoSpaceDN w:val="0"/>
        <w:spacing w:line="360" w:lineRule="auto"/>
        <w:ind w:leftChars="0"/>
        <w:rPr>
          <w:rFonts w:asciiTheme="majorEastAsia" w:hAnsiTheme="majorEastAsia" w:eastAsiaTheme="majorEastAsia"/>
          <w:b/>
          <w:bCs/>
          <w:szCs w:val="21"/>
        </w:rPr>
      </w:pPr>
      <w:bookmarkStart w:id="12" w:name="_Toc35393791"/>
      <w:bookmarkStart w:id="13" w:name="_Toc28359080"/>
      <w:bookmarkStart w:id="14" w:name="_Toc35393622"/>
      <w:bookmarkStart w:id="15" w:name="_Toc28359003"/>
      <w:r>
        <w:rPr>
          <w:rFonts w:hint="eastAsia" w:asciiTheme="majorEastAsia" w:hAnsiTheme="majorEastAsia" w:eastAsiaTheme="majorEastAsia"/>
          <w:b/>
          <w:bCs/>
          <w:szCs w:val="21"/>
          <w:lang w:val="en-US" w:eastAsia="zh-CN"/>
        </w:rPr>
        <w:t>二、</w:t>
      </w:r>
      <w:r>
        <w:rPr>
          <w:rFonts w:hint="eastAsia" w:asciiTheme="majorEastAsia" w:hAnsiTheme="majorEastAsia" w:eastAsiaTheme="majorEastAsia"/>
          <w:b/>
          <w:bCs/>
          <w:szCs w:val="21"/>
        </w:rPr>
        <w:t>申请人的资格要求：</w:t>
      </w:r>
      <w:bookmarkEnd w:id="12"/>
      <w:bookmarkEnd w:id="13"/>
      <w:bookmarkEnd w:id="14"/>
      <w:bookmarkEnd w:id="15"/>
    </w:p>
    <w:p>
      <w:pPr>
        <w:autoSpaceDN w:val="0"/>
        <w:adjustRightInd w:val="0"/>
        <w:snapToGrid w:val="0"/>
        <w:spacing w:line="360" w:lineRule="auto"/>
        <w:ind w:firstLine="420" w:firstLineChars="200"/>
        <w:rPr>
          <w:rFonts w:asciiTheme="majorEastAsia" w:hAnsiTheme="majorEastAsia" w:eastAsiaTheme="majorEastAsia"/>
          <w:szCs w:val="21"/>
        </w:rPr>
      </w:pPr>
      <w:bookmarkStart w:id="16" w:name="_Toc28359004"/>
      <w:bookmarkStart w:id="17" w:name="_Toc35393623"/>
      <w:bookmarkStart w:id="18" w:name="_Toc28359081"/>
      <w:bookmarkStart w:id="19" w:name="_Toc35393792"/>
      <w:r>
        <w:rPr>
          <w:rFonts w:hint="eastAsia" w:asciiTheme="majorEastAsia" w:hAnsiTheme="majorEastAsia" w:eastAsiaTheme="majorEastAsia"/>
          <w:szCs w:val="21"/>
        </w:rPr>
        <w:t>2.1 满足《中华人民共和国政府采购法》第二十二条和《中华人民共和国政府采购法实施条例》第十七条的规定；具有有效的营业执照，并在人员、设备、资金、安装等方面具备相应的能力；</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（1）具有独立承担民事责任的能力；</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（2）</w:t>
      </w:r>
      <w:r>
        <w:rPr>
          <w:rFonts w:hint="eastAsia" w:cs="宋体" w:asciiTheme="majorEastAsia" w:hAnsiTheme="majorEastAsia" w:eastAsiaTheme="majorEastAsia"/>
          <w:szCs w:val="21"/>
        </w:rPr>
        <w:t>具有良好的商业信誉和健全的财务会计制度，提供</w:t>
      </w:r>
      <w:r>
        <w:rPr>
          <w:rFonts w:hint="eastAsia" w:cs="宋体" w:asciiTheme="majorEastAsia" w:hAnsiTheme="majorEastAsia" w:eastAsiaTheme="majorEastAsia"/>
          <w:szCs w:val="21"/>
          <w:lang w:val="zh-CN"/>
        </w:rPr>
        <w:t>20</w:t>
      </w:r>
      <w:r>
        <w:rPr>
          <w:rFonts w:hint="eastAsia" w:cs="宋体" w:asciiTheme="majorEastAsia" w:hAnsiTheme="majorEastAsia" w:eastAsiaTheme="majorEastAsia"/>
          <w:szCs w:val="21"/>
        </w:rPr>
        <w:t>22</w:t>
      </w:r>
      <w:r>
        <w:rPr>
          <w:rFonts w:hint="eastAsia" w:cs="宋体" w:asciiTheme="majorEastAsia" w:hAnsiTheme="majorEastAsia" w:eastAsiaTheme="majorEastAsia"/>
          <w:szCs w:val="21"/>
          <w:lang w:val="zh-CN"/>
        </w:rPr>
        <w:t>年经审计的财务审计报告（若为20</w:t>
      </w:r>
      <w:r>
        <w:rPr>
          <w:rFonts w:hint="eastAsia" w:cs="宋体" w:asciiTheme="majorEastAsia" w:hAnsiTheme="majorEastAsia" w:eastAsiaTheme="majorEastAsia"/>
          <w:szCs w:val="21"/>
        </w:rPr>
        <w:t>23</w:t>
      </w:r>
      <w:r>
        <w:rPr>
          <w:rFonts w:hint="eastAsia" w:cs="宋体" w:asciiTheme="majorEastAsia" w:hAnsiTheme="majorEastAsia" w:eastAsiaTheme="majorEastAsia"/>
          <w:szCs w:val="21"/>
          <w:lang w:val="zh-CN"/>
        </w:rPr>
        <w:t>年成立公司可提供自成立之日起至今的财务报表）</w:t>
      </w:r>
      <w:r>
        <w:rPr>
          <w:rFonts w:hint="eastAsia" w:cs="宋体" w:asciiTheme="majorEastAsia" w:hAnsiTheme="majorEastAsia" w:eastAsiaTheme="majorEastAsia"/>
          <w:bCs/>
          <w:szCs w:val="21"/>
        </w:rPr>
        <w:t>或近三个月内基本银行账户开具的资信证明</w:t>
      </w:r>
      <w:r>
        <w:rPr>
          <w:rFonts w:hint="eastAsia" w:cs="宋体" w:asciiTheme="majorEastAsia" w:hAnsiTheme="majorEastAsia" w:eastAsiaTheme="majorEastAsia"/>
          <w:szCs w:val="21"/>
        </w:rPr>
        <w:t>；</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（3）具有履行合同所必需的设备和专业技术能力；</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（4）</w:t>
      </w:r>
      <w:r>
        <w:rPr>
          <w:rFonts w:hint="eastAsia" w:cs="宋体" w:asciiTheme="majorEastAsia" w:hAnsiTheme="majorEastAsia" w:eastAsiaTheme="majorEastAsia"/>
          <w:szCs w:val="21"/>
        </w:rPr>
        <w:t>依法缴纳税收和社会保障资金的良好记录，提供近六个月内任意一个月企业依法缴纳税收及社保的相关材料（依法免税或无欠税、依法不需要缴纳社会保险的，应提供相应文件证明其依法免税或无欠税、依法不需要缴纳社会保险）；</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（5）参加政府采购活动前三年内，在经营活动中没有重大违法记录；</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（6）法律、行政法规规定的其他条件。</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 xml:space="preserve">2.2 </w:t>
      </w:r>
      <w:r>
        <w:rPr>
          <w:rFonts w:hint="eastAsia" w:cs="宋体" w:asciiTheme="majorEastAsia" w:hAnsiTheme="majorEastAsia" w:eastAsiaTheme="majorEastAsia"/>
          <w:szCs w:val="21"/>
        </w:rPr>
        <w:t>在中国裁判文书网上，近三年无行贿受贿犯罪记录；</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 xml:space="preserve">2.3近三年内（截止到本项目公告发布之日）不得为“信用中国”网站（www.creditchina.gov.cn）中列入失信被执行人和重大税收违法案件当事人名单供应商，不得为中国政府采购网（www.ccgp.gov.cn）政府采购严重违法失信行为记录名单中被财政部门禁止参加政府采购活动的供应商（在处罚决定规定的时间和地域范围内）； </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2.4 本项目不接受被列入失信被执人、重大税收违法案件当事人名单、政府采购严重违法失信行为记录名单的供应商参与投标（详见财库[2016]125号文件）；</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2.5 单位负责人为同一人或者存在控股、管理关系的不同单位，不得参加同一标段投标或者未划分标段的同一招标项目投标。违反这两款规定的，相关投标均无效；</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2.6 拒绝列入政府取消投标资格记录期间的企业或个人投标。</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2.7 落实政府采购政策需满足的资格要求：</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（1）《政府采购促进中小企业发展管理办法》(财库[2020]46号)；</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（2）《关于政府采购支持监狱企业发展有关问题的通知》(财库[2014]68号)；</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（3）《三部门联合发布关于促进残疾人就业政府采购政策的通知》(财库[2017]141号)；</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（4）《节能产品政府采购实施意见》的通知(财库〔2004〕185 号)；</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（5）《关于调整优化节能产品、环境标志产品政府采购执行机制的通知》(财库[2019]9号)。</w:t>
      </w:r>
    </w:p>
    <w:p>
      <w:pPr>
        <w:autoSpaceDN w:val="0"/>
        <w:spacing w:line="360" w:lineRule="auto"/>
        <w:ind w:firstLine="420" w:firstLineChars="200"/>
        <w:rPr>
          <w:rFonts w:hint="eastAsia"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2.8 本项目的特定资格要求：</w:t>
      </w:r>
    </w:p>
    <w:p>
      <w:pPr>
        <w:autoSpaceDN w:val="0"/>
        <w:spacing w:line="360" w:lineRule="auto"/>
        <w:ind w:firstLine="420" w:firstLineChars="200"/>
        <w:rPr>
          <w:rFonts w:hint="eastAsia" w:eastAsiaTheme="majorEastAsia"/>
          <w:lang w:eastAsia="zh-CN"/>
        </w:rPr>
      </w:pPr>
      <w:r>
        <w:rPr>
          <w:rFonts w:hint="eastAsia" w:cs="宋体" w:asciiTheme="majorEastAsia" w:hAnsiTheme="majorEastAsia" w:eastAsiaTheme="majorEastAsia"/>
          <w:szCs w:val="21"/>
          <w:shd w:val="clear" w:color="auto" w:fill="FFFFFF"/>
          <w:lang w:eastAsia="zh-CN"/>
        </w:rPr>
        <w:t>（</w:t>
      </w:r>
      <w:r>
        <w:rPr>
          <w:rFonts w:hint="eastAsia" w:cs="宋体" w:asciiTheme="majorEastAsia" w:hAnsiTheme="majorEastAsia" w:eastAsiaTheme="majorEastAsia"/>
          <w:szCs w:val="21"/>
          <w:shd w:val="clear" w:color="auto" w:fill="FFFFFF"/>
          <w:lang w:val="en-US" w:eastAsia="zh-CN"/>
        </w:rPr>
        <w:t>1</w:t>
      </w:r>
      <w:r>
        <w:rPr>
          <w:rFonts w:hint="eastAsia" w:cs="宋体" w:asciiTheme="majorEastAsia" w:hAnsiTheme="majorEastAsia" w:eastAsiaTheme="majorEastAsia"/>
          <w:szCs w:val="21"/>
          <w:shd w:val="clear" w:color="auto" w:fill="FFFFFF"/>
          <w:lang w:eastAsia="zh-CN"/>
        </w:rPr>
        <w:t>）</w:t>
      </w:r>
      <w:r>
        <w:rPr>
          <w:rFonts w:hint="eastAsia" w:cs="宋体" w:asciiTheme="majorEastAsia" w:hAnsiTheme="majorEastAsia" w:eastAsiaTheme="majorEastAsia"/>
          <w:szCs w:val="21"/>
          <w:shd w:val="clear" w:color="auto" w:fill="FFFFFF"/>
          <w:lang w:val="en-US" w:eastAsia="zh-CN"/>
        </w:rPr>
        <w:t>供应商须</w:t>
      </w:r>
      <w:r>
        <w:rPr>
          <w:rFonts w:hint="eastAsia" w:cs="宋体" w:asciiTheme="majorEastAsia" w:hAnsiTheme="majorEastAsia" w:eastAsiaTheme="majorEastAsia"/>
          <w:szCs w:val="21"/>
          <w:shd w:val="clear" w:color="auto" w:fill="FFFFFF"/>
          <w:lang w:eastAsia="zh-CN"/>
        </w:rPr>
        <w:t>具备公安机关核发的有效的《保安服务许可证》</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w:t>
      </w:r>
      <w:r>
        <w:rPr>
          <w:rFonts w:hint="eastAsia" w:cs="宋体" w:asciiTheme="majorEastAsia" w:hAnsiTheme="majorEastAsia" w:eastAsiaTheme="majorEastAsia"/>
          <w:szCs w:val="21"/>
          <w:shd w:val="clear" w:color="auto" w:fill="FFFFFF"/>
          <w:lang w:val="en-US" w:eastAsia="zh-CN"/>
        </w:rPr>
        <w:t>2</w:t>
      </w:r>
      <w:r>
        <w:rPr>
          <w:rFonts w:hint="eastAsia" w:cs="宋体" w:asciiTheme="majorEastAsia" w:hAnsiTheme="majorEastAsia" w:eastAsiaTheme="majorEastAsia"/>
          <w:szCs w:val="21"/>
          <w:shd w:val="clear" w:color="auto" w:fill="FFFFFF"/>
        </w:rPr>
        <w:t>）</w:t>
      </w:r>
      <w:r>
        <w:rPr>
          <w:rFonts w:hint="eastAsia" w:cs="宋体" w:asciiTheme="majorEastAsia" w:hAnsiTheme="majorEastAsia" w:eastAsiaTheme="majorEastAsia"/>
          <w:kern w:val="0"/>
          <w:szCs w:val="21"/>
          <w:lang w:eastAsia="zh-CN"/>
        </w:rPr>
        <w:t>本项目专门面向中小企业采购</w:t>
      </w:r>
      <w:r>
        <w:rPr>
          <w:rFonts w:hint="eastAsia" w:cs="宋体" w:asciiTheme="majorEastAsia" w:hAnsiTheme="majorEastAsia" w:eastAsiaTheme="majorEastAsia"/>
          <w:szCs w:val="21"/>
          <w:shd w:val="clear" w:color="auto" w:fill="FFFFFF"/>
        </w:rPr>
        <w:t>。</w:t>
      </w:r>
    </w:p>
    <w:p>
      <w:pPr>
        <w:autoSpaceDN w:val="0"/>
        <w:spacing w:line="360" w:lineRule="auto"/>
        <w:ind w:firstLine="420" w:firstLineChars="200"/>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szCs w:val="21"/>
          <w:shd w:val="clear" w:color="auto" w:fill="FFFFFF"/>
        </w:rPr>
        <w:t>（</w:t>
      </w:r>
      <w:r>
        <w:rPr>
          <w:rFonts w:hint="eastAsia" w:cs="宋体" w:asciiTheme="majorEastAsia" w:hAnsiTheme="majorEastAsia" w:eastAsiaTheme="majorEastAsia"/>
          <w:szCs w:val="21"/>
          <w:shd w:val="clear" w:color="auto" w:fill="FFFFFF"/>
          <w:lang w:val="en-US" w:eastAsia="zh-CN"/>
        </w:rPr>
        <w:t>3</w:t>
      </w:r>
      <w:r>
        <w:rPr>
          <w:rFonts w:hint="eastAsia" w:cs="宋体" w:asciiTheme="majorEastAsia" w:hAnsiTheme="majorEastAsia" w:eastAsiaTheme="majorEastAsia"/>
          <w:szCs w:val="21"/>
          <w:shd w:val="clear" w:color="auto" w:fill="FFFFFF"/>
        </w:rPr>
        <w:t>）招投标过程中，</w:t>
      </w:r>
      <w:r>
        <w:rPr>
          <w:rFonts w:hint="eastAsia" w:cs="宋体" w:asciiTheme="majorEastAsia" w:hAnsiTheme="majorEastAsia" w:eastAsiaTheme="majorEastAsia"/>
          <w:szCs w:val="21"/>
          <w:shd w:val="clear" w:color="auto" w:fill="FFFFFF"/>
          <w:lang w:eastAsia="zh-CN"/>
        </w:rPr>
        <w:t>供应商</w:t>
      </w:r>
      <w:r>
        <w:rPr>
          <w:rFonts w:hint="eastAsia" w:cs="宋体" w:asciiTheme="majorEastAsia" w:hAnsiTheme="majorEastAsia" w:eastAsiaTheme="majorEastAsia"/>
          <w:szCs w:val="21"/>
          <w:shd w:val="clear" w:color="auto" w:fill="FFFFFF"/>
        </w:rPr>
        <w:t>所提供的所有证件均需在有效期内且注册单位名称与</w:t>
      </w:r>
      <w:r>
        <w:rPr>
          <w:rFonts w:hint="eastAsia" w:cs="宋体" w:asciiTheme="majorEastAsia" w:hAnsiTheme="majorEastAsia" w:eastAsiaTheme="majorEastAsia"/>
          <w:szCs w:val="21"/>
          <w:shd w:val="clear" w:color="auto" w:fill="FFFFFF"/>
          <w:lang w:eastAsia="zh-CN"/>
        </w:rPr>
        <w:t>供应商</w:t>
      </w:r>
      <w:r>
        <w:rPr>
          <w:rFonts w:hint="eastAsia" w:cs="宋体" w:asciiTheme="majorEastAsia" w:hAnsiTheme="majorEastAsia" w:eastAsiaTheme="majorEastAsia"/>
          <w:szCs w:val="21"/>
          <w:shd w:val="clear" w:color="auto" w:fill="FFFFFF"/>
        </w:rPr>
        <w:t>的名称一致，如企业名称发生变更，需提供主管部门出具的变更证明材料，否则不接受其供应商参与本次招标项目的投标。</w:t>
      </w:r>
    </w:p>
    <w:p>
      <w:pPr>
        <w:autoSpaceDN w:val="0"/>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三、获取招标文件</w:t>
      </w:r>
      <w:bookmarkEnd w:id="16"/>
      <w:bookmarkEnd w:id="17"/>
      <w:bookmarkEnd w:id="18"/>
      <w:bookmarkEnd w:id="19"/>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时间：2023年</w:t>
      </w:r>
      <w:r>
        <w:rPr>
          <w:rFonts w:hint="eastAsia" w:asciiTheme="majorEastAsia" w:hAnsiTheme="majorEastAsia" w:eastAsiaTheme="majorEastAsia"/>
          <w:szCs w:val="21"/>
          <w:lang w:val="en-US" w:eastAsia="zh-CN"/>
        </w:rPr>
        <w:t>12</w:t>
      </w:r>
      <w:r>
        <w:rPr>
          <w:rFonts w:hint="eastAsia" w:asciiTheme="majorEastAsia" w:hAnsiTheme="majorEastAsia" w:eastAsiaTheme="majorEastAsia"/>
          <w:szCs w:val="21"/>
        </w:rPr>
        <w:t>月</w:t>
      </w:r>
      <w:r>
        <w:rPr>
          <w:rFonts w:hint="eastAsia" w:asciiTheme="majorEastAsia" w:hAnsiTheme="majorEastAsia" w:eastAsiaTheme="majorEastAsia"/>
          <w:szCs w:val="21"/>
          <w:lang w:val="en-US" w:eastAsia="zh-CN"/>
        </w:rPr>
        <w:t>26</w:t>
      </w:r>
      <w:r>
        <w:rPr>
          <w:rFonts w:hint="eastAsia" w:asciiTheme="majorEastAsia" w:hAnsiTheme="majorEastAsia" w:eastAsiaTheme="majorEastAsia"/>
          <w:szCs w:val="21"/>
        </w:rPr>
        <w:t>日至202</w:t>
      </w:r>
      <w:r>
        <w:rPr>
          <w:rFonts w:hint="eastAsia" w:asciiTheme="majorEastAsia" w:hAnsiTheme="majorEastAsia" w:eastAsiaTheme="majorEastAsia"/>
          <w:szCs w:val="21"/>
          <w:lang w:val="en-US" w:eastAsia="zh-CN"/>
        </w:rPr>
        <w:t>4</w:t>
      </w:r>
      <w:r>
        <w:rPr>
          <w:rFonts w:hint="eastAsia" w:asciiTheme="majorEastAsia" w:hAnsiTheme="majorEastAsia" w:eastAsiaTheme="majorEastAsia"/>
          <w:szCs w:val="21"/>
        </w:rPr>
        <w:t>年</w:t>
      </w:r>
      <w:r>
        <w:rPr>
          <w:rFonts w:hint="eastAsia" w:asciiTheme="majorEastAsia" w:hAnsiTheme="majorEastAsia" w:eastAsiaTheme="majorEastAsia"/>
          <w:szCs w:val="21"/>
          <w:lang w:val="en-US" w:eastAsia="zh-CN"/>
        </w:rPr>
        <w:t>01</w:t>
      </w:r>
      <w:r>
        <w:rPr>
          <w:rFonts w:hint="eastAsia" w:asciiTheme="majorEastAsia" w:hAnsiTheme="majorEastAsia" w:eastAsiaTheme="majorEastAsia"/>
          <w:szCs w:val="21"/>
        </w:rPr>
        <w:t>月</w:t>
      </w:r>
      <w:r>
        <w:rPr>
          <w:rFonts w:hint="eastAsia" w:asciiTheme="majorEastAsia" w:hAnsiTheme="majorEastAsia" w:eastAsiaTheme="majorEastAsia"/>
          <w:szCs w:val="21"/>
          <w:lang w:val="en-US" w:eastAsia="zh-CN"/>
        </w:rPr>
        <w:t>02</w:t>
      </w:r>
      <w:r>
        <w:rPr>
          <w:rFonts w:hint="eastAsia" w:asciiTheme="majorEastAsia" w:hAnsiTheme="majorEastAsia" w:eastAsiaTheme="majorEastAsia"/>
          <w:szCs w:val="21"/>
        </w:rPr>
        <w:t>日，上午</w:t>
      </w:r>
      <w:r>
        <w:rPr>
          <w:rFonts w:hint="eastAsia" w:asciiTheme="majorEastAsia" w:hAnsiTheme="majorEastAsia" w:eastAsiaTheme="majorEastAsia"/>
          <w:szCs w:val="21"/>
          <w:lang w:val="en-US" w:eastAsia="zh-CN"/>
        </w:rPr>
        <w:t>08</w:t>
      </w:r>
      <w:r>
        <w:rPr>
          <w:rFonts w:hint="eastAsia" w:asciiTheme="majorEastAsia" w:hAnsiTheme="majorEastAsia" w:eastAsiaTheme="majorEastAsia"/>
          <w:szCs w:val="21"/>
        </w:rPr>
        <w:t>时</w:t>
      </w:r>
      <w:r>
        <w:rPr>
          <w:rFonts w:hint="eastAsia" w:asciiTheme="majorEastAsia" w:hAnsiTheme="majorEastAsia" w:eastAsiaTheme="majorEastAsia"/>
          <w:szCs w:val="21"/>
          <w:lang w:val="en-US" w:eastAsia="zh-CN"/>
        </w:rPr>
        <w:t>30分</w:t>
      </w:r>
      <w:r>
        <w:rPr>
          <w:rFonts w:hint="eastAsia" w:asciiTheme="majorEastAsia" w:hAnsiTheme="majorEastAsia" w:eastAsiaTheme="majorEastAsia"/>
          <w:szCs w:val="21"/>
        </w:rPr>
        <w:t>至</w:t>
      </w:r>
      <w:r>
        <w:rPr>
          <w:rFonts w:hint="eastAsia" w:asciiTheme="majorEastAsia" w:hAnsiTheme="majorEastAsia" w:eastAsiaTheme="majorEastAsia"/>
          <w:szCs w:val="21"/>
          <w:lang w:val="en-US" w:eastAsia="zh-CN"/>
        </w:rPr>
        <w:t>11</w:t>
      </w:r>
      <w:r>
        <w:rPr>
          <w:rFonts w:hint="eastAsia" w:asciiTheme="majorEastAsia" w:hAnsiTheme="majorEastAsia" w:eastAsiaTheme="majorEastAsia"/>
          <w:szCs w:val="21"/>
        </w:rPr>
        <w:t>时</w:t>
      </w:r>
      <w:r>
        <w:rPr>
          <w:rFonts w:hint="eastAsia" w:asciiTheme="majorEastAsia" w:hAnsiTheme="majorEastAsia" w:eastAsiaTheme="majorEastAsia"/>
          <w:szCs w:val="21"/>
          <w:lang w:val="en-US" w:eastAsia="zh-CN"/>
        </w:rPr>
        <w:t>30</w:t>
      </w:r>
      <w:r>
        <w:rPr>
          <w:rFonts w:hint="eastAsia" w:asciiTheme="majorEastAsia" w:hAnsiTheme="majorEastAsia" w:eastAsiaTheme="majorEastAsia"/>
          <w:szCs w:val="21"/>
        </w:rPr>
        <w:t>分，下午</w:t>
      </w:r>
      <w:r>
        <w:rPr>
          <w:rFonts w:hint="eastAsia" w:asciiTheme="majorEastAsia" w:hAnsiTheme="majorEastAsia" w:eastAsiaTheme="majorEastAsia"/>
          <w:szCs w:val="21"/>
          <w:lang w:val="en-US" w:eastAsia="zh-CN"/>
        </w:rPr>
        <w:t>13</w:t>
      </w:r>
      <w:r>
        <w:rPr>
          <w:rFonts w:hint="eastAsia" w:asciiTheme="majorEastAsia" w:hAnsiTheme="majorEastAsia" w:eastAsiaTheme="majorEastAsia"/>
          <w:szCs w:val="21"/>
        </w:rPr>
        <w:t>时</w:t>
      </w:r>
      <w:r>
        <w:rPr>
          <w:rFonts w:hint="eastAsia" w:asciiTheme="majorEastAsia" w:hAnsiTheme="majorEastAsia" w:eastAsiaTheme="majorEastAsia"/>
          <w:szCs w:val="21"/>
          <w:lang w:val="en-US" w:eastAsia="zh-CN"/>
        </w:rPr>
        <w:t>00</w:t>
      </w:r>
      <w:r>
        <w:rPr>
          <w:rFonts w:hint="eastAsia" w:asciiTheme="majorEastAsia" w:hAnsiTheme="majorEastAsia" w:eastAsiaTheme="majorEastAsia"/>
          <w:szCs w:val="21"/>
        </w:rPr>
        <w:t>分至</w:t>
      </w:r>
      <w:r>
        <w:rPr>
          <w:rFonts w:hint="eastAsia" w:asciiTheme="majorEastAsia" w:hAnsiTheme="majorEastAsia" w:eastAsiaTheme="majorEastAsia"/>
          <w:szCs w:val="21"/>
          <w:lang w:val="en-US" w:eastAsia="zh-CN"/>
        </w:rPr>
        <w:t>16</w:t>
      </w:r>
      <w:r>
        <w:rPr>
          <w:rFonts w:hint="eastAsia" w:asciiTheme="majorEastAsia" w:hAnsiTheme="majorEastAsia" w:eastAsiaTheme="majorEastAsia"/>
          <w:szCs w:val="21"/>
        </w:rPr>
        <w:t>时</w:t>
      </w:r>
      <w:r>
        <w:rPr>
          <w:rFonts w:asciiTheme="majorEastAsia" w:hAnsiTheme="majorEastAsia" w:eastAsiaTheme="majorEastAsia"/>
          <w:szCs w:val="21"/>
        </w:rPr>
        <w:t xml:space="preserve"> </w:t>
      </w:r>
      <w:r>
        <w:rPr>
          <w:rFonts w:hint="eastAsia" w:asciiTheme="majorEastAsia" w:hAnsiTheme="majorEastAsia" w:eastAsiaTheme="majorEastAsia"/>
          <w:szCs w:val="21"/>
          <w:lang w:val="en-US" w:eastAsia="zh-CN"/>
        </w:rPr>
        <w:t>00</w:t>
      </w:r>
      <w:r>
        <w:rPr>
          <w:rFonts w:hint="eastAsia" w:asciiTheme="majorEastAsia" w:hAnsiTheme="majorEastAsia" w:eastAsiaTheme="majorEastAsia"/>
          <w:szCs w:val="21"/>
        </w:rPr>
        <w:t>分（北京时间，法定节假日除外）</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方式：潜在供应商自行登录政府采购云平台（网址：http:// www.zcygov.cn）下载采购文件（操作路径：登录“政采云”平台-项目采购-获</w:t>
      </w:r>
      <w:r>
        <w:rPr>
          <w:rFonts w:hint="eastAsia" w:asciiTheme="majorEastAsia" w:hAnsiTheme="majorEastAsia" w:eastAsiaTheme="majorEastAsia"/>
          <w:szCs w:val="21"/>
          <w:highlight w:val="none"/>
        </w:rPr>
        <w:t>取采购文件-找到本项目-点击“申请获取采购文件”），其他途径获取的采购文件开标时一律按无</w:t>
      </w:r>
      <w:r>
        <w:rPr>
          <w:rFonts w:hint="eastAsia" w:asciiTheme="majorEastAsia" w:hAnsiTheme="majorEastAsia" w:eastAsiaTheme="majorEastAsia"/>
          <w:szCs w:val="21"/>
        </w:rPr>
        <w:t>效投标处理。</w:t>
      </w:r>
    </w:p>
    <w:p>
      <w:pPr>
        <w:autoSpaceDN w:val="0"/>
        <w:spacing w:line="360" w:lineRule="auto"/>
        <w:rPr>
          <w:rFonts w:asciiTheme="majorEastAsia" w:hAnsiTheme="majorEastAsia" w:eastAsiaTheme="majorEastAsia"/>
          <w:b/>
          <w:bCs/>
          <w:szCs w:val="21"/>
        </w:rPr>
      </w:pPr>
      <w:bookmarkStart w:id="20" w:name="_Toc28359005"/>
      <w:bookmarkStart w:id="21" w:name="_Toc28359082"/>
      <w:bookmarkStart w:id="22" w:name="_Toc35393793"/>
      <w:bookmarkStart w:id="23" w:name="_Toc35393624"/>
      <w:r>
        <w:rPr>
          <w:rFonts w:hint="eastAsia" w:asciiTheme="majorEastAsia" w:hAnsiTheme="majorEastAsia" w:eastAsiaTheme="majorEastAsia"/>
          <w:b/>
          <w:bCs/>
          <w:szCs w:val="21"/>
        </w:rPr>
        <w:t>四、提交投标文件</w:t>
      </w:r>
      <w:bookmarkEnd w:id="20"/>
      <w:bookmarkEnd w:id="21"/>
      <w:r>
        <w:rPr>
          <w:rFonts w:hint="eastAsia" w:asciiTheme="majorEastAsia" w:hAnsiTheme="majorEastAsia" w:eastAsiaTheme="majorEastAsia"/>
          <w:b/>
          <w:bCs/>
          <w:szCs w:val="21"/>
        </w:rPr>
        <w:t>截止时间、开标时间和地点</w:t>
      </w:r>
      <w:bookmarkEnd w:id="22"/>
      <w:bookmarkEnd w:id="23"/>
    </w:p>
    <w:p>
      <w:pPr>
        <w:autoSpaceDN w:val="0"/>
        <w:adjustRightInd w:val="0"/>
        <w:snapToGrid w:val="0"/>
        <w:spacing w:line="360" w:lineRule="auto"/>
        <w:ind w:firstLine="420" w:firstLineChars="200"/>
        <w:rPr>
          <w:rFonts w:asciiTheme="majorEastAsia" w:hAnsiTheme="majorEastAsia" w:eastAsiaTheme="majorEastAsia"/>
          <w:szCs w:val="21"/>
          <w:highlight w:val="none"/>
        </w:rPr>
      </w:pPr>
      <w:bookmarkStart w:id="24" w:name="_Toc28359084"/>
      <w:bookmarkStart w:id="25" w:name="_Toc35393794"/>
      <w:bookmarkStart w:id="26" w:name="_Toc35393625"/>
      <w:bookmarkStart w:id="27" w:name="_Toc28359007"/>
      <w:r>
        <w:rPr>
          <w:rFonts w:hint="eastAsia" w:asciiTheme="majorEastAsia" w:hAnsiTheme="majorEastAsia" w:eastAsiaTheme="majorEastAsia"/>
          <w:szCs w:val="21"/>
          <w:highlight w:val="none"/>
        </w:rPr>
        <w:t>时间：202</w:t>
      </w:r>
      <w:r>
        <w:rPr>
          <w:rFonts w:hint="eastAsia" w:asciiTheme="majorEastAsia" w:hAnsiTheme="majorEastAsia" w:eastAsiaTheme="majorEastAsia"/>
          <w:szCs w:val="21"/>
          <w:highlight w:val="none"/>
          <w:lang w:val="en-US" w:eastAsia="zh-CN"/>
        </w:rPr>
        <w:t>4</w:t>
      </w:r>
      <w:r>
        <w:rPr>
          <w:rFonts w:hint="eastAsia" w:asciiTheme="majorEastAsia" w:hAnsiTheme="majorEastAsia" w:eastAsiaTheme="majorEastAsia"/>
          <w:szCs w:val="21"/>
          <w:highlight w:val="none"/>
        </w:rPr>
        <w:t>年</w:t>
      </w:r>
      <w:r>
        <w:rPr>
          <w:rFonts w:hint="eastAsia" w:asciiTheme="majorEastAsia" w:hAnsiTheme="majorEastAsia" w:eastAsiaTheme="majorEastAsia"/>
          <w:szCs w:val="21"/>
          <w:highlight w:val="none"/>
          <w:lang w:val="en-US" w:eastAsia="zh-CN"/>
        </w:rPr>
        <w:t>01月16日09</w:t>
      </w:r>
      <w:r>
        <w:rPr>
          <w:rFonts w:hint="eastAsia" w:asciiTheme="majorEastAsia" w:hAnsiTheme="majorEastAsia" w:eastAsiaTheme="majorEastAsia"/>
          <w:szCs w:val="21"/>
          <w:highlight w:val="none"/>
        </w:rPr>
        <w:t>时</w:t>
      </w:r>
      <w:r>
        <w:rPr>
          <w:rFonts w:hint="eastAsia" w:asciiTheme="majorEastAsia" w:hAnsiTheme="majorEastAsia" w:eastAsiaTheme="majorEastAsia"/>
          <w:szCs w:val="21"/>
          <w:highlight w:val="none"/>
          <w:lang w:val="en-US" w:eastAsia="zh-CN"/>
        </w:rPr>
        <w:t>30</w:t>
      </w:r>
      <w:r>
        <w:rPr>
          <w:rFonts w:hint="eastAsia" w:asciiTheme="majorEastAsia" w:hAnsiTheme="majorEastAsia" w:eastAsiaTheme="majorEastAsia"/>
          <w:szCs w:val="21"/>
          <w:highlight w:val="none"/>
        </w:rPr>
        <w:t>分（北京时间）</w:t>
      </w:r>
    </w:p>
    <w:p>
      <w:pPr>
        <w:autoSpaceDN w:val="0"/>
        <w:adjustRightInd w:val="0"/>
        <w:snapToGrid w:val="0"/>
        <w:spacing w:line="360" w:lineRule="auto"/>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地点：长春新区政务服务中心公共资源交易大厅（龙湖大路5799号）2楼</w:t>
      </w:r>
      <w:r>
        <w:rPr>
          <w:rFonts w:hint="eastAsia" w:asciiTheme="majorEastAsia" w:hAnsiTheme="majorEastAsia" w:eastAsiaTheme="majorEastAsia"/>
          <w:szCs w:val="21"/>
          <w:highlight w:val="none"/>
          <w:lang w:val="en-US" w:eastAsia="zh-CN"/>
        </w:rPr>
        <w:t>B208</w:t>
      </w:r>
      <w:r>
        <w:rPr>
          <w:rFonts w:hint="eastAsia" w:asciiTheme="majorEastAsia" w:hAnsiTheme="majorEastAsia" w:eastAsiaTheme="majorEastAsia"/>
          <w:szCs w:val="21"/>
          <w:highlight w:val="none"/>
          <w:lang w:val="en-US" w:eastAsia="zh-CN"/>
        </w:rPr>
        <w:tab/>
      </w:r>
      <w:r>
        <w:rPr>
          <w:rFonts w:hint="eastAsia" w:asciiTheme="majorEastAsia" w:hAnsiTheme="majorEastAsia" w:eastAsiaTheme="majorEastAsia"/>
          <w:szCs w:val="21"/>
          <w:highlight w:val="none"/>
          <w:lang w:val="en-US" w:eastAsia="zh-CN"/>
        </w:rPr>
        <w:t>大</w:t>
      </w:r>
      <w:r>
        <w:rPr>
          <w:rFonts w:hint="eastAsia" w:asciiTheme="majorEastAsia" w:hAnsiTheme="majorEastAsia" w:eastAsiaTheme="majorEastAsia"/>
          <w:szCs w:val="21"/>
          <w:highlight w:val="none"/>
        </w:rPr>
        <w:t>开标室</w:t>
      </w:r>
    </w:p>
    <w:p>
      <w:pPr>
        <w:autoSpaceDN w:val="0"/>
        <w:spacing w:line="360" w:lineRule="auto"/>
        <w:ind w:firstLine="420" w:firstLineChars="200"/>
        <w:rPr>
          <w:rFonts w:hint="eastAsia" w:asciiTheme="majorEastAsia" w:hAnsiTheme="majorEastAsia" w:eastAsiaTheme="majorEastAsia"/>
          <w:kern w:val="0"/>
          <w:szCs w:val="21"/>
          <w:lang w:val="en-US" w:eastAsia="zh-CN"/>
        </w:rPr>
      </w:pPr>
      <w:r>
        <w:rPr>
          <w:rFonts w:hint="eastAsia" w:asciiTheme="majorEastAsia" w:hAnsiTheme="majorEastAsia" w:eastAsiaTheme="majorEastAsia"/>
          <w:kern w:val="0"/>
          <w:szCs w:val="21"/>
          <w:lang w:val="en-US" w:eastAsia="zh-CN"/>
        </w:rPr>
        <w:t>方式：本项目执行电子化招投标，申请人须通过政府采购云平台（网址：http:// www.zcygov.cn）递交电子版投标文件，并按规定时间解密成功；同时在现场递交纸质版及电子版（U盘）投标文件。</w:t>
      </w:r>
    </w:p>
    <w:p>
      <w:pPr>
        <w:autoSpaceDN w:val="0"/>
        <w:spacing w:line="360" w:lineRule="auto"/>
        <w:ind w:firstLine="420" w:firstLineChars="200"/>
        <w:rPr>
          <w:rFonts w:hint="eastAsia" w:asciiTheme="majorEastAsia" w:hAnsiTheme="majorEastAsia" w:eastAsiaTheme="majorEastAsia"/>
          <w:kern w:val="0"/>
          <w:szCs w:val="21"/>
          <w:lang w:val="en-US" w:eastAsia="zh-CN"/>
        </w:rPr>
      </w:pPr>
      <w:r>
        <w:rPr>
          <w:rFonts w:hint="eastAsia" w:asciiTheme="majorEastAsia" w:hAnsiTheme="majorEastAsia" w:eastAsiaTheme="majorEastAsia"/>
          <w:kern w:val="0"/>
          <w:szCs w:val="21"/>
          <w:lang w:val="en-US" w:eastAsia="zh-CN"/>
        </w:rPr>
        <w:t>投标操作流程：申请人在政府采购云平台网注册入库成为正式申请人后，在平台上按《政府采购项目电子交易管理操作指南-申请人》进行投标操作。申请人须办理数字证书方可参加投标。</w:t>
      </w:r>
    </w:p>
    <w:p>
      <w:pPr>
        <w:autoSpaceDN w:val="0"/>
        <w:spacing w:line="360" w:lineRule="auto"/>
        <w:ind w:firstLine="420" w:firstLineChars="200"/>
        <w:rPr>
          <w:rFonts w:hint="eastAsia" w:asciiTheme="majorEastAsia" w:hAnsiTheme="majorEastAsia" w:eastAsiaTheme="majorEastAsia"/>
          <w:kern w:val="0"/>
          <w:szCs w:val="21"/>
          <w:lang w:val="en-US" w:eastAsia="zh-CN"/>
        </w:rPr>
      </w:pPr>
      <w:r>
        <w:rPr>
          <w:rFonts w:hint="eastAsia" w:asciiTheme="majorEastAsia" w:hAnsiTheme="majorEastAsia" w:eastAsiaTheme="majorEastAsia"/>
          <w:kern w:val="0"/>
          <w:szCs w:val="21"/>
          <w:lang w:val="en-US" w:eastAsia="zh-CN"/>
        </w:rPr>
        <w:t>数字证书办理及投标技术咨询：申请人须办理数字证书方可参加投标。申请人须自行考虑数字证书办理时限，由于申请人自身原因在开标前无法完成办理，后果自负。</w:t>
      </w:r>
    </w:p>
    <w:p>
      <w:pPr>
        <w:autoSpaceDN w:val="0"/>
        <w:spacing w:line="360" w:lineRule="auto"/>
        <w:ind w:firstLine="420" w:firstLineChars="200"/>
        <w:rPr>
          <w:rFonts w:hint="eastAsia" w:asciiTheme="majorEastAsia" w:hAnsiTheme="majorEastAsia" w:eastAsiaTheme="majorEastAsia"/>
          <w:kern w:val="0"/>
          <w:szCs w:val="21"/>
          <w:lang w:val="en-US" w:eastAsia="zh-CN"/>
        </w:rPr>
      </w:pPr>
      <w:r>
        <w:rPr>
          <w:rFonts w:hint="eastAsia" w:asciiTheme="majorEastAsia" w:hAnsiTheme="majorEastAsia" w:eastAsiaTheme="majorEastAsia"/>
          <w:kern w:val="0"/>
          <w:szCs w:val="21"/>
          <w:lang w:val="en-US" w:eastAsia="zh-CN"/>
        </w:rPr>
        <w:t>若对项目采购电子交易系统操作有疑问，可登录“政采云”平台（https://www.zcygov.cn/）点击右侧咨询小采，获取采小蜜智能服务管家帮助，或拨打政采云服务热线95763获取热线服务帮助。</w:t>
      </w:r>
    </w:p>
    <w:p>
      <w:pPr>
        <w:autoSpaceDN w:val="0"/>
        <w:spacing w:line="360" w:lineRule="auto"/>
        <w:ind w:firstLine="420" w:firstLineChars="200"/>
        <w:rPr>
          <w:rFonts w:hint="eastAsia" w:asciiTheme="majorEastAsia" w:hAnsiTheme="majorEastAsia" w:eastAsiaTheme="majorEastAsia"/>
          <w:kern w:val="0"/>
          <w:szCs w:val="21"/>
          <w:lang w:val="en-US" w:eastAsia="zh-CN"/>
        </w:rPr>
      </w:pPr>
      <w:r>
        <w:rPr>
          <w:rFonts w:hint="eastAsia" w:asciiTheme="majorEastAsia" w:hAnsiTheme="majorEastAsia" w:eastAsiaTheme="majorEastAsia"/>
          <w:kern w:val="0"/>
          <w:szCs w:val="21"/>
          <w:lang w:val="en-US" w:eastAsia="zh-CN"/>
        </w:rPr>
        <w:t>4、未密封完好或逾期送达或者未送达指定地点的响应文件，采购人或采购代理机构不予受理。</w:t>
      </w:r>
    </w:p>
    <w:p>
      <w:pPr>
        <w:autoSpaceDN w:val="0"/>
        <w:spacing w:line="360" w:lineRule="auto"/>
        <w:ind w:firstLine="420" w:firstLineChars="200"/>
        <w:rPr>
          <w:rFonts w:asciiTheme="majorEastAsia" w:hAnsiTheme="majorEastAsia" w:eastAsiaTheme="majorEastAsia"/>
          <w:kern w:val="0"/>
          <w:szCs w:val="21"/>
        </w:rPr>
      </w:pPr>
      <w:r>
        <w:rPr>
          <w:rFonts w:hint="eastAsia" w:asciiTheme="majorEastAsia" w:hAnsiTheme="majorEastAsia" w:eastAsiaTheme="majorEastAsia"/>
          <w:kern w:val="0"/>
          <w:szCs w:val="21"/>
          <w:lang w:val="en-US" w:eastAsia="zh-CN"/>
        </w:rPr>
        <w:t>5、有效申请人不足法定个数时，采购人另行组织招标。</w:t>
      </w:r>
    </w:p>
    <w:p>
      <w:pPr>
        <w:autoSpaceDN w:val="0"/>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五、公告期限</w:t>
      </w:r>
      <w:bookmarkEnd w:id="24"/>
      <w:bookmarkEnd w:id="25"/>
      <w:bookmarkEnd w:id="26"/>
      <w:bookmarkEnd w:id="27"/>
    </w:p>
    <w:p>
      <w:pPr>
        <w:autoSpaceDN w:val="0"/>
        <w:spacing w:line="360" w:lineRule="auto"/>
        <w:ind w:firstLine="420" w:firstLineChars="200"/>
        <w:rPr>
          <w:rFonts w:asciiTheme="majorEastAsia" w:hAnsiTheme="majorEastAsia" w:eastAsiaTheme="majorEastAsia"/>
          <w:szCs w:val="21"/>
        </w:rPr>
      </w:pPr>
      <w:bookmarkStart w:id="28" w:name="_Hlk64709943"/>
      <w:bookmarkEnd w:id="28"/>
      <w:r>
        <w:rPr>
          <w:rFonts w:hint="eastAsia" w:asciiTheme="majorEastAsia" w:hAnsiTheme="majorEastAsia" w:eastAsiaTheme="majorEastAsia"/>
          <w:szCs w:val="21"/>
        </w:rPr>
        <w:t>自本公告发布之日起</w:t>
      </w:r>
      <w:bookmarkStart w:id="29" w:name="blank65"/>
      <w:r>
        <w:rPr>
          <w:rFonts w:hint="eastAsia" w:asciiTheme="majorEastAsia" w:hAnsiTheme="majorEastAsia" w:eastAsiaTheme="majorEastAsia"/>
          <w:szCs w:val="21"/>
        </w:rPr>
        <w:t>5</w:t>
      </w:r>
      <w:bookmarkEnd w:id="29"/>
      <w:r>
        <w:rPr>
          <w:rFonts w:hint="eastAsia" w:asciiTheme="majorEastAsia" w:hAnsiTheme="majorEastAsia" w:eastAsiaTheme="majorEastAsia"/>
          <w:szCs w:val="21"/>
        </w:rPr>
        <w:t>个工作日。</w:t>
      </w:r>
    </w:p>
    <w:p>
      <w:pPr>
        <w:autoSpaceDN w:val="0"/>
        <w:spacing w:line="360" w:lineRule="auto"/>
        <w:rPr>
          <w:rFonts w:asciiTheme="majorEastAsia" w:hAnsiTheme="majorEastAsia" w:eastAsiaTheme="majorEastAsia"/>
          <w:b/>
          <w:bCs/>
          <w:szCs w:val="21"/>
        </w:rPr>
      </w:pPr>
      <w:bookmarkStart w:id="30" w:name="_Toc35393626"/>
      <w:bookmarkStart w:id="31" w:name="_Toc35393795"/>
      <w:r>
        <w:rPr>
          <w:rFonts w:hint="eastAsia" w:asciiTheme="majorEastAsia" w:hAnsiTheme="majorEastAsia" w:eastAsiaTheme="majorEastAsia"/>
          <w:b/>
          <w:bCs/>
          <w:szCs w:val="21"/>
        </w:rPr>
        <w:t>六、其他补充事宜</w:t>
      </w:r>
      <w:bookmarkEnd w:id="30"/>
      <w:bookmarkEnd w:id="31"/>
    </w:p>
    <w:p>
      <w:pPr>
        <w:pStyle w:val="9"/>
        <w:autoSpaceDN w:val="0"/>
        <w:adjustRightInd w:val="0"/>
        <w:snapToGrid w:val="0"/>
        <w:spacing w:after="0" w:line="360" w:lineRule="auto"/>
        <w:ind w:firstLine="315" w:firstLineChars="150"/>
        <w:rPr>
          <w:rFonts w:asciiTheme="majorEastAsia" w:hAnsiTheme="majorEastAsia" w:eastAsiaTheme="majorEastAsia"/>
          <w:kern w:val="0"/>
          <w:szCs w:val="21"/>
        </w:rPr>
      </w:pPr>
      <w:r>
        <w:rPr>
          <w:rFonts w:hint="eastAsia" w:asciiTheme="majorEastAsia" w:hAnsiTheme="majorEastAsia" w:eastAsiaTheme="majorEastAsia"/>
          <w:szCs w:val="21"/>
        </w:rPr>
        <w:t xml:space="preserve"> </w:t>
      </w:r>
      <w:r>
        <w:rPr>
          <w:rFonts w:hint="eastAsia" w:asciiTheme="majorEastAsia" w:hAnsiTheme="majorEastAsia" w:eastAsiaTheme="majorEastAsia"/>
          <w:kern w:val="0"/>
          <w:szCs w:val="21"/>
        </w:rPr>
        <w:t>本次招标公告在中国政府采购网、长春市公共资源交易网上发布。</w:t>
      </w:r>
    </w:p>
    <w:p>
      <w:pPr>
        <w:autoSpaceDN w:val="0"/>
        <w:spacing w:line="360" w:lineRule="auto"/>
        <w:rPr>
          <w:rFonts w:asciiTheme="majorEastAsia" w:hAnsiTheme="majorEastAsia" w:eastAsiaTheme="majorEastAsia"/>
          <w:b/>
          <w:bCs/>
          <w:szCs w:val="21"/>
        </w:rPr>
      </w:pPr>
      <w:bookmarkStart w:id="32" w:name="_Toc28359008"/>
      <w:bookmarkStart w:id="33" w:name="_Toc28359085"/>
      <w:bookmarkStart w:id="34" w:name="_Toc35393796"/>
      <w:bookmarkStart w:id="35" w:name="_Toc35393627"/>
      <w:r>
        <w:rPr>
          <w:rFonts w:hint="eastAsia" w:asciiTheme="majorEastAsia" w:hAnsiTheme="majorEastAsia" w:eastAsiaTheme="majorEastAsia"/>
          <w:b/>
          <w:bCs/>
          <w:szCs w:val="21"/>
        </w:rPr>
        <w:t>七、对本次招标提出询问，请按以下方式联系</w:t>
      </w:r>
      <w:bookmarkEnd w:id="32"/>
      <w:bookmarkEnd w:id="33"/>
      <w:bookmarkEnd w:id="34"/>
      <w:bookmarkEnd w:id="35"/>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1.采购人信息</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名称：</w:t>
      </w:r>
      <w:bookmarkStart w:id="36" w:name="blank0_copy_1619577441000"/>
      <w:r>
        <w:rPr>
          <w:rFonts w:hint="eastAsia" w:asciiTheme="majorEastAsia" w:hAnsiTheme="majorEastAsia" w:eastAsiaTheme="majorEastAsia"/>
          <w:kern w:val="0"/>
          <w:szCs w:val="21"/>
        </w:rPr>
        <w:t>长春新区教育局</w:t>
      </w:r>
      <w:bookmarkEnd w:id="36"/>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地址：</w:t>
      </w:r>
      <w:bookmarkStart w:id="37" w:name="blank4"/>
      <w:r>
        <w:rPr>
          <w:rFonts w:hint="eastAsia" w:asciiTheme="majorEastAsia" w:hAnsiTheme="majorEastAsia" w:eastAsiaTheme="majorEastAsia"/>
          <w:kern w:val="0"/>
          <w:szCs w:val="21"/>
        </w:rPr>
        <w:t>长春市龙湖大路5799号</w:t>
      </w:r>
      <w:bookmarkEnd w:id="37"/>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联系方式：</w:t>
      </w:r>
      <w:r>
        <w:rPr>
          <w:rFonts w:hint="eastAsia" w:asciiTheme="majorEastAsia" w:hAnsiTheme="majorEastAsia" w:eastAsiaTheme="majorEastAsia"/>
          <w:szCs w:val="21"/>
          <w:lang w:val="en-US" w:eastAsia="zh-CN"/>
        </w:rPr>
        <w:t>李</w:t>
      </w:r>
      <w:r>
        <w:rPr>
          <w:rFonts w:hint="eastAsia" w:asciiTheme="majorEastAsia" w:hAnsiTheme="majorEastAsia" w:eastAsiaTheme="majorEastAsia"/>
          <w:szCs w:val="21"/>
        </w:rPr>
        <w:t>先生</w:t>
      </w:r>
      <w:r>
        <w:rPr>
          <w:rFonts w:hint="eastAsia" w:asciiTheme="majorEastAsia" w:hAnsiTheme="majorEastAsia" w:eastAsiaTheme="majorEastAsia"/>
          <w:szCs w:val="21"/>
          <w:lang w:val="en-US" w:eastAsia="zh-CN"/>
        </w:rPr>
        <w:t xml:space="preserve"> </w:t>
      </w:r>
      <w:r>
        <w:rPr>
          <w:rFonts w:hint="eastAsia" w:asciiTheme="majorEastAsia" w:hAnsiTheme="majorEastAsia" w:eastAsiaTheme="majorEastAsia"/>
          <w:kern w:val="0"/>
          <w:szCs w:val="21"/>
        </w:rPr>
        <w:t>0431-82538548</w:t>
      </w:r>
      <w:r>
        <w:rPr>
          <w:rFonts w:asciiTheme="majorEastAsia" w:hAnsiTheme="majorEastAsia" w:eastAsiaTheme="majorEastAsia"/>
          <w:kern w:val="0"/>
          <w:szCs w:val="21"/>
        </w:rPr>
        <w:t xml:space="preserve"> </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2.采购代理机构信息</w:t>
      </w:r>
    </w:p>
    <w:p>
      <w:pPr>
        <w:autoSpaceDN w:val="0"/>
        <w:spacing w:line="360" w:lineRule="auto"/>
        <w:ind w:firstLine="420" w:firstLineChars="200"/>
        <w:rPr>
          <w:rFonts w:hint="eastAsia" w:asciiTheme="majorEastAsia" w:hAnsiTheme="majorEastAsia" w:eastAsiaTheme="majorEastAsia"/>
          <w:szCs w:val="21"/>
          <w:lang w:val="zh-CN" w:eastAsia="zh-CN"/>
        </w:rPr>
      </w:pPr>
      <w:r>
        <w:rPr>
          <w:rFonts w:hint="eastAsia" w:asciiTheme="majorEastAsia" w:hAnsiTheme="majorEastAsia" w:eastAsiaTheme="majorEastAsia"/>
          <w:szCs w:val="21"/>
          <w:lang w:val="zh-CN" w:eastAsia="zh-CN"/>
        </w:rPr>
        <w:t>名称：吉林省亿安建设项目管理有限公司</w:t>
      </w:r>
    </w:p>
    <w:p>
      <w:pPr>
        <w:autoSpaceDN w:val="0"/>
        <w:spacing w:line="360" w:lineRule="auto"/>
        <w:ind w:firstLine="420" w:firstLineChars="200"/>
        <w:rPr>
          <w:rFonts w:hint="eastAsia" w:asciiTheme="majorEastAsia" w:hAnsiTheme="majorEastAsia" w:eastAsiaTheme="majorEastAsia"/>
          <w:szCs w:val="21"/>
          <w:lang w:val="zh-CN" w:eastAsia="zh-CN"/>
        </w:rPr>
      </w:pPr>
      <w:r>
        <w:rPr>
          <w:rFonts w:hint="eastAsia" w:asciiTheme="majorEastAsia" w:hAnsiTheme="majorEastAsia" w:eastAsiaTheme="majorEastAsia"/>
          <w:szCs w:val="21"/>
          <w:lang w:val="zh-CN" w:eastAsia="zh-CN"/>
        </w:rPr>
        <w:t>地址：长春市双创中心B座1520室</w:t>
      </w:r>
    </w:p>
    <w:p>
      <w:pPr>
        <w:autoSpaceDN w:val="0"/>
        <w:spacing w:line="360" w:lineRule="auto"/>
        <w:ind w:firstLine="420" w:firstLineChars="200"/>
        <w:rPr>
          <w:rFonts w:hint="eastAsia" w:asciiTheme="majorEastAsia" w:hAnsiTheme="majorEastAsia" w:eastAsiaTheme="majorEastAsia"/>
          <w:szCs w:val="21"/>
          <w:lang w:val="zh-CN" w:eastAsia="zh-CN"/>
        </w:rPr>
      </w:pPr>
      <w:r>
        <w:rPr>
          <w:rFonts w:hint="eastAsia" w:asciiTheme="majorEastAsia" w:hAnsiTheme="majorEastAsia" w:eastAsiaTheme="majorEastAsia"/>
          <w:szCs w:val="21"/>
          <w:lang w:val="zh-CN" w:eastAsia="zh-CN"/>
        </w:rPr>
        <w:t>联系方式：</w:t>
      </w:r>
      <w:r>
        <w:rPr>
          <w:rFonts w:hint="eastAsia" w:asciiTheme="majorEastAsia" w:hAnsiTheme="majorEastAsia" w:eastAsiaTheme="majorEastAsia"/>
          <w:szCs w:val="21"/>
          <w:lang w:val="en-US" w:eastAsia="zh-CN"/>
        </w:rPr>
        <w:t xml:space="preserve">安浩坤  </w:t>
      </w:r>
      <w:r>
        <w:rPr>
          <w:rFonts w:hint="eastAsia" w:asciiTheme="majorEastAsia" w:hAnsiTheme="majorEastAsia" w:eastAsiaTheme="majorEastAsia"/>
          <w:szCs w:val="21"/>
          <w:lang w:val="zh-CN" w:eastAsia="zh-CN"/>
        </w:rPr>
        <w:t>13104459825</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3.项目联系方式</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项目联系人：</w:t>
      </w:r>
      <w:r>
        <w:rPr>
          <w:rFonts w:hint="eastAsia" w:asciiTheme="majorEastAsia" w:hAnsiTheme="majorEastAsia" w:eastAsiaTheme="majorEastAsia"/>
          <w:szCs w:val="21"/>
          <w:lang w:val="en-US" w:eastAsia="zh-CN"/>
        </w:rPr>
        <w:t>安浩坤</w:t>
      </w:r>
    </w:p>
    <w:p>
      <w:pPr>
        <w:autoSpaceDN w:val="0"/>
        <w:spacing w:line="360" w:lineRule="auto"/>
        <w:ind w:firstLine="420" w:firstLineChars="200"/>
        <w:rPr>
          <w:rFonts w:cs="宋体" w:asciiTheme="majorEastAsia" w:hAnsiTheme="majorEastAsia" w:eastAsiaTheme="majorEastAsia"/>
          <w:szCs w:val="21"/>
        </w:rPr>
      </w:pPr>
      <w:r>
        <w:rPr>
          <w:rFonts w:hint="eastAsia" w:asciiTheme="majorEastAsia" w:hAnsiTheme="majorEastAsia" w:eastAsiaTheme="majorEastAsia"/>
          <w:szCs w:val="21"/>
        </w:rPr>
        <w:t>电</w:t>
      </w:r>
      <w:r>
        <w:rPr>
          <w:rFonts w:hint="eastAsia" w:cs="宋体" w:asciiTheme="majorEastAsia" w:hAnsiTheme="majorEastAsia" w:eastAsiaTheme="majorEastAsia"/>
          <w:szCs w:val="21"/>
        </w:rPr>
        <w:t>话：</w:t>
      </w:r>
      <w:r>
        <w:rPr>
          <w:rFonts w:hint="eastAsia" w:asciiTheme="majorEastAsia" w:hAnsiTheme="majorEastAsia" w:eastAsiaTheme="majorEastAsia"/>
          <w:szCs w:val="21"/>
          <w:lang w:val="zh-CN" w:eastAsia="zh-CN"/>
        </w:rPr>
        <w:t>13104459825</w:t>
      </w:r>
    </w:p>
    <w:p>
      <w:pPr>
        <w:autoSpaceDN w:val="0"/>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4.</w:t>
      </w:r>
      <w:r>
        <w:rPr>
          <w:rFonts w:hint="eastAsia" w:cs="宋体" w:asciiTheme="majorEastAsia" w:hAnsiTheme="majorEastAsia" w:eastAsiaTheme="majorEastAsia"/>
          <w:szCs w:val="21"/>
          <w:lang w:val="zh-CN" w:eastAsia="zh-CN"/>
        </w:rPr>
        <w:t>监督机构及投诉受理部门</w:t>
      </w:r>
      <w:r>
        <w:rPr>
          <w:rFonts w:hint="eastAsia" w:cs="宋体" w:asciiTheme="majorEastAsia" w:hAnsiTheme="majorEastAsia" w:eastAsiaTheme="majorEastAsia"/>
          <w:szCs w:val="21"/>
        </w:rPr>
        <w:t>：长春新区财政局政府采购管理办公室</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地址：长春市龙湖大路5799号</w:t>
      </w:r>
    </w:p>
    <w:p>
      <w:pPr>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联系方式：</w:t>
      </w:r>
      <w:r>
        <w:rPr>
          <w:rFonts w:hint="eastAsia" w:asciiTheme="majorEastAsia" w:hAnsiTheme="majorEastAsia" w:eastAsiaTheme="majorEastAsia"/>
          <w:szCs w:val="21"/>
          <w:lang w:val="zh-CN" w:eastAsia="zh-CN"/>
        </w:rPr>
        <w:t>0431-81335709</w:t>
      </w:r>
    </w:p>
    <w:p>
      <w:pPr>
        <w:numPr>
          <w:ilvl w:val="0"/>
          <w:numId w:val="2"/>
        </w:numPr>
        <w:autoSpaceDN w:val="0"/>
        <w:spacing w:line="360" w:lineRule="auto"/>
        <w:ind w:firstLine="420" w:firstLineChars="200"/>
        <w:rPr>
          <w:rFonts w:hint="eastAsia" w:asciiTheme="majorEastAsia" w:hAnsiTheme="majorEastAsia" w:eastAsiaTheme="majorEastAsia"/>
          <w:szCs w:val="21"/>
          <w:lang w:val="zh-CN" w:eastAsia="zh-CN"/>
        </w:rPr>
      </w:pPr>
      <w:r>
        <w:rPr>
          <w:rFonts w:hint="eastAsia" w:asciiTheme="majorEastAsia" w:hAnsiTheme="majorEastAsia" w:eastAsiaTheme="majorEastAsia"/>
          <w:szCs w:val="21"/>
          <w:lang w:val="zh-CN" w:eastAsia="zh-CN"/>
        </w:rPr>
        <w:t>“政采数金平台”联系电话：0431-81888992/81888798</w:t>
      </w:r>
    </w:p>
    <w:p>
      <w:pPr>
        <w:pStyle w:val="20"/>
        <w:numPr>
          <w:ilvl w:val="0"/>
          <w:numId w:val="0"/>
        </w:numPr>
      </w:pPr>
    </w:p>
    <w:p>
      <w:pPr>
        <w:pStyle w:val="2"/>
        <w:autoSpaceDN w:val="0"/>
        <w:spacing w:before="0" w:after="0" w:line="360" w:lineRule="auto"/>
        <w:jc w:val="center"/>
        <w:rPr>
          <w:rFonts w:asciiTheme="majorEastAsia" w:hAnsiTheme="majorEastAsia" w:eastAsiaTheme="majorEastAsia"/>
        </w:rPr>
      </w:pPr>
      <w:bookmarkStart w:id="38" w:name="_Toc12303"/>
      <w:r>
        <w:rPr>
          <w:rFonts w:hint="eastAsia" w:asciiTheme="majorEastAsia" w:hAnsiTheme="majorEastAsia" w:eastAsiaTheme="majorEastAsia"/>
        </w:rPr>
        <w:t>第二部分</w:t>
      </w:r>
      <w:r>
        <w:rPr>
          <w:rFonts w:asciiTheme="majorEastAsia" w:hAnsiTheme="majorEastAsia" w:eastAsiaTheme="majorEastAsia"/>
        </w:rPr>
        <w:t xml:space="preserve">  </w:t>
      </w:r>
      <w:r>
        <w:rPr>
          <w:rFonts w:hint="eastAsia" w:asciiTheme="majorEastAsia" w:hAnsiTheme="majorEastAsia" w:eastAsiaTheme="majorEastAsia"/>
        </w:rPr>
        <w:t>供应商须知</w:t>
      </w:r>
      <w:bookmarkEnd w:id="38"/>
    </w:p>
    <w:p>
      <w:pPr>
        <w:pStyle w:val="3"/>
        <w:keepNext/>
        <w:keepLines/>
        <w:pageBreakBefore w:val="0"/>
        <w:widowControl w:val="0"/>
        <w:tabs>
          <w:tab w:val="left" w:pos="360"/>
        </w:tabs>
        <w:kinsoku/>
        <w:wordWrap/>
        <w:overflowPunct/>
        <w:topLinePunct w:val="0"/>
        <w:autoSpaceDE/>
        <w:autoSpaceDN w:val="0"/>
        <w:bidi w:val="0"/>
        <w:adjustRightInd/>
        <w:snapToGrid/>
        <w:spacing w:before="20" w:after="140" w:line="240" w:lineRule="auto"/>
        <w:jc w:val="center"/>
        <w:textAlignment w:val="auto"/>
        <w:rPr>
          <w:rFonts w:asciiTheme="majorEastAsia" w:hAnsiTheme="majorEastAsia" w:eastAsiaTheme="majorEastAsia"/>
        </w:rPr>
      </w:pPr>
      <w:r>
        <w:rPr>
          <w:rFonts w:hint="eastAsia" w:asciiTheme="majorEastAsia" w:hAnsiTheme="majorEastAsia" w:eastAsiaTheme="majorEastAsia"/>
        </w:rPr>
        <w:t>一、供应商须知前附表</w:t>
      </w:r>
    </w:p>
    <w:tbl>
      <w:tblPr>
        <w:tblStyle w:val="22"/>
        <w:tblW w:w="952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2"/>
        <w:gridCol w:w="2070"/>
        <w:gridCol w:w="65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asciiTheme="majorEastAsia" w:hAnsiTheme="majorEastAsia" w:eastAsiaTheme="majorEastAsia"/>
                <w:szCs w:val="21"/>
              </w:rPr>
            </w:pPr>
            <w:r>
              <w:rPr>
                <w:rFonts w:hint="eastAsia" w:ascii="宋体" w:hAnsi="宋体" w:eastAsia="宋体" w:cs="宋体"/>
                <w:sz w:val="21"/>
                <w:szCs w:val="11"/>
                <w:highlight w:val="none"/>
                <w:lang w:val="zh-CN"/>
              </w:rPr>
              <w:t>条款号</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内    容</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tabs>
                <w:tab w:val="left" w:pos="1180"/>
              </w:tabs>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eastAsia="宋体" w:cs="宋体"/>
                <w:sz w:val="21"/>
                <w:szCs w:val="11"/>
                <w:highlight w:val="none"/>
                <w:lang w:val="zh-CN"/>
              </w:rPr>
              <w:t>1</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采购人</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kern w:val="15"/>
                <w:szCs w:val="21"/>
              </w:rPr>
            </w:pPr>
            <w:r>
              <w:rPr>
                <w:rFonts w:hint="eastAsia" w:asciiTheme="majorEastAsia" w:hAnsiTheme="majorEastAsia" w:eastAsiaTheme="majorEastAsia"/>
                <w:bCs/>
                <w:kern w:val="15"/>
                <w:szCs w:val="21"/>
              </w:rPr>
              <w:t>采购单位：长春新区教育局</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kern w:val="15"/>
                <w:szCs w:val="21"/>
              </w:rPr>
            </w:pPr>
            <w:r>
              <w:rPr>
                <w:rFonts w:hint="eastAsia" w:asciiTheme="majorEastAsia" w:hAnsiTheme="majorEastAsia" w:eastAsiaTheme="majorEastAsia"/>
                <w:bCs/>
                <w:kern w:val="15"/>
                <w:szCs w:val="21"/>
              </w:rPr>
              <w:t>联 系 人：李</w:t>
            </w:r>
            <w:r>
              <w:rPr>
                <w:rFonts w:asciiTheme="majorEastAsia" w:hAnsiTheme="majorEastAsia" w:eastAsiaTheme="majorEastAsia"/>
                <w:bCs/>
                <w:kern w:val="15"/>
                <w:szCs w:val="21"/>
              </w:rPr>
              <w:t xml:space="preserve">先生 </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bCs/>
                <w:kern w:val="15"/>
                <w:szCs w:val="21"/>
              </w:rPr>
              <w:t xml:space="preserve">联系电话：0431-82538548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hAnsi="宋体" w:cs="宋体"/>
                <w:sz w:val="21"/>
                <w:szCs w:val="11"/>
                <w:highlight w:val="none"/>
                <w:lang w:val="en-US" w:eastAsia="zh-CN"/>
              </w:rPr>
              <w:t>2</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采购代理机构</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hint="eastAsia" w:asciiTheme="majorEastAsia" w:hAnsiTheme="majorEastAsia" w:eastAsiaTheme="majorEastAsia"/>
                <w:szCs w:val="21"/>
                <w:lang w:val="zh-CN" w:eastAsia="zh-CN"/>
              </w:rPr>
            </w:pPr>
            <w:r>
              <w:rPr>
                <w:rFonts w:hint="eastAsia" w:asciiTheme="majorEastAsia" w:hAnsiTheme="majorEastAsia" w:eastAsiaTheme="majorEastAsia"/>
                <w:szCs w:val="21"/>
                <w:lang w:val="zh-CN" w:eastAsia="zh-CN"/>
              </w:rPr>
              <w:t>名称：吉林省亿安建设项目管理有限公司</w:t>
            </w:r>
          </w:p>
          <w:p>
            <w:pPr>
              <w:keepNext w:val="0"/>
              <w:keepLines w:val="0"/>
              <w:pageBreakBefore w:val="0"/>
              <w:kinsoku/>
              <w:wordWrap/>
              <w:overflowPunct/>
              <w:autoSpaceDN w:val="0"/>
              <w:bidi w:val="0"/>
              <w:adjustRightInd w:val="0"/>
              <w:snapToGrid w:val="0"/>
              <w:spacing w:line="400" w:lineRule="exact"/>
              <w:rPr>
                <w:rFonts w:hint="eastAsia" w:asciiTheme="majorEastAsia" w:hAnsiTheme="majorEastAsia" w:eastAsiaTheme="majorEastAsia"/>
                <w:szCs w:val="21"/>
                <w:lang w:val="zh-CN" w:eastAsia="zh-CN"/>
              </w:rPr>
            </w:pPr>
            <w:r>
              <w:rPr>
                <w:rFonts w:hint="eastAsia" w:asciiTheme="majorEastAsia" w:hAnsiTheme="majorEastAsia" w:eastAsiaTheme="majorEastAsia"/>
                <w:szCs w:val="21"/>
                <w:lang w:val="zh-CN" w:eastAsia="zh-CN"/>
              </w:rPr>
              <w:t>地址：长春市双创中心B座1520室</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lang w:val="zh-CN" w:eastAsia="zh-CN"/>
              </w:rPr>
              <w:t>联系方式：安浩坤</w:t>
            </w:r>
            <w:r>
              <w:rPr>
                <w:rFonts w:hint="eastAsia" w:asciiTheme="majorEastAsia" w:hAnsiTheme="majorEastAsia" w:eastAsiaTheme="majorEastAsia"/>
                <w:szCs w:val="21"/>
                <w:lang w:val="en-US" w:eastAsia="zh-CN"/>
              </w:rPr>
              <w:t xml:space="preserve"> </w:t>
            </w:r>
            <w:r>
              <w:rPr>
                <w:rFonts w:hint="eastAsia" w:asciiTheme="majorEastAsia" w:hAnsiTheme="majorEastAsia" w:eastAsiaTheme="majorEastAsia"/>
                <w:szCs w:val="21"/>
                <w:lang w:val="zh-CN" w:eastAsia="zh-CN"/>
              </w:rPr>
              <w:t>13104459825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asciiTheme="majorEastAsia" w:hAnsiTheme="majorEastAsia" w:eastAsiaTheme="majorEastAsia"/>
                <w:szCs w:val="21"/>
              </w:rPr>
            </w:pPr>
            <w:r>
              <w:rPr>
                <w:rFonts w:hint="eastAsia" w:hAnsi="宋体" w:cs="宋体"/>
                <w:sz w:val="21"/>
                <w:szCs w:val="11"/>
                <w:highlight w:val="none"/>
                <w:lang w:val="en-US" w:eastAsia="zh-CN"/>
              </w:rPr>
              <w:t>3</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项目名称</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hint="eastAsia" w:asciiTheme="majorEastAsia" w:hAnsiTheme="majorEastAsia" w:eastAsiaTheme="majorEastAsia"/>
                <w:szCs w:val="21"/>
                <w:lang w:eastAsia="zh-CN"/>
              </w:rPr>
            </w:pPr>
            <w:r>
              <w:rPr>
                <w:rFonts w:hint="eastAsia" w:asciiTheme="majorEastAsia" w:hAnsiTheme="majorEastAsia" w:eastAsiaTheme="majorEastAsia"/>
                <w:szCs w:val="21"/>
                <w:lang w:eastAsia="zh-CN"/>
              </w:rPr>
              <w:t>长春新区教育局17所公办学校安保服务采购项目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asciiTheme="majorEastAsia" w:hAnsiTheme="majorEastAsia" w:eastAsiaTheme="majorEastAsia"/>
                <w:szCs w:val="21"/>
              </w:rPr>
            </w:pPr>
            <w:r>
              <w:rPr>
                <w:rFonts w:hint="eastAsia" w:hAnsi="宋体" w:cs="宋体"/>
                <w:sz w:val="21"/>
                <w:szCs w:val="11"/>
                <w:highlight w:val="none"/>
                <w:lang w:val="en-US" w:eastAsia="zh-CN"/>
              </w:rPr>
              <w:t>4</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项目编号</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lang w:eastAsia="zh-CN"/>
              </w:rPr>
              <w:t>XQZC2023-083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5</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cs="宋体" w:asciiTheme="majorEastAsia" w:hAnsiTheme="majorEastAsia" w:eastAsiaTheme="majorEastAsia"/>
                <w:bCs/>
                <w:szCs w:val="21"/>
                <w:lang w:val="zh-CN"/>
              </w:rPr>
              <w:t>采购预算</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bCs/>
                <w:kern w:val="15"/>
                <w:szCs w:val="21"/>
              </w:rPr>
              <w:t>采购预算：</w:t>
            </w:r>
            <w:r>
              <w:rPr>
                <w:rFonts w:hint="eastAsia" w:asciiTheme="majorEastAsia" w:hAnsiTheme="majorEastAsia" w:eastAsiaTheme="majorEastAsia"/>
                <w:kern w:val="0"/>
                <w:szCs w:val="21"/>
                <w:lang w:eastAsia="zh-CN"/>
              </w:rPr>
              <w:t>6440000</w:t>
            </w:r>
            <w:r>
              <w:rPr>
                <w:rFonts w:hint="eastAsia" w:asciiTheme="majorEastAsia" w:hAnsiTheme="majorEastAsia" w:eastAsiaTheme="majorEastAsia"/>
                <w:kern w:val="0"/>
                <w:szCs w:val="21"/>
              </w:rPr>
              <w:t>元</w:t>
            </w:r>
            <w:r>
              <w:rPr>
                <w:rFonts w:hint="eastAsia" w:asciiTheme="majorEastAsia" w:hAnsiTheme="majorEastAsia" w:eastAsiaTheme="majorEastAsia"/>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6</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hint="eastAsia" w:asciiTheme="majorEastAsia" w:hAnsiTheme="majorEastAsia" w:eastAsiaTheme="majorEastAsia"/>
                <w:szCs w:val="21"/>
                <w:lang w:eastAsia="zh-CN"/>
              </w:rPr>
            </w:pPr>
            <w:r>
              <w:rPr>
                <w:rFonts w:hint="eastAsia" w:asciiTheme="majorEastAsia" w:hAnsiTheme="majorEastAsia" w:eastAsiaTheme="majorEastAsia"/>
                <w:bCs/>
                <w:kern w:val="15"/>
                <w:szCs w:val="21"/>
                <w:lang w:eastAsia="zh-CN"/>
              </w:rPr>
              <w:t>服务地点</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hint="eastAsia" w:asciiTheme="majorEastAsia" w:hAnsiTheme="majorEastAsia" w:eastAsiaTheme="majorEastAsia"/>
                <w:szCs w:val="21"/>
                <w:lang w:eastAsia="zh-CN"/>
              </w:rPr>
            </w:pPr>
            <w:r>
              <w:rPr>
                <w:rFonts w:hint="eastAsia" w:asciiTheme="majorEastAsia" w:hAnsiTheme="majorEastAsia" w:eastAsiaTheme="majorEastAsia"/>
                <w:kern w:val="0"/>
                <w:szCs w:val="21"/>
                <w:shd w:val="clear" w:color="auto" w:fill="FFFFFF"/>
                <w:lang w:eastAsia="zh-CN"/>
              </w:rPr>
              <w:t>长春新区教育局17所公办学校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7</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采购内容</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bookmarkStart w:id="39" w:name="blank16_copy_1619577590000"/>
            <w:r>
              <w:rPr>
                <w:rFonts w:hint="eastAsia" w:asciiTheme="majorEastAsia" w:hAnsiTheme="majorEastAsia" w:eastAsiaTheme="majorEastAsia"/>
                <w:szCs w:val="21"/>
                <w:lang w:eastAsia="zh-CN"/>
              </w:rPr>
              <w:t>学校安保服务采购，</w:t>
            </w:r>
            <w:r>
              <w:rPr>
                <w:rFonts w:hint="eastAsia" w:asciiTheme="majorEastAsia" w:hAnsiTheme="majorEastAsia" w:eastAsiaTheme="majorEastAsia"/>
                <w:kern w:val="0"/>
                <w:szCs w:val="21"/>
              </w:rPr>
              <w:t>具体</w:t>
            </w:r>
            <w:r>
              <w:rPr>
                <w:rFonts w:hint="eastAsia" w:asciiTheme="majorEastAsia" w:hAnsiTheme="majorEastAsia" w:eastAsiaTheme="majorEastAsia"/>
                <w:kern w:val="0"/>
                <w:szCs w:val="21"/>
                <w:lang w:val="en-US" w:eastAsia="zh-CN"/>
              </w:rPr>
              <w:t>内容</w:t>
            </w:r>
            <w:r>
              <w:rPr>
                <w:rFonts w:hint="eastAsia" w:asciiTheme="majorEastAsia" w:hAnsiTheme="majorEastAsia" w:eastAsiaTheme="majorEastAsia"/>
                <w:kern w:val="0"/>
                <w:szCs w:val="21"/>
              </w:rPr>
              <w:t>详见招标文件；</w:t>
            </w:r>
            <w:bookmarkEnd w:id="3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8</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bCs/>
                <w:kern w:val="15"/>
                <w:szCs w:val="21"/>
              </w:rPr>
              <w:t>质量要求</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kern w:val="0"/>
                <w:szCs w:val="21"/>
              </w:rPr>
            </w:pPr>
            <w:r>
              <w:rPr>
                <w:rFonts w:hint="eastAsia" w:asciiTheme="majorEastAsia" w:hAnsiTheme="majorEastAsia" w:eastAsiaTheme="majorEastAsia"/>
                <w:bCs/>
                <w:kern w:val="15"/>
                <w:szCs w:val="21"/>
              </w:rPr>
              <w:t>符合国家及行业相关合格标准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9</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合同履行期限</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bookmarkStart w:id="40" w:name="blank17_copy_1619577596000"/>
            <w:r>
              <w:rPr>
                <w:rFonts w:hint="eastAsia" w:asciiTheme="majorEastAsia" w:hAnsiTheme="majorEastAsia" w:eastAsiaTheme="majorEastAsia"/>
                <w:kern w:val="0"/>
                <w:szCs w:val="21"/>
                <w:lang w:eastAsia="zh-CN"/>
              </w:rPr>
              <w:t>2024年2月1日至2024年12月31日</w:t>
            </w:r>
            <w:r>
              <w:rPr>
                <w:rFonts w:hint="eastAsia" w:asciiTheme="majorEastAsia" w:hAnsiTheme="majorEastAsia" w:eastAsiaTheme="majorEastAsia"/>
                <w:kern w:val="0"/>
                <w:szCs w:val="21"/>
              </w:rPr>
              <w:t>；</w:t>
            </w:r>
            <w:bookmarkEnd w:id="4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11</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资金来源</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szCs w:val="21"/>
              </w:rPr>
            </w:pPr>
            <w:r>
              <w:rPr>
                <w:rFonts w:hint="eastAsia" w:cs="宋体" w:asciiTheme="majorEastAsia" w:hAnsiTheme="majorEastAsia" w:eastAsiaTheme="majorEastAsia"/>
                <w:bCs/>
                <w:szCs w:val="21"/>
              </w:rPr>
              <w:t>财政</w:t>
            </w:r>
            <w:r>
              <w:rPr>
                <w:rFonts w:hint="eastAsia" w:cs="宋体" w:asciiTheme="majorEastAsia" w:hAnsiTheme="majorEastAsia" w:eastAsiaTheme="majorEastAsia"/>
                <w:bCs/>
                <w:szCs w:val="21"/>
                <w:lang w:val="zh-CN"/>
              </w:rPr>
              <w:t>资金</w:t>
            </w:r>
            <w:r>
              <w:rPr>
                <w:rFonts w:hint="eastAsia" w:asciiTheme="majorEastAsia" w:hAnsiTheme="majorEastAsia" w:eastAsiaTheme="majorEastAsia"/>
                <w:szCs w:val="21"/>
              </w:rPr>
              <w:t>（已落实）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12</w:t>
            </w:r>
          </w:p>
        </w:tc>
        <w:tc>
          <w:tcPr>
            <w:tcW w:w="2070" w:type="dxa"/>
            <w:tcBorders>
              <w:top w:val="single" w:color="auto" w:sz="4" w:space="0"/>
              <w:left w:val="single" w:color="auto" w:sz="4" w:space="0"/>
              <w:bottom w:val="nil"/>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hint="eastAsia" w:asciiTheme="majorEastAsia" w:hAnsiTheme="majorEastAsia" w:eastAsiaTheme="majorEastAsia"/>
                <w:szCs w:val="21"/>
              </w:rPr>
            </w:pPr>
            <w:r>
              <w:rPr>
                <w:rFonts w:hint="eastAsia" w:asciiTheme="majorEastAsia" w:hAnsiTheme="majorEastAsia" w:eastAsiaTheme="majorEastAsia"/>
                <w:szCs w:val="21"/>
              </w:rPr>
              <w:t>供应商</w:t>
            </w:r>
          </w:p>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资格要求</w:t>
            </w:r>
          </w:p>
        </w:tc>
        <w:tc>
          <w:tcPr>
            <w:tcW w:w="6597" w:type="dxa"/>
            <w:tcBorders>
              <w:top w:val="single" w:color="auto" w:sz="4" w:space="0"/>
              <w:left w:val="single" w:color="auto" w:sz="4" w:space="0"/>
              <w:bottom w:val="nil"/>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2.1 满足《中华人民共和国政府采购法》第二十二条和《中华人民共和国政府采购法实施条例》第十七条的规定；具有有效的营业执照，并在人员、设备、资金、安装等方面具备相应的能力；</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（1）具有独立承担民事责任的能力；</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color w:val="FF0000"/>
                <w:szCs w:val="21"/>
                <w:shd w:val="clear" w:color="auto" w:fill="FFFFFF"/>
              </w:rPr>
            </w:pPr>
            <w:r>
              <w:rPr>
                <w:rFonts w:hint="eastAsia" w:cs="宋体" w:asciiTheme="majorEastAsia" w:hAnsiTheme="majorEastAsia" w:eastAsiaTheme="majorEastAsia"/>
                <w:bCs/>
                <w:szCs w:val="21"/>
                <w:shd w:val="clear" w:color="auto" w:fill="FFFFFF"/>
              </w:rPr>
              <w:t>（2）具有良好的商业信誉和健全的财务会计制度，提供202</w:t>
            </w:r>
            <w:r>
              <w:rPr>
                <w:rFonts w:cs="宋体" w:asciiTheme="majorEastAsia" w:hAnsiTheme="majorEastAsia" w:eastAsiaTheme="majorEastAsia"/>
                <w:bCs/>
                <w:szCs w:val="21"/>
                <w:shd w:val="clear" w:color="auto" w:fill="FFFFFF"/>
              </w:rPr>
              <w:t>2</w:t>
            </w:r>
            <w:r>
              <w:rPr>
                <w:rFonts w:hint="eastAsia" w:cs="宋体" w:asciiTheme="majorEastAsia" w:hAnsiTheme="majorEastAsia" w:eastAsiaTheme="majorEastAsia"/>
                <w:bCs/>
                <w:szCs w:val="21"/>
                <w:shd w:val="clear" w:color="auto" w:fill="FFFFFF"/>
              </w:rPr>
              <w:t>年经审计的财务审计报告（若为202</w:t>
            </w:r>
            <w:r>
              <w:rPr>
                <w:rFonts w:cs="宋体" w:asciiTheme="majorEastAsia" w:hAnsiTheme="majorEastAsia" w:eastAsiaTheme="majorEastAsia"/>
                <w:bCs/>
                <w:szCs w:val="21"/>
                <w:shd w:val="clear" w:color="auto" w:fill="FFFFFF"/>
              </w:rPr>
              <w:t>3</w:t>
            </w:r>
            <w:r>
              <w:rPr>
                <w:rFonts w:hint="eastAsia" w:cs="宋体" w:asciiTheme="majorEastAsia" w:hAnsiTheme="majorEastAsia" w:eastAsiaTheme="majorEastAsia"/>
                <w:bCs/>
                <w:szCs w:val="21"/>
                <w:shd w:val="clear" w:color="auto" w:fill="FFFFFF"/>
              </w:rPr>
              <w:t>年成立公司可提供自成立之日起至今的财务报表）或近三个月内基本银行账户开具的资信证明；</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（3）具有履行合同所必需的设备和专业技术能力；</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4）依法缴纳税收和社会保障资金的良好记录，提供近六个月内任意一个月企业依法缴纳税收及社保的相关材料（依法免税或无欠税、依法不需要缴纳社会保险的，应提供相应文件证明其依法免税或无欠税、依法不需要缴纳社会保险）；</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（5）参加政府采购活动前三年内，在经营活动中没有重大违法记录；</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（6）法律、行政法规规定的其他条件。</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2.2 在中国裁判文书网上，近三年无行贿受贿犯罪记录；</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 xml:space="preserve">2.3近三年内（截止到本项目公告发布之日）不得为“信用中国”网站（www.creditchina.gov.cn）中列入失信被执行人和重大税收违法案件当事人名单供应商，不得为中国政府采购网（www.ccgp.gov.cn）政府采购严重违法失信行为记录名单中被财政部门禁止参加政府采购活动的供应商（在处罚决定规定的时间和地域范围内）； </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2.4 本项目不接受被列入失信被执人、重大税收违法案件当事人名单、政府采购严重违法失信行为记录名单的供应商参与投标（详见财库[2016]125号文件）；</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2.5 单位负责人为同一人或者存在控股、管理关系的不同单位，不得参加同一标段投标或者未划分标段的同一招标项目投标。违反这两款规定的，相关投标均无效；</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2.6 拒绝列入政府取消投标资格记录期间的企业或个人投标。</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2.7 落实政府采购政策需满足的资格要求：</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（1）《政府采购促进中小企业发展管理办法》(财库[2020]46号)；</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（2）《关于政府采购支持监狱企业发展有关问题的通知》(财库[2014]68号)；</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（3）《三部门联合发布关于促进残疾人就业政府采购政策的通知》(财库[2017]141号)；</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（4）《节能产品政府采购实施意见》的通知(财库〔2004〕185 号)；</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（5）《关于调整优化节能产品、环境标志产品政府采购执行机制的通知》(财库[2019]9号)。</w:t>
            </w:r>
          </w:p>
          <w:p>
            <w:pPr>
              <w:keepNext w:val="0"/>
              <w:keepLines w:val="0"/>
              <w:pageBreakBefore w:val="0"/>
              <w:kinsoku/>
              <w:wordWrap/>
              <w:overflowPunct/>
              <w:autoSpaceDN w:val="0"/>
              <w:bidi w:val="0"/>
              <w:adjustRightInd w:val="0"/>
              <w:snapToGrid w:val="0"/>
              <w:spacing w:line="400" w:lineRule="exact"/>
              <w:rPr>
                <w:rFonts w:hint="eastAsia"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2.8 本项目的特定资格要求：</w:t>
            </w:r>
          </w:p>
          <w:p>
            <w:pPr>
              <w:keepNext w:val="0"/>
              <w:keepLines w:val="0"/>
              <w:pageBreakBefore w:val="0"/>
              <w:kinsoku/>
              <w:wordWrap/>
              <w:overflowPunct/>
              <w:autoSpaceDN w:val="0"/>
              <w:bidi w:val="0"/>
              <w:adjustRightInd w:val="0"/>
              <w:snapToGrid w:val="0"/>
              <w:spacing w:line="400" w:lineRule="exact"/>
            </w:pPr>
            <w:r>
              <w:rPr>
                <w:rFonts w:hint="eastAsia" w:cs="宋体" w:asciiTheme="majorEastAsia" w:hAnsiTheme="majorEastAsia" w:eastAsiaTheme="majorEastAsia"/>
                <w:szCs w:val="21"/>
                <w:shd w:val="clear" w:color="auto" w:fill="FFFFFF"/>
                <w:lang w:eastAsia="zh-CN"/>
              </w:rPr>
              <w:t>（</w:t>
            </w:r>
            <w:r>
              <w:rPr>
                <w:rFonts w:hint="eastAsia" w:cs="宋体" w:asciiTheme="majorEastAsia" w:hAnsiTheme="majorEastAsia" w:eastAsiaTheme="majorEastAsia"/>
                <w:szCs w:val="21"/>
                <w:shd w:val="clear" w:color="auto" w:fill="FFFFFF"/>
                <w:lang w:val="en-US" w:eastAsia="zh-CN"/>
              </w:rPr>
              <w:t>1</w:t>
            </w:r>
            <w:r>
              <w:rPr>
                <w:rFonts w:hint="eastAsia" w:cs="宋体" w:asciiTheme="majorEastAsia" w:hAnsiTheme="majorEastAsia" w:eastAsiaTheme="majorEastAsia"/>
                <w:szCs w:val="21"/>
                <w:shd w:val="clear" w:color="auto" w:fill="FFFFFF"/>
                <w:lang w:eastAsia="zh-CN"/>
              </w:rPr>
              <w:t>）</w:t>
            </w:r>
            <w:r>
              <w:rPr>
                <w:rFonts w:hint="eastAsia" w:cs="宋体" w:asciiTheme="majorEastAsia" w:hAnsiTheme="majorEastAsia" w:eastAsiaTheme="majorEastAsia"/>
                <w:szCs w:val="21"/>
                <w:shd w:val="clear" w:color="auto" w:fill="FFFFFF"/>
                <w:lang w:val="en-US" w:eastAsia="zh-CN"/>
              </w:rPr>
              <w:t>供应商须</w:t>
            </w:r>
            <w:r>
              <w:rPr>
                <w:rFonts w:hint="eastAsia" w:cs="宋体" w:asciiTheme="majorEastAsia" w:hAnsiTheme="majorEastAsia" w:eastAsiaTheme="majorEastAsia"/>
                <w:szCs w:val="21"/>
                <w:shd w:val="clear" w:color="auto" w:fill="FFFFFF"/>
                <w:lang w:eastAsia="zh-CN"/>
              </w:rPr>
              <w:t>具备公安机关核发的有效的《保安服务许可证》</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shd w:val="clear" w:color="auto" w:fill="FFFFFF"/>
              </w:rPr>
            </w:pPr>
            <w:r>
              <w:rPr>
                <w:rFonts w:hint="eastAsia" w:cs="宋体" w:asciiTheme="majorEastAsia" w:hAnsiTheme="majorEastAsia" w:eastAsiaTheme="majorEastAsia"/>
                <w:bCs/>
                <w:szCs w:val="21"/>
                <w:shd w:val="clear" w:color="auto" w:fill="FFFFFF"/>
              </w:rPr>
              <w:t>（</w:t>
            </w:r>
            <w:r>
              <w:rPr>
                <w:rFonts w:hint="eastAsia" w:cs="宋体" w:asciiTheme="majorEastAsia" w:hAnsiTheme="majorEastAsia" w:eastAsiaTheme="majorEastAsia"/>
                <w:bCs/>
                <w:szCs w:val="21"/>
                <w:shd w:val="clear" w:color="auto" w:fill="FFFFFF"/>
                <w:lang w:val="en-US" w:eastAsia="zh-CN"/>
              </w:rPr>
              <w:t>2</w:t>
            </w:r>
            <w:r>
              <w:rPr>
                <w:rFonts w:hint="eastAsia" w:cs="宋体" w:asciiTheme="majorEastAsia" w:hAnsiTheme="majorEastAsia" w:eastAsiaTheme="majorEastAsia"/>
                <w:bCs/>
                <w:szCs w:val="21"/>
                <w:shd w:val="clear" w:color="auto" w:fill="FFFFFF"/>
              </w:rPr>
              <w:t>）</w:t>
            </w:r>
            <w:r>
              <w:rPr>
                <w:rFonts w:hint="eastAsia" w:cs="宋体" w:asciiTheme="majorEastAsia" w:hAnsiTheme="majorEastAsia" w:eastAsiaTheme="majorEastAsia"/>
                <w:bCs/>
                <w:szCs w:val="21"/>
                <w:shd w:val="clear" w:color="auto" w:fill="FFFFFF"/>
                <w:lang w:eastAsia="zh-CN"/>
              </w:rPr>
              <w:t>本项目专门面向中小企业采购</w:t>
            </w:r>
            <w:r>
              <w:rPr>
                <w:rFonts w:hint="eastAsia" w:cs="宋体" w:asciiTheme="majorEastAsia" w:hAnsiTheme="majorEastAsia" w:eastAsiaTheme="majorEastAsia"/>
                <w:bCs/>
                <w:szCs w:val="21"/>
                <w:shd w:val="clear" w:color="auto" w:fill="FFFFFF"/>
              </w:rPr>
              <w:t>。</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szCs w:val="21"/>
                <w:shd w:val="clear" w:color="auto" w:fill="FFFFFF"/>
              </w:rPr>
            </w:pPr>
            <w:r>
              <w:rPr>
                <w:rFonts w:hint="eastAsia" w:cs="宋体" w:asciiTheme="majorEastAsia" w:hAnsiTheme="majorEastAsia" w:eastAsiaTheme="majorEastAsia"/>
                <w:bCs/>
                <w:szCs w:val="21"/>
                <w:shd w:val="clear" w:color="auto" w:fill="FFFFFF"/>
              </w:rPr>
              <w:t>（</w:t>
            </w:r>
            <w:r>
              <w:rPr>
                <w:rFonts w:hint="eastAsia" w:cs="宋体" w:asciiTheme="majorEastAsia" w:hAnsiTheme="majorEastAsia" w:eastAsiaTheme="majorEastAsia"/>
                <w:bCs/>
                <w:szCs w:val="21"/>
                <w:shd w:val="clear" w:color="auto" w:fill="FFFFFF"/>
                <w:lang w:val="en-US" w:eastAsia="zh-CN"/>
              </w:rPr>
              <w:t>3</w:t>
            </w:r>
            <w:r>
              <w:rPr>
                <w:rFonts w:hint="eastAsia" w:cs="宋体" w:asciiTheme="majorEastAsia" w:hAnsiTheme="majorEastAsia" w:eastAsiaTheme="majorEastAsia"/>
                <w:bCs/>
                <w:szCs w:val="21"/>
                <w:shd w:val="clear" w:color="auto" w:fill="FFFFFF"/>
              </w:rPr>
              <w:t>）招投标过程中，</w:t>
            </w:r>
            <w:r>
              <w:rPr>
                <w:rFonts w:hint="eastAsia" w:cs="宋体" w:asciiTheme="majorEastAsia" w:hAnsiTheme="majorEastAsia" w:eastAsiaTheme="majorEastAsia"/>
                <w:bCs/>
                <w:szCs w:val="21"/>
                <w:shd w:val="clear" w:color="auto" w:fill="FFFFFF"/>
                <w:lang w:eastAsia="zh-CN"/>
              </w:rPr>
              <w:t>供应商</w:t>
            </w:r>
            <w:r>
              <w:rPr>
                <w:rFonts w:hint="eastAsia" w:cs="宋体" w:asciiTheme="majorEastAsia" w:hAnsiTheme="majorEastAsia" w:eastAsiaTheme="majorEastAsia"/>
                <w:bCs/>
                <w:szCs w:val="21"/>
                <w:shd w:val="clear" w:color="auto" w:fill="FFFFFF"/>
              </w:rPr>
              <w:t>所提供的所有证件均需在有效期内且注册单位名称与</w:t>
            </w:r>
            <w:r>
              <w:rPr>
                <w:rFonts w:hint="eastAsia" w:cs="宋体" w:asciiTheme="majorEastAsia" w:hAnsiTheme="majorEastAsia" w:eastAsiaTheme="majorEastAsia"/>
                <w:bCs/>
                <w:szCs w:val="21"/>
                <w:shd w:val="clear" w:color="auto" w:fill="FFFFFF"/>
                <w:lang w:eastAsia="zh-CN"/>
              </w:rPr>
              <w:t>供应商</w:t>
            </w:r>
            <w:r>
              <w:rPr>
                <w:rFonts w:hint="eastAsia" w:cs="宋体" w:asciiTheme="majorEastAsia" w:hAnsiTheme="majorEastAsia" w:eastAsiaTheme="majorEastAsia"/>
                <w:bCs/>
                <w:szCs w:val="21"/>
                <w:shd w:val="clear" w:color="auto" w:fill="FFFFFF"/>
              </w:rPr>
              <w:t>的名称一致，如企业名称发生变更，需提供主管部门出具的变更证明材料，否则不接受其供应商参与本次招标项目的投标。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13</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hint="eastAsia" w:asciiTheme="majorEastAsia" w:hAnsiTheme="majorEastAsia" w:eastAsiaTheme="majorEastAsia"/>
                <w:szCs w:val="21"/>
              </w:rPr>
            </w:pPr>
            <w:r>
              <w:rPr>
                <w:rFonts w:hint="eastAsia" w:asciiTheme="majorEastAsia" w:hAnsiTheme="majorEastAsia" w:eastAsiaTheme="majorEastAsia"/>
                <w:szCs w:val="21"/>
              </w:rPr>
              <w:t>是否接受</w:t>
            </w:r>
          </w:p>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highlight w:val="yellow"/>
              </w:rPr>
            </w:pPr>
            <w:r>
              <w:rPr>
                <w:rFonts w:hint="eastAsia" w:asciiTheme="majorEastAsia" w:hAnsiTheme="majorEastAsia" w:eastAsiaTheme="majorEastAsia"/>
                <w:szCs w:val="21"/>
              </w:rPr>
              <w:t>联合体投标</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□是，接受</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√否，不接受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14</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highlight w:val="yellow"/>
              </w:rPr>
            </w:pPr>
            <w:r>
              <w:rPr>
                <w:rFonts w:hint="eastAsia" w:asciiTheme="majorEastAsia" w:hAnsiTheme="majorEastAsia" w:eastAsiaTheme="majorEastAsia"/>
                <w:szCs w:val="21"/>
              </w:rPr>
              <w:t>踏勘现场</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szCs w:val="21"/>
              </w:rPr>
            </w:pPr>
            <w:r>
              <w:rPr>
                <w:rFonts w:hint="eastAsia" w:asciiTheme="majorEastAsia" w:hAnsiTheme="majorEastAsia" w:eastAsiaTheme="majorEastAsia"/>
                <w:szCs w:val="21"/>
              </w:rPr>
              <w:t>√</w:t>
            </w:r>
            <w:r>
              <w:rPr>
                <w:rFonts w:hint="eastAsia" w:cs="宋体" w:asciiTheme="majorEastAsia" w:hAnsiTheme="majorEastAsia" w:eastAsiaTheme="majorEastAsia"/>
                <w:szCs w:val="21"/>
              </w:rPr>
              <w:t>不组织</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□组织，踏勘时间：</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highlight w:val="yellow"/>
              </w:rPr>
            </w:pPr>
            <w:r>
              <w:rPr>
                <w:rFonts w:hint="eastAsia" w:cs="宋体" w:asciiTheme="majorEastAsia" w:hAnsiTheme="majorEastAsia" w:eastAsiaTheme="majorEastAsia"/>
                <w:szCs w:val="21"/>
              </w:rPr>
              <w:t xml:space="preserve">        踏勘集中地点：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15</w:t>
            </w:r>
          </w:p>
        </w:tc>
        <w:tc>
          <w:tcPr>
            <w:tcW w:w="2070" w:type="dxa"/>
            <w:tcBorders>
              <w:top w:val="single" w:color="auto" w:sz="4" w:space="0"/>
              <w:left w:val="single" w:color="auto" w:sz="4" w:space="0"/>
              <w:bottom w:val="nil"/>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hint="eastAsia" w:asciiTheme="majorEastAsia" w:hAnsiTheme="majorEastAsia" w:eastAsiaTheme="majorEastAsia"/>
                <w:szCs w:val="21"/>
              </w:rPr>
            </w:pPr>
            <w:r>
              <w:rPr>
                <w:rFonts w:hint="eastAsia" w:asciiTheme="majorEastAsia" w:hAnsiTheme="majorEastAsia" w:eastAsiaTheme="majorEastAsia"/>
                <w:szCs w:val="21"/>
              </w:rPr>
              <w:t>答疑会</w:t>
            </w:r>
          </w:p>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时间及地点</w:t>
            </w:r>
          </w:p>
        </w:tc>
        <w:tc>
          <w:tcPr>
            <w:tcW w:w="6597" w:type="dxa"/>
            <w:tcBorders>
              <w:top w:val="single" w:color="auto" w:sz="4" w:space="0"/>
              <w:left w:val="single" w:color="auto" w:sz="4" w:space="0"/>
              <w:bottom w:val="nil"/>
              <w:right w:val="single" w:color="auto" w:sz="4" w:space="0"/>
            </w:tcBorders>
            <w:noWrap/>
            <w:vAlign w:val="center"/>
          </w:tcPr>
          <w:p>
            <w:pPr>
              <w:pStyle w:val="8"/>
              <w:keepNext w:val="0"/>
              <w:keepLines w:val="0"/>
              <w:pageBreakBefore w:val="0"/>
              <w:kinsoku/>
              <w:wordWrap/>
              <w:overflowPunct/>
              <w:topLinePunct/>
              <w:autoSpaceDN w:val="0"/>
              <w:bidi w:val="0"/>
              <w:adjustRightInd w:val="0"/>
              <w:snapToGrid w:val="0"/>
              <w:spacing w:line="400" w:lineRule="exact"/>
              <w:rPr>
                <w:rFonts w:asciiTheme="majorEastAsia" w:hAnsiTheme="majorEastAsia" w:eastAsiaTheme="majorEastAsia"/>
                <w:sz w:val="21"/>
                <w:szCs w:val="21"/>
              </w:rPr>
            </w:pPr>
            <w:r>
              <w:rPr>
                <w:rFonts w:hint="eastAsia" w:asciiTheme="majorEastAsia" w:hAnsiTheme="majorEastAsia" w:eastAsiaTheme="majorEastAsia"/>
                <w:szCs w:val="21"/>
              </w:rPr>
              <w:t>√</w:t>
            </w:r>
            <w:r>
              <w:rPr>
                <w:rFonts w:hint="eastAsia" w:asciiTheme="majorEastAsia" w:hAnsiTheme="majorEastAsia" w:eastAsiaTheme="majorEastAsia"/>
                <w:sz w:val="21"/>
                <w:szCs w:val="21"/>
              </w:rPr>
              <w:t>不召开</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□召开，召开时间：</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cs="宋体" w:asciiTheme="majorEastAsia" w:hAnsiTheme="majorEastAsia" w:eastAsiaTheme="majorEastAsia"/>
                <w:szCs w:val="21"/>
              </w:rPr>
              <w:t xml:space="preserve">         召开地点：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16</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分包、转包</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17</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偏离</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kern w:val="15"/>
                <w:szCs w:val="21"/>
              </w:rPr>
            </w:pPr>
            <w:r>
              <w:rPr>
                <w:rFonts w:hint="eastAsia" w:asciiTheme="majorEastAsia" w:hAnsiTheme="majorEastAsia" w:eastAsiaTheme="majorEastAsia"/>
                <w:szCs w:val="21"/>
              </w:rPr>
              <w:t>√</w:t>
            </w:r>
            <w:r>
              <w:rPr>
                <w:rFonts w:hint="eastAsia" w:cs="宋体" w:asciiTheme="majorEastAsia" w:hAnsiTheme="majorEastAsia" w:eastAsiaTheme="majorEastAsia"/>
                <w:kern w:val="15"/>
                <w:szCs w:val="21"/>
              </w:rPr>
              <w:t>允许正偏离</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cs="宋体" w:asciiTheme="majorEastAsia" w:hAnsiTheme="majorEastAsia" w:eastAsiaTheme="majorEastAsia"/>
                <w:kern w:val="15"/>
                <w:szCs w:val="21"/>
              </w:rPr>
              <w:t>□不接受任何偏离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18</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构成投标文件</w:t>
            </w:r>
          </w:p>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的其他材料</w:t>
            </w:r>
          </w:p>
        </w:tc>
        <w:tc>
          <w:tcPr>
            <w:tcW w:w="6597" w:type="dxa"/>
            <w:tcBorders>
              <w:top w:val="single" w:color="auto" w:sz="4" w:space="0"/>
              <w:left w:val="single" w:color="auto" w:sz="4" w:space="0"/>
              <w:bottom w:val="single" w:color="auto" w:sz="4" w:space="0"/>
              <w:right w:val="single" w:color="auto" w:sz="4" w:space="0"/>
            </w:tcBorders>
            <w:noWrap/>
            <w:vAlign w:val="center"/>
          </w:tcPr>
          <w:p>
            <w:pPr>
              <w:pStyle w:val="53"/>
              <w:keepNext w:val="0"/>
              <w:keepLines w:val="0"/>
              <w:pageBreakBefore w:val="0"/>
              <w:kinsoku/>
              <w:wordWrap/>
              <w:overflowPunct/>
              <w:autoSpaceDN w:val="0"/>
              <w:bidi w:val="0"/>
              <w:snapToGrid w:val="0"/>
              <w:spacing w:line="400" w:lineRule="exact"/>
              <w:rPr>
                <w:rFonts w:asciiTheme="majorEastAsia" w:hAnsiTheme="majorEastAsia" w:eastAsiaTheme="majorEastAsia"/>
                <w:bCs/>
                <w:szCs w:val="21"/>
                <w:shd w:val="clear" w:color="auto" w:fill="FFFFFF"/>
              </w:rPr>
            </w:pPr>
            <w:r>
              <w:rPr>
                <w:rFonts w:hint="eastAsia" w:asciiTheme="majorEastAsia" w:hAnsiTheme="majorEastAsia" w:eastAsiaTheme="majorEastAsia"/>
                <w:bCs/>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19</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textAlignment w:val="baseline"/>
              <w:rPr>
                <w:rFonts w:asciiTheme="majorEastAsia" w:hAnsiTheme="majorEastAsia" w:eastAsiaTheme="majorEastAsia"/>
                <w:szCs w:val="21"/>
              </w:rPr>
            </w:pPr>
            <w:r>
              <w:rPr>
                <w:rFonts w:hint="eastAsia" w:asciiTheme="majorEastAsia" w:hAnsiTheme="majorEastAsia" w:eastAsiaTheme="majorEastAsia"/>
                <w:szCs w:val="21"/>
              </w:rPr>
              <w:t>签字或盖章要求</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（1）所有要求签字的地方都应用不褪色的墨水或签字笔由本人亲笔手写签字（包括姓和名），不得用盖章（如签名章、签字章等）代替，也不得由他人代签。 </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（2）所有要求盖章的地方都应按照招标文件的规定加盖与</w:t>
            </w:r>
            <w:r>
              <w:rPr>
                <w:rFonts w:hint="eastAsia" w:cs="宋体" w:asciiTheme="majorEastAsia" w:hAnsiTheme="majorEastAsia" w:eastAsiaTheme="majorEastAsia"/>
                <w:szCs w:val="21"/>
                <w:lang w:eastAsia="zh-CN"/>
              </w:rPr>
              <w:t>供应商</w:t>
            </w:r>
            <w:r>
              <w:rPr>
                <w:rFonts w:hint="eastAsia" w:cs="宋体" w:asciiTheme="majorEastAsia" w:hAnsiTheme="majorEastAsia" w:eastAsiaTheme="majorEastAsia"/>
                <w:szCs w:val="21"/>
              </w:rPr>
              <w:t xml:space="preserve">名称全称相一致的标准公章，不得使用彩喷或者彩印的印章。 </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（3）投标文件格式中要求</w:t>
            </w:r>
            <w:r>
              <w:rPr>
                <w:rFonts w:hint="eastAsia" w:cs="宋体" w:asciiTheme="majorEastAsia" w:hAnsiTheme="majorEastAsia" w:eastAsiaTheme="majorEastAsia"/>
                <w:szCs w:val="21"/>
                <w:lang w:eastAsia="zh-CN"/>
              </w:rPr>
              <w:t>供应商</w:t>
            </w:r>
            <w:r>
              <w:rPr>
                <w:rFonts w:hint="eastAsia" w:cs="宋体" w:asciiTheme="majorEastAsia" w:hAnsiTheme="majorEastAsia" w:eastAsiaTheme="majorEastAsia"/>
                <w:szCs w:val="21"/>
              </w:rPr>
              <w:t>“法定代表人或其委托代理人”签字的，如法定代表人亲自投标而不委托代理人投标，由法定代表人签字；如法定代表人授权委托代理人投标，由委托代理人签字，也可由法定代表人签字。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20</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投标有效期</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b w:val="0"/>
                <w:bCs w:val="0"/>
                <w:szCs w:val="21"/>
                <w:u w:val="single"/>
              </w:rPr>
              <w:t>90</w:t>
            </w:r>
            <w:r>
              <w:rPr>
                <w:rFonts w:hint="eastAsia" w:asciiTheme="majorEastAsia" w:hAnsiTheme="majorEastAsia" w:eastAsiaTheme="majorEastAsia"/>
                <w:szCs w:val="21"/>
              </w:rPr>
              <w:t>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21</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投标保证金</w:t>
            </w:r>
          </w:p>
        </w:tc>
        <w:tc>
          <w:tcPr>
            <w:tcW w:w="6597" w:type="dxa"/>
            <w:tcBorders>
              <w:top w:val="single" w:color="auto" w:sz="4" w:space="0"/>
              <w:left w:val="single" w:color="auto" w:sz="4" w:space="0"/>
              <w:bottom w:val="single" w:color="auto" w:sz="4" w:space="0"/>
              <w:right w:val="single" w:color="auto" w:sz="4" w:space="0"/>
            </w:tcBorders>
            <w:noWrap/>
            <w:vAlign w:val="center"/>
          </w:tcPr>
          <w:p>
            <w:pPr>
              <w:tabs>
                <w:tab w:val="center" w:pos="2530"/>
              </w:tabs>
              <w:autoSpaceDN w:val="0"/>
              <w:adjustRightInd w:val="0"/>
              <w:snapToGrid w:val="0"/>
              <w:spacing w:line="360" w:lineRule="auto"/>
              <w:rPr>
                <w:rFonts w:cs="Arial" w:asciiTheme="majorEastAsia" w:hAnsiTheme="majorEastAsia" w:eastAsiaTheme="majorEastAsia"/>
                <w:bCs/>
                <w:szCs w:val="21"/>
              </w:rPr>
            </w:pPr>
            <w:r>
              <w:rPr>
                <w:rFonts w:hint="eastAsia" w:cs="Arial" w:asciiTheme="majorEastAsia" w:hAnsiTheme="majorEastAsia" w:eastAsiaTheme="majorEastAsia"/>
                <w:bCs/>
                <w:szCs w:val="21"/>
              </w:rPr>
              <w:t>1.对于诚信良好的供应商可免收投标保证金；但对于满足《中华人民共和国政府采购法》第二十二条有关规定，经“信用中国”网站查询存在行政处罚信息的供应商，须按规定提交投标保证金。</w:t>
            </w:r>
          </w:p>
          <w:p>
            <w:pPr>
              <w:tabs>
                <w:tab w:val="center" w:pos="2530"/>
              </w:tabs>
              <w:autoSpaceDN w:val="0"/>
              <w:adjustRightInd w:val="0"/>
              <w:snapToGrid w:val="0"/>
              <w:spacing w:line="360" w:lineRule="auto"/>
              <w:rPr>
                <w:rFonts w:cs="Arial" w:asciiTheme="majorEastAsia" w:hAnsiTheme="majorEastAsia" w:eastAsiaTheme="majorEastAsia"/>
                <w:bCs/>
                <w:szCs w:val="21"/>
              </w:rPr>
            </w:pPr>
            <w:r>
              <w:rPr>
                <w:rFonts w:hint="eastAsia" w:cs="Arial" w:asciiTheme="majorEastAsia" w:hAnsiTheme="majorEastAsia" w:eastAsiaTheme="majorEastAsia"/>
                <w:bCs/>
                <w:szCs w:val="21"/>
              </w:rPr>
              <w:t>2.投标保证金形式：投标保证金应当以支票、汇票、本票或者金融机构、担保机构出具的保函等非现金形式提交或转账、电汇（转账、电汇须从</w:t>
            </w:r>
            <w:r>
              <w:rPr>
                <w:rFonts w:hint="eastAsia" w:cs="Arial" w:asciiTheme="majorEastAsia" w:hAnsiTheme="majorEastAsia" w:eastAsiaTheme="majorEastAsia"/>
                <w:bCs/>
                <w:szCs w:val="21"/>
                <w:lang w:eastAsia="zh-CN"/>
              </w:rPr>
              <w:t>供应商</w:t>
            </w:r>
            <w:r>
              <w:rPr>
                <w:rFonts w:hint="eastAsia" w:cs="Arial" w:asciiTheme="majorEastAsia" w:hAnsiTheme="majorEastAsia" w:eastAsiaTheme="majorEastAsia"/>
                <w:bCs/>
                <w:szCs w:val="21"/>
              </w:rPr>
              <w:t>的基本账户转出）。</w:t>
            </w:r>
            <w:r>
              <w:rPr>
                <w:rFonts w:hint="eastAsia" w:cs="Arial" w:asciiTheme="majorEastAsia" w:hAnsiTheme="majorEastAsia" w:eastAsiaTheme="majorEastAsia"/>
                <w:bCs/>
                <w:szCs w:val="21"/>
                <w:lang w:eastAsia="zh-CN"/>
              </w:rPr>
              <w:t>供应商</w:t>
            </w:r>
            <w:r>
              <w:rPr>
                <w:rFonts w:hint="eastAsia" w:cs="Arial" w:asciiTheme="majorEastAsia" w:hAnsiTheme="majorEastAsia" w:eastAsiaTheme="majorEastAsia"/>
                <w:bCs/>
                <w:szCs w:val="21"/>
              </w:rPr>
              <w:t>未按照招标文件要求提交投标保证金的，投标无效。</w:t>
            </w:r>
          </w:p>
          <w:p>
            <w:pPr>
              <w:tabs>
                <w:tab w:val="center" w:pos="2530"/>
              </w:tabs>
              <w:autoSpaceDN w:val="0"/>
              <w:adjustRightInd w:val="0"/>
              <w:snapToGrid w:val="0"/>
              <w:spacing w:line="360" w:lineRule="auto"/>
              <w:rPr>
                <w:rFonts w:hint="eastAsia" w:cs="Arial" w:asciiTheme="majorEastAsia" w:hAnsiTheme="majorEastAsia" w:eastAsiaTheme="majorEastAsia"/>
                <w:bCs/>
                <w:szCs w:val="21"/>
              </w:rPr>
            </w:pPr>
            <w:r>
              <w:rPr>
                <w:rFonts w:hint="eastAsia" w:cs="Arial" w:asciiTheme="majorEastAsia" w:hAnsiTheme="majorEastAsia" w:eastAsiaTheme="majorEastAsia"/>
                <w:bCs/>
                <w:szCs w:val="21"/>
              </w:rPr>
              <w:t>3.递交时间和要求：应在开标前（银行到账时间）将投标保证金存入采购代理机构指定账户，银行进账单或电汇凭证等凭证上应明确用途、投标项目名称、</w:t>
            </w:r>
            <w:r>
              <w:rPr>
                <w:rFonts w:hint="eastAsia" w:cs="Arial" w:asciiTheme="majorEastAsia" w:hAnsiTheme="majorEastAsia" w:eastAsiaTheme="majorEastAsia"/>
                <w:bCs/>
                <w:szCs w:val="21"/>
                <w:lang w:eastAsia="zh-CN"/>
              </w:rPr>
              <w:t>供应商</w:t>
            </w:r>
            <w:r>
              <w:rPr>
                <w:rFonts w:hint="eastAsia" w:cs="Arial" w:asciiTheme="majorEastAsia" w:hAnsiTheme="majorEastAsia" w:eastAsiaTheme="majorEastAsia"/>
                <w:bCs/>
                <w:szCs w:val="21"/>
              </w:rPr>
              <w:t>名称、联系人及电话，以便核对查实。</w:t>
            </w:r>
            <w:r>
              <w:rPr>
                <w:rFonts w:hint="eastAsia" w:cs="Arial" w:asciiTheme="majorEastAsia" w:hAnsiTheme="majorEastAsia" w:eastAsiaTheme="majorEastAsia"/>
                <w:bCs/>
                <w:szCs w:val="21"/>
                <w:lang w:eastAsia="zh-CN"/>
              </w:rPr>
              <w:t>供应商</w:t>
            </w:r>
            <w:r>
              <w:rPr>
                <w:rFonts w:hint="eastAsia" w:cs="Arial" w:asciiTheme="majorEastAsia" w:hAnsiTheme="majorEastAsia" w:eastAsiaTheme="majorEastAsia"/>
                <w:bCs/>
                <w:szCs w:val="21"/>
              </w:rPr>
              <w:t>缴纳完投标保证金后须将银行的存款回单复印件装入到投标文件中，否则投标文件无效；投标保证金若以保函形式提交，开标时须提供原件，复印件装入到投标文件中，否则投标文件无效。投标保证金的确认以最终到账日期为准。</w:t>
            </w:r>
          </w:p>
          <w:p>
            <w:pPr>
              <w:tabs>
                <w:tab w:val="center" w:pos="2530"/>
              </w:tabs>
              <w:autoSpaceDN w:val="0"/>
              <w:adjustRightInd w:val="0"/>
              <w:snapToGrid w:val="0"/>
              <w:spacing w:line="360" w:lineRule="auto"/>
              <w:rPr>
                <w:rFonts w:hint="eastAsia" w:cs="Arial" w:asciiTheme="majorEastAsia" w:hAnsiTheme="majorEastAsia" w:eastAsiaTheme="majorEastAsia"/>
                <w:bCs/>
                <w:szCs w:val="21"/>
                <w:lang w:val="en-US" w:eastAsia="zh-CN"/>
              </w:rPr>
            </w:pPr>
            <w:r>
              <w:rPr>
                <w:rFonts w:hint="eastAsia" w:cs="Arial" w:asciiTheme="majorEastAsia" w:hAnsiTheme="majorEastAsia" w:eastAsiaTheme="majorEastAsia"/>
                <w:bCs/>
                <w:szCs w:val="21"/>
              </w:rPr>
              <w:t>4.投标保证金额：</w:t>
            </w:r>
            <w:r>
              <w:rPr>
                <w:rFonts w:hint="eastAsia" w:cs="Arial" w:asciiTheme="majorEastAsia" w:hAnsiTheme="majorEastAsia" w:eastAsiaTheme="majorEastAsia"/>
                <w:bCs/>
                <w:szCs w:val="21"/>
                <w:lang w:val="en-US" w:eastAsia="zh-CN"/>
              </w:rPr>
              <w:t>十万</w:t>
            </w:r>
            <w:r>
              <w:rPr>
                <w:rFonts w:hint="eastAsia" w:cs="Arial" w:asciiTheme="majorEastAsia" w:hAnsiTheme="majorEastAsia" w:eastAsiaTheme="majorEastAsia"/>
                <w:bCs/>
                <w:szCs w:val="21"/>
              </w:rPr>
              <w:t>元</w:t>
            </w:r>
            <w:r>
              <w:rPr>
                <w:rFonts w:hint="eastAsia" w:cs="Arial" w:asciiTheme="majorEastAsia" w:hAnsiTheme="majorEastAsia" w:eastAsiaTheme="majorEastAsia"/>
                <w:bCs/>
                <w:szCs w:val="21"/>
                <w:lang w:val="en-US" w:eastAsia="zh-CN"/>
              </w:rPr>
              <w:t>人民币</w:t>
            </w:r>
          </w:p>
          <w:p>
            <w:pPr>
              <w:tabs>
                <w:tab w:val="center" w:pos="2530"/>
              </w:tabs>
              <w:autoSpaceDN w:val="0"/>
              <w:adjustRightInd w:val="0"/>
              <w:snapToGrid w:val="0"/>
              <w:spacing w:line="360" w:lineRule="auto"/>
              <w:rPr>
                <w:rFonts w:hint="eastAsia" w:cs="Arial" w:asciiTheme="majorEastAsia" w:hAnsiTheme="majorEastAsia" w:eastAsiaTheme="majorEastAsia"/>
                <w:bCs/>
                <w:szCs w:val="21"/>
              </w:rPr>
            </w:pPr>
            <w:r>
              <w:rPr>
                <w:rFonts w:hint="eastAsia" w:cs="Arial" w:asciiTheme="majorEastAsia" w:hAnsiTheme="majorEastAsia" w:eastAsiaTheme="majorEastAsia"/>
                <w:bCs/>
                <w:szCs w:val="21"/>
              </w:rPr>
              <w:t>应在保证金截止时间前递交收款人</w:t>
            </w:r>
          </w:p>
          <w:p>
            <w:pPr>
              <w:tabs>
                <w:tab w:val="center" w:pos="2530"/>
              </w:tabs>
              <w:autoSpaceDN w:val="0"/>
              <w:adjustRightInd w:val="0"/>
              <w:snapToGrid w:val="0"/>
              <w:spacing w:line="360" w:lineRule="auto"/>
              <w:rPr>
                <w:rFonts w:hint="eastAsia" w:cs="Arial" w:asciiTheme="majorEastAsia" w:hAnsiTheme="majorEastAsia" w:eastAsiaTheme="majorEastAsia"/>
                <w:bCs/>
                <w:szCs w:val="21"/>
              </w:rPr>
            </w:pPr>
            <w:r>
              <w:rPr>
                <w:rFonts w:hint="eastAsia" w:cs="Arial" w:asciiTheme="majorEastAsia" w:hAnsiTheme="majorEastAsia" w:eastAsiaTheme="majorEastAsia"/>
                <w:bCs/>
                <w:szCs w:val="21"/>
              </w:rPr>
              <w:t>5.开户名称：</w:t>
            </w:r>
            <w:r>
              <w:rPr>
                <w:rFonts w:hint="eastAsia" w:cs="Arial" w:asciiTheme="majorEastAsia" w:hAnsiTheme="majorEastAsia" w:eastAsiaTheme="majorEastAsia"/>
                <w:bCs/>
                <w:szCs w:val="21"/>
                <w:lang w:eastAsia="zh-CN"/>
              </w:rPr>
              <w:t>吉林省亿安建设项目管理有限公司</w:t>
            </w:r>
            <w:r>
              <w:rPr>
                <w:rFonts w:hint="eastAsia" w:cs="Arial" w:asciiTheme="majorEastAsia" w:hAnsiTheme="majorEastAsia" w:eastAsiaTheme="majorEastAsia"/>
                <w:bCs/>
                <w:szCs w:val="21"/>
              </w:rPr>
              <w:t xml:space="preserve">  </w:t>
            </w:r>
          </w:p>
          <w:p>
            <w:pPr>
              <w:tabs>
                <w:tab w:val="center" w:pos="2530"/>
              </w:tabs>
              <w:autoSpaceDN w:val="0"/>
              <w:adjustRightInd w:val="0"/>
              <w:snapToGrid w:val="0"/>
              <w:spacing w:line="360" w:lineRule="auto"/>
              <w:rPr>
                <w:rFonts w:hint="eastAsia" w:cs="Arial" w:asciiTheme="majorEastAsia" w:hAnsiTheme="majorEastAsia" w:eastAsiaTheme="majorEastAsia"/>
                <w:bCs/>
                <w:szCs w:val="21"/>
              </w:rPr>
            </w:pPr>
            <w:r>
              <w:rPr>
                <w:rFonts w:hint="eastAsia" w:cs="Arial" w:asciiTheme="majorEastAsia" w:hAnsiTheme="majorEastAsia" w:eastAsiaTheme="majorEastAsia"/>
                <w:bCs/>
                <w:szCs w:val="21"/>
              </w:rPr>
              <w:t xml:space="preserve">开户银行：招商银行股份有限公司长春高新技术产业开发区支行 </w:t>
            </w:r>
          </w:p>
          <w:p>
            <w:pPr>
              <w:tabs>
                <w:tab w:val="center" w:pos="2530"/>
              </w:tabs>
              <w:autoSpaceDN w:val="0"/>
              <w:adjustRightInd w:val="0"/>
              <w:snapToGrid w:val="0"/>
              <w:spacing w:line="360" w:lineRule="auto"/>
              <w:rPr>
                <w:rFonts w:cs="Arial" w:asciiTheme="majorEastAsia" w:hAnsiTheme="majorEastAsia" w:eastAsiaTheme="majorEastAsia"/>
                <w:bCs/>
                <w:szCs w:val="21"/>
              </w:rPr>
            </w:pPr>
            <w:r>
              <w:rPr>
                <w:rFonts w:hint="eastAsia" w:cs="Arial" w:asciiTheme="majorEastAsia" w:hAnsiTheme="majorEastAsia" w:eastAsiaTheme="majorEastAsia"/>
                <w:bCs/>
                <w:szCs w:val="21"/>
              </w:rPr>
              <w:t>账号：</w:t>
            </w:r>
            <w:r>
              <w:rPr>
                <w:rFonts w:hint="eastAsia" w:cs="Arial" w:asciiTheme="majorEastAsia" w:hAnsiTheme="majorEastAsia" w:eastAsiaTheme="majorEastAsia"/>
                <w:bCs/>
                <w:szCs w:val="21"/>
                <w:lang w:eastAsia="zh-CN"/>
              </w:rPr>
              <w:t>4319 0147 2810 888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22</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投标文件份数</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一份正本，四份副本，电子版文件二份</w:t>
            </w:r>
            <w:r>
              <w:rPr>
                <w:rFonts w:hint="eastAsia" w:asciiTheme="majorEastAsia" w:hAnsiTheme="majorEastAsia" w:eastAsiaTheme="majorEastAsia"/>
                <w:bCs/>
                <w:szCs w:val="21"/>
              </w:rPr>
              <w:t>（提供U盘且不退）</w:t>
            </w:r>
            <w:r>
              <w:rPr>
                <w:rFonts w:hint="eastAsia" w:asciiTheme="majorEastAsia" w:hAnsiTheme="majorEastAsia" w:eastAsiaTheme="majorEastAsia"/>
                <w:szCs w:val="21"/>
              </w:rPr>
              <w:t>（电子版投标文件须与纸质版文件相一致的全部内容，电子版文件（U盘）内容须包括可编辑的</w:t>
            </w:r>
            <w:r>
              <w:rPr>
                <w:rFonts w:hint="eastAsia" w:asciiTheme="majorEastAsia" w:hAnsiTheme="majorEastAsia" w:eastAsiaTheme="majorEastAsia"/>
                <w:bCs/>
                <w:szCs w:val="21"/>
              </w:rPr>
              <w:t>WORD版本与PDF版本各一份，PDF版本须具有和纸质版本一样的签字和盖章</w:t>
            </w:r>
            <w:r>
              <w:rPr>
                <w:rFonts w:hint="eastAsia" w:asciiTheme="majorEastAsia" w:hAnsiTheme="majorEastAsia" w:eastAsiaTheme="majorEastAsia"/>
                <w:szCs w:val="21"/>
              </w:rPr>
              <w:t>，且须单独密封并提交，包封上须注明项目名称和公司名称）。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23</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hint="eastAsia" w:asciiTheme="majorEastAsia" w:hAnsiTheme="majorEastAsia" w:eastAsiaTheme="majorEastAsia"/>
                <w:szCs w:val="21"/>
              </w:rPr>
            </w:pPr>
            <w:r>
              <w:rPr>
                <w:rFonts w:hint="eastAsia" w:asciiTheme="majorEastAsia" w:hAnsiTheme="majorEastAsia" w:eastAsiaTheme="majorEastAsia"/>
                <w:szCs w:val="21"/>
              </w:rPr>
              <w:t>投标文件提交</w:t>
            </w:r>
          </w:p>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地点及截止时间</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1、投标文件提交地点及时间：</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szCs w:val="21"/>
                <w:highlight w:val="none"/>
              </w:rPr>
            </w:pPr>
            <w:r>
              <w:rPr>
                <w:rFonts w:hint="eastAsia" w:asciiTheme="majorEastAsia" w:hAnsiTheme="majorEastAsia" w:eastAsiaTheme="majorEastAsia"/>
                <w:bCs/>
                <w:szCs w:val="21"/>
                <w:highlight w:val="none"/>
              </w:rPr>
              <w:t>递交投标文件开始时间：202</w:t>
            </w:r>
            <w:r>
              <w:rPr>
                <w:rFonts w:hint="eastAsia" w:asciiTheme="majorEastAsia" w:hAnsiTheme="majorEastAsia" w:eastAsiaTheme="majorEastAsia"/>
                <w:bCs/>
                <w:szCs w:val="21"/>
                <w:highlight w:val="none"/>
                <w:lang w:val="en-US" w:eastAsia="zh-CN"/>
              </w:rPr>
              <w:t>4</w:t>
            </w:r>
            <w:r>
              <w:rPr>
                <w:rFonts w:hint="eastAsia" w:asciiTheme="majorEastAsia" w:hAnsiTheme="majorEastAsia" w:eastAsiaTheme="majorEastAsia"/>
                <w:bCs/>
                <w:szCs w:val="21"/>
                <w:highlight w:val="none"/>
              </w:rPr>
              <w:t>年</w:t>
            </w:r>
            <w:r>
              <w:rPr>
                <w:rFonts w:hint="eastAsia" w:asciiTheme="majorEastAsia" w:hAnsiTheme="majorEastAsia" w:eastAsiaTheme="majorEastAsia"/>
                <w:bCs/>
                <w:szCs w:val="21"/>
                <w:highlight w:val="none"/>
                <w:lang w:val="en-US" w:eastAsia="zh-CN"/>
              </w:rPr>
              <w:t>01月16日09</w:t>
            </w:r>
            <w:r>
              <w:rPr>
                <w:rFonts w:hint="eastAsia" w:asciiTheme="majorEastAsia" w:hAnsiTheme="majorEastAsia" w:eastAsiaTheme="majorEastAsia"/>
                <w:bCs/>
                <w:szCs w:val="21"/>
                <w:highlight w:val="none"/>
              </w:rPr>
              <w:t>时</w:t>
            </w:r>
            <w:r>
              <w:rPr>
                <w:rFonts w:hint="eastAsia" w:asciiTheme="majorEastAsia" w:hAnsiTheme="majorEastAsia" w:eastAsiaTheme="majorEastAsia"/>
                <w:bCs/>
                <w:szCs w:val="21"/>
                <w:highlight w:val="none"/>
                <w:lang w:val="en-US" w:eastAsia="zh-CN"/>
              </w:rPr>
              <w:t>30</w:t>
            </w:r>
            <w:r>
              <w:rPr>
                <w:rFonts w:hint="eastAsia" w:asciiTheme="majorEastAsia" w:hAnsiTheme="majorEastAsia" w:eastAsiaTheme="majorEastAsia"/>
                <w:bCs/>
                <w:szCs w:val="21"/>
                <w:highlight w:val="none"/>
              </w:rPr>
              <w:t>分</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szCs w:val="21"/>
                <w:highlight w:val="none"/>
              </w:rPr>
            </w:pPr>
            <w:r>
              <w:rPr>
                <w:rFonts w:hint="eastAsia" w:asciiTheme="majorEastAsia" w:hAnsiTheme="majorEastAsia" w:eastAsiaTheme="majorEastAsia"/>
                <w:bCs/>
                <w:szCs w:val="21"/>
                <w:highlight w:val="none"/>
              </w:rPr>
              <w:t>递交投标文件截止时间：202</w:t>
            </w:r>
            <w:r>
              <w:rPr>
                <w:rFonts w:hint="eastAsia" w:asciiTheme="majorEastAsia" w:hAnsiTheme="majorEastAsia" w:eastAsiaTheme="majorEastAsia"/>
                <w:bCs/>
                <w:szCs w:val="21"/>
                <w:highlight w:val="none"/>
                <w:lang w:val="en-US" w:eastAsia="zh-CN"/>
              </w:rPr>
              <w:t>4</w:t>
            </w:r>
            <w:r>
              <w:rPr>
                <w:rFonts w:hint="eastAsia" w:asciiTheme="majorEastAsia" w:hAnsiTheme="majorEastAsia" w:eastAsiaTheme="majorEastAsia"/>
                <w:bCs/>
                <w:szCs w:val="21"/>
                <w:highlight w:val="none"/>
              </w:rPr>
              <w:t>年</w:t>
            </w:r>
            <w:r>
              <w:rPr>
                <w:rFonts w:hint="eastAsia" w:asciiTheme="majorEastAsia" w:hAnsiTheme="majorEastAsia" w:eastAsiaTheme="majorEastAsia"/>
                <w:bCs/>
                <w:szCs w:val="21"/>
                <w:highlight w:val="none"/>
                <w:lang w:val="en-US" w:eastAsia="zh-CN"/>
              </w:rPr>
              <w:t>01月16日09</w:t>
            </w:r>
            <w:r>
              <w:rPr>
                <w:rFonts w:hint="eastAsia" w:asciiTheme="majorEastAsia" w:hAnsiTheme="majorEastAsia" w:eastAsiaTheme="majorEastAsia"/>
                <w:bCs/>
                <w:szCs w:val="21"/>
                <w:highlight w:val="none"/>
              </w:rPr>
              <w:t>时</w:t>
            </w:r>
            <w:r>
              <w:rPr>
                <w:rFonts w:hint="eastAsia" w:asciiTheme="majorEastAsia" w:hAnsiTheme="majorEastAsia" w:eastAsiaTheme="majorEastAsia"/>
                <w:bCs/>
                <w:szCs w:val="21"/>
                <w:highlight w:val="none"/>
                <w:lang w:val="en-US" w:eastAsia="zh-CN"/>
              </w:rPr>
              <w:t>30</w:t>
            </w:r>
            <w:r>
              <w:rPr>
                <w:rFonts w:hint="eastAsia" w:asciiTheme="majorEastAsia" w:hAnsiTheme="majorEastAsia" w:eastAsiaTheme="majorEastAsia"/>
                <w:bCs/>
                <w:szCs w:val="21"/>
                <w:highlight w:val="none"/>
              </w:rPr>
              <w:t>分</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highlight w:val="none"/>
              </w:rPr>
            </w:pPr>
            <w:r>
              <w:rPr>
                <w:rFonts w:hint="eastAsia" w:asciiTheme="majorEastAsia" w:hAnsiTheme="majorEastAsia" w:eastAsiaTheme="majorEastAsia"/>
                <w:bCs/>
                <w:szCs w:val="21"/>
                <w:highlight w:val="none"/>
              </w:rPr>
              <w:t>地点：长春新区政务服务中心公共资源交易大厅（龙湖大路5799号）2楼</w:t>
            </w:r>
            <w:r>
              <w:rPr>
                <w:rFonts w:hint="eastAsia" w:asciiTheme="majorEastAsia" w:hAnsiTheme="majorEastAsia" w:eastAsiaTheme="majorEastAsia"/>
                <w:bCs/>
                <w:szCs w:val="21"/>
                <w:highlight w:val="none"/>
                <w:lang w:val="en-US" w:eastAsia="zh-CN"/>
              </w:rPr>
              <w:t>B208大</w:t>
            </w:r>
            <w:r>
              <w:rPr>
                <w:rFonts w:hint="eastAsia" w:asciiTheme="majorEastAsia" w:hAnsiTheme="majorEastAsia" w:eastAsiaTheme="majorEastAsia"/>
                <w:bCs/>
                <w:szCs w:val="21"/>
                <w:highlight w:val="none"/>
              </w:rPr>
              <w:t>开标室</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2、其他要求：</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（1）现场递交纸质、电子（U盘）投标文件。</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（2）</w:t>
            </w:r>
            <w:r>
              <w:rPr>
                <w:rFonts w:hint="eastAsia" w:asciiTheme="majorEastAsia" w:hAnsiTheme="majorEastAsia" w:eastAsiaTheme="majorEastAsia"/>
                <w:szCs w:val="21"/>
                <w:lang w:eastAsia="zh-CN"/>
              </w:rPr>
              <w:t>供应商</w:t>
            </w:r>
            <w:r>
              <w:rPr>
                <w:rFonts w:hint="eastAsia" w:asciiTheme="majorEastAsia" w:hAnsiTheme="majorEastAsia" w:eastAsiaTheme="majorEastAsia"/>
                <w:szCs w:val="21"/>
              </w:rPr>
              <w:t>在“政采云”平台（http：//www.zcygov.cn）上制作投标文件1份（此投标文件须上传至“政采云”平台）。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24</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评标方法及标准</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bookmarkStart w:id="41" w:name="blank29"/>
            <w:r>
              <w:rPr>
                <w:rFonts w:hint="eastAsia" w:asciiTheme="majorEastAsia" w:hAnsiTheme="majorEastAsia" w:eastAsiaTheme="majorEastAsia"/>
                <w:kern w:val="0"/>
                <w:szCs w:val="21"/>
              </w:rPr>
              <w:t>综合评分法</w:t>
            </w:r>
            <w:bookmarkEnd w:id="4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25</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资格审查方式</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bookmarkStart w:id="42" w:name="blank24"/>
            <w:r>
              <w:rPr>
                <w:rFonts w:hint="eastAsia" w:asciiTheme="majorEastAsia" w:hAnsiTheme="majorEastAsia" w:eastAsiaTheme="majorEastAsia"/>
                <w:kern w:val="0"/>
                <w:szCs w:val="21"/>
              </w:rPr>
              <w:t>资格后审</w:t>
            </w:r>
            <w:bookmarkEnd w:id="4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26</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评标委员会的组建</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评标委员会构成：</w:t>
            </w:r>
            <w:bookmarkStart w:id="43" w:name="blank30"/>
            <w:r>
              <w:rPr>
                <w:rFonts w:hint="eastAsia" w:asciiTheme="majorEastAsia" w:hAnsiTheme="majorEastAsia" w:eastAsiaTheme="majorEastAsia"/>
                <w:kern w:val="0"/>
                <w:szCs w:val="21"/>
              </w:rPr>
              <w:t>5</w:t>
            </w:r>
            <w:bookmarkEnd w:id="43"/>
            <w:r>
              <w:rPr>
                <w:rFonts w:hint="eastAsia" w:asciiTheme="majorEastAsia" w:hAnsiTheme="majorEastAsia" w:eastAsiaTheme="majorEastAsia"/>
                <w:szCs w:val="21"/>
              </w:rPr>
              <w:t>人，评标委员会专家确定方式：</w:t>
            </w:r>
            <w:r>
              <w:rPr>
                <w:rFonts w:hint="eastAsia" w:asciiTheme="majorEastAsia" w:hAnsiTheme="majorEastAsia" w:eastAsiaTheme="majorEastAsia"/>
                <w:bCs/>
                <w:szCs w:val="21"/>
              </w:rPr>
              <w:t>从政府采购评审专家库中随机抽取产生。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27</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是否授权评标委员会确定中标人</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28</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hint="eastAsia" w:asciiTheme="majorEastAsia" w:hAnsiTheme="majorEastAsia" w:eastAsiaTheme="majorEastAsia"/>
                <w:szCs w:val="21"/>
                <w:lang w:eastAsia="zh-CN"/>
              </w:rPr>
            </w:pPr>
            <w:r>
              <w:rPr>
                <w:rFonts w:hint="eastAsia" w:asciiTheme="majorEastAsia" w:hAnsiTheme="majorEastAsia" w:eastAsiaTheme="majorEastAsia"/>
                <w:szCs w:val="21"/>
              </w:rPr>
              <w:t>履约</w:t>
            </w:r>
            <w:r>
              <w:rPr>
                <w:rFonts w:hint="eastAsia" w:asciiTheme="majorEastAsia" w:hAnsiTheme="majorEastAsia" w:eastAsiaTheme="majorEastAsia"/>
                <w:szCs w:val="21"/>
                <w:lang w:val="en-US" w:eastAsia="zh-CN"/>
              </w:rPr>
              <w:t>保证金</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hint="default" w:asciiTheme="majorEastAsia" w:hAnsiTheme="majorEastAsia" w:eastAsiaTheme="majorEastAsia"/>
                <w:bCs/>
                <w:szCs w:val="21"/>
                <w:lang w:val="en-US" w:eastAsia="zh-CN"/>
              </w:rPr>
            </w:pPr>
            <w:r>
              <w:rPr>
                <w:rFonts w:hint="eastAsia" w:asciiTheme="majorEastAsia" w:hAnsiTheme="majorEastAsia" w:eastAsiaTheme="majorEastAsia"/>
                <w:bCs/>
                <w:szCs w:val="21"/>
                <w:lang w:val="en-US" w:eastAsia="zh-CN"/>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29</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付款方式</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cs="宋体" w:asciiTheme="majorEastAsia" w:hAnsiTheme="majorEastAsia" w:eastAsiaTheme="majorEastAsia"/>
                <w:bCs/>
                <w:kern w:val="15"/>
                <w:szCs w:val="21"/>
              </w:rPr>
              <w:t>每半年服务结束经学校、长春新区教育局验收合格后支付相应服务费用。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30</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签订合同</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中标人应在领取</w:t>
            </w:r>
            <w:r>
              <w:rPr>
                <w:rFonts w:asciiTheme="majorEastAsia" w:hAnsiTheme="majorEastAsia" w:eastAsiaTheme="majorEastAsia"/>
                <w:szCs w:val="21"/>
              </w:rPr>
              <w:t>中标通知书</w:t>
            </w:r>
            <w:r>
              <w:rPr>
                <w:rFonts w:hint="eastAsia" w:asciiTheme="majorEastAsia" w:hAnsiTheme="majorEastAsia" w:eastAsiaTheme="majorEastAsia"/>
                <w:szCs w:val="21"/>
              </w:rPr>
              <w:t>后</w:t>
            </w:r>
            <w:r>
              <w:rPr>
                <w:rFonts w:hint="eastAsia" w:asciiTheme="majorEastAsia" w:hAnsiTheme="majorEastAsia" w:eastAsiaTheme="majorEastAsia"/>
                <w:szCs w:val="21"/>
                <w:u w:val="single"/>
              </w:rPr>
              <w:t xml:space="preserve">  30  </w:t>
            </w:r>
            <w:r>
              <w:rPr>
                <w:rFonts w:hint="eastAsia" w:asciiTheme="majorEastAsia" w:hAnsiTheme="majorEastAsia" w:eastAsiaTheme="majorEastAsia"/>
                <w:szCs w:val="21"/>
              </w:rPr>
              <w:t>天内签订采购合同。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31</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bCs/>
                <w:kern w:val="15"/>
                <w:szCs w:val="21"/>
              </w:rPr>
            </w:pPr>
            <w:r>
              <w:rPr>
                <w:rFonts w:hint="eastAsia" w:asciiTheme="majorEastAsia" w:hAnsiTheme="majorEastAsia" w:eastAsiaTheme="majorEastAsia"/>
                <w:bCs/>
                <w:kern w:val="15"/>
                <w:szCs w:val="21"/>
              </w:rPr>
              <w:t>招标代理服务费</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kern w:val="15"/>
                <w:szCs w:val="21"/>
              </w:rPr>
            </w:pPr>
            <w:r>
              <w:rPr>
                <w:rFonts w:hint="eastAsia" w:cs="宋体" w:asciiTheme="majorEastAsia" w:hAnsiTheme="majorEastAsia" w:eastAsiaTheme="majorEastAsia"/>
                <w:bCs/>
                <w:kern w:val="15"/>
                <w:szCs w:val="21"/>
              </w:rPr>
              <w:t>按照国家发展改革委关于进一步放开建设项目专业服务价格的通知（发改价格[2015]299号）文件执行，由</w:t>
            </w:r>
            <w:r>
              <w:rPr>
                <w:rFonts w:hint="eastAsia" w:cs="宋体" w:asciiTheme="majorEastAsia" w:hAnsiTheme="majorEastAsia" w:eastAsiaTheme="majorEastAsia"/>
                <w:bCs/>
                <w:kern w:val="15"/>
                <w:szCs w:val="21"/>
                <w:lang w:eastAsia="zh-CN"/>
              </w:rPr>
              <w:t>采购代理机构</w:t>
            </w:r>
            <w:r>
              <w:rPr>
                <w:rFonts w:hint="eastAsia" w:cs="宋体" w:asciiTheme="majorEastAsia" w:hAnsiTheme="majorEastAsia" w:eastAsiaTheme="majorEastAsia"/>
                <w:bCs/>
                <w:kern w:val="15"/>
                <w:szCs w:val="21"/>
              </w:rPr>
              <w:t>向中标人收取，中标服务费金额为中标金额的</w:t>
            </w:r>
            <w:r>
              <w:rPr>
                <w:rFonts w:hint="eastAsia" w:cs="宋体" w:asciiTheme="majorEastAsia" w:hAnsiTheme="majorEastAsia" w:eastAsiaTheme="majorEastAsia"/>
                <w:bCs/>
                <w:kern w:val="15"/>
                <w:szCs w:val="21"/>
                <w:lang w:val="en-US" w:eastAsia="zh-CN"/>
              </w:rPr>
              <w:t>1.5</w:t>
            </w:r>
            <w:r>
              <w:rPr>
                <w:rFonts w:hint="eastAsia" w:cs="宋体" w:asciiTheme="majorEastAsia" w:hAnsiTheme="majorEastAsia" w:eastAsiaTheme="majorEastAsia"/>
                <w:bCs/>
                <w:kern w:val="15"/>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eastAsia="宋体" w:asciiTheme="majorEastAsia" w:hAnsiTheme="majorEastAsia"/>
                <w:szCs w:val="21"/>
                <w:lang w:val="en-US" w:eastAsia="zh-CN"/>
              </w:rPr>
            </w:pPr>
            <w:r>
              <w:rPr>
                <w:rFonts w:hint="eastAsia" w:asciiTheme="majorEastAsia" w:hAnsiTheme="majorEastAsia"/>
                <w:szCs w:val="21"/>
                <w:lang w:val="en-US" w:eastAsia="zh-CN"/>
              </w:rPr>
              <w:t>32</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hint="eastAsia" w:asciiTheme="majorEastAsia" w:hAnsiTheme="majorEastAsia" w:eastAsiaTheme="majorEastAsia"/>
                <w:bCs/>
                <w:kern w:val="15"/>
                <w:szCs w:val="21"/>
                <w:lang w:eastAsia="zh-CN"/>
              </w:rPr>
            </w:pPr>
            <w:r>
              <w:rPr>
                <w:rFonts w:hint="eastAsia" w:asciiTheme="majorEastAsia" w:hAnsiTheme="majorEastAsia" w:eastAsiaTheme="majorEastAsia"/>
                <w:bCs/>
                <w:kern w:val="15"/>
                <w:szCs w:val="21"/>
                <w:lang w:eastAsia="zh-CN"/>
              </w:rPr>
              <w:t>供应商</w:t>
            </w:r>
          </w:p>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bCs/>
                <w:kern w:val="15"/>
                <w:szCs w:val="21"/>
              </w:rPr>
            </w:pPr>
            <w:r>
              <w:rPr>
                <w:rFonts w:hint="eastAsia" w:asciiTheme="majorEastAsia" w:hAnsiTheme="majorEastAsia" w:eastAsiaTheme="majorEastAsia"/>
                <w:bCs/>
                <w:kern w:val="15"/>
                <w:szCs w:val="21"/>
              </w:rPr>
              <w:t>信用信息查询</w:t>
            </w:r>
          </w:p>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bCs/>
                <w:kern w:val="15"/>
                <w:szCs w:val="21"/>
              </w:rPr>
            </w:pP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rPr>
            </w:pPr>
            <w:r>
              <w:rPr>
                <w:rFonts w:hint="eastAsia" w:cs="宋体" w:asciiTheme="majorEastAsia" w:hAnsiTheme="majorEastAsia" w:eastAsiaTheme="majorEastAsia"/>
                <w:bCs/>
                <w:szCs w:val="21"/>
              </w:rPr>
              <w:t>查询渠道：</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rPr>
            </w:pPr>
            <w:r>
              <w:rPr>
                <w:rFonts w:hint="eastAsia" w:cs="宋体" w:asciiTheme="majorEastAsia" w:hAnsiTheme="majorEastAsia" w:eastAsiaTheme="majorEastAsia"/>
                <w:bCs/>
                <w:szCs w:val="21"/>
              </w:rPr>
              <w:t>①“信用中国”网站（www.creditchina.gov.cn）：失信被执行人、重大税收违法案件当事人名单 。</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rPr>
            </w:pPr>
            <w:r>
              <w:rPr>
                <w:rFonts w:hint="eastAsia" w:cs="宋体" w:asciiTheme="majorEastAsia" w:hAnsiTheme="majorEastAsia" w:eastAsiaTheme="majorEastAsia"/>
                <w:bCs/>
                <w:szCs w:val="21"/>
              </w:rPr>
              <w:t>②中国政府采购网(www.ccgp.gov.cn)：政府采购严重违法失信行为信息记录。</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rPr>
            </w:pPr>
            <w:r>
              <w:rPr>
                <w:rFonts w:hint="eastAsia" w:cs="宋体" w:asciiTheme="majorEastAsia" w:hAnsiTheme="majorEastAsia" w:eastAsiaTheme="majorEastAsia"/>
                <w:bCs/>
                <w:szCs w:val="21"/>
              </w:rPr>
              <w:t>查询截止时点：同投标截止时间</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rPr>
            </w:pPr>
            <w:r>
              <w:rPr>
                <w:rFonts w:hint="eastAsia" w:cs="宋体" w:asciiTheme="majorEastAsia" w:hAnsiTheme="majorEastAsia" w:eastAsiaTheme="majorEastAsia"/>
                <w:bCs/>
                <w:szCs w:val="21"/>
              </w:rPr>
              <w:t>信用信息查询记录和证据留存的具体方式：</w:t>
            </w:r>
          </w:p>
          <w:p>
            <w:pPr>
              <w:keepNext w:val="0"/>
              <w:keepLines w:val="0"/>
              <w:pageBreakBefore w:val="0"/>
              <w:kinsoku/>
              <w:wordWrap/>
              <w:overflowPunct/>
              <w:autoSpaceDN w:val="0"/>
              <w:bidi w:val="0"/>
              <w:adjustRightInd w:val="0"/>
              <w:snapToGrid w:val="0"/>
              <w:spacing w:line="400" w:lineRule="exact"/>
              <w:rPr>
                <w:rFonts w:cs="宋体" w:asciiTheme="majorEastAsia" w:hAnsiTheme="majorEastAsia" w:eastAsiaTheme="majorEastAsia"/>
                <w:bCs/>
                <w:szCs w:val="21"/>
              </w:rPr>
            </w:pPr>
            <w:r>
              <w:rPr>
                <w:rFonts w:hint="eastAsia" w:cs="宋体" w:asciiTheme="majorEastAsia" w:hAnsiTheme="majorEastAsia" w:eastAsiaTheme="majorEastAsia"/>
                <w:bCs/>
                <w:szCs w:val="21"/>
              </w:rPr>
              <w:t>采购人或采购代理机构将按查询截止时点对所有</w:t>
            </w:r>
            <w:r>
              <w:rPr>
                <w:rFonts w:hint="eastAsia" w:cs="宋体" w:asciiTheme="majorEastAsia" w:hAnsiTheme="majorEastAsia" w:eastAsiaTheme="majorEastAsia"/>
                <w:bCs/>
                <w:szCs w:val="21"/>
                <w:lang w:eastAsia="zh-CN"/>
              </w:rPr>
              <w:t>供应商</w:t>
            </w:r>
            <w:r>
              <w:rPr>
                <w:rFonts w:hint="eastAsia" w:cs="宋体" w:asciiTheme="majorEastAsia" w:hAnsiTheme="majorEastAsia" w:eastAsiaTheme="majorEastAsia"/>
                <w:bCs/>
                <w:szCs w:val="21"/>
              </w:rPr>
              <w:t>的信用信息进行查询，查询记录将作为评委评标的依据，对列入失信被执行人、重大税收违法案件当事人名单、政府采购严重违法失信行为记录名单的</w:t>
            </w:r>
            <w:r>
              <w:rPr>
                <w:rFonts w:hint="eastAsia" w:cs="宋体" w:asciiTheme="majorEastAsia" w:hAnsiTheme="majorEastAsia" w:eastAsiaTheme="majorEastAsia"/>
                <w:bCs/>
                <w:szCs w:val="21"/>
                <w:lang w:eastAsia="zh-CN"/>
              </w:rPr>
              <w:t>供应商</w:t>
            </w:r>
            <w:r>
              <w:rPr>
                <w:rFonts w:hint="eastAsia" w:cs="宋体" w:asciiTheme="majorEastAsia" w:hAnsiTheme="majorEastAsia" w:eastAsiaTheme="majorEastAsia"/>
                <w:bCs/>
                <w:szCs w:val="21"/>
              </w:rPr>
              <w:t>，投标文件作无效处理。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33</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hint="eastAsia" w:asciiTheme="majorEastAsia" w:hAnsiTheme="majorEastAsia" w:eastAsiaTheme="majorEastAsia"/>
                <w:bCs/>
                <w:kern w:val="15"/>
                <w:szCs w:val="21"/>
              </w:rPr>
            </w:pPr>
            <w:r>
              <w:rPr>
                <w:rFonts w:hint="eastAsia" w:asciiTheme="majorEastAsia" w:hAnsiTheme="majorEastAsia" w:eastAsiaTheme="majorEastAsia"/>
                <w:bCs/>
                <w:kern w:val="15"/>
                <w:szCs w:val="21"/>
              </w:rPr>
              <w:t>重新招标的</w:t>
            </w:r>
          </w:p>
          <w:p>
            <w:pPr>
              <w:keepNext w:val="0"/>
              <w:keepLines w:val="0"/>
              <w:pageBreakBefore w:val="0"/>
              <w:kinsoku/>
              <w:wordWrap/>
              <w:overflowPunct/>
              <w:autoSpaceDN w:val="0"/>
              <w:bidi w:val="0"/>
              <w:adjustRightInd w:val="0"/>
              <w:snapToGrid w:val="0"/>
              <w:spacing w:line="400" w:lineRule="exact"/>
              <w:jc w:val="center"/>
              <w:rPr>
                <w:rFonts w:asciiTheme="majorEastAsia" w:hAnsiTheme="majorEastAsia" w:eastAsiaTheme="majorEastAsia"/>
                <w:bCs/>
                <w:szCs w:val="21"/>
              </w:rPr>
            </w:pPr>
            <w:r>
              <w:rPr>
                <w:rFonts w:hint="eastAsia" w:asciiTheme="majorEastAsia" w:hAnsiTheme="majorEastAsia" w:eastAsiaTheme="majorEastAsia"/>
                <w:bCs/>
                <w:kern w:val="15"/>
                <w:szCs w:val="21"/>
              </w:rPr>
              <w:t>其他情形</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szCs w:val="21"/>
              </w:rPr>
            </w:pPr>
            <w:r>
              <w:rPr>
                <w:rFonts w:hint="eastAsia" w:asciiTheme="majorEastAsia" w:hAnsiTheme="majorEastAsia" w:eastAsiaTheme="majorEastAsia"/>
                <w:bCs/>
                <w:kern w:val="15"/>
                <w:szCs w:val="21"/>
              </w:rPr>
              <w:t>除供应商须知正文第8条规定的情形外，除非已经产生中标候选人，在投标有效期内同意延长投标有效期的供应商少于三个的，采购人应当依法重新招标。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宋体" w:hAnsi="宋体" w:cs="宋体"/>
                <w:sz w:val="21"/>
                <w:szCs w:val="11"/>
                <w:highlight w:val="none"/>
                <w:lang w:val="en-US" w:eastAsia="zh-CN"/>
              </w:rPr>
            </w:pPr>
            <w:r>
              <w:rPr>
                <w:rFonts w:hint="eastAsia" w:ascii="宋体" w:hAnsi="宋体" w:cs="宋体"/>
                <w:sz w:val="21"/>
                <w:szCs w:val="11"/>
                <w:highlight w:val="none"/>
                <w:lang w:val="en-US" w:eastAsia="zh-CN"/>
              </w:rPr>
              <w:t>34</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jc w:val="center"/>
              <w:rPr>
                <w:rFonts w:hint="eastAsia" w:asciiTheme="majorEastAsia" w:hAnsiTheme="majorEastAsia" w:eastAsiaTheme="majorEastAsia"/>
                <w:bCs/>
                <w:kern w:val="15"/>
                <w:szCs w:val="21"/>
              </w:rPr>
            </w:pPr>
            <w:r>
              <w:rPr>
                <w:rFonts w:hint="eastAsia" w:asciiTheme="majorEastAsia" w:hAnsiTheme="majorEastAsia" w:eastAsiaTheme="majorEastAsia"/>
                <w:szCs w:val="21"/>
              </w:rPr>
              <w:t>电子标说明</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一、上传的电子证件及资料均需按要求签字盖章上传，否则按未签章处理。</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投标文件电子标制作方面技术支持：95763</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lang w:eastAsia="zh-CN"/>
              </w:rPr>
              <w:t>供应商</w:t>
            </w:r>
            <w:r>
              <w:rPr>
                <w:rFonts w:hint="eastAsia" w:asciiTheme="majorEastAsia" w:hAnsiTheme="majorEastAsia" w:eastAsiaTheme="majorEastAsia"/>
                <w:szCs w:val="21"/>
              </w:rPr>
              <w:t>在政府采购云平台（网址：http:// www.zcygov.cn）通过数字证书制作投标文件1份（此投标文件需上传至政府采购云平台，并在开标现场持编制投标文件的供应商数字证书现场解密）。</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lang w:eastAsia="zh-CN"/>
              </w:rPr>
              <w:t>供应商</w:t>
            </w:r>
            <w:r>
              <w:rPr>
                <w:rFonts w:hint="eastAsia" w:asciiTheme="majorEastAsia" w:hAnsiTheme="majorEastAsia" w:eastAsiaTheme="majorEastAsia"/>
                <w:szCs w:val="21"/>
              </w:rPr>
              <w:t>须携带数字证书至开标现场（供应商须现场解密其上传至政府采购云平台的投标文件）。</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kern w:val="15"/>
                <w:szCs w:val="21"/>
              </w:rPr>
            </w:pPr>
            <w:r>
              <w:rPr>
                <w:rFonts w:hint="eastAsia" w:asciiTheme="majorEastAsia" w:hAnsiTheme="majorEastAsia" w:eastAsiaTheme="majorEastAsia"/>
                <w:bCs/>
                <w:kern w:val="15"/>
                <w:szCs w:val="21"/>
              </w:rPr>
              <w:t>二、电子投标文件中反映</w:t>
            </w:r>
            <w:r>
              <w:rPr>
                <w:rFonts w:hint="eastAsia" w:asciiTheme="majorEastAsia" w:hAnsiTheme="majorEastAsia" w:eastAsiaTheme="majorEastAsia"/>
                <w:bCs/>
                <w:kern w:val="15"/>
                <w:szCs w:val="21"/>
                <w:lang w:eastAsia="zh-CN"/>
              </w:rPr>
              <w:t>供应商</w:t>
            </w:r>
            <w:r>
              <w:rPr>
                <w:rFonts w:hint="eastAsia" w:asciiTheme="majorEastAsia" w:hAnsiTheme="majorEastAsia" w:eastAsiaTheme="majorEastAsia"/>
                <w:bCs/>
                <w:kern w:val="15"/>
                <w:szCs w:val="21"/>
              </w:rPr>
              <w:t>资格审查的图片、扫描件、文字描述等，必须清晰可见。其中所有证书和执照必须为原件扫描。</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kern w:val="15"/>
                <w:szCs w:val="21"/>
              </w:rPr>
            </w:pPr>
            <w:r>
              <w:rPr>
                <w:rFonts w:hint="eastAsia" w:asciiTheme="majorEastAsia" w:hAnsiTheme="majorEastAsia" w:eastAsiaTheme="majorEastAsia"/>
                <w:bCs/>
                <w:kern w:val="15"/>
                <w:szCs w:val="21"/>
              </w:rPr>
              <w:t>三、</w:t>
            </w:r>
            <w:r>
              <w:rPr>
                <w:rFonts w:hint="eastAsia" w:asciiTheme="majorEastAsia" w:hAnsiTheme="majorEastAsia" w:eastAsiaTheme="majorEastAsia"/>
                <w:bCs/>
                <w:kern w:val="15"/>
                <w:szCs w:val="21"/>
                <w:lang w:eastAsia="zh-CN"/>
              </w:rPr>
              <w:t>供应商</w:t>
            </w:r>
            <w:r>
              <w:rPr>
                <w:rFonts w:hint="eastAsia" w:asciiTheme="majorEastAsia" w:hAnsiTheme="majorEastAsia" w:eastAsiaTheme="majorEastAsia"/>
                <w:bCs/>
                <w:kern w:val="15"/>
                <w:szCs w:val="21"/>
              </w:rPr>
              <w:t>应在招标文件要求提交投标文件的截止时间前，将电子（U盘）投标文件和纸质投标文件分别密封，送达投标地点。</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kern w:val="15"/>
                <w:szCs w:val="21"/>
              </w:rPr>
            </w:pPr>
            <w:r>
              <w:rPr>
                <w:rFonts w:hint="eastAsia" w:asciiTheme="majorEastAsia" w:hAnsiTheme="majorEastAsia" w:eastAsiaTheme="majorEastAsia"/>
                <w:bCs/>
                <w:kern w:val="15"/>
                <w:szCs w:val="21"/>
              </w:rPr>
              <w:t>四、若</w:t>
            </w:r>
            <w:r>
              <w:rPr>
                <w:rFonts w:hint="eastAsia" w:asciiTheme="majorEastAsia" w:hAnsiTheme="majorEastAsia" w:eastAsiaTheme="majorEastAsia"/>
                <w:bCs/>
                <w:kern w:val="15"/>
                <w:szCs w:val="21"/>
                <w:lang w:eastAsia="zh-CN"/>
              </w:rPr>
              <w:t>供应商</w:t>
            </w:r>
            <w:r>
              <w:rPr>
                <w:rFonts w:hint="eastAsia" w:asciiTheme="majorEastAsia" w:hAnsiTheme="majorEastAsia" w:eastAsiaTheme="majorEastAsia"/>
                <w:bCs/>
                <w:kern w:val="15"/>
                <w:szCs w:val="21"/>
              </w:rPr>
              <w:t>上传的电子投标文件因无法在规定时间内解密而对投标文件无法进行评价的，</w:t>
            </w:r>
            <w:r>
              <w:rPr>
                <w:rFonts w:hint="eastAsia" w:asciiTheme="majorEastAsia" w:hAnsiTheme="majorEastAsia" w:eastAsiaTheme="majorEastAsia"/>
                <w:bCs/>
                <w:kern w:val="15"/>
                <w:szCs w:val="21"/>
                <w:lang w:eastAsia="zh-CN"/>
              </w:rPr>
              <w:t>采购人</w:t>
            </w:r>
            <w:r>
              <w:rPr>
                <w:rFonts w:hint="eastAsia" w:asciiTheme="majorEastAsia" w:hAnsiTheme="majorEastAsia" w:eastAsiaTheme="majorEastAsia"/>
                <w:bCs/>
                <w:kern w:val="15"/>
                <w:szCs w:val="21"/>
              </w:rPr>
              <w:t>将拒绝该</w:t>
            </w:r>
            <w:r>
              <w:rPr>
                <w:rFonts w:hint="eastAsia" w:asciiTheme="majorEastAsia" w:hAnsiTheme="majorEastAsia" w:eastAsiaTheme="majorEastAsia"/>
                <w:bCs/>
                <w:kern w:val="15"/>
                <w:szCs w:val="21"/>
                <w:lang w:eastAsia="zh-CN"/>
              </w:rPr>
              <w:t>供应商</w:t>
            </w:r>
            <w:r>
              <w:rPr>
                <w:rFonts w:hint="eastAsia" w:asciiTheme="majorEastAsia" w:hAnsiTheme="majorEastAsia" w:eastAsiaTheme="majorEastAsia"/>
                <w:bCs/>
                <w:kern w:val="15"/>
                <w:szCs w:val="21"/>
              </w:rPr>
              <w:t>投标。</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kern w:val="15"/>
                <w:szCs w:val="21"/>
              </w:rPr>
            </w:pPr>
            <w:r>
              <w:rPr>
                <w:rFonts w:hint="eastAsia" w:asciiTheme="majorEastAsia" w:hAnsiTheme="majorEastAsia" w:eastAsiaTheme="majorEastAsia"/>
                <w:bCs/>
                <w:kern w:val="15"/>
                <w:szCs w:val="21"/>
              </w:rPr>
              <w:t>五、当纸质投标文件与电子投标文件（政采云上传文件）不一致时，以电子投标文件为准。</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bCs/>
                <w:kern w:val="15"/>
                <w:szCs w:val="21"/>
              </w:rPr>
              <w:t>六、若出现停电、灾害、系统故障等不可抗力情况，可按纸质投标文件开标。</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备注：</w:t>
            </w:r>
          </w:p>
          <w:p>
            <w:pPr>
              <w:keepNext w:val="0"/>
              <w:keepLines w:val="0"/>
              <w:pageBreakBefore w:val="0"/>
              <w:tabs>
                <w:tab w:val="left" w:pos="878"/>
              </w:tabs>
              <w:kinsoku/>
              <w:wordWrap/>
              <w:overflowPunct/>
              <w:autoSpaceDN w:val="0"/>
              <w:bidi w:val="0"/>
              <w:adjustRightInd w:val="0"/>
              <w:snapToGrid w:val="0"/>
              <w:spacing w:line="400" w:lineRule="exact"/>
              <w:rPr>
                <w:rFonts w:hint="eastAsia" w:asciiTheme="majorEastAsia" w:hAnsiTheme="majorEastAsia" w:eastAsiaTheme="majorEastAsia"/>
                <w:bCs/>
                <w:kern w:val="15"/>
                <w:szCs w:val="21"/>
                <w:lang w:eastAsia="zh-CN"/>
              </w:rPr>
            </w:pPr>
            <w:r>
              <w:rPr>
                <w:rFonts w:hint="eastAsia" w:asciiTheme="majorEastAsia" w:hAnsiTheme="majorEastAsia" w:eastAsiaTheme="majorEastAsia"/>
                <w:szCs w:val="21"/>
              </w:rPr>
              <w:t>投标文件电子版(U盘)按招标文件规定执行，用数字证书编制的电子版按《政府采购项目电子交易管理操作指南-供应商》进行投标操作。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35</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bidi w:val="0"/>
              <w:snapToGrid w:val="0"/>
              <w:spacing w:line="400" w:lineRule="exact"/>
              <w:jc w:val="center"/>
              <w:rPr>
                <w:rFonts w:ascii="宋体" w:hAnsi="宋体"/>
                <w:szCs w:val="21"/>
              </w:rPr>
            </w:pPr>
            <w:r>
              <w:rPr>
                <w:rFonts w:hint="eastAsia" w:ascii="宋体" w:hAnsi="宋体"/>
                <w:szCs w:val="21"/>
              </w:rPr>
              <w:t>报价方式</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bidi w:val="0"/>
              <w:snapToGrid w:val="0"/>
              <w:spacing w:line="400" w:lineRule="exact"/>
              <w:rPr>
                <w:rFonts w:ascii="宋体" w:hAnsi="宋体" w:cs="宋体"/>
                <w:bCs/>
                <w:szCs w:val="21"/>
                <w:lang w:val="zh-CN"/>
              </w:rPr>
            </w:pPr>
            <w:r>
              <w:rPr>
                <w:rFonts w:hint="eastAsia" w:ascii="宋体" w:hAnsi="宋体" w:cs="宋体"/>
                <w:bCs/>
                <w:szCs w:val="21"/>
                <w:lang w:val="zh-CN"/>
              </w:rPr>
              <w:t>供应商按总价报价，超过预算（最高控制价）按无效投标处理。报价中应包含成本、利润、税金、安装、调试、运输等一切费用。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36</w:t>
            </w:r>
          </w:p>
        </w:tc>
        <w:tc>
          <w:tcPr>
            <w:tcW w:w="20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E w:val="0"/>
              <w:autoSpaceDN w:val="0"/>
              <w:bidi w:val="0"/>
              <w:adjustRightInd w:val="0"/>
              <w:spacing w:line="400" w:lineRule="exact"/>
              <w:jc w:val="center"/>
              <w:rPr>
                <w:rFonts w:ascii="宋体" w:hAnsi="宋体"/>
                <w:bCs/>
                <w:szCs w:val="21"/>
                <w:lang w:val="zh-CN"/>
              </w:rPr>
            </w:pPr>
            <w:r>
              <w:rPr>
                <w:rFonts w:hint="eastAsia" w:ascii="宋体" w:hAnsi="宋体"/>
                <w:bCs/>
                <w:szCs w:val="21"/>
                <w:lang w:val="zh-CN"/>
              </w:rPr>
              <w:t>投标无效的情形</w:t>
            </w: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bidi w:val="0"/>
              <w:snapToGrid w:val="0"/>
              <w:spacing w:line="400" w:lineRule="exact"/>
              <w:rPr>
                <w:rFonts w:ascii="宋体" w:hAnsi="宋体"/>
                <w:bCs/>
                <w:szCs w:val="21"/>
                <w:lang w:val="zh-CN"/>
              </w:rPr>
            </w:pPr>
            <w:r>
              <w:rPr>
                <w:rFonts w:hint="eastAsia" w:ascii="宋体" w:hAnsi="宋体"/>
                <w:bCs/>
                <w:szCs w:val="21"/>
                <w:lang w:val="zh-CN"/>
              </w:rPr>
              <w:t>（一）未按照招标文件的规定提交投标保证金的；</w:t>
            </w:r>
          </w:p>
          <w:p>
            <w:pPr>
              <w:keepNext w:val="0"/>
              <w:keepLines w:val="0"/>
              <w:pageBreakBefore w:val="0"/>
              <w:kinsoku/>
              <w:wordWrap/>
              <w:overflowPunct/>
              <w:bidi w:val="0"/>
              <w:snapToGrid w:val="0"/>
              <w:spacing w:line="400" w:lineRule="exact"/>
              <w:rPr>
                <w:rFonts w:ascii="宋体" w:hAnsi="宋体"/>
                <w:bCs/>
                <w:szCs w:val="21"/>
                <w:lang w:val="zh-CN"/>
              </w:rPr>
            </w:pPr>
            <w:r>
              <w:rPr>
                <w:rFonts w:hint="eastAsia" w:ascii="宋体" w:hAnsi="宋体"/>
                <w:bCs/>
                <w:szCs w:val="21"/>
                <w:lang w:val="zh-CN"/>
              </w:rPr>
              <w:t>（二）投标文件未按招标文件要求签署、盖章的；</w:t>
            </w:r>
          </w:p>
          <w:p>
            <w:pPr>
              <w:keepNext w:val="0"/>
              <w:keepLines w:val="0"/>
              <w:pageBreakBefore w:val="0"/>
              <w:kinsoku/>
              <w:wordWrap/>
              <w:overflowPunct/>
              <w:bidi w:val="0"/>
              <w:snapToGrid w:val="0"/>
              <w:spacing w:line="400" w:lineRule="exact"/>
              <w:rPr>
                <w:rFonts w:ascii="宋体" w:hAnsi="宋体"/>
                <w:bCs/>
                <w:szCs w:val="21"/>
                <w:lang w:val="zh-CN"/>
              </w:rPr>
            </w:pPr>
            <w:r>
              <w:rPr>
                <w:rFonts w:hint="eastAsia" w:ascii="宋体" w:hAnsi="宋体"/>
                <w:bCs/>
                <w:szCs w:val="21"/>
                <w:lang w:val="zh-CN"/>
              </w:rPr>
              <w:t>（三）不具备招标文件中规定的资格要求的；</w:t>
            </w:r>
          </w:p>
          <w:p>
            <w:pPr>
              <w:keepNext w:val="0"/>
              <w:keepLines w:val="0"/>
              <w:pageBreakBefore w:val="0"/>
              <w:kinsoku/>
              <w:wordWrap/>
              <w:overflowPunct/>
              <w:bidi w:val="0"/>
              <w:snapToGrid w:val="0"/>
              <w:spacing w:line="400" w:lineRule="exact"/>
              <w:rPr>
                <w:rFonts w:ascii="宋体" w:hAnsi="宋体"/>
                <w:bCs/>
                <w:szCs w:val="21"/>
                <w:lang w:val="zh-CN"/>
              </w:rPr>
            </w:pPr>
            <w:r>
              <w:rPr>
                <w:rFonts w:hint="eastAsia" w:ascii="宋体" w:hAnsi="宋体"/>
                <w:bCs/>
                <w:szCs w:val="21"/>
                <w:lang w:val="zh-CN"/>
              </w:rPr>
              <w:t>（四）报价超过招标文件中规定的预算金额或者最高限价的；</w:t>
            </w:r>
          </w:p>
          <w:p>
            <w:pPr>
              <w:keepNext w:val="0"/>
              <w:keepLines w:val="0"/>
              <w:pageBreakBefore w:val="0"/>
              <w:kinsoku/>
              <w:wordWrap/>
              <w:overflowPunct/>
              <w:bidi w:val="0"/>
              <w:snapToGrid w:val="0"/>
              <w:spacing w:line="400" w:lineRule="exact"/>
              <w:rPr>
                <w:rFonts w:ascii="宋体" w:hAnsi="宋体"/>
                <w:bCs/>
                <w:szCs w:val="21"/>
                <w:lang w:val="zh-CN"/>
              </w:rPr>
            </w:pPr>
            <w:r>
              <w:rPr>
                <w:rFonts w:hint="eastAsia" w:ascii="宋体" w:hAnsi="宋体"/>
                <w:bCs/>
                <w:szCs w:val="21"/>
                <w:lang w:val="zh-CN"/>
              </w:rPr>
              <w:t>（五）投标文件含有采购人不能接受的附加条件的;</w:t>
            </w:r>
          </w:p>
          <w:p>
            <w:pPr>
              <w:keepNext w:val="0"/>
              <w:keepLines w:val="0"/>
              <w:pageBreakBefore w:val="0"/>
              <w:kinsoku/>
              <w:wordWrap/>
              <w:overflowPunct/>
              <w:bidi w:val="0"/>
              <w:snapToGrid w:val="0"/>
              <w:spacing w:line="400" w:lineRule="exact"/>
              <w:rPr>
                <w:rFonts w:ascii="宋体" w:hAnsi="宋体"/>
                <w:bCs/>
                <w:szCs w:val="21"/>
                <w:lang w:val="zh-CN"/>
              </w:rPr>
            </w:pPr>
            <w:r>
              <w:rPr>
                <w:rFonts w:hint="eastAsia" w:ascii="宋体" w:hAnsi="宋体"/>
                <w:bCs/>
                <w:szCs w:val="21"/>
                <w:lang w:val="zh-CN"/>
              </w:rPr>
              <w:t>（六）法律、法规和招标文件规定的其他无效情形。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3" w:hRule="atLeast"/>
          <w:jc w:val="center"/>
        </w:trPr>
        <w:tc>
          <w:tcPr>
            <w:tcW w:w="862"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default" w:asciiTheme="majorEastAsia" w:hAnsiTheme="majorEastAsia" w:eastAsiaTheme="majorEastAsia"/>
                <w:szCs w:val="21"/>
                <w:lang w:val="en-US" w:eastAsia="zh-CN"/>
              </w:rPr>
            </w:pPr>
            <w:r>
              <w:rPr>
                <w:rFonts w:hint="eastAsia" w:ascii="宋体" w:hAnsi="宋体" w:cs="宋体"/>
                <w:sz w:val="21"/>
                <w:szCs w:val="11"/>
                <w:highlight w:val="none"/>
                <w:lang w:val="en-US" w:eastAsia="zh-CN"/>
              </w:rPr>
              <w:t>37</w:t>
            </w:r>
          </w:p>
        </w:tc>
        <w:tc>
          <w:tcPr>
            <w:tcW w:w="2070" w:type="dxa"/>
            <w:vMerge w:val="restart"/>
            <w:tcBorders>
              <w:top w:val="single" w:color="auto" w:sz="4" w:space="0"/>
              <w:left w:val="single" w:color="auto" w:sz="4" w:space="0"/>
              <w:bottom w:val="single" w:color="auto" w:sz="4" w:space="0"/>
              <w:right w:val="single" w:color="auto" w:sz="4" w:space="0"/>
            </w:tcBorders>
            <w:noWrap/>
            <w:vAlign w:val="center"/>
          </w:tcPr>
          <w:p>
            <w:pPr>
              <w:pStyle w:val="54"/>
              <w:keepNext w:val="0"/>
              <w:keepLines w:val="0"/>
              <w:pageBreakBefore w:val="0"/>
              <w:tabs>
                <w:tab w:val="left" w:pos="8295"/>
              </w:tabs>
              <w:kinsoku/>
              <w:wordWrap/>
              <w:overflowPunct/>
              <w:bidi w:val="0"/>
              <w:snapToGrid w:val="0"/>
              <w:spacing w:before="0" w:after="0" w:line="400" w:lineRule="exact"/>
              <w:ind w:left="0" w:right="0"/>
              <w:jc w:val="center"/>
              <w:rPr>
                <w:rFonts w:asciiTheme="majorEastAsia" w:hAnsiTheme="majorEastAsia" w:eastAsiaTheme="majorEastAsia"/>
                <w:bCs/>
                <w:kern w:val="18"/>
                <w:sz w:val="21"/>
                <w:szCs w:val="21"/>
              </w:rPr>
            </w:pPr>
            <w:r>
              <w:rPr>
                <w:rFonts w:hint="eastAsia" w:cs="宋体" w:asciiTheme="majorEastAsia" w:hAnsiTheme="majorEastAsia" w:eastAsiaTheme="majorEastAsia"/>
                <w:bCs/>
                <w:kern w:val="15"/>
                <w:sz w:val="21"/>
                <w:szCs w:val="21"/>
              </w:rPr>
              <w:t>其他要求</w:t>
            </w:r>
          </w:p>
        </w:tc>
        <w:tc>
          <w:tcPr>
            <w:tcW w:w="6597" w:type="dxa"/>
            <w:tcBorders>
              <w:top w:val="single" w:color="auto" w:sz="4" w:space="0"/>
              <w:left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szCs w:val="21"/>
              </w:rPr>
            </w:pPr>
            <w:r>
              <w:rPr>
                <w:rFonts w:hint="eastAsia" w:cs="宋体" w:asciiTheme="majorEastAsia" w:hAnsiTheme="majorEastAsia" w:eastAsiaTheme="majorEastAsia"/>
                <w:bCs/>
                <w:kern w:val="15"/>
                <w:szCs w:val="21"/>
                <w:lang w:eastAsia="zh-CN"/>
              </w:rPr>
              <w:t>供应商</w:t>
            </w:r>
            <w:r>
              <w:rPr>
                <w:rFonts w:hint="eastAsia" w:cs="宋体" w:asciiTheme="majorEastAsia" w:hAnsiTheme="majorEastAsia" w:eastAsiaTheme="majorEastAsia"/>
                <w:bCs/>
                <w:kern w:val="15"/>
                <w:szCs w:val="21"/>
              </w:rPr>
              <w:t>必须保证投标时所报资料真实有效，采购人保留对资料的核查权力，一旦发现资料有虚假现象将移交有关部门处理。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bidi w:val="0"/>
              <w:spacing w:line="400" w:lineRule="exact"/>
              <w:jc w:val="both"/>
              <w:rPr>
                <w:rFonts w:asciiTheme="majorEastAsia" w:hAnsiTheme="majorEastAsia" w:eastAsiaTheme="majorEastAsia"/>
                <w:szCs w:val="21"/>
              </w:rPr>
            </w:pPr>
          </w:p>
        </w:tc>
        <w:tc>
          <w:tcPr>
            <w:tcW w:w="20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bidi w:val="0"/>
              <w:spacing w:line="400" w:lineRule="exact"/>
              <w:jc w:val="left"/>
              <w:rPr>
                <w:rFonts w:asciiTheme="majorEastAsia" w:hAnsiTheme="majorEastAsia" w:eastAsiaTheme="majorEastAsia"/>
                <w:bCs/>
                <w:kern w:val="18"/>
                <w:szCs w:val="21"/>
              </w:rPr>
            </w:pP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hint="eastAsia" w:asciiTheme="majorEastAsia" w:hAnsiTheme="majorEastAsia" w:eastAsiaTheme="majorEastAsia"/>
                <w:bCs/>
                <w:szCs w:val="21"/>
                <w:lang w:eastAsia="zh-CN"/>
              </w:rPr>
            </w:pPr>
            <w:r>
              <w:rPr>
                <w:rFonts w:hint="eastAsia" w:asciiTheme="majorEastAsia" w:hAnsiTheme="majorEastAsia" w:eastAsiaTheme="majorEastAsia"/>
                <w:bCs/>
                <w:kern w:val="15"/>
                <w:szCs w:val="21"/>
              </w:rPr>
              <w:t>对于中小企业参与本项目投标的：</w:t>
            </w:r>
            <w:r>
              <w:rPr>
                <w:rFonts w:hint="eastAsia" w:asciiTheme="majorEastAsia" w:hAnsiTheme="majorEastAsia" w:eastAsiaTheme="majorEastAsia"/>
                <w:bCs/>
                <w:kern w:val="15"/>
                <w:szCs w:val="21"/>
                <w:lang w:eastAsia="zh-CN"/>
              </w:rPr>
              <w:t>供应商</w:t>
            </w:r>
            <w:r>
              <w:rPr>
                <w:rFonts w:hint="eastAsia" w:asciiTheme="majorEastAsia" w:hAnsiTheme="majorEastAsia" w:eastAsiaTheme="majorEastAsia"/>
                <w:bCs/>
                <w:kern w:val="15"/>
                <w:szCs w:val="21"/>
              </w:rPr>
              <w:t>需提供符合《政府采购促进中小企业发展管理办法》（财库[2020]46号）、</w:t>
            </w:r>
            <w:r>
              <w:rPr>
                <w:rFonts w:hint="eastAsia" w:cs="宋体" w:asciiTheme="majorEastAsia" w:hAnsiTheme="majorEastAsia" w:eastAsiaTheme="majorEastAsia"/>
                <w:szCs w:val="21"/>
              </w:rPr>
              <w:t>财库〔2022〕19号</w:t>
            </w:r>
            <w:r>
              <w:rPr>
                <w:rFonts w:hint="eastAsia" w:asciiTheme="majorEastAsia" w:hAnsiTheme="majorEastAsia" w:eastAsiaTheme="majorEastAsia"/>
                <w:bCs/>
                <w:kern w:val="15"/>
                <w:szCs w:val="21"/>
              </w:rPr>
              <w:t>规定的《中小企业声明函》原件</w:t>
            </w:r>
            <w:r>
              <w:rPr>
                <w:rFonts w:hint="eastAsia" w:asciiTheme="majorEastAsia" w:hAnsiTheme="majorEastAsia" w:eastAsiaTheme="majorEastAsia"/>
                <w:bCs/>
                <w:kern w:val="15"/>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bidi w:val="0"/>
              <w:spacing w:line="400" w:lineRule="exact"/>
              <w:jc w:val="both"/>
              <w:rPr>
                <w:rFonts w:asciiTheme="majorEastAsia" w:hAnsiTheme="majorEastAsia" w:eastAsiaTheme="majorEastAsia"/>
                <w:szCs w:val="21"/>
              </w:rPr>
            </w:pPr>
          </w:p>
        </w:tc>
        <w:tc>
          <w:tcPr>
            <w:tcW w:w="20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bidi w:val="0"/>
              <w:spacing w:line="400" w:lineRule="exact"/>
              <w:jc w:val="left"/>
              <w:rPr>
                <w:rFonts w:asciiTheme="majorEastAsia" w:hAnsiTheme="majorEastAsia" w:eastAsiaTheme="majorEastAsia"/>
                <w:bCs/>
                <w:kern w:val="18"/>
                <w:szCs w:val="21"/>
              </w:rPr>
            </w:pPr>
          </w:p>
        </w:tc>
        <w:tc>
          <w:tcPr>
            <w:tcW w:w="65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kern w:val="15"/>
                <w:szCs w:val="21"/>
              </w:rPr>
            </w:pPr>
            <w:r>
              <w:rPr>
                <w:rFonts w:hint="eastAsia" w:asciiTheme="majorEastAsia" w:hAnsiTheme="majorEastAsia" w:eastAsiaTheme="majorEastAsia"/>
                <w:bCs/>
                <w:kern w:val="15"/>
                <w:szCs w:val="21"/>
              </w:rPr>
              <w:t>根据中华人民共和国财政部令第94号--政府采购质疑和投诉办法规定，</w:t>
            </w:r>
            <w:r>
              <w:rPr>
                <w:rFonts w:hint="eastAsia" w:asciiTheme="majorEastAsia" w:hAnsiTheme="majorEastAsia" w:eastAsiaTheme="majorEastAsia"/>
                <w:bCs/>
                <w:kern w:val="15"/>
                <w:szCs w:val="21"/>
                <w:lang w:eastAsia="zh-CN"/>
              </w:rPr>
              <w:t>供应商</w:t>
            </w:r>
            <w:r>
              <w:rPr>
                <w:rFonts w:hint="eastAsia" w:asciiTheme="majorEastAsia" w:hAnsiTheme="majorEastAsia" w:eastAsiaTheme="majorEastAsia"/>
                <w:bCs/>
                <w:kern w:val="15"/>
                <w:szCs w:val="21"/>
              </w:rPr>
              <w:t>在法定质疑期内应一次性提出针对同一采购程序环节的质疑，提出质疑时应当提交符合规定的质疑函和必要的证明材料。</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kern w:val="15"/>
                <w:szCs w:val="21"/>
              </w:rPr>
            </w:pPr>
            <w:r>
              <w:rPr>
                <w:rFonts w:hint="eastAsia" w:asciiTheme="majorEastAsia" w:hAnsiTheme="majorEastAsia" w:eastAsiaTheme="majorEastAsia"/>
                <w:bCs/>
                <w:kern w:val="15"/>
                <w:szCs w:val="21"/>
              </w:rPr>
              <w:t>只接受以书面形式向采购人、采购代理机构提出质疑，不接受以其他形式或提出的质疑。</w:t>
            </w:r>
          </w:p>
          <w:p>
            <w:pPr>
              <w:keepNext w:val="0"/>
              <w:keepLines w:val="0"/>
              <w:pageBreakBefore w:val="0"/>
              <w:kinsoku/>
              <w:wordWrap/>
              <w:overflowPunct/>
              <w:autoSpaceDN w:val="0"/>
              <w:bidi w:val="0"/>
              <w:adjustRightInd w:val="0"/>
              <w:snapToGrid w:val="0"/>
              <w:spacing w:line="400" w:lineRule="exact"/>
              <w:rPr>
                <w:rFonts w:hint="eastAsia" w:asciiTheme="majorEastAsia" w:hAnsiTheme="majorEastAsia" w:eastAsiaTheme="majorEastAsia"/>
                <w:bCs/>
                <w:szCs w:val="21"/>
                <w:lang w:val="zh-CN" w:eastAsia="zh-CN"/>
              </w:rPr>
            </w:pPr>
            <w:r>
              <w:rPr>
                <w:rFonts w:hint="eastAsia" w:asciiTheme="majorEastAsia" w:hAnsiTheme="majorEastAsia" w:eastAsiaTheme="majorEastAsia"/>
                <w:bCs/>
                <w:szCs w:val="21"/>
                <w:lang w:val="zh-CN" w:eastAsia="zh-CN"/>
              </w:rPr>
              <w:t>名称：吉林省亿安建设项目管理有限公司</w:t>
            </w:r>
          </w:p>
          <w:p>
            <w:pPr>
              <w:keepNext w:val="0"/>
              <w:keepLines w:val="0"/>
              <w:pageBreakBefore w:val="0"/>
              <w:kinsoku/>
              <w:wordWrap/>
              <w:overflowPunct/>
              <w:autoSpaceDN w:val="0"/>
              <w:bidi w:val="0"/>
              <w:adjustRightInd w:val="0"/>
              <w:snapToGrid w:val="0"/>
              <w:spacing w:line="400" w:lineRule="exact"/>
              <w:rPr>
                <w:rFonts w:hint="eastAsia" w:asciiTheme="majorEastAsia" w:hAnsiTheme="majorEastAsia" w:eastAsiaTheme="majorEastAsia"/>
                <w:bCs/>
                <w:szCs w:val="21"/>
                <w:lang w:val="zh-CN" w:eastAsia="zh-CN"/>
              </w:rPr>
            </w:pPr>
            <w:r>
              <w:rPr>
                <w:rFonts w:hint="eastAsia" w:asciiTheme="majorEastAsia" w:hAnsiTheme="majorEastAsia" w:eastAsiaTheme="majorEastAsia"/>
                <w:bCs/>
                <w:szCs w:val="21"/>
                <w:lang w:val="zh-CN" w:eastAsia="zh-CN"/>
              </w:rPr>
              <w:t>地址：长春市双创中心B座1520室</w:t>
            </w:r>
          </w:p>
          <w:p>
            <w:pPr>
              <w:keepNext w:val="0"/>
              <w:keepLines w:val="0"/>
              <w:pageBreakBefore w:val="0"/>
              <w:kinsoku/>
              <w:wordWrap/>
              <w:overflowPunct/>
              <w:autoSpaceDN w:val="0"/>
              <w:bidi w:val="0"/>
              <w:adjustRightInd w:val="0"/>
              <w:snapToGrid w:val="0"/>
              <w:spacing w:line="400" w:lineRule="exact"/>
              <w:rPr>
                <w:rFonts w:asciiTheme="majorEastAsia" w:hAnsiTheme="majorEastAsia" w:eastAsiaTheme="majorEastAsia"/>
                <w:bCs/>
                <w:szCs w:val="21"/>
              </w:rPr>
            </w:pPr>
            <w:r>
              <w:rPr>
                <w:rFonts w:hint="eastAsia" w:asciiTheme="majorEastAsia" w:hAnsiTheme="majorEastAsia" w:eastAsiaTheme="majorEastAsia"/>
                <w:bCs/>
                <w:szCs w:val="21"/>
                <w:lang w:val="zh-CN" w:eastAsia="zh-CN"/>
              </w:rPr>
              <w:t>联系方式：安浩坤13104459825</w:t>
            </w:r>
          </w:p>
        </w:tc>
      </w:tr>
    </w:tbl>
    <w:p>
      <w:pPr>
        <w:autoSpaceDN w:val="0"/>
        <w:adjustRightInd w:val="0"/>
        <w:snapToGrid w:val="0"/>
        <w:spacing w:line="360" w:lineRule="auto"/>
        <w:rPr>
          <w:rFonts w:asciiTheme="majorEastAsia" w:hAnsiTheme="majorEastAsia" w:eastAsiaTheme="majorEastAsia"/>
          <w:szCs w:val="21"/>
        </w:rPr>
      </w:pPr>
    </w:p>
    <w:p>
      <w:pPr>
        <w:pStyle w:val="20"/>
        <w:autoSpaceDN w:val="0"/>
        <w:adjustRightInd w:val="0"/>
        <w:snapToGrid w:val="0"/>
        <w:spacing w:line="360" w:lineRule="auto"/>
        <w:rPr>
          <w:rFonts w:asciiTheme="majorEastAsia" w:hAnsiTheme="majorEastAsia" w:eastAsiaTheme="majorEastAsia"/>
          <w:szCs w:val="21"/>
        </w:rPr>
      </w:pPr>
    </w:p>
    <w:p>
      <w:pPr>
        <w:pStyle w:val="20"/>
        <w:autoSpaceDN w:val="0"/>
        <w:adjustRightInd w:val="0"/>
        <w:snapToGrid w:val="0"/>
        <w:spacing w:line="360" w:lineRule="auto"/>
        <w:rPr>
          <w:rFonts w:asciiTheme="majorEastAsia" w:hAnsiTheme="majorEastAsia" w:eastAsiaTheme="majorEastAsia"/>
          <w:szCs w:val="21"/>
        </w:rPr>
      </w:pPr>
    </w:p>
    <w:p>
      <w:pPr>
        <w:pStyle w:val="20"/>
        <w:autoSpaceDN w:val="0"/>
        <w:adjustRightInd w:val="0"/>
        <w:snapToGrid w:val="0"/>
        <w:spacing w:line="360" w:lineRule="auto"/>
        <w:rPr>
          <w:rFonts w:asciiTheme="majorEastAsia" w:hAnsiTheme="majorEastAsia" w:eastAsiaTheme="majorEastAsia"/>
          <w:szCs w:val="21"/>
        </w:rPr>
      </w:pPr>
    </w:p>
    <w:p>
      <w:pPr>
        <w:pStyle w:val="20"/>
        <w:autoSpaceDN w:val="0"/>
        <w:adjustRightInd w:val="0"/>
        <w:snapToGrid w:val="0"/>
        <w:spacing w:line="360" w:lineRule="auto"/>
        <w:rPr>
          <w:rFonts w:asciiTheme="majorEastAsia" w:hAnsiTheme="majorEastAsia" w:eastAsiaTheme="majorEastAsia"/>
          <w:szCs w:val="21"/>
        </w:rPr>
      </w:pPr>
    </w:p>
    <w:p>
      <w:pPr>
        <w:pStyle w:val="20"/>
        <w:autoSpaceDN w:val="0"/>
        <w:adjustRightInd w:val="0"/>
        <w:snapToGrid w:val="0"/>
        <w:spacing w:line="360" w:lineRule="auto"/>
        <w:rPr>
          <w:rFonts w:asciiTheme="majorEastAsia" w:hAnsiTheme="majorEastAsia" w:eastAsiaTheme="majorEastAsia"/>
          <w:szCs w:val="21"/>
        </w:rPr>
      </w:pPr>
    </w:p>
    <w:p>
      <w:pPr>
        <w:rPr>
          <w:rFonts w:asciiTheme="majorEastAsia" w:hAnsiTheme="majorEastAsia" w:eastAsiaTheme="majorEastAsia"/>
        </w:rPr>
      </w:pPr>
      <w:r>
        <w:rPr>
          <w:rFonts w:hint="eastAsia" w:asciiTheme="majorEastAsia" w:hAnsiTheme="majorEastAsia" w:eastAsiaTheme="majorEastAsia"/>
        </w:rPr>
        <w:br w:type="page"/>
      </w:r>
    </w:p>
    <w:p>
      <w:pPr>
        <w:pStyle w:val="3"/>
        <w:tabs>
          <w:tab w:val="left" w:pos="360"/>
        </w:tabs>
        <w:autoSpaceDN w:val="0"/>
        <w:adjustRightInd w:val="0"/>
        <w:snapToGrid w:val="0"/>
        <w:spacing w:line="360" w:lineRule="auto"/>
        <w:jc w:val="center"/>
        <w:rPr>
          <w:rFonts w:asciiTheme="majorEastAsia" w:hAnsiTheme="majorEastAsia" w:eastAsiaTheme="majorEastAsia"/>
        </w:rPr>
      </w:pPr>
      <w:r>
        <w:rPr>
          <w:rFonts w:hint="eastAsia" w:asciiTheme="majorEastAsia" w:hAnsiTheme="majorEastAsia" w:eastAsiaTheme="majorEastAsia"/>
        </w:rPr>
        <w:t>二</w:t>
      </w:r>
      <w:r>
        <w:rPr>
          <w:rFonts w:asciiTheme="majorEastAsia" w:hAnsiTheme="majorEastAsia" w:eastAsiaTheme="majorEastAsia"/>
        </w:rPr>
        <w:t xml:space="preserve"> </w:t>
      </w:r>
      <w:r>
        <w:rPr>
          <w:rFonts w:hint="eastAsia" w:asciiTheme="majorEastAsia" w:hAnsiTheme="majorEastAsia" w:eastAsiaTheme="majorEastAsia"/>
        </w:rPr>
        <w:t>供应商须知</w:t>
      </w:r>
    </w:p>
    <w:p>
      <w:pPr>
        <w:autoSpaceDN w:val="0"/>
        <w:adjustRightInd w:val="0"/>
        <w:snapToGrid w:val="0"/>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本项目招标依据为《中华人民共和国政府采购法》、《中华人民共和国政府采购法实施条例》、《政府采购货物和服务招标投标管理办法》等有关法律、法规及规定。</w:t>
      </w:r>
    </w:p>
    <w:p>
      <w:pPr>
        <w:pStyle w:val="6"/>
        <w:autoSpaceDN w:val="0"/>
        <w:adjustRightInd w:val="0"/>
        <w:snapToGrid w:val="0"/>
        <w:spacing w:line="360" w:lineRule="auto"/>
        <w:ind w:firstLine="420"/>
        <w:rPr>
          <w:rFonts w:asciiTheme="majorEastAsia" w:hAnsiTheme="majorEastAsia" w:eastAsiaTheme="majorEastAsia"/>
          <w:szCs w:val="21"/>
        </w:rPr>
      </w:pPr>
    </w:p>
    <w:p>
      <w:pPr>
        <w:pStyle w:val="4"/>
        <w:autoSpaceDN w:val="0"/>
        <w:adjustRightInd w:val="0"/>
        <w:snapToGrid w:val="0"/>
        <w:spacing w:before="0" w:after="0" w:line="360" w:lineRule="auto"/>
        <w:jc w:val="center"/>
        <w:rPr>
          <w:rFonts w:asciiTheme="majorEastAsia" w:hAnsiTheme="majorEastAsia" w:eastAsiaTheme="majorEastAsia"/>
          <w:sz w:val="21"/>
          <w:szCs w:val="21"/>
        </w:rPr>
      </w:pPr>
      <w:bookmarkStart w:id="44" w:name="_Toc98580391"/>
      <w:r>
        <w:rPr>
          <w:rFonts w:hint="eastAsia" w:asciiTheme="majorEastAsia" w:hAnsiTheme="majorEastAsia" w:eastAsiaTheme="majorEastAsia"/>
          <w:sz w:val="21"/>
          <w:szCs w:val="21"/>
        </w:rPr>
        <w:t>A 说明</w:t>
      </w:r>
      <w:bookmarkEnd w:id="44"/>
    </w:p>
    <w:p>
      <w:pPr>
        <w:pStyle w:val="5"/>
        <w:autoSpaceDN w:val="0"/>
        <w:adjustRightInd w:val="0"/>
        <w:snapToGrid w:val="0"/>
        <w:spacing w:before="0" w:after="0" w:line="360" w:lineRule="auto"/>
        <w:rPr>
          <w:rFonts w:asciiTheme="majorEastAsia" w:hAnsiTheme="majorEastAsia" w:eastAsiaTheme="majorEastAsia"/>
          <w:b w:val="0"/>
          <w:bCs w:val="0"/>
          <w:spacing w:val="6"/>
          <w:sz w:val="21"/>
          <w:szCs w:val="21"/>
        </w:rPr>
      </w:pPr>
      <w:bookmarkStart w:id="45" w:name="_Toc98580392"/>
      <w:r>
        <w:rPr>
          <w:rFonts w:hint="eastAsia" w:asciiTheme="majorEastAsia" w:hAnsiTheme="majorEastAsia" w:eastAsiaTheme="majorEastAsia"/>
          <w:sz w:val="21"/>
          <w:szCs w:val="21"/>
        </w:rPr>
        <w:t>1.适用范围</w:t>
      </w:r>
      <w:bookmarkEnd w:id="45"/>
    </w:p>
    <w:p>
      <w:pPr>
        <w:autoSpaceDN w:val="0"/>
        <w:adjustRightInd w:val="0"/>
        <w:snapToGrid w:val="0"/>
        <w:spacing w:line="360" w:lineRule="auto"/>
        <w:ind w:firstLine="567"/>
        <w:rPr>
          <w:rFonts w:asciiTheme="majorEastAsia" w:hAnsiTheme="majorEastAsia" w:eastAsiaTheme="majorEastAsia"/>
          <w:szCs w:val="21"/>
        </w:rPr>
      </w:pPr>
      <w:r>
        <w:rPr>
          <w:rFonts w:hint="eastAsia" w:asciiTheme="majorEastAsia" w:hAnsiTheme="majorEastAsia" w:eastAsiaTheme="majorEastAsia"/>
          <w:szCs w:val="21"/>
        </w:rPr>
        <w:t>本文件是受</w:t>
      </w:r>
      <w:r>
        <w:rPr>
          <w:rFonts w:hint="eastAsia" w:asciiTheme="majorEastAsia" w:hAnsiTheme="majorEastAsia" w:eastAsiaTheme="majorEastAsia"/>
          <w:spacing w:val="6"/>
          <w:szCs w:val="21"/>
        </w:rPr>
        <w:t>采购人</w:t>
      </w:r>
      <w:r>
        <w:rPr>
          <w:rFonts w:hint="eastAsia" w:asciiTheme="majorEastAsia" w:hAnsiTheme="majorEastAsia" w:eastAsiaTheme="majorEastAsia"/>
          <w:szCs w:val="21"/>
        </w:rPr>
        <w:t>委托</w:t>
      </w:r>
      <w:r>
        <w:rPr>
          <w:rFonts w:hint="eastAsia" w:asciiTheme="majorEastAsia" w:hAnsiTheme="majorEastAsia" w:eastAsiaTheme="majorEastAsia"/>
          <w:spacing w:val="6"/>
          <w:szCs w:val="21"/>
        </w:rPr>
        <w:t>，对采购人</w:t>
      </w:r>
      <w:r>
        <w:rPr>
          <w:rFonts w:hint="eastAsia" w:asciiTheme="majorEastAsia" w:hAnsiTheme="majorEastAsia" w:eastAsiaTheme="majorEastAsia"/>
          <w:szCs w:val="21"/>
        </w:rPr>
        <w:t>委托</w:t>
      </w:r>
      <w:r>
        <w:rPr>
          <w:rFonts w:hint="eastAsia" w:cs="宋体" w:asciiTheme="majorEastAsia" w:hAnsiTheme="majorEastAsia" w:eastAsiaTheme="majorEastAsia"/>
          <w:bCs/>
          <w:szCs w:val="21"/>
          <w:lang w:val="zh-CN"/>
        </w:rPr>
        <w:t>采购项目</w:t>
      </w:r>
      <w:r>
        <w:rPr>
          <w:rFonts w:hint="eastAsia" w:asciiTheme="majorEastAsia" w:hAnsiTheme="majorEastAsia" w:eastAsiaTheme="majorEastAsia"/>
          <w:spacing w:val="6"/>
          <w:szCs w:val="21"/>
        </w:rPr>
        <w:t>的规范性招标</w:t>
      </w:r>
      <w:r>
        <w:rPr>
          <w:rFonts w:hint="eastAsia" w:asciiTheme="majorEastAsia" w:hAnsiTheme="majorEastAsia" w:eastAsiaTheme="majorEastAsia"/>
          <w:szCs w:val="21"/>
        </w:rPr>
        <w:t>文件，适用于本项目招标公告所述的标的采购及服务，是供应商编制投标文件的依据。</w:t>
      </w:r>
    </w:p>
    <w:p>
      <w:pPr>
        <w:pStyle w:val="5"/>
        <w:autoSpaceDN w:val="0"/>
        <w:adjustRightInd w:val="0"/>
        <w:snapToGrid w:val="0"/>
        <w:spacing w:before="0" w:after="0" w:line="360" w:lineRule="auto"/>
        <w:rPr>
          <w:rFonts w:asciiTheme="majorEastAsia" w:hAnsiTheme="majorEastAsia" w:eastAsiaTheme="majorEastAsia"/>
          <w:sz w:val="21"/>
          <w:szCs w:val="21"/>
        </w:rPr>
      </w:pPr>
      <w:bookmarkStart w:id="46" w:name="_Toc98580393"/>
      <w:r>
        <w:rPr>
          <w:rFonts w:hint="eastAsia" w:asciiTheme="majorEastAsia" w:hAnsiTheme="majorEastAsia" w:eastAsiaTheme="majorEastAsia"/>
          <w:sz w:val="21"/>
          <w:szCs w:val="21"/>
        </w:rPr>
        <w:t>2.法律适用</w:t>
      </w:r>
      <w:bookmarkEnd w:id="46"/>
    </w:p>
    <w:p>
      <w:pPr>
        <w:autoSpaceDN w:val="0"/>
        <w:adjustRightInd w:val="0"/>
        <w:snapToGrid w:val="0"/>
        <w:spacing w:line="360" w:lineRule="auto"/>
        <w:ind w:firstLine="567"/>
        <w:rPr>
          <w:rFonts w:asciiTheme="majorEastAsia" w:hAnsiTheme="majorEastAsia" w:eastAsiaTheme="majorEastAsia"/>
          <w:szCs w:val="21"/>
        </w:rPr>
      </w:pPr>
      <w:r>
        <w:rPr>
          <w:rFonts w:hint="eastAsia" w:asciiTheme="majorEastAsia" w:hAnsiTheme="majorEastAsia" w:eastAsiaTheme="majorEastAsia"/>
          <w:szCs w:val="21"/>
        </w:rPr>
        <w:t>本招标文件及由本次招标产生的合同适用中华人民共和国法律。</w:t>
      </w:r>
    </w:p>
    <w:p>
      <w:pPr>
        <w:pStyle w:val="5"/>
        <w:autoSpaceDN w:val="0"/>
        <w:adjustRightInd w:val="0"/>
        <w:snapToGrid w:val="0"/>
        <w:spacing w:before="0" w:after="0" w:line="360" w:lineRule="auto"/>
        <w:rPr>
          <w:rFonts w:asciiTheme="majorEastAsia" w:hAnsiTheme="majorEastAsia" w:eastAsiaTheme="majorEastAsia"/>
          <w:sz w:val="21"/>
          <w:szCs w:val="21"/>
        </w:rPr>
      </w:pPr>
      <w:bookmarkStart w:id="47" w:name="_Toc98580394"/>
      <w:r>
        <w:rPr>
          <w:rFonts w:hint="eastAsia" w:asciiTheme="majorEastAsia" w:hAnsiTheme="majorEastAsia" w:eastAsiaTheme="majorEastAsia"/>
          <w:sz w:val="21"/>
          <w:szCs w:val="21"/>
        </w:rPr>
        <w:t>3.定义</w:t>
      </w:r>
      <w:bookmarkEnd w:id="47"/>
    </w:p>
    <w:p>
      <w:pPr>
        <w:autoSpaceDN w:val="0"/>
        <w:adjustRightInd w:val="0"/>
        <w:snapToGrid w:val="0"/>
        <w:spacing w:line="360" w:lineRule="auto"/>
        <w:ind w:firstLine="351"/>
        <w:rPr>
          <w:rFonts w:asciiTheme="majorEastAsia" w:hAnsiTheme="majorEastAsia" w:eastAsiaTheme="majorEastAsia"/>
          <w:szCs w:val="21"/>
        </w:rPr>
      </w:pPr>
      <w:r>
        <w:rPr>
          <w:rFonts w:hint="eastAsia" w:asciiTheme="majorEastAsia" w:hAnsiTheme="majorEastAsia" w:eastAsiaTheme="majorEastAsia"/>
          <w:szCs w:val="21"/>
        </w:rPr>
        <w:t>“招标机构”系指组织本次招标的代理机构；</w:t>
      </w:r>
    </w:p>
    <w:p>
      <w:pPr>
        <w:autoSpaceDN w:val="0"/>
        <w:adjustRightInd w:val="0"/>
        <w:snapToGrid w:val="0"/>
        <w:spacing w:line="360" w:lineRule="auto"/>
        <w:ind w:firstLine="351"/>
        <w:rPr>
          <w:rFonts w:asciiTheme="majorEastAsia" w:hAnsiTheme="majorEastAsia" w:eastAsiaTheme="majorEastAsia"/>
          <w:szCs w:val="21"/>
        </w:rPr>
      </w:pPr>
      <w:r>
        <w:rPr>
          <w:rFonts w:hint="eastAsia" w:asciiTheme="majorEastAsia" w:hAnsiTheme="majorEastAsia" w:eastAsiaTheme="majorEastAsia"/>
          <w:szCs w:val="21"/>
        </w:rPr>
        <w:t>“供应商”系指向招标机构提交投标文件的投标商；</w:t>
      </w:r>
    </w:p>
    <w:p>
      <w:pPr>
        <w:autoSpaceDN w:val="0"/>
        <w:adjustRightInd w:val="0"/>
        <w:snapToGrid w:val="0"/>
        <w:spacing w:line="360" w:lineRule="auto"/>
        <w:ind w:firstLine="351"/>
        <w:rPr>
          <w:rFonts w:asciiTheme="majorEastAsia" w:hAnsiTheme="majorEastAsia" w:eastAsiaTheme="majorEastAsia"/>
          <w:szCs w:val="21"/>
        </w:rPr>
      </w:pPr>
      <w:r>
        <w:rPr>
          <w:rFonts w:hint="eastAsia" w:asciiTheme="majorEastAsia" w:hAnsiTheme="majorEastAsia" w:eastAsiaTheme="majorEastAsia"/>
          <w:szCs w:val="21"/>
        </w:rPr>
        <w:t>“买方”系指采购单位，合同一方当事人；</w:t>
      </w:r>
    </w:p>
    <w:p>
      <w:pPr>
        <w:autoSpaceDN w:val="0"/>
        <w:adjustRightInd w:val="0"/>
        <w:snapToGrid w:val="0"/>
        <w:spacing w:line="360" w:lineRule="auto"/>
        <w:ind w:firstLine="351"/>
        <w:rPr>
          <w:rFonts w:asciiTheme="majorEastAsia" w:hAnsiTheme="majorEastAsia" w:eastAsiaTheme="majorEastAsia"/>
          <w:szCs w:val="21"/>
        </w:rPr>
      </w:pPr>
      <w:r>
        <w:rPr>
          <w:rFonts w:hint="eastAsia" w:asciiTheme="majorEastAsia" w:hAnsiTheme="majorEastAsia" w:eastAsiaTheme="majorEastAsia"/>
          <w:szCs w:val="21"/>
        </w:rPr>
        <w:t>“服务”系指招标文件规定须完成的服务和其他的类似义务；</w:t>
      </w:r>
    </w:p>
    <w:p>
      <w:pPr>
        <w:autoSpaceDN w:val="0"/>
        <w:adjustRightInd w:val="0"/>
        <w:snapToGrid w:val="0"/>
        <w:spacing w:line="360" w:lineRule="auto"/>
        <w:ind w:firstLine="351"/>
        <w:rPr>
          <w:rFonts w:asciiTheme="majorEastAsia" w:hAnsiTheme="majorEastAsia" w:eastAsiaTheme="majorEastAsia"/>
          <w:szCs w:val="21"/>
        </w:rPr>
      </w:pPr>
      <w:r>
        <w:rPr>
          <w:rFonts w:hint="eastAsia" w:asciiTheme="majorEastAsia" w:hAnsiTheme="majorEastAsia" w:eastAsiaTheme="majorEastAsia"/>
          <w:szCs w:val="21"/>
        </w:rPr>
        <w:t>“日”、“天”系指日历日；</w:t>
      </w:r>
    </w:p>
    <w:p>
      <w:pPr>
        <w:pStyle w:val="55"/>
        <w:autoSpaceDN w:val="0"/>
        <w:adjustRightInd w:val="0"/>
        <w:snapToGrid w:val="0"/>
        <w:spacing w:before="0" w:beforeAutospacing="0" w:after="0" w:afterAutospacing="0" w:line="360" w:lineRule="auto"/>
        <w:ind w:firstLine="24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“合同”是买方与中标人共同以招标文件、投标文件为依据，经过协商签订的具备法律效力的文件。招标文件、投标文件及其共同确定的补充文件是合同的有效组成部分，与合同具备同等的法律效力。</w:t>
      </w:r>
    </w:p>
    <w:p>
      <w:pPr>
        <w:pStyle w:val="5"/>
        <w:autoSpaceDN w:val="0"/>
        <w:adjustRightInd w:val="0"/>
        <w:snapToGrid w:val="0"/>
        <w:spacing w:before="0" w:after="0" w:line="360" w:lineRule="auto"/>
        <w:rPr>
          <w:rFonts w:asciiTheme="majorEastAsia" w:hAnsiTheme="majorEastAsia" w:eastAsiaTheme="majorEastAsia"/>
          <w:sz w:val="21"/>
          <w:szCs w:val="21"/>
        </w:rPr>
      </w:pPr>
      <w:bookmarkStart w:id="48" w:name="_Toc98580395"/>
      <w:r>
        <w:rPr>
          <w:rFonts w:hint="eastAsia" w:asciiTheme="majorEastAsia" w:hAnsiTheme="majorEastAsia" w:eastAsiaTheme="majorEastAsia"/>
          <w:sz w:val="21"/>
          <w:szCs w:val="21"/>
        </w:rPr>
        <w:t>4.合格的供应商</w:t>
      </w:r>
      <w:bookmarkEnd w:id="48"/>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4.1合格供应商必须符合供应商须知前附表第12项下各项要求，并在投标时提供相应文件，若有遗漏或不符合要求均为资格审查不合格；</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4.2供应商应仔细阅读招标文件的所有内容，按招标文件的要求提供投标文件，并保证所提供的全部资料的真实性，使其投标对招标文件做出实质性响应，否则，其投标将被拒绝。招标机构保留进一步要求供应商补充提供有关材料的权利，拒绝补充材料或提供材料不真实，将被视为自动放弃投标资格。</w:t>
      </w:r>
    </w:p>
    <w:p>
      <w:pPr>
        <w:autoSpaceDN w:val="0"/>
        <w:adjustRightInd w:val="0"/>
        <w:snapToGrid w:val="0"/>
        <w:spacing w:line="360" w:lineRule="auto"/>
        <w:rPr>
          <w:rFonts w:asciiTheme="majorEastAsia" w:hAnsiTheme="majorEastAsia" w:eastAsiaTheme="majorEastAsia"/>
          <w:b/>
          <w:bCs/>
          <w:szCs w:val="21"/>
        </w:rPr>
      </w:pPr>
      <w:bookmarkStart w:id="49" w:name="_Toc98580402"/>
      <w:r>
        <w:rPr>
          <w:rFonts w:hint="eastAsia" w:asciiTheme="majorEastAsia" w:hAnsiTheme="majorEastAsia" w:eastAsiaTheme="majorEastAsia"/>
          <w:b/>
          <w:bCs/>
          <w:szCs w:val="21"/>
        </w:rPr>
        <w:t>5．投标费用</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供应商应承担其在投标准备、编制、递交投标文件和签订合同协议书的整个过程中发生的一切费用而不论其投标结果如何。</w:t>
      </w:r>
    </w:p>
    <w:p>
      <w:pPr>
        <w:pStyle w:val="4"/>
        <w:autoSpaceDN w:val="0"/>
        <w:adjustRightInd w:val="0"/>
        <w:snapToGrid w:val="0"/>
        <w:spacing w:before="0" w:after="0" w:line="360" w:lineRule="auto"/>
        <w:jc w:val="center"/>
        <w:rPr>
          <w:rFonts w:asciiTheme="majorEastAsia" w:hAnsiTheme="majorEastAsia" w:eastAsiaTheme="majorEastAsia"/>
          <w:sz w:val="21"/>
          <w:szCs w:val="21"/>
        </w:rPr>
      </w:pPr>
      <w:bookmarkStart w:id="50" w:name="_Toc98580396"/>
      <w:r>
        <w:rPr>
          <w:rFonts w:hint="eastAsia" w:asciiTheme="majorEastAsia" w:hAnsiTheme="majorEastAsia" w:eastAsiaTheme="majorEastAsia"/>
          <w:sz w:val="21"/>
          <w:szCs w:val="21"/>
        </w:rPr>
        <w:t>B.招标文件说明</w:t>
      </w:r>
      <w:bookmarkEnd w:id="50"/>
    </w:p>
    <w:p>
      <w:pPr>
        <w:pStyle w:val="5"/>
        <w:autoSpaceDN w:val="0"/>
        <w:adjustRightInd w:val="0"/>
        <w:snapToGrid w:val="0"/>
        <w:spacing w:before="0" w:after="0" w:line="360" w:lineRule="auto"/>
        <w:rPr>
          <w:rFonts w:asciiTheme="majorEastAsia" w:hAnsiTheme="majorEastAsia" w:eastAsiaTheme="majorEastAsia"/>
          <w:sz w:val="21"/>
          <w:szCs w:val="21"/>
        </w:rPr>
      </w:pPr>
      <w:bookmarkStart w:id="51" w:name="_Toc98580397"/>
      <w:r>
        <w:rPr>
          <w:rFonts w:hint="eastAsia" w:asciiTheme="majorEastAsia" w:hAnsiTheme="majorEastAsia" w:eastAsiaTheme="majorEastAsia"/>
          <w:sz w:val="21"/>
          <w:szCs w:val="21"/>
        </w:rPr>
        <w:t>6.招标文件</w:t>
      </w:r>
      <w:bookmarkEnd w:id="51"/>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招标文件用以阐明所需货物及服务、招标投标程序和投标文件格式。招标文件由以下部分组成：</w:t>
      </w:r>
    </w:p>
    <w:p>
      <w:pPr>
        <w:autoSpaceDN w:val="0"/>
        <w:adjustRightInd w:val="0"/>
        <w:snapToGrid w:val="0"/>
        <w:spacing w:line="360" w:lineRule="auto"/>
        <w:ind w:firstLine="709"/>
        <w:rPr>
          <w:rFonts w:asciiTheme="majorEastAsia" w:hAnsiTheme="majorEastAsia" w:eastAsiaTheme="majorEastAsia"/>
          <w:szCs w:val="21"/>
        </w:rPr>
      </w:pPr>
      <w:bookmarkStart w:id="52" w:name="_Toc98580398"/>
      <w:r>
        <w:rPr>
          <w:rFonts w:hint="eastAsia" w:asciiTheme="majorEastAsia" w:hAnsiTheme="majorEastAsia" w:eastAsiaTheme="majorEastAsia"/>
          <w:szCs w:val="21"/>
        </w:rPr>
        <w:t>第一部分   招标公告</w:t>
      </w:r>
    </w:p>
    <w:p>
      <w:pPr>
        <w:autoSpaceDN w:val="0"/>
        <w:adjustRightInd w:val="0"/>
        <w:snapToGrid w:val="0"/>
        <w:spacing w:line="360" w:lineRule="auto"/>
        <w:ind w:firstLine="709"/>
        <w:rPr>
          <w:rFonts w:asciiTheme="majorEastAsia" w:hAnsiTheme="majorEastAsia" w:eastAsiaTheme="majorEastAsia"/>
          <w:szCs w:val="21"/>
        </w:rPr>
      </w:pPr>
      <w:r>
        <w:rPr>
          <w:rFonts w:hint="eastAsia" w:asciiTheme="majorEastAsia" w:hAnsiTheme="majorEastAsia" w:eastAsiaTheme="majorEastAsia"/>
          <w:szCs w:val="21"/>
        </w:rPr>
        <w:t>第二部分   供应商须知</w:t>
      </w:r>
    </w:p>
    <w:p>
      <w:pPr>
        <w:autoSpaceDN w:val="0"/>
        <w:adjustRightInd w:val="0"/>
        <w:snapToGrid w:val="0"/>
        <w:spacing w:line="360" w:lineRule="auto"/>
        <w:ind w:firstLine="709"/>
        <w:rPr>
          <w:rFonts w:asciiTheme="majorEastAsia" w:hAnsiTheme="majorEastAsia" w:eastAsiaTheme="majorEastAsia"/>
          <w:szCs w:val="21"/>
        </w:rPr>
      </w:pPr>
      <w:r>
        <w:rPr>
          <w:rFonts w:hint="eastAsia" w:asciiTheme="majorEastAsia" w:hAnsiTheme="majorEastAsia" w:eastAsiaTheme="majorEastAsia"/>
          <w:szCs w:val="21"/>
        </w:rPr>
        <w:t>第三部分   评标办法</w:t>
      </w:r>
    </w:p>
    <w:p>
      <w:pPr>
        <w:autoSpaceDN w:val="0"/>
        <w:adjustRightInd w:val="0"/>
        <w:snapToGrid w:val="0"/>
        <w:spacing w:line="360" w:lineRule="auto"/>
        <w:ind w:firstLine="709"/>
        <w:rPr>
          <w:rFonts w:asciiTheme="majorEastAsia" w:hAnsiTheme="majorEastAsia" w:eastAsiaTheme="majorEastAsia"/>
          <w:szCs w:val="21"/>
        </w:rPr>
      </w:pPr>
      <w:r>
        <w:rPr>
          <w:rFonts w:hint="eastAsia" w:asciiTheme="majorEastAsia" w:hAnsiTheme="majorEastAsia" w:eastAsiaTheme="majorEastAsia"/>
          <w:szCs w:val="21"/>
        </w:rPr>
        <w:t>第四部分   采购需求</w:t>
      </w:r>
    </w:p>
    <w:p>
      <w:pPr>
        <w:autoSpaceDN w:val="0"/>
        <w:adjustRightInd w:val="0"/>
        <w:snapToGrid w:val="0"/>
        <w:spacing w:line="360" w:lineRule="auto"/>
        <w:ind w:firstLine="709"/>
        <w:rPr>
          <w:rFonts w:asciiTheme="majorEastAsia" w:hAnsiTheme="majorEastAsia" w:eastAsiaTheme="majorEastAsia"/>
          <w:szCs w:val="21"/>
        </w:rPr>
      </w:pPr>
      <w:r>
        <w:rPr>
          <w:rFonts w:hint="eastAsia" w:asciiTheme="majorEastAsia" w:hAnsiTheme="majorEastAsia" w:eastAsiaTheme="majorEastAsia"/>
          <w:szCs w:val="21"/>
        </w:rPr>
        <w:t>第五部分   合同条款及格式</w:t>
      </w:r>
    </w:p>
    <w:p>
      <w:pPr>
        <w:pStyle w:val="20"/>
        <w:ind w:firstLine="380"/>
        <w:rPr>
          <w:rFonts w:eastAsiaTheme="majorEastAsia"/>
        </w:rPr>
      </w:pPr>
      <w:r>
        <w:rPr>
          <w:rFonts w:hint="eastAsia" w:asciiTheme="majorEastAsia" w:hAnsiTheme="majorEastAsia" w:eastAsiaTheme="majorEastAsia"/>
          <w:szCs w:val="21"/>
        </w:rPr>
        <w:t xml:space="preserve">   第六不分  投标文件格式</w:t>
      </w:r>
    </w:p>
    <w:p>
      <w:pPr>
        <w:pStyle w:val="5"/>
        <w:autoSpaceDN w:val="0"/>
        <w:adjustRightInd w:val="0"/>
        <w:snapToGrid w:val="0"/>
        <w:spacing w:before="0" w:after="0"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7.招标文件的澄清</w:t>
      </w:r>
      <w:bookmarkEnd w:id="52"/>
    </w:p>
    <w:p>
      <w:pPr>
        <w:autoSpaceDN w:val="0"/>
        <w:adjustRightInd w:val="0"/>
        <w:snapToGrid w:val="0"/>
        <w:spacing w:line="360" w:lineRule="auto"/>
        <w:ind w:firstLine="567"/>
        <w:rPr>
          <w:rFonts w:asciiTheme="majorEastAsia" w:hAnsiTheme="majorEastAsia" w:eastAsiaTheme="majorEastAsia"/>
          <w:szCs w:val="21"/>
        </w:rPr>
      </w:pPr>
      <w:r>
        <w:rPr>
          <w:rFonts w:hint="eastAsia" w:asciiTheme="majorEastAsia" w:hAnsiTheme="majorEastAsia" w:eastAsiaTheme="majorEastAsia"/>
          <w:szCs w:val="21"/>
        </w:rPr>
        <w:t>供应商对本次招标文件的内容有疑问时，可要求澄清，但应在距投标截止日15日前，按供应商须知注明的联系地址以书面形式（包括信函、传真，下同）通知到招标机构。招标机构将视情况确定采用其认为适当的方式予以澄清或以书面形式予以答复，并在其认为必要时，将不标明查询来源的书面答复发给所有购买招标文件的每一供应商。</w:t>
      </w:r>
    </w:p>
    <w:p>
      <w:pPr>
        <w:pStyle w:val="5"/>
        <w:autoSpaceDN w:val="0"/>
        <w:adjustRightInd w:val="0"/>
        <w:snapToGrid w:val="0"/>
        <w:spacing w:before="0" w:after="0" w:line="360" w:lineRule="auto"/>
        <w:rPr>
          <w:rFonts w:asciiTheme="majorEastAsia" w:hAnsiTheme="majorEastAsia" w:eastAsiaTheme="majorEastAsia"/>
          <w:sz w:val="21"/>
          <w:szCs w:val="21"/>
        </w:rPr>
      </w:pPr>
      <w:bookmarkStart w:id="53" w:name="_Toc98580399"/>
      <w:r>
        <w:rPr>
          <w:rFonts w:hint="eastAsia" w:asciiTheme="majorEastAsia" w:hAnsiTheme="majorEastAsia" w:eastAsiaTheme="majorEastAsia"/>
          <w:sz w:val="21"/>
          <w:szCs w:val="21"/>
        </w:rPr>
        <w:t>8.招标文件的修改</w:t>
      </w:r>
      <w:bookmarkEnd w:id="53"/>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8.1在投标截止时间前，招标机构可根据需要和（或）依据供应商要求澄清的问题而修改招标文件，并以书面形式通知所有购买招标文件的供应商，供应商在收到该通知后应立即以传真的形式予以确认；</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8.2 招标文件的修改书将构成招标文件的一部分，对供应商具有同样的约束力。</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8.3为使供应商有足够的时间按招标文件的修改要求考虑修正投标文件，招标机构可酌情推迟投标的截止时间和开标时间，并以书面形式通知已购买招标文件的每一供应商。</w:t>
      </w:r>
    </w:p>
    <w:p>
      <w:pPr>
        <w:pStyle w:val="4"/>
        <w:autoSpaceDN w:val="0"/>
        <w:adjustRightInd w:val="0"/>
        <w:snapToGrid w:val="0"/>
        <w:spacing w:before="0" w:after="0" w:line="360" w:lineRule="auto"/>
        <w:jc w:val="center"/>
        <w:rPr>
          <w:rFonts w:asciiTheme="majorEastAsia" w:hAnsiTheme="majorEastAsia" w:eastAsiaTheme="majorEastAsia"/>
          <w:sz w:val="21"/>
          <w:szCs w:val="21"/>
        </w:rPr>
      </w:pPr>
      <w:bookmarkStart w:id="54" w:name="_Toc98580400"/>
      <w:r>
        <w:rPr>
          <w:rFonts w:hint="eastAsia" w:asciiTheme="majorEastAsia" w:hAnsiTheme="majorEastAsia" w:eastAsiaTheme="majorEastAsia"/>
          <w:sz w:val="21"/>
          <w:szCs w:val="21"/>
        </w:rPr>
        <w:t>C投标文件的编写</w:t>
      </w:r>
      <w:bookmarkEnd w:id="54"/>
    </w:p>
    <w:p>
      <w:pPr>
        <w:pStyle w:val="5"/>
        <w:autoSpaceDN w:val="0"/>
        <w:adjustRightInd w:val="0"/>
        <w:snapToGrid w:val="0"/>
        <w:spacing w:before="0" w:after="0" w:line="360" w:lineRule="auto"/>
        <w:rPr>
          <w:rFonts w:asciiTheme="majorEastAsia" w:hAnsiTheme="majorEastAsia" w:eastAsiaTheme="majorEastAsia"/>
          <w:sz w:val="21"/>
          <w:szCs w:val="21"/>
        </w:rPr>
      </w:pPr>
      <w:bookmarkStart w:id="55" w:name="_Toc98580401"/>
      <w:r>
        <w:rPr>
          <w:rFonts w:hint="eastAsia" w:asciiTheme="majorEastAsia" w:hAnsiTheme="majorEastAsia" w:eastAsiaTheme="majorEastAsia"/>
          <w:sz w:val="21"/>
          <w:szCs w:val="21"/>
        </w:rPr>
        <w:t>9.投标语言及计量单位</w:t>
      </w:r>
      <w:bookmarkEnd w:id="55"/>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9.1投标文件及供应商和招标机构就投标交换的文件和来往信件，以中文书写（专有名词除外）；</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9.2除在招标文件的“技术要求”中另有规定外， 计量单位应使用中华人民共和国法定计量单位（国际单位制和国家选定的其他计量单位）。</w:t>
      </w:r>
    </w:p>
    <w:p>
      <w:pPr>
        <w:pStyle w:val="5"/>
        <w:autoSpaceDN w:val="0"/>
        <w:adjustRightInd w:val="0"/>
        <w:snapToGrid w:val="0"/>
        <w:spacing w:before="0" w:after="0"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10．投标文件的组成</w:t>
      </w:r>
      <w:bookmarkEnd w:id="49"/>
    </w:p>
    <w:p>
      <w:pPr>
        <w:autoSpaceDN w:val="0"/>
        <w:adjustRightInd w:val="0"/>
        <w:snapToGrid w:val="0"/>
        <w:spacing w:line="360" w:lineRule="auto"/>
        <w:ind w:left="567"/>
        <w:rPr>
          <w:rFonts w:asciiTheme="majorEastAsia" w:hAnsiTheme="majorEastAsia" w:eastAsiaTheme="majorEastAsia"/>
          <w:szCs w:val="21"/>
        </w:rPr>
      </w:pPr>
      <w:r>
        <w:rPr>
          <w:rFonts w:hint="eastAsia" w:asciiTheme="majorEastAsia" w:hAnsiTheme="majorEastAsia" w:eastAsiaTheme="majorEastAsia"/>
          <w:szCs w:val="21"/>
        </w:rPr>
        <w:t>详见第六部分：投标文件格式。</w:t>
      </w:r>
    </w:p>
    <w:p>
      <w:pPr>
        <w:pStyle w:val="5"/>
        <w:autoSpaceDN w:val="0"/>
        <w:adjustRightInd w:val="0"/>
        <w:snapToGrid w:val="0"/>
        <w:spacing w:before="0" w:after="0" w:line="360" w:lineRule="auto"/>
        <w:rPr>
          <w:rFonts w:asciiTheme="majorEastAsia" w:hAnsiTheme="majorEastAsia" w:eastAsiaTheme="majorEastAsia"/>
          <w:sz w:val="21"/>
          <w:szCs w:val="21"/>
        </w:rPr>
      </w:pPr>
      <w:bookmarkStart w:id="56" w:name="_Toc98580403"/>
      <w:r>
        <w:rPr>
          <w:rFonts w:hint="eastAsia" w:asciiTheme="majorEastAsia" w:hAnsiTheme="majorEastAsia" w:eastAsiaTheme="majorEastAsia"/>
          <w:sz w:val="21"/>
          <w:szCs w:val="21"/>
        </w:rPr>
        <w:t>11.投标文件内容填写说明</w:t>
      </w:r>
      <w:bookmarkEnd w:id="56"/>
    </w:p>
    <w:p>
      <w:pPr>
        <w:autoSpaceDN w:val="0"/>
        <w:adjustRightInd w:val="0"/>
        <w:snapToGrid w:val="0"/>
        <w:spacing w:line="360" w:lineRule="auto"/>
        <w:ind w:left="1" w:firstLine="419"/>
        <w:rPr>
          <w:rFonts w:asciiTheme="majorEastAsia" w:hAnsiTheme="majorEastAsia" w:eastAsiaTheme="majorEastAsia"/>
          <w:szCs w:val="21"/>
        </w:rPr>
      </w:pPr>
      <w:r>
        <w:rPr>
          <w:rFonts w:hint="eastAsia" w:asciiTheme="majorEastAsia" w:hAnsiTheme="majorEastAsia" w:eastAsiaTheme="majorEastAsia"/>
          <w:szCs w:val="21"/>
        </w:rPr>
        <w:t>11.1供应商应严格按招标文件要求的内容逐项填写编制投标文件，有规定格式的按规定格式填写，无规定格式的由供应商自拟，并胶装成册。</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11.2开标一览表为在开标仪式上唱标的内容，要求按格式填写、统一规范，不得自行增减内容。投标文件不得漏项或虚报，否则将可能导致其投标被拒绝。</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11.3 供应商应保证其所提供文件的真实性，并应对招标文件的实质性要求作出完全响应，否则其投标可能被拒绝。</w:t>
      </w:r>
    </w:p>
    <w:p>
      <w:pPr>
        <w:autoSpaceDN w:val="0"/>
        <w:adjustRightInd w:val="0"/>
        <w:snapToGrid w:val="0"/>
        <w:spacing w:line="360" w:lineRule="auto"/>
        <w:ind w:left="1" w:firstLine="419"/>
        <w:rPr>
          <w:rFonts w:asciiTheme="majorEastAsia" w:hAnsiTheme="majorEastAsia" w:eastAsiaTheme="majorEastAsia"/>
          <w:szCs w:val="21"/>
        </w:rPr>
      </w:pPr>
      <w:r>
        <w:rPr>
          <w:rFonts w:hint="eastAsia" w:asciiTheme="majorEastAsia" w:hAnsiTheme="majorEastAsia" w:eastAsiaTheme="majorEastAsia"/>
          <w:szCs w:val="21"/>
        </w:rPr>
        <w:t>11.4供应商视需要自行编制技术文件的补充附件。规格幅面应与正文一致，附于正文之后，与正文页码统一编目编码装订。</w:t>
      </w:r>
    </w:p>
    <w:p>
      <w:pPr>
        <w:pStyle w:val="5"/>
        <w:autoSpaceDN w:val="0"/>
        <w:adjustRightInd w:val="0"/>
        <w:snapToGrid w:val="0"/>
        <w:spacing w:before="0" w:after="0" w:line="360" w:lineRule="auto"/>
        <w:rPr>
          <w:rFonts w:asciiTheme="majorEastAsia" w:hAnsiTheme="majorEastAsia" w:eastAsiaTheme="majorEastAsia"/>
          <w:sz w:val="21"/>
          <w:szCs w:val="21"/>
        </w:rPr>
      </w:pPr>
      <w:bookmarkStart w:id="57" w:name="_Toc98580404"/>
      <w:r>
        <w:rPr>
          <w:rFonts w:hint="eastAsia" w:asciiTheme="majorEastAsia" w:hAnsiTheme="majorEastAsia" w:eastAsiaTheme="majorEastAsia"/>
          <w:sz w:val="21"/>
          <w:szCs w:val="21"/>
        </w:rPr>
        <w:t>12.投标报价</w:t>
      </w:r>
      <w:bookmarkEnd w:id="57"/>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12.1 所有投标均以人民币报价；</w:t>
      </w:r>
    </w:p>
    <w:p>
      <w:pPr>
        <w:autoSpaceDN w:val="0"/>
        <w:adjustRightInd w:val="0"/>
        <w:snapToGrid w:val="0"/>
        <w:spacing w:line="360" w:lineRule="auto"/>
        <w:ind w:left="1" w:firstLine="419"/>
        <w:rPr>
          <w:rFonts w:asciiTheme="majorEastAsia" w:hAnsiTheme="majorEastAsia" w:eastAsiaTheme="majorEastAsia"/>
          <w:szCs w:val="21"/>
        </w:rPr>
      </w:pPr>
      <w:r>
        <w:rPr>
          <w:rFonts w:hint="eastAsia" w:asciiTheme="majorEastAsia" w:hAnsiTheme="majorEastAsia" w:eastAsiaTheme="majorEastAsia"/>
          <w:szCs w:val="21"/>
        </w:rPr>
        <w:t>12.2供应商应在填写分项报价表时注明各项单价、总价。如果单价与总价有出入，以单价为准。招标机构不接受有任何选择的报价；报价须有法人代表或授权代表签署。</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12.3供应商应按上述12.1-12.3条款要求填写投标报价，以供评标委员会比较评价。</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12.4供应商因承包本项目需支付的一切费用，并包含在所报的单价或总额价内。</w:t>
      </w:r>
    </w:p>
    <w:p>
      <w:pPr>
        <w:autoSpaceDN w:val="0"/>
        <w:adjustRightInd w:val="0"/>
        <w:snapToGrid w:val="0"/>
        <w:spacing w:line="360" w:lineRule="auto"/>
        <w:rPr>
          <w:rFonts w:asciiTheme="majorEastAsia" w:hAnsiTheme="majorEastAsia" w:eastAsiaTheme="majorEastAsia"/>
          <w:b/>
          <w:bCs/>
          <w:szCs w:val="21"/>
        </w:rPr>
      </w:pPr>
      <w:bookmarkStart w:id="58" w:name="_Toc98580405"/>
      <w:r>
        <w:rPr>
          <w:rFonts w:hint="eastAsia" w:asciiTheme="majorEastAsia" w:hAnsiTheme="majorEastAsia" w:eastAsiaTheme="majorEastAsia"/>
          <w:b/>
          <w:bCs/>
          <w:szCs w:val="21"/>
        </w:rPr>
        <w:t>13.投标保证金</w:t>
      </w:r>
      <w:bookmarkEnd w:id="58"/>
      <w:r>
        <w:rPr>
          <w:rFonts w:hint="eastAsia" w:asciiTheme="majorEastAsia" w:hAnsiTheme="majorEastAsia" w:eastAsiaTheme="majorEastAsia"/>
          <w:b/>
          <w:bCs/>
          <w:szCs w:val="21"/>
        </w:rPr>
        <w:t>（如有）</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13.1投标保证金的形式：现金或现金支票、保兑支票、银行汇票及银行、专业担保公司、保险公司出具的保函等形式，以现金或支票形式提交的投标保证金应当从供应商的基本账户转出。</w:t>
      </w:r>
    </w:p>
    <w:p>
      <w:pPr>
        <w:autoSpaceDN w:val="0"/>
        <w:adjustRightInd w:val="0"/>
        <w:snapToGrid w:val="0"/>
        <w:spacing w:line="360" w:lineRule="auto"/>
        <w:ind w:firstLine="420"/>
        <w:rPr>
          <w:rFonts w:asciiTheme="majorEastAsia" w:hAnsiTheme="majorEastAsia" w:eastAsiaTheme="majorEastAsia"/>
          <w:bCs/>
          <w:kern w:val="15"/>
          <w:szCs w:val="21"/>
        </w:rPr>
      </w:pPr>
      <w:r>
        <w:rPr>
          <w:rFonts w:hint="eastAsia" w:asciiTheme="majorEastAsia" w:hAnsiTheme="majorEastAsia" w:eastAsiaTheme="majorEastAsia"/>
          <w:bCs/>
          <w:kern w:val="15"/>
          <w:szCs w:val="21"/>
        </w:rPr>
        <w:t>13.2投标保证金的金额：见</w:t>
      </w:r>
      <w:r>
        <w:rPr>
          <w:rFonts w:hint="eastAsia" w:asciiTheme="majorEastAsia" w:hAnsiTheme="majorEastAsia" w:eastAsiaTheme="majorEastAsia"/>
          <w:szCs w:val="21"/>
        </w:rPr>
        <w:t>供应商须知前附表第20项</w:t>
      </w:r>
      <w:r>
        <w:rPr>
          <w:rFonts w:hint="eastAsia" w:asciiTheme="majorEastAsia" w:hAnsiTheme="majorEastAsia" w:eastAsiaTheme="majorEastAsia"/>
          <w:bCs/>
          <w:kern w:val="15"/>
          <w:szCs w:val="21"/>
        </w:rPr>
        <w:t xml:space="preserve">； </w:t>
      </w:r>
    </w:p>
    <w:p>
      <w:pPr>
        <w:autoSpaceDN w:val="0"/>
        <w:adjustRightInd w:val="0"/>
        <w:snapToGrid w:val="0"/>
        <w:spacing w:line="360" w:lineRule="auto"/>
        <w:ind w:firstLine="420"/>
        <w:rPr>
          <w:rFonts w:asciiTheme="majorEastAsia" w:hAnsiTheme="majorEastAsia" w:eastAsiaTheme="majorEastAsia"/>
          <w:bCs/>
          <w:kern w:val="15"/>
          <w:szCs w:val="21"/>
        </w:rPr>
      </w:pPr>
      <w:r>
        <w:rPr>
          <w:rFonts w:hint="eastAsia" w:asciiTheme="majorEastAsia" w:hAnsiTheme="majorEastAsia" w:eastAsiaTheme="majorEastAsia"/>
          <w:bCs/>
          <w:kern w:val="15"/>
          <w:szCs w:val="21"/>
        </w:rPr>
        <w:t>13.3递交方式：见</w:t>
      </w:r>
      <w:r>
        <w:rPr>
          <w:rFonts w:hint="eastAsia" w:asciiTheme="majorEastAsia" w:hAnsiTheme="majorEastAsia" w:eastAsiaTheme="majorEastAsia"/>
          <w:szCs w:val="21"/>
        </w:rPr>
        <w:t>供应商须知前附表第20项</w:t>
      </w:r>
      <w:r>
        <w:rPr>
          <w:rFonts w:hint="eastAsia" w:asciiTheme="majorEastAsia" w:hAnsiTheme="majorEastAsia" w:eastAsiaTheme="majorEastAsia"/>
          <w:bCs/>
          <w:kern w:val="15"/>
          <w:szCs w:val="21"/>
        </w:rPr>
        <w:t>；</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13.4投标保证金用于保护本次招标免受因供应商不履行投标承诺及合同等行为而引起的风险；</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13.5未按13.1和13.2条款要求提交投标保证金的投标将被视为投标无效；</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13.6未中标</w:t>
      </w:r>
      <w:r>
        <w:rPr>
          <w:rFonts w:hint="eastAsia" w:asciiTheme="majorEastAsia" w:hAnsiTheme="majorEastAsia" w:eastAsiaTheme="majorEastAsia"/>
          <w:szCs w:val="21"/>
          <w:lang w:eastAsia="zh-CN"/>
        </w:rPr>
        <w:t>供应商</w:t>
      </w:r>
      <w:r>
        <w:rPr>
          <w:rFonts w:hint="eastAsia" w:asciiTheme="majorEastAsia" w:hAnsiTheme="majorEastAsia" w:eastAsiaTheme="majorEastAsia"/>
          <w:szCs w:val="21"/>
        </w:rPr>
        <w:t>的投标保证金将按25.2条规定予以无息退还；</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13.7中标人的投标保证金，在中标人交纳中标服务费后予以无息退还；</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13.8 发生下列情况之一，投标保证金将被没收：</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（1）供应商在提交响应文件截止时间后撤回响应文件的;</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（2）供应商在响应文件中提供虚假材料的;</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（3）除因不可抗力或谈判文件、询价通知书认可的情形以外，成交供应商不与采购人签订合同的;</w:t>
      </w:r>
    </w:p>
    <w:p>
      <w:pPr>
        <w:autoSpaceDN w:val="0"/>
        <w:adjustRightInd w:val="0"/>
        <w:snapToGrid w:val="0"/>
        <w:spacing w:line="360" w:lineRule="auto"/>
        <w:ind w:left="420"/>
        <w:rPr>
          <w:rFonts w:asciiTheme="majorEastAsia" w:hAnsiTheme="majorEastAsia" w:eastAsiaTheme="majorEastAsia"/>
          <w:szCs w:val="21"/>
        </w:rPr>
      </w:pPr>
      <w:r>
        <w:rPr>
          <w:rFonts w:hint="eastAsia" w:asciiTheme="majorEastAsia" w:hAnsiTheme="majorEastAsia" w:eastAsiaTheme="majorEastAsia"/>
          <w:szCs w:val="21"/>
        </w:rPr>
        <w:t>（4）供应商与采购人、其他供应商或者采购代理机构恶意串通的;</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（5）采购文件规定的其他情形。</w:t>
      </w:r>
    </w:p>
    <w:p>
      <w:pPr>
        <w:pStyle w:val="5"/>
        <w:autoSpaceDN w:val="0"/>
        <w:adjustRightInd w:val="0"/>
        <w:snapToGrid w:val="0"/>
        <w:spacing w:before="0" w:after="0" w:line="360" w:lineRule="auto"/>
        <w:rPr>
          <w:rFonts w:asciiTheme="majorEastAsia" w:hAnsiTheme="majorEastAsia" w:eastAsiaTheme="majorEastAsia"/>
          <w:sz w:val="21"/>
          <w:szCs w:val="21"/>
        </w:rPr>
      </w:pPr>
      <w:bookmarkStart w:id="59" w:name="_Toc98580406"/>
      <w:r>
        <w:rPr>
          <w:rFonts w:hint="eastAsia" w:asciiTheme="majorEastAsia" w:hAnsiTheme="majorEastAsia" w:eastAsiaTheme="majorEastAsia"/>
          <w:sz w:val="21"/>
          <w:szCs w:val="21"/>
        </w:rPr>
        <w:t>14.投标有效期</w:t>
      </w:r>
      <w:bookmarkEnd w:id="59"/>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14.1从开标之日起，投标有效期为90天。不能满足投标有效期的投标，将被拒绝；</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14.2特殊情况下，招标机构可于投标有效期满之前要求供应商延长投标有效期，这种要求和答复都应以书面、传真的形式进行。供应商可以拒绝接受延期要求。同意延长有效期的供应商不能修改投标文件。</w:t>
      </w:r>
      <w:r>
        <w:rPr>
          <w:rFonts w:hint="eastAsia" w:cs="Times New Roman" w:asciiTheme="majorEastAsia" w:hAnsiTheme="majorEastAsia" w:eastAsiaTheme="majorEastAsia"/>
          <w:szCs w:val="21"/>
        </w:rPr>
        <w:t>供应商须对响应有效期的时间及涉及到的实质内容作出响应，并在投标文件内附加盖公章和法定代表人签字盖章的承诺书。</w:t>
      </w:r>
    </w:p>
    <w:p>
      <w:pPr>
        <w:pStyle w:val="5"/>
        <w:autoSpaceDN w:val="0"/>
        <w:adjustRightInd w:val="0"/>
        <w:snapToGrid w:val="0"/>
        <w:spacing w:before="0" w:after="0" w:line="360" w:lineRule="auto"/>
        <w:rPr>
          <w:rFonts w:asciiTheme="majorEastAsia" w:hAnsiTheme="majorEastAsia" w:eastAsiaTheme="majorEastAsia"/>
          <w:sz w:val="21"/>
          <w:szCs w:val="21"/>
        </w:rPr>
      </w:pPr>
      <w:bookmarkStart w:id="60" w:name="_Toc98580407"/>
      <w:r>
        <w:rPr>
          <w:rFonts w:hint="eastAsia" w:asciiTheme="majorEastAsia" w:hAnsiTheme="majorEastAsia" w:eastAsiaTheme="majorEastAsia"/>
          <w:sz w:val="21"/>
          <w:szCs w:val="21"/>
        </w:rPr>
        <w:t>15.投标文件的签署及规定</w:t>
      </w:r>
      <w:bookmarkEnd w:id="60"/>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15.1 组成投标文件的各项资料均应遵守本须知第10条中所规定的内容。</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15.2 供应商应填写单位全称，同时加盖印章。</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15.3 投标文件必须由法人代表或法人授权代表签署。</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15.4 投标文件正本一份和副本四份，如果正本与副本不符，以正本为准，电子版二份（U盘形式），政采云系统上传1份。</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15.5 投标文件的正本必须用不褪色的墨水填写或打印，注明“正本”字样。</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15.6 投标文件不得涂改和增删，如有修改错漏处，必须由同一签署人签字或盖章。</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15.7 投标文件因字迹潦草或表达不清所引起的后果由供应商负责。</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15.8招标机构概不接受以电话、传真形式的投标。</w:t>
      </w:r>
    </w:p>
    <w:p>
      <w:pPr>
        <w:pStyle w:val="4"/>
        <w:autoSpaceDN w:val="0"/>
        <w:adjustRightInd w:val="0"/>
        <w:snapToGrid w:val="0"/>
        <w:spacing w:before="0" w:after="0" w:line="360" w:lineRule="auto"/>
        <w:jc w:val="center"/>
        <w:rPr>
          <w:rFonts w:asciiTheme="majorEastAsia" w:hAnsiTheme="majorEastAsia" w:eastAsiaTheme="majorEastAsia"/>
          <w:sz w:val="21"/>
          <w:szCs w:val="21"/>
        </w:rPr>
      </w:pPr>
      <w:bookmarkStart w:id="61" w:name="_Toc98580408"/>
      <w:r>
        <w:rPr>
          <w:rFonts w:hint="eastAsia" w:asciiTheme="majorEastAsia" w:hAnsiTheme="majorEastAsia" w:eastAsiaTheme="majorEastAsia"/>
          <w:sz w:val="21"/>
          <w:szCs w:val="21"/>
        </w:rPr>
        <w:t>D投标文件的递交</w:t>
      </w:r>
      <w:bookmarkEnd w:id="61"/>
    </w:p>
    <w:p>
      <w:pPr>
        <w:pStyle w:val="5"/>
        <w:autoSpaceDN w:val="0"/>
        <w:adjustRightInd w:val="0"/>
        <w:snapToGrid w:val="0"/>
        <w:spacing w:before="0" w:after="0" w:line="360" w:lineRule="auto"/>
        <w:rPr>
          <w:rFonts w:asciiTheme="majorEastAsia" w:hAnsiTheme="majorEastAsia" w:eastAsiaTheme="majorEastAsia"/>
          <w:sz w:val="21"/>
          <w:szCs w:val="21"/>
        </w:rPr>
      </w:pPr>
      <w:bookmarkStart w:id="62" w:name="_Toc98580409"/>
      <w:r>
        <w:rPr>
          <w:rFonts w:hint="eastAsia" w:asciiTheme="majorEastAsia" w:hAnsiTheme="majorEastAsia" w:eastAsiaTheme="majorEastAsia"/>
          <w:sz w:val="21"/>
          <w:szCs w:val="21"/>
        </w:rPr>
        <w:t>16.投标文件的密封和标记</w:t>
      </w:r>
      <w:bookmarkEnd w:id="62"/>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16.1供应商应将投标文件正本和副本分别密封，并标明招标编号、投标项目名称、供应商名称及正本或副本等。封口骑缝处应加盖供应商印章；投标文件电子版应单独密封。</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16.2为了方便开标唱标，供应商应将开标一览表单独密封，并在信封上标明“开标一览表”字样。</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16.3每一密封信封上注明“</w:t>
      </w:r>
      <w:r>
        <w:rPr>
          <w:rFonts w:hint="eastAsia" w:asciiTheme="majorEastAsia" w:hAnsiTheme="majorEastAsia" w:eastAsiaTheme="majorEastAsia"/>
          <w:szCs w:val="21"/>
          <w:u w:val="single"/>
        </w:rPr>
        <w:t>于   年   月  日   时之前不准启封</w:t>
      </w:r>
      <w:r>
        <w:rPr>
          <w:rFonts w:hint="eastAsia" w:asciiTheme="majorEastAsia" w:hAnsiTheme="majorEastAsia" w:eastAsiaTheme="majorEastAsia"/>
          <w:szCs w:val="21"/>
        </w:rPr>
        <w:t>”的字样；</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16.4投标文件由专人送交，供应商应将投标文件按16.1-16.3中的规定进行密封和标记后，按投标邀请注明的投标地址送至招标机构；</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16.5招标机构对投标文件的误投或未投标前提前拆封概不负责。</w:t>
      </w:r>
    </w:p>
    <w:p>
      <w:pPr>
        <w:pStyle w:val="5"/>
        <w:autoSpaceDN w:val="0"/>
        <w:adjustRightInd w:val="0"/>
        <w:snapToGrid w:val="0"/>
        <w:spacing w:before="0" w:after="0" w:line="360" w:lineRule="auto"/>
        <w:rPr>
          <w:rFonts w:asciiTheme="majorEastAsia" w:hAnsiTheme="majorEastAsia" w:eastAsiaTheme="majorEastAsia"/>
          <w:sz w:val="21"/>
          <w:szCs w:val="21"/>
        </w:rPr>
      </w:pPr>
      <w:bookmarkStart w:id="63" w:name="_Toc98580410"/>
      <w:r>
        <w:rPr>
          <w:rFonts w:hint="eastAsia" w:asciiTheme="majorEastAsia" w:hAnsiTheme="majorEastAsia" w:eastAsiaTheme="majorEastAsia"/>
          <w:sz w:val="21"/>
          <w:szCs w:val="21"/>
        </w:rPr>
        <w:t>17.递交投标文件的截止时间</w:t>
      </w:r>
      <w:bookmarkEnd w:id="63"/>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17.1所有投标文件都必须按照招标机构在投标邀请中规定的投标截止时间之前送至投标地点。</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17.2 招标机构推迟投标截止时间时，应以书面(或传真)的形式，通知所有供应商。在这种情况下，招标机构和供应商的权利和义务将受到新的截止期的约束。</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17.3 在投标截止时间以后送达的投标文件，招标机构拒绝接收。</w:t>
      </w:r>
    </w:p>
    <w:p>
      <w:pPr>
        <w:pStyle w:val="5"/>
        <w:autoSpaceDN w:val="0"/>
        <w:adjustRightInd w:val="0"/>
        <w:snapToGrid w:val="0"/>
        <w:spacing w:before="0" w:after="0"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18.投标文件修改和撤销</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18.1 投标以后，如果供应商提出书面修改和撤标要求，在投标截止时间前送达招标机构者，招标机构可以予以接受。但不退还投标文件。</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18.2 供应商修改投标文件的书面材料，须密封送达招标机构，同时应在封套上标明“修改投标文件(并注明招标编号)”和“开标时启封”字样。</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18.3 撤销投标应以书面(或传真)的形式通知招标机构。如采取传真形式撤回投标，随后必须补充有法人代表或授权代表签署的要求撤销投标的正式文件。撤销投标的时间以送达招标机构或邮电到达日戳为准。</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18.4投标截止时间以后不得修改投标文件；</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18.5开标后供应商不得撤回投标。</w:t>
      </w:r>
    </w:p>
    <w:p>
      <w:pPr>
        <w:pStyle w:val="4"/>
        <w:autoSpaceDN w:val="0"/>
        <w:adjustRightInd w:val="0"/>
        <w:snapToGrid w:val="0"/>
        <w:spacing w:before="0" w:after="0" w:line="360" w:lineRule="auto"/>
        <w:jc w:val="center"/>
        <w:rPr>
          <w:rFonts w:asciiTheme="majorEastAsia" w:hAnsiTheme="majorEastAsia" w:eastAsiaTheme="majorEastAsia"/>
          <w:sz w:val="21"/>
          <w:szCs w:val="21"/>
        </w:rPr>
      </w:pPr>
      <w:bookmarkStart w:id="64" w:name="_Toc98580411"/>
      <w:r>
        <w:rPr>
          <w:rFonts w:hint="eastAsia" w:asciiTheme="majorEastAsia" w:hAnsiTheme="majorEastAsia" w:eastAsiaTheme="majorEastAsia"/>
          <w:sz w:val="21"/>
          <w:szCs w:val="21"/>
        </w:rPr>
        <w:t>E开标及评标</w:t>
      </w:r>
      <w:bookmarkEnd w:id="64"/>
    </w:p>
    <w:p>
      <w:pPr>
        <w:pStyle w:val="5"/>
        <w:numPr>
          <w:ilvl w:val="0"/>
          <w:numId w:val="3"/>
        </w:numPr>
        <w:autoSpaceDN w:val="0"/>
        <w:adjustRightInd w:val="0"/>
        <w:snapToGrid w:val="0"/>
        <w:spacing w:before="0" w:after="0" w:line="360" w:lineRule="auto"/>
        <w:rPr>
          <w:rFonts w:asciiTheme="majorEastAsia" w:hAnsiTheme="majorEastAsia" w:eastAsiaTheme="majorEastAsia"/>
          <w:sz w:val="21"/>
          <w:szCs w:val="21"/>
        </w:rPr>
      </w:pPr>
      <w:bookmarkStart w:id="65" w:name="_Toc98580412"/>
      <w:r>
        <w:rPr>
          <w:rFonts w:hint="eastAsia" w:asciiTheme="majorEastAsia" w:hAnsiTheme="majorEastAsia" w:eastAsiaTheme="majorEastAsia"/>
          <w:sz w:val="21"/>
          <w:szCs w:val="21"/>
        </w:rPr>
        <w:t>开标</w:t>
      </w:r>
      <w:bookmarkEnd w:id="65"/>
    </w:p>
    <w:p>
      <w:pPr>
        <w:pStyle w:val="6"/>
        <w:autoSpaceDN w:val="0"/>
        <w:adjustRightInd w:val="0"/>
        <w:snapToGrid w:val="0"/>
        <w:spacing w:line="360" w:lineRule="auto"/>
        <w:ind w:firstLine="420" w:firstLineChars="0"/>
        <w:rPr>
          <w:rFonts w:asciiTheme="majorEastAsia" w:hAnsiTheme="majorEastAsia" w:eastAsiaTheme="majorEastAsia"/>
          <w:szCs w:val="21"/>
        </w:rPr>
      </w:pPr>
      <w:r>
        <w:rPr>
          <w:rFonts w:hint="eastAsia" w:asciiTheme="majorEastAsia" w:hAnsiTheme="majorEastAsia" w:eastAsiaTheme="majorEastAsia"/>
          <w:szCs w:val="21"/>
        </w:rPr>
        <w:t>19.1</w:t>
      </w:r>
      <w:r>
        <w:rPr>
          <w:rFonts w:hint="eastAsia" w:asciiTheme="majorEastAsia" w:hAnsiTheme="majorEastAsia" w:eastAsiaTheme="majorEastAsia"/>
          <w:szCs w:val="21"/>
          <w:lang w:val="zh-CN"/>
        </w:rPr>
        <w:t>采购代理机构将在招标文件规定的时间和地点公开开标。供应商法定代表人或其授权代理人应参加并签名报到以证明其出席，并携带有效身份证件以备审查。</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19.2采购代理机构按招标文件规定的时间、地点主持公开开标。开标仪式由采购代理机构主持，采购人代表及有关工作人员参加。</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19.3开标时由供应商查验投标文件密封情况，确认无误后解密唱标。</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19.4采购代理机构在开标仪式上，将公开唱出所有供应商的“开标一览表”内容及投标声明，以及采购机构认为合适的其它内容并记录。</w:t>
      </w:r>
    </w:p>
    <w:p>
      <w:pPr>
        <w:pStyle w:val="6"/>
        <w:autoSpaceDN w:val="0"/>
        <w:adjustRightInd w:val="0"/>
        <w:snapToGrid w:val="0"/>
        <w:spacing w:line="360" w:lineRule="auto"/>
        <w:ind w:firstLine="420"/>
        <w:rPr>
          <w:rFonts w:asciiTheme="majorEastAsia" w:hAnsiTheme="majorEastAsia" w:eastAsiaTheme="majorEastAsia"/>
          <w:szCs w:val="21"/>
          <w:lang w:val="zh-CN"/>
        </w:rPr>
      </w:pPr>
      <w:bookmarkStart w:id="66" w:name="_Toc98580413"/>
      <w:r>
        <w:rPr>
          <w:rFonts w:hint="eastAsia" w:asciiTheme="majorEastAsia" w:hAnsiTheme="majorEastAsia" w:eastAsiaTheme="majorEastAsia"/>
          <w:szCs w:val="21"/>
          <w:lang w:val="zh-CN"/>
        </w:rPr>
        <w:t>1</w:t>
      </w:r>
      <w:r>
        <w:rPr>
          <w:rFonts w:hint="eastAsia" w:asciiTheme="majorEastAsia" w:hAnsiTheme="majorEastAsia" w:eastAsiaTheme="majorEastAsia"/>
          <w:szCs w:val="21"/>
        </w:rPr>
        <w:t>9.5</w:t>
      </w:r>
      <w:r>
        <w:rPr>
          <w:rFonts w:hint="eastAsia" w:asciiTheme="majorEastAsia" w:hAnsiTheme="majorEastAsia" w:eastAsiaTheme="majorEastAsia"/>
          <w:szCs w:val="21"/>
          <w:lang w:val="zh-CN"/>
        </w:rPr>
        <w:t xml:space="preserve"> 开标时有下列情形之一的为无效投标：</w:t>
      </w:r>
    </w:p>
    <w:p>
      <w:pPr>
        <w:pStyle w:val="6"/>
        <w:autoSpaceDN w:val="0"/>
        <w:adjustRightInd w:val="0"/>
        <w:snapToGrid w:val="0"/>
        <w:spacing w:line="360" w:lineRule="auto"/>
        <w:ind w:firstLine="420"/>
        <w:rPr>
          <w:rFonts w:asciiTheme="majorEastAsia" w:hAnsiTheme="majorEastAsia" w:eastAsiaTheme="majorEastAsia"/>
          <w:szCs w:val="21"/>
          <w:lang w:val="zh-CN"/>
        </w:rPr>
      </w:pPr>
      <w:r>
        <w:rPr>
          <w:rFonts w:hint="eastAsia" w:asciiTheme="majorEastAsia" w:hAnsiTheme="majorEastAsia" w:eastAsiaTheme="majorEastAsia"/>
          <w:szCs w:val="21"/>
          <w:lang w:val="zh-CN"/>
        </w:rPr>
        <w:t>（1）投标文件在规定的投标截止时间以后送达的；</w:t>
      </w:r>
    </w:p>
    <w:p>
      <w:pPr>
        <w:pStyle w:val="6"/>
        <w:autoSpaceDN w:val="0"/>
        <w:adjustRightInd w:val="0"/>
        <w:snapToGrid w:val="0"/>
        <w:spacing w:line="360" w:lineRule="auto"/>
        <w:ind w:firstLine="420"/>
        <w:rPr>
          <w:rFonts w:asciiTheme="majorEastAsia" w:hAnsiTheme="majorEastAsia" w:eastAsiaTheme="majorEastAsia"/>
          <w:szCs w:val="21"/>
          <w:lang w:val="zh-CN"/>
        </w:rPr>
      </w:pPr>
      <w:r>
        <w:rPr>
          <w:rFonts w:hint="eastAsia" w:asciiTheme="majorEastAsia" w:hAnsiTheme="majorEastAsia" w:eastAsiaTheme="majorEastAsia"/>
          <w:szCs w:val="21"/>
          <w:lang w:val="zh-CN"/>
        </w:rPr>
        <w:t>（2）未按招标文件规定提交投标保证金的；</w:t>
      </w:r>
    </w:p>
    <w:p>
      <w:pPr>
        <w:pStyle w:val="6"/>
        <w:autoSpaceDN w:val="0"/>
        <w:adjustRightInd w:val="0"/>
        <w:snapToGrid w:val="0"/>
        <w:spacing w:line="360" w:lineRule="auto"/>
        <w:ind w:firstLine="420"/>
        <w:rPr>
          <w:rFonts w:asciiTheme="majorEastAsia" w:hAnsiTheme="majorEastAsia" w:eastAsiaTheme="majorEastAsia"/>
          <w:szCs w:val="21"/>
          <w:lang w:val="zh-CN"/>
        </w:rPr>
      </w:pPr>
      <w:r>
        <w:rPr>
          <w:rFonts w:hint="eastAsia" w:asciiTheme="majorEastAsia" w:hAnsiTheme="majorEastAsia" w:eastAsiaTheme="majorEastAsia"/>
          <w:szCs w:val="21"/>
          <w:lang w:val="zh-CN"/>
        </w:rPr>
        <w:t>（3）投标文件未按招标文件规定密封的；</w:t>
      </w:r>
    </w:p>
    <w:p>
      <w:pPr>
        <w:pStyle w:val="6"/>
        <w:autoSpaceDN w:val="0"/>
        <w:adjustRightInd w:val="0"/>
        <w:snapToGrid w:val="0"/>
        <w:spacing w:line="360" w:lineRule="auto"/>
        <w:ind w:firstLine="420"/>
        <w:rPr>
          <w:rFonts w:asciiTheme="majorEastAsia" w:hAnsiTheme="majorEastAsia" w:eastAsiaTheme="majorEastAsia"/>
          <w:szCs w:val="21"/>
          <w:lang w:val="zh-CN"/>
        </w:rPr>
      </w:pPr>
      <w:r>
        <w:rPr>
          <w:rFonts w:hint="eastAsia" w:asciiTheme="majorEastAsia" w:hAnsiTheme="majorEastAsia" w:eastAsiaTheme="majorEastAsia"/>
          <w:szCs w:val="21"/>
          <w:lang w:val="zh-CN"/>
        </w:rPr>
        <w:t>（4）未提交单独密封的开标一览表或者开标一览表未按规定加盖公章和有效签署的；</w:t>
      </w:r>
    </w:p>
    <w:p>
      <w:pPr>
        <w:pStyle w:val="6"/>
        <w:autoSpaceDN w:val="0"/>
        <w:adjustRightInd w:val="0"/>
        <w:snapToGrid w:val="0"/>
        <w:spacing w:line="360" w:lineRule="auto"/>
        <w:ind w:firstLine="420"/>
        <w:rPr>
          <w:rFonts w:asciiTheme="majorEastAsia" w:hAnsiTheme="majorEastAsia" w:eastAsiaTheme="majorEastAsia"/>
          <w:szCs w:val="21"/>
          <w:lang w:val="zh-CN"/>
        </w:rPr>
      </w:pPr>
      <w:r>
        <w:rPr>
          <w:rFonts w:hint="eastAsia" w:asciiTheme="majorEastAsia" w:hAnsiTheme="majorEastAsia" w:eastAsiaTheme="majorEastAsia"/>
          <w:szCs w:val="21"/>
          <w:lang w:val="zh-CN"/>
        </w:rPr>
        <w:t>（5）招标文件规定开标时属于无效投标的其他情形。</w:t>
      </w:r>
    </w:p>
    <w:p>
      <w:pPr>
        <w:pStyle w:val="6"/>
        <w:autoSpaceDN w:val="0"/>
        <w:adjustRightInd w:val="0"/>
        <w:snapToGrid w:val="0"/>
        <w:spacing w:line="360" w:lineRule="auto"/>
        <w:ind w:firstLine="420"/>
        <w:rPr>
          <w:rFonts w:asciiTheme="majorEastAsia" w:hAnsiTheme="majorEastAsia" w:eastAsiaTheme="majorEastAsia"/>
          <w:szCs w:val="21"/>
          <w:lang w:val="zh-CN"/>
        </w:rPr>
      </w:pPr>
      <w:r>
        <w:rPr>
          <w:rFonts w:hint="eastAsia" w:asciiTheme="majorEastAsia" w:hAnsiTheme="majorEastAsia" w:eastAsiaTheme="majorEastAsia"/>
          <w:szCs w:val="21"/>
          <w:lang w:val="zh-CN"/>
        </w:rPr>
        <w:t>1</w:t>
      </w:r>
      <w:r>
        <w:rPr>
          <w:rFonts w:hint="eastAsia" w:asciiTheme="majorEastAsia" w:hAnsiTheme="majorEastAsia" w:eastAsiaTheme="majorEastAsia"/>
          <w:szCs w:val="21"/>
        </w:rPr>
        <w:t>9.6</w:t>
      </w:r>
      <w:r>
        <w:rPr>
          <w:rFonts w:hint="eastAsia" w:asciiTheme="majorEastAsia" w:hAnsiTheme="majorEastAsia" w:eastAsiaTheme="majorEastAsia"/>
          <w:szCs w:val="21"/>
          <w:lang w:val="zh-CN"/>
        </w:rPr>
        <w:t xml:space="preserve"> 开标时有下列情形之一的，采购代理机构有权宣布本项目招标失败：</w:t>
      </w:r>
    </w:p>
    <w:p>
      <w:pPr>
        <w:pStyle w:val="6"/>
        <w:autoSpaceDN w:val="0"/>
        <w:adjustRightInd w:val="0"/>
        <w:snapToGrid w:val="0"/>
        <w:spacing w:line="360" w:lineRule="auto"/>
        <w:ind w:firstLine="420"/>
        <w:rPr>
          <w:rFonts w:asciiTheme="majorEastAsia" w:hAnsiTheme="majorEastAsia" w:eastAsiaTheme="majorEastAsia"/>
          <w:szCs w:val="21"/>
          <w:lang w:val="zh-CN"/>
        </w:rPr>
      </w:pPr>
      <w:r>
        <w:rPr>
          <w:rFonts w:hint="eastAsia" w:asciiTheme="majorEastAsia" w:hAnsiTheme="majorEastAsia" w:eastAsiaTheme="majorEastAsia"/>
          <w:szCs w:val="21"/>
          <w:lang w:val="zh-CN"/>
        </w:rPr>
        <w:t>（1）交货时间符合招标文件要求的供应商不足三家的；</w:t>
      </w:r>
    </w:p>
    <w:p>
      <w:pPr>
        <w:pStyle w:val="6"/>
        <w:autoSpaceDN w:val="0"/>
        <w:adjustRightInd w:val="0"/>
        <w:snapToGrid w:val="0"/>
        <w:spacing w:line="360" w:lineRule="auto"/>
        <w:ind w:firstLine="420"/>
        <w:rPr>
          <w:rFonts w:asciiTheme="majorEastAsia" w:hAnsiTheme="majorEastAsia" w:eastAsiaTheme="majorEastAsia"/>
          <w:szCs w:val="21"/>
          <w:lang w:val="zh-CN"/>
        </w:rPr>
      </w:pPr>
      <w:r>
        <w:rPr>
          <w:rFonts w:hint="eastAsia" w:asciiTheme="majorEastAsia" w:hAnsiTheme="majorEastAsia" w:eastAsiaTheme="majorEastAsia"/>
          <w:szCs w:val="21"/>
          <w:lang w:val="zh-CN"/>
        </w:rPr>
        <w:t>（2）所有供应商的报价均超过采购项目预算，采购单位不能支付的。</w:t>
      </w:r>
    </w:p>
    <w:p>
      <w:pPr>
        <w:pStyle w:val="5"/>
        <w:autoSpaceDN w:val="0"/>
        <w:adjustRightInd w:val="0"/>
        <w:snapToGrid w:val="0"/>
        <w:spacing w:before="0" w:after="0"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20.对投标文件的初审</w:t>
      </w:r>
      <w:bookmarkEnd w:id="66"/>
    </w:p>
    <w:p>
      <w:pPr>
        <w:autoSpaceDN w:val="0"/>
        <w:adjustRightInd w:val="0"/>
        <w:snapToGrid w:val="0"/>
        <w:spacing w:line="360" w:lineRule="auto"/>
        <w:ind w:left="1" w:firstLine="419"/>
        <w:rPr>
          <w:rFonts w:asciiTheme="majorEastAsia" w:hAnsiTheme="majorEastAsia" w:eastAsiaTheme="majorEastAsia"/>
          <w:szCs w:val="21"/>
        </w:rPr>
      </w:pPr>
      <w:r>
        <w:rPr>
          <w:rFonts w:hint="eastAsia" w:asciiTheme="majorEastAsia" w:hAnsiTheme="majorEastAsia" w:eastAsiaTheme="majorEastAsia"/>
          <w:szCs w:val="21"/>
        </w:rPr>
        <w:t xml:space="preserve">20.1 采购人根据招标项目特点组建评标委员会，由采购人从专家库中抽取的专家组成。 </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评标委员会对投标文件进行初审，初审内容为投标文件是否符合招标文件的要求、内容是否完整、价格构成有无计算错误、文件签署是否齐全及验证保证金以及投标文件是否具有实质响应性。</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20.2 初审中，对价格的计算错误按下述原则修正：</w:t>
      </w:r>
    </w:p>
    <w:p>
      <w:pPr>
        <w:autoSpaceDN w:val="0"/>
        <w:adjustRightInd w:val="0"/>
        <w:snapToGrid w:val="0"/>
        <w:spacing w:line="360" w:lineRule="auto"/>
        <w:ind w:firstLine="420" w:firstLineChars="200"/>
        <w:textAlignment w:val="baseline"/>
        <w:rPr>
          <w:rFonts w:asciiTheme="majorEastAsia" w:hAnsiTheme="majorEastAsia" w:eastAsiaTheme="majorEastAsia"/>
          <w:szCs w:val="21"/>
          <w:lang w:val="zh-CN"/>
        </w:rPr>
      </w:pPr>
      <w:r>
        <w:rPr>
          <w:rFonts w:hint="eastAsia" w:asciiTheme="majorEastAsia" w:hAnsiTheme="majorEastAsia" w:eastAsiaTheme="majorEastAsia"/>
          <w:szCs w:val="21"/>
          <w:lang w:val="zh-CN"/>
        </w:rPr>
        <w:t>（</w:t>
      </w:r>
      <w:r>
        <w:rPr>
          <w:rFonts w:hint="eastAsia" w:asciiTheme="majorEastAsia" w:hAnsiTheme="majorEastAsia" w:eastAsiaTheme="majorEastAsia"/>
          <w:szCs w:val="21"/>
        </w:rPr>
        <w:t>1</w:t>
      </w:r>
      <w:r>
        <w:rPr>
          <w:rFonts w:hint="eastAsia" w:asciiTheme="majorEastAsia" w:hAnsiTheme="majorEastAsia" w:eastAsiaTheme="majorEastAsia"/>
          <w:szCs w:val="21"/>
          <w:lang w:val="zh-CN"/>
        </w:rPr>
        <w:t>）投标文件中开标一览表内容与投标文件中相应内容不一致的，以《开标一览表》的报价为准；</w:t>
      </w:r>
    </w:p>
    <w:p>
      <w:pPr>
        <w:autoSpaceDN w:val="0"/>
        <w:adjustRightInd w:val="0"/>
        <w:snapToGrid w:val="0"/>
        <w:spacing w:line="360" w:lineRule="auto"/>
        <w:ind w:firstLine="420" w:firstLineChars="200"/>
        <w:textAlignment w:val="baseline"/>
        <w:rPr>
          <w:rFonts w:asciiTheme="majorEastAsia" w:hAnsiTheme="majorEastAsia" w:eastAsiaTheme="majorEastAsia"/>
          <w:szCs w:val="21"/>
          <w:lang w:val="zh-CN"/>
        </w:rPr>
      </w:pPr>
      <w:r>
        <w:rPr>
          <w:rFonts w:hint="eastAsia" w:asciiTheme="majorEastAsia" w:hAnsiTheme="majorEastAsia" w:eastAsiaTheme="majorEastAsia"/>
          <w:szCs w:val="21"/>
          <w:lang w:val="zh-CN"/>
        </w:rPr>
        <w:t>（</w:t>
      </w:r>
      <w:r>
        <w:rPr>
          <w:rFonts w:hint="eastAsia" w:asciiTheme="majorEastAsia" w:hAnsiTheme="majorEastAsia" w:eastAsiaTheme="majorEastAsia"/>
          <w:szCs w:val="21"/>
        </w:rPr>
        <w:t>2</w:t>
      </w:r>
      <w:r>
        <w:rPr>
          <w:rFonts w:hint="eastAsia" w:asciiTheme="majorEastAsia" w:hAnsiTheme="majorEastAsia" w:eastAsiaTheme="majorEastAsia"/>
          <w:szCs w:val="21"/>
          <w:lang w:val="zh-CN"/>
        </w:rPr>
        <w:t>）开标一览表内如果小写金额与大写金额不一致时，以大写金额为准；</w:t>
      </w:r>
    </w:p>
    <w:p>
      <w:pPr>
        <w:autoSpaceDN w:val="0"/>
        <w:adjustRightInd w:val="0"/>
        <w:snapToGrid w:val="0"/>
        <w:spacing w:line="360" w:lineRule="auto"/>
        <w:ind w:firstLine="420" w:firstLineChars="200"/>
        <w:textAlignment w:val="baseline"/>
        <w:rPr>
          <w:rFonts w:asciiTheme="majorEastAsia" w:hAnsiTheme="majorEastAsia" w:eastAsiaTheme="majorEastAsia"/>
          <w:szCs w:val="21"/>
          <w:lang w:val="zh-CN"/>
        </w:rPr>
      </w:pPr>
      <w:r>
        <w:rPr>
          <w:rFonts w:hint="eastAsia" w:asciiTheme="majorEastAsia" w:hAnsiTheme="majorEastAsia" w:eastAsiaTheme="majorEastAsia"/>
          <w:szCs w:val="21"/>
          <w:lang w:val="zh-CN"/>
        </w:rPr>
        <w:t>（</w:t>
      </w:r>
      <w:r>
        <w:rPr>
          <w:rFonts w:hint="eastAsia" w:asciiTheme="majorEastAsia" w:hAnsiTheme="majorEastAsia" w:eastAsiaTheme="majorEastAsia"/>
          <w:szCs w:val="21"/>
        </w:rPr>
        <w:t>3</w:t>
      </w:r>
      <w:r>
        <w:rPr>
          <w:rFonts w:hint="eastAsia" w:asciiTheme="majorEastAsia" w:hAnsiTheme="majorEastAsia" w:eastAsiaTheme="majorEastAsia"/>
          <w:szCs w:val="21"/>
          <w:lang w:val="zh-CN"/>
        </w:rPr>
        <w:t>）如果总价金额与单价金额不一致，以单价金额为准。</w:t>
      </w:r>
    </w:p>
    <w:p>
      <w:pPr>
        <w:autoSpaceDN w:val="0"/>
        <w:adjustRightInd w:val="0"/>
        <w:snapToGrid w:val="0"/>
        <w:spacing w:line="360" w:lineRule="auto"/>
        <w:ind w:firstLine="420" w:firstLineChars="200"/>
        <w:textAlignment w:val="baseline"/>
        <w:rPr>
          <w:rFonts w:asciiTheme="majorEastAsia" w:hAnsiTheme="majorEastAsia" w:eastAsiaTheme="majorEastAsia"/>
          <w:szCs w:val="21"/>
          <w:lang w:val="zh-CN"/>
        </w:rPr>
      </w:pPr>
      <w:r>
        <w:rPr>
          <w:rFonts w:hint="eastAsia" w:asciiTheme="majorEastAsia" w:hAnsiTheme="majorEastAsia" w:eastAsiaTheme="majorEastAsia"/>
          <w:szCs w:val="21"/>
          <w:lang w:val="zh-CN"/>
        </w:rPr>
        <w:t>（</w:t>
      </w:r>
      <w:r>
        <w:rPr>
          <w:rFonts w:hint="eastAsia" w:asciiTheme="majorEastAsia" w:hAnsiTheme="majorEastAsia" w:eastAsiaTheme="majorEastAsia"/>
          <w:szCs w:val="21"/>
        </w:rPr>
        <w:t>4</w:t>
      </w:r>
      <w:r>
        <w:rPr>
          <w:rFonts w:hint="eastAsia" w:asciiTheme="majorEastAsia" w:hAnsiTheme="majorEastAsia" w:eastAsiaTheme="majorEastAsia"/>
          <w:szCs w:val="21"/>
          <w:lang w:val="zh-CN"/>
        </w:rPr>
        <w:t>）除非单价有明显的小数点错位，此时应以该行标出的总额为准，并修改单价。</w:t>
      </w:r>
    </w:p>
    <w:p>
      <w:pPr>
        <w:autoSpaceDN w:val="0"/>
        <w:adjustRightInd w:val="0"/>
        <w:snapToGrid w:val="0"/>
        <w:spacing w:line="360" w:lineRule="auto"/>
        <w:ind w:left="1" w:firstLine="420" w:firstLineChars="200"/>
        <w:rPr>
          <w:rFonts w:asciiTheme="majorEastAsia" w:hAnsiTheme="majorEastAsia" w:eastAsiaTheme="majorEastAsia"/>
          <w:szCs w:val="21"/>
          <w:lang w:val="zh-CN"/>
        </w:rPr>
      </w:pPr>
      <w:r>
        <w:rPr>
          <w:rFonts w:hint="eastAsia" w:asciiTheme="majorEastAsia" w:hAnsiTheme="majorEastAsia" w:eastAsiaTheme="majorEastAsia"/>
          <w:szCs w:val="21"/>
          <w:lang w:val="zh-CN"/>
        </w:rPr>
        <w:t>按上述原则调整后的价格为评标价，经供应商法定代表人或授权代理人签字确认后对供应商具有约束力。如果供应商不按照上述原则修正其投标报价及分项报价，则其投标将被拒绝。</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20.3 与招标文件有重大偏离的投标文件将被视为具有非实质响应性的投标文件而被拒绝。</w:t>
      </w:r>
    </w:p>
    <w:p>
      <w:pPr>
        <w:autoSpaceDN w:val="0"/>
        <w:adjustRightInd w:val="0"/>
        <w:snapToGrid w:val="0"/>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20.4 投标有下列情况之一者，</w:t>
      </w:r>
      <w:r>
        <w:rPr>
          <w:rFonts w:hint="eastAsia" w:asciiTheme="majorEastAsia" w:hAnsiTheme="majorEastAsia" w:eastAsiaTheme="majorEastAsia"/>
          <w:bCs/>
          <w:szCs w:val="21"/>
        </w:rPr>
        <w:t>将被视为非实质性响应的投标而被拒绝：</w:t>
      </w:r>
    </w:p>
    <w:p>
      <w:pPr>
        <w:numPr>
          <w:ilvl w:val="0"/>
          <w:numId w:val="4"/>
        </w:numPr>
        <w:tabs>
          <w:tab w:val="left" w:pos="686"/>
        </w:tabs>
        <w:autoSpaceDN w:val="0"/>
        <w:adjustRightInd w:val="0"/>
        <w:snapToGrid w:val="0"/>
        <w:spacing w:line="360" w:lineRule="auto"/>
        <w:ind w:left="420" w:hanging="420" w:hangingChars="200"/>
        <w:rPr>
          <w:rFonts w:asciiTheme="majorEastAsia" w:hAnsiTheme="majorEastAsia" w:eastAsiaTheme="majorEastAsia"/>
          <w:szCs w:val="21"/>
        </w:rPr>
      </w:pPr>
      <w:r>
        <w:rPr>
          <w:rFonts w:hint="eastAsia" w:asciiTheme="majorEastAsia" w:hAnsiTheme="majorEastAsia" w:eastAsiaTheme="majorEastAsia"/>
          <w:szCs w:val="21"/>
        </w:rPr>
        <w:t>资格条件及证明文件不符合招标文件要求的；</w:t>
      </w:r>
    </w:p>
    <w:p>
      <w:pPr>
        <w:numPr>
          <w:ilvl w:val="0"/>
          <w:numId w:val="4"/>
        </w:numPr>
        <w:tabs>
          <w:tab w:val="left" w:pos="686"/>
        </w:tabs>
        <w:autoSpaceDN w:val="0"/>
        <w:adjustRightInd w:val="0"/>
        <w:snapToGrid w:val="0"/>
        <w:spacing w:line="360" w:lineRule="auto"/>
        <w:ind w:left="0" w:firstLine="0"/>
        <w:rPr>
          <w:rFonts w:asciiTheme="majorEastAsia" w:hAnsiTheme="majorEastAsia" w:eastAsiaTheme="majorEastAsia"/>
          <w:szCs w:val="21"/>
        </w:rPr>
      </w:pPr>
      <w:r>
        <w:rPr>
          <w:rFonts w:hint="eastAsia" w:asciiTheme="majorEastAsia" w:hAnsiTheme="majorEastAsia" w:eastAsiaTheme="majorEastAsia"/>
          <w:szCs w:val="21"/>
        </w:rPr>
        <w:t>投标文件无公章或无法定代表人签字，或签字人无法定代表人有效授权书的，或未按要求签字、盖公章的；</w:t>
      </w:r>
    </w:p>
    <w:p>
      <w:pPr>
        <w:numPr>
          <w:ilvl w:val="0"/>
          <w:numId w:val="4"/>
        </w:numPr>
        <w:tabs>
          <w:tab w:val="left" w:pos="700"/>
        </w:tabs>
        <w:autoSpaceDN w:val="0"/>
        <w:adjustRightInd w:val="0"/>
        <w:snapToGrid w:val="0"/>
        <w:spacing w:line="360" w:lineRule="auto"/>
        <w:ind w:left="420" w:hanging="420" w:hangingChars="200"/>
        <w:rPr>
          <w:rFonts w:asciiTheme="majorEastAsia" w:hAnsiTheme="majorEastAsia" w:eastAsiaTheme="majorEastAsia"/>
          <w:szCs w:val="21"/>
        </w:rPr>
      </w:pPr>
      <w:r>
        <w:rPr>
          <w:rFonts w:hint="eastAsia" w:asciiTheme="majorEastAsia" w:hAnsiTheme="majorEastAsia" w:eastAsiaTheme="majorEastAsia"/>
          <w:szCs w:val="21"/>
        </w:rPr>
        <w:t>不能满足投标有效期的；</w:t>
      </w:r>
    </w:p>
    <w:p>
      <w:pPr>
        <w:numPr>
          <w:ilvl w:val="0"/>
          <w:numId w:val="4"/>
        </w:numPr>
        <w:tabs>
          <w:tab w:val="left" w:pos="700"/>
        </w:tabs>
        <w:autoSpaceDN w:val="0"/>
        <w:adjustRightInd w:val="0"/>
        <w:snapToGrid w:val="0"/>
        <w:spacing w:line="360" w:lineRule="auto"/>
        <w:ind w:left="420" w:hanging="420" w:hangingChars="200"/>
        <w:rPr>
          <w:rFonts w:asciiTheme="majorEastAsia" w:hAnsiTheme="majorEastAsia" w:eastAsiaTheme="majorEastAsia"/>
          <w:szCs w:val="21"/>
        </w:rPr>
      </w:pPr>
      <w:r>
        <w:rPr>
          <w:rFonts w:hint="eastAsia" w:asciiTheme="majorEastAsia" w:hAnsiTheme="majorEastAsia" w:eastAsiaTheme="majorEastAsia"/>
          <w:szCs w:val="21"/>
        </w:rPr>
        <w:t>投标明显不符合技术规格、技术标准的要求；</w:t>
      </w:r>
    </w:p>
    <w:p>
      <w:pPr>
        <w:numPr>
          <w:ilvl w:val="0"/>
          <w:numId w:val="4"/>
        </w:numPr>
        <w:tabs>
          <w:tab w:val="left" w:pos="714"/>
        </w:tabs>
        <w:autoSpaceDN w:val="0"/>
        <w:adjustRightInd w:val="0"/>
        <w:snapToGrid w:val="0"/>
        <w:spacing w:line="360" w:lineRule="auto"/>
        <w:ind w:left="420" w:hanging="420" w:hangingChars="200"/>
        <w:rPr>
          <w:rFonts w:asciiTheme="majorEastAsia" w:hAnsiTheme="majorEastAsia" w:eastAsiaTheme="majorEastAsia"/>
          <w:szCs w:val="21"/>
        </w:rPr>
      </w:pPr>
      <w:r>
        <w:rPr>
          <w:rFonts w:hint="eastAsia" w:asciiTheme="majorEastAsia" w:hAnsiTheme="majorEastAsia" w:eastAsiaTheme="majorEastAsia"/>
          <w:szCs w:val="21"/>
        </w:rPr>
        <w:t>投标文件附有买方不能接受的条件；</w:t>
      </w:r>
    </w:p>
    <w:p>
      <w:pPr>
        <w:numPr>
          <w:ilvl w:val="0"/>
          <w:numId w:val="4"/>
        </w:numPr>
        <w:tabs>
          <w:tab w:val="left" w:pos="714"/>
        </w:tabs>
        <w:autoSpaceDN w:val="0"/>
        <w:adjustRightInd w:val="0"/>
        <w:snapToGrid w:val="0"/>
        <w:spacing w:line="360" w:lineRule="auto"/>
        <w:ind w:left="420" w:hanging="420" w:hangingChars="200"/>
        <w:rPr>
          <w:rFonts w:asciiTheme="majorEastAsia" w:hAnsiTheme="majorEastAsia" w:eastAsiaTheme="majorEastAsia"/>
          <w:szCs w:val="21"/>
        </w:rPr>
      </w:pPr>
      <w:r>
        <w:rPr>
          <w:rFonts w:hint="eastAsia" w:asciiTheme="majorEastAsia" w:hAnsiTheme="majorEastAsia" w:eastAsiaTheme="majorEastAsia"/>
          <w:szCs w:val="21"/>
        </w:rPr>
        <w:t>投标报价超过采购预算的；</w:t>
      </w:r>
    </w:p>
    <w:p>
      <w:pPr>
        <w:numPr>
          <w:ilvl w:val="0"/>
          <w:numId w:val="4"/>
        </w:numPr>
        <w:tabs>
          <w:tab w:val="left" w:pos="714"/>
        </w:tabs>
        <w:autoSpaceDN w:val="0"/>
        <w:adjustRightInd w:val="0"/>
        <w:snapToGrid w:val="0"/>
        <w:spacing w:line="360" w:lineRule="auto"/>
        <w:ind w:left="420" w:hanging="420" w:hangingChars="200"/>
        <w:rPr>
          <w:rFonts w:asciiTheme="majorEastAsia" w:hAnsiTheme="majorEastAsia" w:eastAsiaTheme="majorEastAsia"/>
          <w:szCs w:val="21"/>
        </w:rPr>
      </w:pPr>
      <w:r>
        <w:rPr>
          <w:rFonts w:hint="eastAsia" w:asciiTheme="majorEastAsia" w:hAnsiTheme="majorEastAsia" w:eastAsiaTheme="majorEastAsia"/>
          <w:szCs w:val="21"/>
        </w:rPr>
        <w:t>未响应招标文件规定的其它实质性条款。</w:t>
      </w:r>
    </w:p>
    <w:p>
      <w:pPr>
        <w:pStyle w:val="5"/>
        <w:autoSpaceDN w:val="0"/>
        <w:adjustRightInd w:val="0"/>
        <w:snapToGrid w:val="0"/>
        <w:spacing w:before="0" w:after="0" w:line="360" w:lineRule="auto"/>
        <w:rPr>
          <w:rFonts w:asciiTheme="majorEastAsia" w:hAnsiTheme="majorEastAsia" w:eastAsiaTheme="majorEastAsia"/>
          <w:sz w:val="21"/>
          <w:szCs w:val="21"/>
        </w:rPr>
      </w:pPr>
      <w:bookmarkStart w:id="67" w:name="_Toc98580414"/>
      <w:r>
        <w:rPr>
          <w:rFonts w:hint="eastAsia" w:asciiTheme="majorEastAsia" w:hAnsiTheme="majorEastAsia" w:eastAsiaTheme="majorEastAsia"/>
          <w:sz w:val="21"/>
          <w:szCs w:val="21"/>
        </w:rPr>
        <w:t>21.投标的澄清</w:t>
      </w:r>
      <w:bookmarkEnd w:id="67"/>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21.1 招标机构有权就投标文件中含混之处向供应商提出询问或澄清要求，或要求其补充某些材料。供应商必须按照招标机构通知的时间、地点派技术和商务人员进行答疑和澄清。</w:t>
      </w:r>
    </w:p>
    <w:p>
      <w:pPr>
        <w:autoSpaceDN w:val="0"/>
        <w:adjustRightInd w:val="0"/>
        <w:snapToGrid w:val="0"/>
        <w:spacing w:line="360" w:lineRule="auto"/>
        <w:ind w:firstLine="420"/>
        <w:textAlignment w:val="baseline"/>
        <w:rPr>
          <w:rFonts w:asciiTheme="majorEastAsia" w:hAnsiTheme="majorEastAsia" w:eastAsiaTheme="majorEastAsia"/>
          <w:szCs w:val="21"/>
        </w:rPr>
      </w:pPr>
      <w:r>
        <w:rPr>
          <w:rFonts w:hint="eastAsia" w:asciiTheme="majorEastAsia" w:hAnsiTheme="majorEastAsia" w:eastAsiaTheme="majorEastAsia"/>
          <w:szCs w:val="21"/>
        </w:rPr>
        <w:t xml:space="preserve">21.2 </w:t>
      </w:r>
      <w:r>
        <w:rPr>
          <w:rFonts w:hint="eastAsia" w:asciiTheme="majorEastAsia" w:hAnsiTheme="majorEastAsia" w:eastAsiaTheme="majorEastAsia"/>
          <w:szCs w:val="21"/>
          <w:lang w:val="zh-CN"/>
        </w:rPr>
        <w:t>供应商的澄清、说明或者补正应当采用书面形式，由供应商法定代表人或其授权代理人签字（须提交签字人身份证件并与投标文件签字人一致），并不得超出投标文件的范围或者改变投标文件的实质性内容。供应商拒不进行澄清、说明、补正的，或者不能在规定时间内作出书面澄清、说明、补正的，评标委员会将拒绝其投标。</w:t>
      </w:r>
    </w:p>
    <w:p>
      <w:pPr>
        <w:pStyle w:val="5"/>
        <w:autoSpaceDN w:val="0"/>
        <w:adjustRightInd w:val="0"/>
        <w:snapToGrid w:val="0"/>
        <w:spacing w:before="0" w:after="0" w:line="360" w:lineRule="auto"/>
        <w:rPr>
          <w:rFonts w:asciiTheme="majorEastAsia" w:hAnsiTheme="majorEastAsia" w:eastAsiaTheme="majorEastAsia"/>
          <w:sz w:val="21"/>
          <w:szCs w:val="21"/>
        </w:rPr>
      </w:pPr>
      <w:bookmarkStart w:id="68" w:name="_Toc98580415"/>
      <w:bookmarkStart w:id="69" w:name="_Toc98580416"/>
      <w:r>
        <w:rPr>
          <w:rFonts w:hint="eastAsia" w:asciiTheme="majorEastAsia" w:hAnsiTheme="majorEastAsia" w:eastAsiaTheme="majorEastAsia"/>
          <w:sz w:val="21"/>
          <w:szCs w:val="21"/>
        </w:rPr>
        <w:t>22.评标</w:t>
      </w:r>
      <w:bookmarkEnd w:id="68"/>
    </w:p>
    <w:p>
      <w:pPr>
        <w:autoSpaceDE w:val="0"/>
        <w:autoSpaceDN w:val="0"/>
        <w:adjustRightInd w:val="0"/>
        <w:snapToGrid w:val="0"/>
        <w:spacing w:line="360" w:lineRule="auto"/>
        <w:ind w:firstLine="420"/>
        <w:textAlignment w:val="bottom"/>
        <w:rPr>
          <w:rFonts w:cs="Arial" w:asciiTheme="majorEastAsia" w:hAnsiTheme="majorEastAsia" w:eastAsiaTheme="majorEastAsia"/>
          <w:bCs/>
          <w:szCs w:val="21"/>
        </w:rPr>
      </w:pPr>
      <w:r>
        <w:rPr>
          <w:rFonts w:hint="eastAsia" w:cs="Arial" w:asciiTheme="majorEastAsia" w:hAnsiTheme="majorEastAsia" w:eastAsiaTheme="majorEastAsia"/>
          <w:bCs/>
          <w:szCs w:val="21"/>
        </w:rPr>
        <w:t>22.1 原则：对所有供应商的投标评估，都采用相同的程序和标准。</w:t>
      </w:r>
    </w:p>
    <w:p>
      <w:pPr>
        <w:autoSpaceDE w:val="0"/>
        <w:autoSpaceDN w:val="0"/>
        <w:adjustRightInd w:val="0"/>
        <w:snapToGrid w:val="0"/>
        <w:spacing w:line="360" w:lineRule="auto"/>
        <w:ind w:firstLine="420"/>
        <w:textAlignment w:val="bottom"/>
        <w:rPr>
          <w:rFonts w:asciiTheme="majorEastAsia" w:hAnsiTheme="majorEastAsia" w:eastAsiaTheme="majorEastAsia"/>
          <w:szCs w:val="21"/>
        </w:rPr>
      </w:pPr>
      <w:r>
        <w:rPr>
          <w:rFonts w:hint="eastAsia" w:asciiTheme="majorEastAsia" w:hAnsiTheme="majorEastAsia" w:eastAsiaTheme="majorEastAsia"/>
          <w:szCs w:val="21"/>
        </w:rPr>
        <w:t>22.2 标准：评标严格按照招标文件的要求和条件进行。</w:t>
      </w:r>
    </w:p>
    <w:p>
      <w:pPr>
        <w:tabs>
          <w:tab w:val="left" w:pos="475"/>
        </w:tabs>
        <w:autoSpaceDN w:val="0"/>
        <w:adjustRightInd w:val="0"/>
        <w:snapToGrid w:val="0"/>
        <w:spacing w:line="360" w:lineRule="auto"/>
        <w:textAlignment w:val="baseline"/>
        <w:rPr>
          <w:rFonts w:asciiTheme="majorEastAsia" w:hAnsiTheme="majorEastAsia" w:eastAsiaTheme="majorEastAsia"/>
          <w:szCs w:val="21"/>
          <w:lang w:val="zh-CN"/>
        </w:rPr>
      </w:pPr>
      <w:r>
        <w:rPr>
          <w:rFonts w:hint="eastAsia" w:asciiTheme="majorEastAsia" w:hAnsiTheme="majorEastAsia" w:eastAsiaTheme="majorEastAsia"/>
          <w:szCs w:val="21"/>
          <w:lang w:val="zh-CN"/>
        </w:rPr>
        <w:tab/>
      </w:r>
      <w:r>
        <w:rPr>
          <w:rFonts w:hint="eastAsia" w:asciiTheme="majorEastAsia" w:hAnsiTheme="majorEastAsia" w:eastAsiaTheme="majorEastAsia"/>
          <w:szCs w:val="21"/>
          <w:lang w:val="zh-CN"/>
        </w:rPr>
        <w:t>22.</w:t>
      </w:r>
      <w:r>
        <w:rPr>
          <w:rFonts w:hint="eastAsia" w:asciiTheme="majorEastAsia" w:hAnsiTheme="majorEastAsia" w:eastAsiaTheme="majorEastAsia"/>
          <w:szCs w:val="21"/>
        </w:rPr>
        <w:t>3</w:t>
      </w:r>
      <w:r>
        <w:rPr>
          <w:rFonts w:hint="eastAsia" w:asciiTheme="majorEastAsia" w:hAnsiTheme="majorEastAsia" w:eastAsiaTheme="majorEastAsia"/>
          <w:szCs w:val="21"/>
          <w:lang w:val="zh-CN"/>
        </w:rPr>
        <w:t>本项目采用</w:t>
      </w:r>
      <w:bookmarkStart w:id="70" w:name="blank29_copy_1619578097000"/>
      <w:r>
        <w:rPr>
          <w:rFonts w:hint="eastAsia" w:asciiTheme="majorEastAsia" w:hAnsiTheme="majorEastAsia" w:eastAsiaTheme="majorEastAsia"/>
          <w:kern w:val="0"/>
          <w:sz w:val="20"/>
          <w:szCs w:val="20"/>
        </w:rPr>
        <w:t>综合评分法</w:t>
      </w:r>
      <w:bookmarkEnd w:id="70"/>
      <w:r>
        <w:rPr>
          <w:rFonts w:hint="eastAsia" w:asciiTheme="majorEastAsia" w:hAnsiTheme="majorEastAsia" w:eastAsiaTheme="majorEastAsia"/>
          <w:szCs w:val="21"/>
          <w:lang w:val="zh-CN"/>
        </w:rPr>
        <w:t>：</w:t>
      </w:r>
    </w:p>
    <w:p>
      <w:pPr>
        <w:autoSpaceDN w:val="0"/>
        <w:adjustRightInd w:val="0"/>
        <w:snapToGrid w:val="0"/>
        <w:spacing w:line="360" w:lineRule="auto"/>
        <w:ind w:firstLine="420" w:firstLineChars="200"/>
        <w:textAlignment w:val="baseline"/>
        <w:rPr>
          <w:rFonts w:asciiTheme="majorEastAsia" w:hAnsiTheme="majorEastAsia" w:eastAsiaTheme="majorEastAsia"/>
          <w:szCs w:val="21"/>
        </w:rPr>
      </w:pPr>
      <w:r>
        <w:rPr>
          <w:rFonts w:hint="eastAsia" w:asciiTheme="majorEastAsia" w:hAnsiTheme="majorEastAsia" w:eastAsiaTheme="majorEastAsia"/>
          <w:szCs w:val="21"/>
          <w:lang w:val="zh-CN"/>
        </w:rPr>
        <w:t>评标委员会将按第三章规定的评审因素和标准，</w:t>
      </w:r>
      <w:r>
        <w:rPr>
          <w:rFonts w:hint="eastAsia" w:asciiTheme="majorEastAsia" w:hAnsiTheme="majorEastAsia" w:eastAsiaTheme="majorEastAsia"/>
          <w:szCs w:val="21"/>
        </w:rPr>
        <w:t>按评审后</w:t>
      </w:r>
      <w:r>
        <w:rPr>
          <w:rFonts w:hint="eastAsia" w:asciiTheme="majorEastAsia" w:hAnsiTheme="majorEastAsia" w:eastAsiaTheme="majorEastAsia"/>
          <w:szCs w:val="21"/>
          <w:lang w:eastAsia="zh-CN"/>
        </w:rPr>
        <w:t>供应商</w:t>
      </w:r>
      <w:r>
        <w:rPr>
          <w:rFonts w:hint="eastAsia" w:asciiTheme="majorEastAsia" w:hAnsiTheme="majorEastAsia" w:eastAsiaTheme="majorEastAsia"/>
          <w:szCs w:val="21"/>
        </w:rPr>
        <w:t xml:space="preserve">综合得分由高到低的顺序推荐中标候选人排序。 </w:t>
      </w:r>
    </w:p>
    <w:p>
      <w:pPr>
        <w:pStyle w:val="5"/>
        <w:autoSpaceDN w:val="0"/>
        <w:adjustRightInd w:val="0"/>
        <w:snapToGrid w:val="0"/>
        <w:spacing w:before="0" w:after="0"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23.评标过程保密</w:t>
      </w:r>
      <w:bookmarkEnd w:id="69"/>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23.1有关投标文件的审查、澄清、评估和比较以及有关授予合同意向的一切情况均不得透露给任一供应商或与上述评标工作无关的人员；</w:t>
      </w:r>
    </w:p>
    <w:p>
      <w:pPr>
        <w:autoSpaceDN w:val="0"/>
        <w:adjustRightInd w:val="0"/>
        <w:snapToGrid w:val="0"/>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23.2在评标期间，供应商企图影响招标方的任何活动，将导致投标被拒绝，并承担相应的法律责任。</w:t>
      </w:r>
    </w:p>
    <w:p>
      <w:pPr>
        <w:autoSpaceDN w:val="0"/>
        <w:adjustRightInd w:val="0"/>
        <w:snapToGrid w:val="0"/>
        <w:spacing w:line="360" w:lineRule="auto"/>
        <w:jc w:val="center"/>
        <w:rPr>
          <w:rFonts w:asciiTheme="majorEastAsia" w:hAnsiTheme="majorEastAsia" w:eastAsiaTheme="majorEastAsia"/>
          <w:b/>
          <w:bCs/>
          <w:szCs w:val="21"/>
        </w:rPr>
      </w:pPr>
      <w:r>
        <w:rPr>
          <w:rFonts w:hint="eastAsia" w:asciiTheme="majorEastAsia" w:hAnsiTheme="majorEastAsia" w:eastAsiaTheme="majorEastAsia"/>
          <w:b/>
          <w:bCs/>
          <w:szCs w:val="21"/>
        </w:rPr>
        <w:t>F 确定中标</w:t>
      </w:r>
    </w:p>
    <w:p>
      <w:pPr>
        <w:pStyle w:val="5"/>
        <w:autoSpaceDN w:val="0"/>
        <w:adjustRightInd w:val="0"/>
        <w:snapToGrid w:val="0"/>
        <w:spacing w:before="0" w:after="0" w:line="360" w:lineRule="auto"/>
        <w:rPr>
          <w:rFonts w:asciiTheme="majorEastAsia" w:hAnsiTheme="majorEastAsia" w:eastAsiaTheme="majorEastAsia"/>
          <w:sz w:val="21"/>
          <w:szCs w:val="21"/>
        </w:rPr>
      </w:pPr>
      <w:bookmarkStart w:id="71" w:name="_Toc98580417"/>
      <w:r>
        <w:rPr>
          <w:rFonts w:hint="eastAsia" w:asciiTheme="majorEastAsia" w:hAnsiTheme="majorEastAsia" w:eastAsiaTheme="majorEastAsia"/>
          <w:sz w:val="21"/>
          <w:szCs w:val="21"/>
        </w:rPr>
        <w:t>24.最终审查</w:t>
      </w:r>
      <w:bookmarkEnd w:id="71"/>
    </w:p>
    <w:p>
      <w:pPr>
        <w:autoSpaceDN w:val="0"/>
        <w:adjustRightInd w:val="0"/>
        <w:snapToGrid w:val="0"/>
        <w:spacing w:line="360" w:lineRule="auto"/>
        <w:ind w:left="29" w:leftChars="14" w:firstLine="417"/>
        <w:rPr>
          <w:rFonts w:asciiTheme="majorEastAsia" w:hAnsiTheme="majorEastAsia" w:eastAsiaTheme="majorEastAsia"/>
          <w:szCs w:val="21"/>
        </w:rPr>
      </w:pPr>
      <w:r>
        <w:rPr>
          <w:rFonts w:hint="eastAsia" w:asciiTheme="majorEastAsia" w:hAnsiTheme="majorEastAsia" w:eastAsiaTheme="majorEastAsia"/>
          <w:szCs w:val="21"/>
        </w:rPr>
        <w:t xml:space="preserve">24.1评标委员会按照招标文件确定的评标标准和方法，对投标文件进行评审，并提出书面评标报告，确定中标人。最终审查的对象是招标项目的合格的供应商。 </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 xml:space="preserve">24.2最终审查的内容是对合格的供应商的财务状况、资格、信誉以及采购人认为有必要了解的其他问题作进一步的审查。  </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24.3 接受最终审查的合格的供应商，必须如实回答和受理采购人的询问或考查，并提供所需的有关资料。</w:t>
      </w:r>
    </w:p>
    <w:p>
      <w:pPr>
        <w:autoSpaceDN w:val="0"/>
        <w:adjustRightInd w:val="0"/>
        <w:snapToGrid w:val="0"/>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24.4评标委员会从合格的供应商中评出中标人，并写出完整的评标报告。</w:t>
      </w:r>
    </w:p>
    <w:p>
      <w:pPr>
        <w:pStyle w:val="5"/>
        <w:autoSpaceDN w:val="0"/>
        <w:adjustRightInd w:val="0"/>
        <w:snapToGrid w:val="0"/>
        <w:spacing w:before="0" w:after="0" w:line="360" w:lineRule="auto"/>
        <w:rPr>
          <w:rFonts w:asciiTheme="majorEastAsia" w:hAnsiTheme="majorEastAsia" w:eastAsiaTheme="majorEastAsia"/>
          <w:sz w:val="21"/>
          <w:szCs w:val="21"/>
        </w:rPr>
      </w:pPr>
      <w:bookmarkStart w:id="72" w:name="_Toc98580418"/>
      <w:r>
        <w:rPr>
          <w:rFonts w:hint="eastAsia" w:asciiTheme="majorEastAsia" w:hAnsiTheme="majorEastAsia" w:eastAsiaTheme="majorEastAsia"/>
          <w:sz w:val="21"/>
          <w:szCs w:val="21"/>
        </w:rPr>
        <w:t>25.中标通知</w:t>
      </w:r>
      <w:bookmarkEnd w:id="72"/>
    </w:p>
    <w:p>
      <w:pPr>
        <w:pStyle w:val="6"/>
        <w:autoSpaceDN w:val="0"/>
        <w:adjustRightInd w:val="0"/>
        <w:snapToGrid w:val="0"/>
        <w:spacing w:line="360" w:lineRule="auto"/>
        <w:ind w:firstLine="420" w:firstLineChars="0"/>
        <w:rPr>
          <w:rFonts w:asciiTheme="majorEastAsia" w:hAnsiTheme="majorEastAsia" w:eastAsiaTheme="majorEastAsia"/>
          <w:szCs w:val="21"/>
        </w:rPr>
      </w:pPr>
      <w:r>
        <w:rPr>
          <w:rFonts w:hint="eastAsia" w:asciiTheme="majorEastAsia" w:hAnsiTheme="majorEastAsia" w:eastAsiaTheme="majorEastAsia"/>
          <w:szCs w:val="21"/>
        </w:rPr>
        <w:t>25.1在投标有效期内，</w:t>
      </w:r>
      <w:r>
        <w:rPr>
          <w:rFonts w:hint="eastAsia" w:asciiTheme="majorEastAsia" w:hAnsiTheme="majorEastAsia" w:eastAsiaTheme="majorEastAsia"/>
          <w:szCs w:val="21"/>
          <w:lang w:eastAsia="zh-CN"/>
        </w:rPr>
        <w:t>采购代理机构</w:t>
      </w:r>
      <w:r>
        <w:rPr>
          <w:rFonts w:hint="eastAsia" w:asciiTheme="majorEastAsia" w:hAnsiTheme="majorEastAsia" w:eastAsiaTheme="majorEastAsia"/>
          <w:szCs w:val="21"/>
        </w:rPr>
        <w:t>以书面形式通知所选定的中标人。通知也可以以传真的形式发出，但需要随以书面形式最终确认。</w:t>
      </w:r>
    </w:p>
    <w:p>
      <w:pPr>
        <w:pStyle w:val="6"/>
        <w:autoSpaceDN w:val="0"/>
        <w:adjustRightInd w:val="0"/>
        <w:snapToGrid w:val="0"/>
        <w:spacing w:line="360" w:lineRule="auto"/>
        <w:ind w:firstLine="420" w:firstLineChars="0"/>
        <w:rPr>
          <w:rFonts w:asciiTheme="majorEastAsia" w:hAnsiTheme="majorEastAsia" w:eastAsiaTheme="majorEastAsia"/>
          <w:szCs w:val="21"/>
        </w:rPr>
      </w:pPr>
      <w:r>
        <w:rPr>
          <w:rFonts w:hint="eastAsia" w:asciiTheme="majorEastAsia" w:hAnsiTheme="majorEastAsia" w:eastAsiaTheme="majorEastAsia"/>
          <w:szCs w:val="21"/>
        </w:rPr>
        <w:t>25.2</w:t>
      </w:r>
      <w:r>
        <w:rPr>
          <w:rFonts w:hint="eastAsia" w:asciiTheme="majorEastAsia" w:hAnsiTheme="majorEastAsia" w:eastAsiaTheme="majorEastAsia"/>
          <w:szCs w:val="21"/>
          <w:lang w:val="zh-CN"/>
        </w:rPr>
        <w:t>采购代理机构将自中标通知书发出之日起5个工作日内退还未中标供应商的投标保证金，自政府采购合同签订之日起5个工作日内退还中标供应商的投标保证金。</w:t>
      </w:r>
    </w:p>
    <w:p>
      <w:pPr>
        <w:pStyle w:val="5"/>
        <w:autoSpaceDN w:val="0"/>
        <w:adjustRightInd w:val="0"/>
        <w:snapToGrid w:val="0"/>
        <w:spacing w:before="0" w:after="0"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26.签定合同</w:t>
      </w:r>
    </w:p>
    <w:p>
      <w:pPr>
        <w:pStyle w:val="6"/>
        <w:autoSpaceDN w:val="0"/>
        <w:adjustRightInd w:val="0"/>
        <w:snapToGrid w:val="0"/>
        <w:spacing w:line="360" w:lineRule="auto"/>
        <w:ind w:firstLine="420"/>
        <w:rPr>
          <w:rFonts w:asciiTheme="majorEastAsia" w:hAnsiTheme="majorEastAsia" w:eastAsiaTheme="majorEastAsia"/>
          <w:szCs w:val="21"/>
          <w:lang w:val="zh-CN"/>
        </w:rPr>
      </w:pPr>
      <w:r>
        <w:rPr>
          <w:rFonts w:hint="eastAsia" w:asciiTheme="majorEastAsia" w:hAnsiTheme="majorEastAsia" w:eastAsiaTheme="majorEastAsia"/>
          <w:szCs w:val="21"/>
          <w:lang w:val="zh-CN"/>
        </w:rPr>
        <w:t>2</w:t>
      </w:r>
      <w:r>
        <w:rPr>
          <w:rFonts w:hint="eastAsia" w:asciiTheme="majorEastAsia" w:hAnsiTheme="majorEastAsia" w:eastAsiaTheme="majorEastAsia"/>
          <w:szCs w:val="21"/>
        </w:rPr>
        <w:t>6</w:t>
      </w:r>
      <w:r>
        <w:rPr>
          <w:rFonts w:hint="eastAsia" w:asciiTheme="majorEastAsia" w:hAnsiTheme="majorEastAsia" w:eastAsiaTheme="majorEastAsia"/>
          <w:szCs w:val="21"/>
          <w:lang w:val="zh-CN"/>
        </w:rPr>
        <w:t>.1中标通知书发出后，采购单位改变中标结果的，或者中标人放弃中标项目的，应当依法承担法律责任。</w:t>
      </w:r>
      <w:r>
        <w:rPr>
          <w:rFonts w:hint="eastAsia" w:asciiTheme="majorEastAsia" w:hAnsiTheme="majorEastAsia" w:eastAsiaTheme="majorEastAsia"/>
          <w:b w:val="0"/>
          <w:bCs w:val="0"/>
          <w:color w:val="auto"/>
          <w:szCs w:val="21"/>
          <w:lang w:val="zh-CN"/>
        </w:rPr>
        <w:t>供应商需在响应文件中附合同承诺书，承诺在与采购人签订合同时绝不推诿，应承担相应责任，对完全响应合同作出承诺，并加盖公章及法定代表人签字盖章，格式自拟。</w:t>
      </w:r>
    </w:p>
    <w:p>
      <w:pPr>
        <w:pStyle w:val="6"/>
        <w:autoSpaceDN w:val="0"/>
        <w:adjustRightInd w:val="0"/>
        <w:snapToGrid w:val="0"/>
        <w:spacing w:line="360" w:lineRule="auto"/>
        <w:ind w:firstLine="420" w:firstLineChars="0"/>
        <w:rPr>
          <w:rFonts w:asciiTheme="majorEastAsia" w:hAnsiTheme="majorEastAsia" w:eastAsiaTheme="majorEastAsia"/>
          <w:szCs w:val="21"/>
          <w:lang w:val="zh-CN"/>
        </w:rPr>
      </w:pPr>
      <w:r>
        <w:rPr>
          <w:rFonts w:hint="eastAsia" w:asciiTheme="majorEastAsia" w:hAnsiTheme="majorEastAsia" w:eastAsiaTheme="majorEastAsia"/>
          <w:szCs w:val="21"/>
        </w:rPr>
        <w:t>26</w:t>
      </w:r>
      <w:r>
        <w:rPr>
          <w:rFonts w:hint="eastAsia" w:asciiTheme="majorEastAsia" w:hAnsiTheme="majorEastAsia" w:eastAsiaTheme="majorEastAsia"/>
          <w:szCs w:val="21"/>
          <w:lang w:val="zh-CN"/>
        </w:rPr>
        <w:t>.2中标人应按中标通知书规定的时间与采购单位签订合同。如果中标人不在规定的时间内签署合同，视为自动放弃中标资格，其提交的投标保证金不予退还，列入不良行为记录名单，在一至三年内禁止参加政府采购活动并予以公告。供应商在被评标委员会评定为预中标人（中标人）之后、中标通知书发出之前放弃中标的，按本条规定处理。</w:t>
      </w:r>
    </w:p>
    <w:p>
      <w:pPr>
        <w:pStyle w:val="6"/>
        <w:autoSpaceDN w:val="0"/>
        <w:adjustRightInd w:val="0"/>
        <w:snapToGrid w:val="0"/>
        <w:spacing w:line="360" w:lineRule="auto"/>
        <w:ind w:left="464" w:hanging="44" w:firstLineChars="0"/>
        <w:rPr>
          <w:rFonts w:asciiTheme="majorEastAsia" w:hAnsiTheme="majorEastAsia" w:eastAsiaTheme="majorEastAsia"/>
          <w:szCs w:val="21"/>
          <w:lang w:val="zh-CN"/>
        </w:rPr>
      </w:pPr>
      <w:r>
        <w:rPr>
          <w:rFonts w:hint="eastAsia" w:asciiTheme="majorEastAsia" w:hAnsiTheme="majorEastAsia" w:eastAsiaTheme="majorEastAsia"/>
          <w:szCs w:val="21"/>
          <w:lang w:val="zh-CN"/>
        </w:rPr>
        <w:t>2</w:t>
      </w:r>
      <w:r>
        <w:rPr>
          <w:rFonts w:hint="eastAsia" w:asciiTheme="majorEastAsia" w:hAnsiTheme="majorEastAsia" w:eastAsiaTheme="majorEastAsia"/>
          <w:szCs w:val="21"/>
        </w:rPr>
        <w:t>6</w:t>
      </w:r>
      <w:r>
        <w:rPr>
          <w:rFonts w:hint="eastAsia" w:asciiTheme="majorEastAsia" w:hAnsiTheme="majorEastAsia" w:eastAsiaTheme="majorEastAsia"/>
          <w:szCs w:val="21"/>
          <w:lang w:val="zh-CN"/>
        </w:rPr>
        <w:t>.3中标结果将在发布招标公告的同步网络媒介上公告，不再以书面方式通知未中标人。</w:t>
      </w:r>
    </w:p>
    <w:p>
      <w:pPr>
        <w:pStyle w:val="5"/>
        <w:autoSpaceDN w:val="0"/>
        <w:adjustRightInd w:val="0"/>
        <w:snapToGrid w:val="0"/>
        <w:spacing w:before="0" w:after="0" w:line="360" w:lineRule="auto"/>
        <w:rPr>
          <w:rFonts w:asciiTheme="majorEastAsia" w:hAnsiTheme="majorEastAsia" w:eastAsiaTheme="majorEastAsia"/>
          <w:sz w:val="21"/>
          <w:szCs w:val="21"/>
          <w:lang w:val="zh-CN"/>
        </w:rPr>
      </w:pPr>
      <w:r>
        <w:rPr>
          <w:rFonts w:hint="eastAsia" w:asciiTheme="majorEastAsia" w:hAnsiTheme="majorEastAsia" w:eastAsiaTheme="majorEastAsia"/>
          <w:sz w:val="21"/>
          <w:szCs w:val="21"/>
        </w:rPr>
        <w:t>27.</w:t>
      </w:r>
      <w:r>
        <w:rPr>
          <w:rFonts w:hint="eastAsia" w:asciiTheme="majorEastAsia" w:hAnsiTheme="majorEastAsia" w:eastAsiaTheme="majorEastAsia"/>
          <w:sz w:val="21"/>
          <w:szCs w:val="21"/>
          <w:lang w:val="zh-CN"/>
        </w:rPr>
        <w:t>履约保证金</w:t>
      </w:r>
    </w:p>
    <w:p>
      <w:pPr>
        <w:pStyle w:val="6"/>
        <w:autoSpaceDN w:val="0"/>
        <w:adjustRightInd w:val="0"/>
        <w:snapToGrid w:val="0"/>
        <w:spacing w:line="360" w:lineRule="auto"/>
        <w:ind w:firstLine="402" w:firstLineChars="0"/>
        <w:rPr>
          <w:rFonts w:asciiTheme="majorEastAsia" w:hAnsiTheme="majorEastAsia" w:eastAsiaTheme="majorEastAsia"/>
          <w:szCs w:val="21"/>
          <w:highlight w:val="none"/>
        </w:rPr>
      </w:pPr>
      <w:r>
        <w:rPr>
          <w:rFonts w:hint="eastAsia" w:asciiTheme="majorEastAsia" w:hAnsiTheme="majorEastAsia" w:eastAsiaTheme="majorEastAsia"/>
          <w:szCs w:val="21"/>
        </w:rPr>
        <w:t>中标人接到中标通知书与采购人签订协议前,向采购人缴纳履约保证金</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lang w:val="en-US" w:eastAsia="zh-CN"/>
        </w:rPr>
        <w:t>诚信记录良好的供应商免收履约担保金。</w:t>
      </w:r>
      <w:r>
        <w:rPr>
          <w:rFonts w:hint="eastAsia" w:asciiTheme="majorEastAsia" w:hAnsiTheme="majorEastAsia" w:eastAsiaTheme="majorEastAsia"/>
          <w:szCs w:val="21"/>
        </w:rPr>
        <w:t>协议履行完毕后依据采购方验收完成情况返还给成交供应商。若出现任何违约情况，履约保证金全部扣收，并终止协议，造成损失的需另行支付赔偿。</w:t>
      </w:r>
      <w:r>
        <w:rPr>
          <w:rFonts w:hint="eastAsia" w:asciiTheme="majorEastAsia" w:hAnsiTheme="majorEastAsia" w:eastAsiaTheme="majorEastAsia"/>
          <w:szCs w:val="21"/>
          <w:highlight w:val="none"/>
        </w:rPr>
        <w:t>履约保证金缴纳标准详见投标须知前附表</w:t>
      </w:r>
    </w:p>
    <w:p>
      <w:pPr>
        <w:pStyle w:val="5"/>
        <w:autoSpaceDN w:val="0"/>
        <w:adjustRightInd w:val="0"/>
        <w:snapToGrid w:val="0"/>
        <w:spacing w:before="0" w:after="0" w:line="360" w:lineRule="auto"/>
        <w:rPr>
          <w:rFonts w:asciiTheme="majorEastAsia" w:hAnsiTheme="majorEastAsia" w:eastAsiaTheme="majorEastAsia"/>
          <w:sz w:val="21"/>
          <w:szCs w:val="21"/>
          <w:lang w:val="zh-CN"/>
        </w:rPr>
      </w:pPr>
      <w:r>
        <w:rPr>
          <w:rFonts w:hint="eastAsia" w:asciiTheme="majorEastAsia" w:hAnsiTheme="majorEastAsia" w:eastAsiaTheme="majorEastAsia"/>
          <w:sz w:val="21"/>
          <w:szCs w:val="21"/>
          <w:lang w:val="zh-CN"/>
        </w:rPr>
        <w:t>2</w:t>
      </w:r>
      <w:r>
        <w:rPr>
          <w:rFonts w:hint="eastAsia" w:asciiTheme="majorEastAsia" w:hAnsiTheme="majorEastAsia" w:eastAsiaTheme="majorEastAsia"/>
          <w:sz w:val="21"/>
          <w:szCs w:val="21"/>
        </w:rPr>
        <w:t>8</w:t>
      </w:r>
      <w:r>
        <w:rPr>
          <w:rFonts w:hint="eastAsia" w:asciiTheme="majorEastAsia" w:hAnsiTheme="majorEastAsia" w:eastAsiaTheme="majorEastAsia"/>
          <w:sz w:val="21"/>
          <w:szCs w:val="21"/>
          <w:lang w:val="zh-CN"/>
        </w:rPr>
        <w:t>.保密和披露</w:t>
      </w:r>
    </w:p>
    <w:p>
      <w:pPr>
        <w:pStyle w:val="6"/>
        <w:autoSpaceDN w:val="0"/>
        <w:adjustRightInd w:val="0"/>
        <w:snapToGrid w:val="0"/>
        <w:spacing w:line="360" w:lineRule="auto"/>
        <w:ind w:firstLine="420" w:firstLineChars="0"/>
        <w:rPr>
          <w:rFonts w:asciiTheme="majorEastAsia" w:hAnsiTheme="majorEastAsia" w:eastAsiaTheme="majorEastAsia"/>
          <w:szCs w:val="21"/>
          <w:lang w:val="zh-CN"/>
        </w:rPr>
      </w:pPr>
      <w:r>
        <w:rPr>
          <w:rFonts w:hint="eastAsia" w:asciiTheme="majorEastAsia" w:hAnsiTheme="majorEastAsia" w:eastAsiaTheme="majorEastAsia"/>
          <w:szCs w:val="21"/>
          <w:lang w:val="zh-CN"/>
        </w:rPr>
        <w:t>2</w:t>
      </w:r>
      <w:r>
        <w:rPr>
          <w:rFonts w:hint="eastAsia" w:asciiTheme="majorEastAsia" w:hAnsiTheme="majorEastAsia" w:eastAsiaTheme="majorEastAsia"/>
          <w:szCs w:val="21"/>
        </w:rPr>
        <w:t>8</w:t>
      </w:r>
      <w:r>
        <w:rPr>
          <w:rFonts w:hint="eastAsia" w:asciiTheme="majorEastAsia" w:hAnsiTheme="majorEastAsia" w:eastAsiaTheme="majorEastAsia"/>
          <w:szCs w:val="21"/>
          <w:lang w:val="zh-CN"/>
        </w:rPr>
        <w:t>.1采购代理机构有权将供应商提供的所有资料向其他政府部门或有关的非政府机构负责评审标书的人员或与评标有关的人员披露。</w:t>
      </w:r>
    </w:p>
    <w:p>
      <w:pPr>
        <w:pStyle w:val="6"/>
        <w:autoSpaceDN w:val="0"/>
        <w:adjustRightInd w:val="0"/>
        <w:snapToGrid w:val="0"/>
        <w:spacing w:line="360" w:lineRule="auto"/>
        <w:ind w:firstLine="420" w:firstLineChars="0"/>
        <w:rPr>
          <w:rFonts w:asciiTheme="majorEastAsia" w:hAnsiTheme="majorEastAsia" w:eastAsiaTheme="majorEastAsia"/>
          <w:szCs w:val="21"/>
          <w:lang w:val="zh-CN"/>
        </w:rPr>
      </w:pPr>
      <w:r>
        <w:rPr>
          <w:rFonts w:hint="eastAsia" w:asciiTheme="majorEastAsia" w:hAnsiTheme="majorEastAsia" w:eastAsiaTheme="majorEastAsia"/>
          <w:szCs w:val="21"/>
        </w:rPr>
        <w:t>28</w:t>
      </w:r>
      <w:r>
        <w:rPr>
          <w:rFonts w:hint="eastAsia" w:asciiTheme="majorEastAsia" w:hAnsiTheme="majorEastAsia" w:eastAsiaTheme="majorEastAsia"/>
          <w:szCs w:val="21"/>
          <w:lang w:val="zh-CN"/>
        </w:rPr>
        <w:t>.2在下列情形下：当发布中标公告和其它公告时，当国家机关调查、审查、审计时，以及在其他符合法律规定的情形下，采购代理机构无须事先征求供应商/中标人同意而可以披露关于采购过程、投标文件、合同文本、合同签署情况的资料、供应商/中标人的名称及地址、采购内容的有关信息以及补充条款等，并且对任何已经公布过的内容或与之内容相同的资料无须再承担保密责任。</w:t>
      </w:r>
    </w:p>
    <w:p>
      <w:pPr>
        <w:pStyle w:val="5"/>
        <w:autoSpaceDN w:val="0"/>
        <w:adjustRightInd w:val="0"/>
        <w:snapToGrid w:val="0"/>
        <w:spacing w:before="0" w:after="0" w:line="360" w:lineRule="auto"/>
        <w:rPr>
          <w:rFonts w:asciiTheme="majorEastAsia" w:hAnsiTheme="majorEastAsia" w:eastAsiaTheme="majorEastAsia"/>
          <w:sz w:val="21"/>
          <w:szCs w:val="21"/>
          <w:lang w:val="zh-CN"/>
        </w:rPr>
      </w:pPr>
      <w:r>
        <w:rPr>
          <w:rFonts w:hint="eastAsia" w:asciiTheme="majorEastAsia" w:hAnsiTheme="majorEastAsia" w:eastAsiaTheme="majorEastAsia"/>
          <w:sz w:val="21"/>
          <w:szCs w:val="21"/>
          <w:lang w:val="zh-CN"/>
        </w:rPr>
        <w:t>29、质疑和投诉</w:t>
      </w:r>
    </w:p>
    <w:p>
      <w:pPr>
        <w:autoSpaceDN w:val="0"/>
        <w:adjustRightInd w:val="0"/>
        <w:snapToGrid w:val="0"/>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29.1</w:t>
      </w:r>
      <w:r>
        <w:rPr>
          <w:rFonts w:hint="eastAsia" w:cs="宋体" w:asciiTheme="majorEastAsia" w:hAnsiTheme="majorEastAsia" w:eastAsiaTheme="majorEastAsia"/>
          <w:szCs w:val="21"/>
          <w:lang w:eastAsia="zh-CN"/>
        </w:rPr>
        <w:t>供应商</w:t>
      </w:r>
      <w:r>
        <w:rPr>
          <w:rFonts w:hint="eastAsia" w:cs="宋体" w:asciiTheme="majorEastAsia" w:hAnsiTheme="majorEastAsia" w:eastAsiaTheme="majorEastAsia"/>
          <w:szCs w:val="21"/>
        </w:rPr>
        <w:t>认为招标文件、招标过程和中标结果使自己的合法权益受到损害的，应当在知道或者应知其权益受到损害之日起七个工作日内，向招标方提出质疑。</w:t>
      </w:r>
      <w:r>
        <w:rPr>
          <w:rFonts w:hint="eastAsia" w:cs="宋体" w:asciiTheme="majorEastAsia" w:hAnsiTheme="majorEastAsia" w:eastAsiaTheme="majorEastAsia"/>
          <w:szCs w:val="21"/>
          <w:lang w:eastAsia="zh-CN"/>
        </w:rPr>
        <w:t>供应商</w:t>
      </w:r>
      <w:r>
        <w:rPr>
          <w:rFonts w:hint="eastAsia" w:cs="宋体" w:asciiTheme="majorEastAsia" w:hAnsiTheme="majorEastAsia" w:eastAsiaTheme="majorEastAsia"/>
          <w:szCs w:val="21"/>
        </w:rPr>
        <w:t>对</w:t>
      </w:r>
      <w:r>
        <w:rPr>
          <w:rFonts w:hint="eastAsia" w:cs="宋体" w:asciiTheme="majorEastAsia" w:hAnsiTheme="majorEastAsia" w:eastAsiaTheme="majorEastAsia"/>
          <w:szCs w:val="21"/>
          <w:lang w:eastAsia="zh-CN"/>
        </w:rPr>
        <w:t>采购代理机构</w:t>
      </w:r>
      <w:r>
        <w:rPr>
          <w:rFonts w:hint="eastAsia" w:cs="宋体" w:asciiTheme="majorEastAsia" w:hAnsiTheme="majorEastAsia" w:eastAsiaTheme="majorEastAsia"/>
          <w:szCs w:val="21"/>
        </w:rPr>
        <w:t>的质疑答复不满意或者</w:t>
      </w:r>
      <w:r>
        <w:rPr>
          <w:rFonts w:hint="eastAsia" w:cs="宋体" w:asciiTheme="majorEastAsia" w:hAnsiTheme="majorEastAsia" w:eastAsiaTheme="majorEastAsia"/>
          <w:szCs w:val="21"/>
          <w:lang w:eastAsia="zh-CN"/>
        </w:rPr>
        <w:t>采购代理机构</w:t>
      </w:r>
      <w:r>
        <w:rPr>
          <w:rFonts w:hint="eastAsia" w:cs="宋体" w:asciiTheme="majorEastAsia" w:hAnsiTheme="majorEastAsia" w:eastAsiaTheme="majorEastAsia"/>
          <w:szCs w:val="21"/>
        </w:rPr>
        <w:t>未在规定时间内作出答复的，可以在答复期满后十五个工作日内向同级采购监管部门投诉。</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29.2质疑书、投诉书均应明确阐述招标文件、招标过程和中标结果中使自己合法权益受到损害的实质性内容，提供相关事实、依据和证据及其来源或线索，便于有关单位调查、答复和处理。</w:t>
      </w:r>
    </w:p>
    <w:p>
      <w:pPr>
        <w:rPr>
          <w:rFonts w:asciiTheme="majorEastAsia" w:hAnsiTheme="majorEastAsia" w:eastAsiaTheme="majorEastAsia"/>
        </w:rPr>
      </w:pPr>
      <w:bookmarkStart w:id="73" w:name="_Toc48760973"/>
      <w:bookmarkStart w:id="74" w:name="_Toc22071"/>
      <w:r>
        <w:rPr>
          <w:rFonts w:hint="eastAsia" w:asciiTheme="majorEastAsia" w:hAnsiTheme="majorEastAsia" w:eastAsiaTheme="majorEastAsia"/>
        </w:rPr>
        <w:br w:type="page"/>
      </w:r>
    </w:p>
    <w:p>
      <w:pPr>
        <w:pStyle w:val="2"/>
        <w:autoSpaceDN w:val="0"/>
        <w:adjustRightInd w:val="0"/>
        <w:snapToGrid w:val="0"/>
        <w:spacing w:before="0" w:after="0" w:line="360" w:lineRule="auto"/>
        <w:jc w:val="center"/>
        <w:rPr>
          <w:rFonts w:asciiTheme="majorEastAsia" w:hAnsiTheme="majorEastAsia" w:eastAsiaTheme="majorEastAsia"/>
        </w:rPr>
      </w:pPr>
      <w:r>
        <w:rPr>
          <w:rFonts w:hint="eastAsia" w:asciiTheme="majorEastAsia" w:hAnsiTheme="majorEastAsia" w:eastAsiaTheme="majorEastAsia"/>
        </w:rPr>
        <w:t>第三部分</w:t>
      </w:r>
      <w:r>
        <w:rPr>
          <w:rFonts w:asciiTheme="majorEastAsia" w:hAnsiTheme="majorEastAsia" w:eastAsiaTheme="majorEastAsia"/>
        </w:rPr>
        <w:t xml:space="preserve">  </w:t>
      </w:r>
      <w:r>
        <w:rPr>
          <w:rFonts w:hint="eastAsia" w:asciiTheme="majorEastAsia" w:hAnsiTheme="majorEastAsia" w:eastAsiaTheme="majorEastAsia"/>
        </w:rPr>
        <w:t>评标办法</w:t>
      </w:r>
      <w:bookmarkEnd w:id="73"/>
      <w:bookmarkEnd w:id="74"/>
    </w:p>
    <w:p>
      <w:pPr>
        <w:autoSpaceDN w:val="0"/>
        <w:adjustRightInd w:val="0"/>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（本项目采用</w:t>
      </w:r>
      <w:bookmarkStart w:id="75" w:name="blank29_copy_1619578115000"/>
      <w:r>
        <w:rPr>
          <w:rFonts w:hint="eastAsia" w:asciiTheme="majorEastAsia" w:hAnsiTheme="majorEastAsia" w:eastAsiaTheme="majorEastAsia"/>
          <w:kern w:val="0"/>
          <w:szCs w:val="21"/>
        </w:rPr>
        <w:t>综合评分法</w:t>
      </w:r>
      <w:bookmarkEnd w:id="75"/>
      <w:r>
        <w:rPr>
          <w:rFonts w:hint="eastAsia" w:asciiTheme="majorEastAsia" w:hAnsiTheme="majorEastAsia" w:eastAsiaTheme="majorEastAsia"/>
          <w:szCs w:val="21"/>
        </w:rPr>
        <w:t>）</w:t>
      </w:r>
    </w:p>
    <w:p>
      <w:pPr>
        <w:autoSpaceDN w:val="0"/>
        <w:adjustRightInd w:val="0"/>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评标办法</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按照国家相关部门的规定，遵循公开、公平、公正和诚实信用的原则，结合本招标项目的实际情况，制定本招标项目评标办法。</w:t>
      </w:r>
    </w:p>
    <w:p>
      <w:pPr>
        <w:autoSpaceDN w:val="0"/>
        <w:adjustRightInd w:val="0"/>
        <w:snapToGrid w:val="0"/>
        <w:spacing w:before="156" w:after="156" w:line="360" w:lineRule="auto"/>
        <w:jc w:val="center"/>
        <w:outlineLvl w:val="1"/>
        <w:rPr>
          <w:rFonts w:asciiTheme="majorEastAsia" w:hAnsiTheme="majorEastAsia" w:eastAsiaTheme="majorEastAsia"/>
          <w:b/>
          <w:bCs/>
          <w:szCs w:val="21"/>
        </w:rPr>
      </w:pPr>
      <w:r>
        <w:rPr>
          <w:rFonts w:hint="eastAsia" w:asciiTheme="majorEastAsia" w:hAnsiTheme="majorEastAsia" w:eastAsiaTheme="majorEastAsia"/>
          <w:b/>
          <w:bCs/>
          <w:szCs w:val="21"/>
        </w:rPr>
        <w:t>一、评 标 程 序</w:t>
      </w:r>
    </w:p>
    <w:p>
      <w:pPr>
        <w:autoSpaceDN w:val="0"/>
        <w:adjustRightInd w:val="0"/>
        <w:snapToGrid w:val="0"/>
        <w:spacing w:before="156" w:after="156" w:line="360" w:lineRule="auto"/>
        <w:ind w:firstLine="422" w:firstLineChars="200"/>
        <w:rPr>
          <w:rFonts w:asciiTheme="majorEastAsia" w:hAnsiTheme="majorEastAsia" w:eastAsiaTheme="majorEastAsia"/>
          <w:b/>
          <w:bCs/>
          <w:szCs w:val="21"/>
        </w:rPr>
      </w:pPr>
      <w:r>
        <w:rPr>
          <w:rFonts w:hint="eastAsia" w:asciiTheme="majorEastAsia" w:hAnsiTheme="majorEastAsia" w:eastAsiaTheme="majorEastAsia"/>
          <w:b/>
          <w:bCs/>
          <w:szCs w:val="21"/>
        </w:rPr>
        <w:t>（一）组成评标委员会</w:t>
      </w:r>
    </w:p>
    <w:p>
      <w:pPr>
        <w:autoSpaceDN w:val="0"/>
        <w:adjustRightInd w:val="0"/>
        <w:snapToGrid w:val="0"/>
        <w:spacing w:before="156" w:after="156" w:line="360" w:lineRule="auto"/>
        <w:ind w:firstLine="420" w:firstLineChars="200"/>
        <w:rPr>
          <w:rFonts w:asciiTheme="majorEastAsia" w:hAnsiTheme="majorEastAsia" w:eastAsiaTheme="majorEastAsia"/>
          <w:bCs/>
          <w:szCs w:val="21"/>
        </w:rPr>
      </w:pPr>
      <w:r>
        <w:rPr>
          <w:rFonts w:hint="eastAsia" w:asciiTheme="majorEastAsia" w:hAnsiTheme="majorEastAsia" w:eastAsiaTheme="majorEastAsia"/>
          <w:bCs/>
          <w:szCs w:val="21"/>
        </w:rPr>
        <w:t>按照国家有关部委的相关规定，本项目由技术、经济等方面的专家组成评标委员会（以下简称“评委会”）。评标委员会共有5人组成，其中采购人代表0人，经济、技术专家5人。</w:t>
      </w:r>
    </w:p>
    <w:p>
      <w:pPr>
        <w:keepNext/>
        <w:keepLines/>
        <w:autoSpaceDN w:val="0"/>
        <w:adjustRightInd w:val="0"/>
        <w:snapToGrid w:val="0"/>
        <w:spacing w:before="156" w:after="156" w:line="360" w:lineRule="auto"/>
        <w:ind w:firstLine="422" w:firstLineChars="200"/>
        <w:rPr>
          <w:rFonts w:asciiTheme="majorEastAsia" w:hAnsiTheme="majorEastAsia" w:eastAsiaTheme="majorEastAsia"/>
          <w:b/>
          <w:bCs/>
          <w:szCs w:val="21"/>
        </w:rPr>
      </w:pPr>
      <w:r>
        <w:rPr>
          <w:rFonts w:hint="eastAsia" w:asciiTheme="majorEastAsia" w:hAnsiTheme="majorEastAsia" w:eastAsiaTheme="majorEastAsia"/>
          <w:b/>
          <w:bCs/>
          <w:szCs w:val="21"/>
        </w:rPr>
        <w:t>（二）评标工作</w:t>
      </w:r>
    </w:p>
    <w:p>
      <w:pPr>
        <w:autoSpaceDN w:val="0"/>
        <w:adjustRightInd w:val="0"/>
        <w:snapToGrid w:val="0"/>
        <w:spacing w:before="156" w:after="156" w:line="360" w:lineRule="auto"/>
        <w:ind w:firstLine="420" w:firstLineChars="200"/>
        <w:rPr>
          <w:rFonts w:asciiTheme="majorEastAsia" w:hAnsiTheme="majorEastAsia" w:eastAsiaTheme="majorEastAsia"/>
          <w:bCs/>
          <w:szCs w:val="21"/>
          <w:highlight w:val="none"/>
        </w:rPr>
      </w:pPr>
      <w:r>
        <w:rPr>
          <w:rFonts w:hint="eastAsia" w:asciiTheme="majorEastAsia" w:hAnsiTheme="majorEastAsia" w:eastAsiaTheme="majorEastAsia"/>
          <w:bCs/>
          <w:szCs w:val="21"/>
        </w:rPr>
        <w:t>评标本着客观公正、公平竞争、择优推荐、规范合法的原则进行。评标工作分为</w:t>
      </w:r>
      <w:r>
        <w:rPr>
          <w:rFonts w:hint="eastAsia" w:asciiTheme="majorEastAsia" w:hAnsiTheme="majorEastAsia" w:eastAsiaTheme="majorEastAsia"/>
          <w:bCs/>
          <w:szCs w:val="21"/>
          <w:highlight w:val="none"/>
        </w:rPr>
        <w:t>资格审查、</w:t>
      </w:r>
      <w:r>
        <w:rPr>
          <w:rFonts w:hint="eastAsia" w:asciiTheme="majorEastAsia" w:hAnsiTheme="majorEastAsia" w:eastAsiaTheme="majorEastAsia"/>
          <w:bCs/>
          <w:szCs w:val="21"/>
          <w:highlight w:val="none"/>
          <w:lang w:val="en-US" w:eastAsia="zh-CN"/>
        </w:rPr>
        <w:t>符合性审查</w:t>
      </w:r>
      <w:r>
        <w:rPr>
          <w:rFonts w:hint="eastAsia" w:asciiTheme="majorEastAsia" w:hAnsiTheme="majorEastAsia" w:eastAsiaTheme="majorEastAsia"/>
          <w:bCs/>
          <w:szCs w:val="21"/>
          <w:highlight w:val="none"/>
        </w:rPr>
        <w:t>和详细评审三个步骤。</w:t>
      </w:r>
    </w:p>
    <w:p>
      <w:pPr>
        <w:autoSpaceDN w:val="0"/>
        <w:adjustRightInd w:val="0"/>
        <w:snapToGrid w:val="0"/>
        <w:spacing w:before="156" w:after="156" w:line="360" w:lineRule="auto"/>
        <w:ind w:firstLine="420" w:firstLineChars="200"/>
        <w:rPr>
          <w:rFonts w:asciiTheme="majorEastAsia" w:hAnsiTheme="majorEastAsia" w:eastAsiaTheme="majorEastAsia"/>
          <w:bCs/>
          <w:szCs w:val="21"/>
          <w:highlight w:val="none"/>
        </w:rPr>
      </w:pPr>
      <w:r>
        <w:rPr>
          <w:rFonts w:hint="eastAsia" w:asciiTheme="majorEastAsia" w:hAnsiTheme="majorEastAsia" w:eastAsiaTheme="majorEastAsia"/>
          <w:bCs/>
          <w:szCs w:val="21"/>
          <w:highlight w:val="none"/>
        </w:rPr>
        <w:t>1.资格审查。采购人或代理机构对各供应商的资格（包括资格审查表中信用查询部分）进行审查。资格审查合格的供应商方可进入符合性审查。</w:t>
      </w:r>
    </w:p>
    <w:p>
      <w:pPr>
        <w:autoSpaceDN w:val="0"/>
        <w:adjustRightInd w:val="0"/>
        <w:snapToGrid w:val="0"/>
        <w:spacing w:before="156" w:after="156" w:line="360" w:lineRule="auto"/>
        <w:ind w:firstLine="420" w:firstLineChars="200"/>
        <w:rPr>
          <w:rFonts w:asciiTheme="majorEastAsia" w:hAnsiTheme="majorEastAsia" w:eastAsiaTheme="majorEastAsia"/>
          <w:bCs/>
          <w:szCs w:val="21"/>
          <w:highlight w:val="none"/>
        </w:rPr>
      </w:pPr>
      <w:r>
        <w:rPr>
          <w:rFonts w:hint="eastAsia" w:asciiTheme="majorEastAsia" w:hAnsiTheme="majorEastAsia" w:eastAsiaTheme="majorEastAsia"/>
          <w:bCs/>
          <w:szCs w:val="21"/>
          <w:highlight w:val="none"/>
        </w:rPr>
        <w:t>2.符合性审查。评委会对供应商的投标文件进行符合性鉴定。符合性审查合格的供应商方可进入详细评审。</w:t>
      </w:r>
    </w:p>
    <w:p>
      <w:pPr>
        <w:autoSpaceDN w:val="0"/>
        <w:adjustRightInd w:val="0"/>
        <w:snapToGrid w:val="0"/>
        <w:spacing w:before="156" w:after="156" w:line="360" w:lineRule="auto"/>
        <w:ind w:firstLine="420" w:firstLineChars="200"/>
        <w:rPr>
          <w:rFonts w:asciiTheme="majorEastAsia" w:hAnsiTheme="majorEastAsia" w:eastAsiaTheme="majorEastAsia"/>
          <w:bCs/>
          <w:szCs w:val="21"/>
        </w:rPr>
      </w:pPr>
      <w:r>
        <w:rPr>
          <w:rFonts w:hint="eastAsia" w:asciiTheme="majorEastAsia" w:hAnsiTheme="majorEastAsia" w:eastAsiaTheme="majorEastAsia"/>
          <w:bCs/>
          <w:szCs w:val="21"/>
        </w:rPr>
        <w:t>3</w:t>
      </w:r>
      <w:r>
        <w:rPr>
          <w:rFonts w:hint="eastAsia" w:asciiTheme="majorEastAsia" w:hAnsiTheme="majorEastAsia" w:eastAsiaTheme="majorEastAsia"/>
          <w:bCs/>
          <w:szCs w:val="21"/>
          <w:highlight w:val="none"/>
        </w:rPr>
        <w:t>.详细评审。</w:t>
      </w:r>
      <w:r>
        <w:rPr>
          <w:rFonts w:hint="eastAsia" w:asciiTheme="majorEastAsia" w:hAnsiTheme="majorEastAsia" w:eastAsiaTheme="majorEastAsia"/>
          <w:bCs/>
          <w:szCs w:val="21"/>
        </w:rPr>
        <w:t>详细评审采用综合评分法。评委依据评标办法分别对各供应商的投标文件进行评审、赋分。</w:t>
      </w:r>
    </w:p>
    <w:p>
      <w:pPr>
        <w:autoSpaceDN w:val="0"/>
        <w:adjustRightInd w:val="0"/>
        <w:snapToGrid w:val="0"/>
        <w:spacing w:before="156" w:after="156" w:line="360" w:lineRule="auto"/>
        <w:ind w:firstLine="422" w:firstLineChars="200"/>
        <w:rPr>
          <w:rFonts w:asciiTheme="majorEastAsia" w:hAnsiTheme="majorEastAsia" w:eastAsiaTheme="majorEastAsia"/>
          <w:b/>
          <w:bCs/>
          <w:szCs w:val="21"/>
        </w:rPr>
      </w:pPr>
      <w:r>
        <w:rPr>
          <w:rFonts w:hint="eastAsia" w:asciiTheme="majorEastAsia" w:hAnsiTheme="majorEastAsia" w:eastAsiaTheme="majorEastAsia"/>
          <w:b/>
          <w:bCs/>
          <w:szCs w:val="21"/>
        </w:rPr>
        <w:t>（三）询标（必要时）</w:t>
      </w:r>
    </w:p>
    <w:p>
      <w:pPr>
        <w:autoSpaceDN w:val="0"/>
        <w:adjustRightInd w:val="0"/>
        <w:snapToGrid w:val="0"/>
        <w:spacing w:before="156" w:after="156" w:line="360" w:lineRule="auto"/>
        <w:ind w:firstLine="420" w:firstLineChars="200"/>
        <w:rPr>
          <w:rFonts w:asciiTheme="majorEastAsia" w:hAnsiTheme="majorEastAsia" w:eastAsiaTheme="majorEastAsia"/>
          <w:bCs/>
          <w:szCs w:val="21"/>
        </w:rPr>
      </w:pPr>
      <w:r>
        <w:rPr>
          <w:rFonts w:hint="eastAsia" w:asciiTheme="majorEastAsia" w:hAnsiTheme="majorEastAsia" w:eastAsiaTheme="majorEastAsia"/>
          <w:bCs/>
          <w:szCs w:val="21"/>
        </w:rPr>
        <w:t>评标委员会对投标文件需要澄清的问题，采用集体询标方式进行。</w:t>
      </w:r>
    </w:p>
    <w:p>
      <w:pPr>
        <w:autoSpaceDN w:val="0"/>
        <w:adjustRightInd w:val="0"/>
        <w:snapToGrid w:val="0"/>
        <w:spacing w:before="156" w:after="156" w:line="360" w:lineRule="auto"/>
        <w:ind w:firstLine="422" w:firstLineChars="200"/>
        <w:rPr>
          <w:rFonts w:asciiTheme="majorEastAsia" w:hAnsiTheme="majorEastAsia" w:eastAsiaTheme="majorEastAsia"/>
          <w:b/>
          <w:bCs/>
          <w:szCs w:val="21"/>
        </w:rPr>
      </w:pPr>
      <w:r>
        <w:rPr>
          <w:rFonts w:hint="eastAsia" w:asciiTheme="majorEastAsia" w:hAnsiTheme="majorEastAsia" w:eastAsiaTheme="majorEastAsia"/>
          <w:b/>
          <w:bCs/>
          <w:szCs w:val="21"/>
        </w:rPr>
        <w:t>（四）确定中标候选人</w:t>
      </w:r>
    </w:p>
    <w:p>
      <w:pPr>
        <w:autoSpaceDN w:val="0"/>
        <w:adjustRightInd w:val="0"/>
        <w:snapToGrid w:val="0"/>
        <w:spacing w:before="156" w:after="156" w:line="360" w:lineRule="auto"/>
        <w:ind w:firstLine="420" w:firstLineChars="200"/>
        <w:rPr>
          <w:rFonts w:asciiTheme="majorEastAsia" w:hAnsiTheme="majorEastAsia" w:eastAsiaTheme="majorEastAsia"/>
          <w:bCs/>
          <w:szCs w:val="21"/>
        </w:rPr>
      </w:pPr>
      <w:r>
        <w:rPr>
          <w:rFonts w:hint="eastAsia" w:asciiTheme="majorEastAsia" w:hAnsiTheme="majorEastAsia" w:eastAsiaTheme="majorEastAsia"/>
          <w:bCs/>
          <w:szCs w:val="21"/>
        </w:rPr>
        <w:t>按最终综合得分由高到低的顺序推荐中标候选人3家，并确定中标人。</w:t>
      </w:r>
    </w:p>
    <w:p>
      <w:pPr>
        <w:autoSpaceDN w:val="0"/>
        <w:adjustRightInd w:val="0"/>
        <w:snapToGrid w:val="0"/>
        <w:spacing w:before="156" w:after="156" w:line="360" w:lineRule="auto"/>
        <w:ind w:firstLine="422" w:firstLineChars="200"/>
        <w:rPr>
          <w:rFonts w:asciiTheme="majorEastAsia" w:hAnsiTheme="majorEastAsia" w:eastAsiaTheme="majorEastAsia"/>
          <w:b/>
          <w:bCs/>
          <w:szCs w:val="21"/>
        </w:rPr>
      </w:pPr>
      <w:r>
        <w:rPr>
          <w:rFonts w:hint="eastAsia" w:asciiTheme="majorEastAsia" w:hAnsiTheme="majorEastAsia" w:eastAsiaTheme="majorEastAsia"/>
          <w:b/>
          <w:bCs/>
          <w:szCs w:val="21"/>
        </w:rPr>
        <w:t>（五）评标报告</w:t>
      </w:r>
    </w:p>
    <w:p>
      <w:pPr>
        <w:autoSpaceDN w:val="0"/>
        <w:adjustRightInd w:val="0"/>
        <w:snapToGrid w:val="0"/>
        <w:spacing w:before="156" w:after="156" w:line="360" w:lineRule="auto"/>
        <w:ind w:firstLine="420" w:firstLineChars="200"/>
        <w:rPr>
          <w:rFonts w:asciiTheme="majorEastAsia" w:hAnsiTheme="majorEastAsia" w:eastAsiaTheme="majorEastAsia"/>
          <w:bCs/>
          <w:szCs w:val="21"/>
        </w:rPr>
      </w:pPr>
      <w:r>
        <w:rPr>
          <w:rFonts w:hint="eastAsia" w:asciiTheme="majorEastAsia" w:hAnsiTheme="majorEastAsia" w:eastAsiaTheme="majorEastAsia"/>
          <w:bCs/>
          <w:szCs w:val="21"/>
        </w:rPr>
        <w:t>评标工作结束时，评委会将本项目综合评审结果向采购人提交书面“评标报告”，各评委对评标报告内容讨论通过后，在“评标报告”上签字，对评标结果予以确认。</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br w:type="page"/>
      </w:r>
    </w:p>
    <w:p>
      <w:pPr>
        <w:autoSpaceDN w:val="0"/>
        <w:adjustRightInd w:val="0"/>
        <w:snapToGrid w:val="0"/>
        <w:spacing w:before="156" w:after="156" w:line="360" w:lineRule="auto"/>
        <w:jc w:val="center"/>
        <w:outlineLvl w:val="1"/>
        <w:rPr>
          <w:rFonts w:asciiTheme="majorEastAsia" w:hAnsiTheme="majorEastAsia" w:eastAsiaTheme="majorEastAsia"/>
          <w:b/>
          <w:bCs/>
          <w:szCs w:val="21"/>
        </w:rPr>
      </w:pPr>
      <w:r>
        <w:rPr>
          <w:rFonts w:hint="eastAsia" w:asciiTheme="majorEastAsia" w:hAnsiTheme="majorEastAsia" w:eastAsiaTheme="majorEastAsia"/>
          <w:b/>
          <w:bCs/>
          <w:szCs w:val="21"/>
        </w:rPr>
        <w:t>二、评 标 办 法</w:t>
      </w:r>
    </w:p>
    <w:p>
      <w:pPr>
        <w:autoSpaceDN w:val="0"/>
        <w:adjustRightInd w:val="0"/>
        <w:snapToGrid w:val="0"/>
        <w:spacing w:line="360" w:lineRule="auto"/>
        <w:rPr>
          <w:rFonts w:asciiTheme="majorEastAsia" w:hAnsiTheme="majorEastAsia" w:eastAsiaTheme="majorEastAsia"/>
          <w:b/>
          <w:bCs/>
          <w:sz w:val="24"/>
        </w:rPr>
      </w:pPr>
      <w:r>
        <w:rPr>
          <w:rFonts w:hint="eastAsia" w:asciiTheme="majorEastAsia" w:hAnsiTheme="majorEastAsia" w:eastAsiaTheme="majorEastAsia"/>
          <w:b/>
          <w:bCs/>
          <w:sz w:val="24"/>
        </w:rPr>
        <w:t>（一）资格审查</w:t>
      </w:r>
    </w:p>
    <w:tbl>
      <w:tblPr>
        <w:tblStyle w:val="22"/>
        <w:tblW w:w="862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77"/>
        <w:gridCol w:w="1851"/>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3" w:hRule="atLeast"/>
          <w:tblHeader/>
          <w:jc w:val="center"/>
        </w:trPr>
        <w:tc>
          <w:tcPr>
            <w:tcW w:w="1477" w:type="dxa"/>
            <w:tcBorders>
              <w:top w:val="single" w:color="auto" w:sz="4" w:space="0"/>
              <w:bottom w:val="single" w:color="auto" w:sz="4" w:space="0"/>
              <w:right w:val="single" w:color="auto" w:sz="4" w:space="0"/>
            </w:tcBorders>
            <w:vAlign w:val="center"/>
          </w:tcPr>
          <w:p>
            <w:pPr>
              <w:spacing w:line="300" w:lineRule="auto"/>
              <w:jc w:val="center"/>
              <w:rPr>
                <w:rFonts w:ascii="宋体" w:hAnsi="宋体"/>
                <w:b/>
                <w:szCs w:val="21"/>
              </w:rPr>
            </w:pPr>
            <w:r>
              <w:rPr>
                <w:rFonts w:ascii="宋体" w:hAnsi="宋体"/>
                <w:b/>
                <w:szCs w:val="21"/>
              </w:rPr>
              <w:t>条款号</w:t>
            </w:r>
          </w:p>
        </w:tc>
        <w:tc>
          <w:tcPr>
            <w:tcW w:w="185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szCs w:val="21"/>
              </w:rPr>
            </w:pPr>
            <w:r>
              <w:rPr>
                <w:rFonts w:ascii="宋体" w:hAnsi="宋体"/>
                <w:b/>
                <w:szCs w:val="21"/>
              </w:rPr>
              <w:t>评审因素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szCs w:val="21"/>
              </w:rPr>
            </w:pPr>
            <w:r>
              <w:rPr>
                <w:rFonts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1" w:hRule="atLeast"/>
          <w:jc w:val="center"/>
        </w:trPr>
        <w:tc>
          <w:tcPr>
            <w:tcW w:w="1477" w:type="dxa"/>
            <w:vMerge w:val="restart"/>
            <w:tcBorders>
              <w:top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资格评审标准</w:t>
            </w:r>
          </w:p>
        </w:tc>
        <w:tc>
          <w:tcPr>
            <w:tcW w:w="185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营业执照</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hint="eastAsia" w:ascii="宋体" w:hAnsi="宋体"/>
              </w:rPr>
              <w:t>具备有效的营业执照。</w:t>
            </w:r>
            <w:r>
              <w:rPr>
                <w:rFonts w:hint="eastAsia" w:ascii="宋体" w:hAnsi="宋体"/>
                <w:szCs w:val="21"/>
              </w:rPr>
              <w:t>标书内附营业执照（副本）复印件并加盖公章。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1" w:hRule="atLeast"/>
          <w:jc w:val="center"/>
        </w:trPr>
        <w:tc>
          <w:tcPr>
            <w:tcW w:w="1477" w:type="dxa"/>
            <w:vMerge w:val="continue"/>
            <w:tcBorders>
              <w:right w:val="single" w:color="auto" w:sz="4" w:space="0"/>
            </w:tcBorders>
            <w:vAlign w:val="center"/>
          </w:tcPr>
          <w:p>
            <w:pPr>
              <w:spacing w:line="300" w:lineRule="auto"/>
              <w:jc w:val="center"/>
              <w:rPr>
                <w:rFonts w:ascii="宋体" w:hAnsi="宋体"/>
                <w:szCs w:val="21"/>
              </w:rPr>
            </w:pPr>
          </w:p>
        </w:tc>
        <w:tc>
          <w:tcPr>
            <w:tcW w:w="185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default" w:ascii="宋体" w:hAnsi="宋体" w:eastAsia="宋体"/>
                <w:szCs w:val="21"/>
                <w:lang w:val="en-US" w:eastAsia="zh-CN"/>
              </w:rPr>
            </w:pPr>
            <w:r>
              <w:rPr>
                <w:rFonts w:hint="eastAsia" w:ascii="宋体" w:hAnsi="宋体"/>
                <w:szCs w:val="21"/>
                <w:lang w:val="en-US" w:eastAsia="zh-CN"/>
              </w:rPr>
              <w:t>资质证书</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rPr>
            </w:pPr>
            <w:r>
              <w:rPr>
                <w:rFonts w:hint="eastAsia" w:ascii="宋体" w:hAnsi="宋体"/>
              </w:rPr>
              <w:t>具备公安机关核发的有效的《保安服务许可证》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right w:val="single" w:color="auto" w:sz="4" w:space="0"/>
            </w:tcBorders>
            <w:vAlign w:val="center"/>
          </w:tcPr>
          <w:p>
            <w:pPr>
              <w:spacing w:line="300" w:lineRule="auto"/>
              <w:jc w:val="center"/>
              <w:rPr>
                <w:rFonts w:ascii="宋体" w:hAnsi="宋体"/>
                <w:szCs w:val="21"/>
              </w:rPr>
            </w:pPr>
          </w:p>
        </w:tc>
        <w:tc>
          <w:tcPr>
            <w:tcW w:w="185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zCs w:val="21"/>
              </w:rPr>
            </w:pPr>
            <w:r>
              <w:rPr>
                <w:rFonts w:hint="eastAsia" w:ascii="宋体" w:hAnsi="宋体" w:cs="宋体"/>
                <w:szCs w:val="21"/>
              </w:rPr>
              <w:t>财务要求</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szCs w:val="21"/>
              </w:rPr>
            </w:pPr>
            <w:r>
              <w:rPr>
                <w:rFonts w:hint="eastAsia" w:ascii="宋体" w:hAnsi="宋体" w:cs="宋体"/>
                <w:szCs w:val="21"/>
              </w:rPr>
              <w:t>具有良好的商业信誉和健全的财务会计制度，提供</w:t>
            </w:r>
            <w:r>
              <w:rPr>
                <w:rFonts w:hint="eastAsia" w:ascii="宋体" w:hAnsi="宋体" w:cs="宋体"/>
                <w:szCs w:val="21"/>
                <w:lang w:val="zh-CN"/>
              </w:rPr>
              <w:t>20</w:t>
            </w:r>
            <w:r>
              <w:rPr>
                <w:rFonts w:hint="eastAsia" w:ascii="宋体" w:hAnsi="宋体" w:cs="宋体"/>
                <w:szCs w:val="21"/>
              </w:rPr>
              <w:t>22</w:t>
            </w:r>
            <w:r>
              <w:rPr>
                <w:rFonts w:hint="eastAsia" w:ascii="宋体" w:hAnsi="宋体" w:cs="宋体"/>
                <w:szCs w:val="21"/>
                <w:lang w:val="zh-CN"/>
              </w:rPr>
              <w:t>年经审计的财务审计报告（若为20</w:t>
            </w:r>
            <w:r>
              <w:rPr>
                <w:rFonts w:hint="eastAsia" w:ascii="宋体" w:hAnsi="宋体" w:cs="宋体"/>
                <w:szCs w:val="21"/>
              </w:rPr>
              <w:t>23</w:t>
            </w:r>
            <w:r>
              <w:rPr>
                <w:rFonts w:hint="eastAsia" w:ascii="宋体" w:hAnsi="宋体" w:cs="宋体"/>
                <w:szCs w:val="21"/>
                <w:lang w:val="zh-CN"/>
              </w:rPr>
              <w:t>年成立公司可提供自成立之日起至今的财务报表）</w:t>
            </w:r>
            <w:r>
              <w:rPr>
                <w:rFonts w:hint="eastAsia" w:ascii="宋体" w:hAnsi="宋体" w:cs="宋体"/>
                <w:szCs w:val="21"/>
              </w:rPr>
              <w:t>或近三个月内基本银行账户开具的资信证明，标书中附复印件并加盖公章或提供资格条件承诺函。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right w:val="single" w:color="auto" w:sz="4" w:space="0"/>
            </w:tcBorders>
            <w:vAlign w:val="center"/>
          </w:tcPr>
          <w:p>
            <w:pPr>
              <w:spacing w:line="300" w:lineRule="auto"/>
              <w:jc w:val="center"/>
              <w:rPr>
                <w:rFonts w:ascii="宋体" w:hAnsi="宋体"/>
                <w:szCs w:val="21"/>
              </w:rPr>
            </w:pPr>
          </w:p>
        </w:tc>
        <w:tc>
          <w:tcPr>
            <w:tcW w:w="1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缴纳税收证明</w:t>
            </w:r>
          </w:p>
        </w:tc>
        <w:tc>
          <w:tcPr>
            <w:tcW w:w="529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提供</w:t>
            </w:r>
            <w:r>
              <w:rPr>
                <w:rFonts w:hint="eastAsia" w:ascii="宋体" w:hAnsi="宋体" w:cs="宋体"/>
                <w:szCs w:val="21"/>
              </w:rPr>
              <w:t>近六个月任意一个月</w:t>
            </w:r>
            <w:r>
              <w:rPr>
                <w:rFonts w:hint="eastAsia" w:ascii="宋体" w:hAnsi="宋体" w:cs="宋体"/>
              </w:rPr>
              <w:t>依法纳税的凭证</w:t>
            </w:r>
            <w:r>
              <w:rPr>
                <w:rFonts w:hint="eastAsia" w:ascii="宋体" w:hAnsi="宋体" w:cs="宋体"/>
                <w:szCs w:val="21"/>
              </w:rPr>
              <w:t>或免缴纳证明</w:t>
            </w:r>
            <w:r>
              <w:rPr>
                <w:rFonts w:hint="eastAsia" w:ascii="宋体" w:hAnsi="宋体" w:cs="宋体"/>
              </w:rPr>
              <w:t>。（投标文件中附复印件加盖公章</w:t>
            </w:r>
            <w:r>
              <w:rPr>
                <w:rFonts w:hint="eastAsia" w:ascii="宋体" w:hAnsi="宋体" w:cs="宋体"/>
                <w:szCs w:val="21"/>
              </w:rPr>
              <w:t>或提供资格条件承诺函</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right w:val="single" w:color="auto" w:sz="4" w:space="0"/>
            </w:tcBorders>
            <w:vAlign w:val="center"/>
          </w:tcPr>
          <w:p>
            <w:pPr>
              <w:spacing w:line="300" w:lineRule="auto"/>
              <w:jc w:val="center"/>
              <w:rPr>
                <w:rFonts w:ascii="宋体" w:hAnsi="宋体"/>
                <w:szCs w:val="21"/>
              </w:rPr>
            </w:pPr>
          </w:p>
        </w:tc>
        <w:tc>
          <w:tcPr>
            <w:tcW w:w="1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社会保障资金的良好记录</w:t>
            </w: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提供近六个月任意一个月社会保障资金缴纳记录（专用收据或社会保险缴纳清单）或免缴纳证明</w:t>
            </w:r>
            <w:r>
              <w:rPr>
                <w:rFonts w:hint="eastAsia" w:ascii="宋体" w:hAnsi="宋体" w:cs="宋体"/>
              </w:rPr>
              <w:t>（投标文件中附复印件加盖公章</w:t>
            </w:r>
            <w:r>
              <w:rPr>
                <w:rFonts w:hint="eastAsia" w:ascii="宋体" w:hAnsi="宋体" w:cs="宋体"/>
                <w:szCs w:val="21"/>
              </w:rPr>
              <w:t>或提供资格条件承诺函</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right w:val="single" w:color="auto" w:sz="4" w:space="0"/>
            </w:tcBorders>
            <w:vAlign w:val="center"/>
          </w:tcPr>
          <w:p>
            <w:pPr>
              <w:spacing w:line="300" w:lineRule="auto"/>
              <w:jc w:val="center"/>
              <w:rPr>
                <w:rFonts w:ascii="宋体" w:hAnsi="宋体"/>
                <w:szCs w:val="21"/>
              </w:rPr>
            </w:pPr>
          </w:p>
        </w:tc>
        <w:tc>
          <w:tcPr>
            <w:tcW w:w="185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cs="宋体"/>
                <w:szCs w:val="21"/>
              </w:rPr>
            </w:pPr>
            <w:r>
              <w:rPr>
                <w:rFonts w:hint="eastAsia" w:ascii="宋体" w:hAnsi="宋体"/>
                <w:szCs w:val="21"/>
                <w:lang w:val="zh-CN"/>
              </w:rPr>
              <w:t>中小企业声明函</w:t>
            </w: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cs="宋体"/>
                <w:szCs w:val="21"/>
              </w:rPr>
            </w:pPr>
            <w:r>
              <w:rPr>
                <w:rFonts w:hint="eastAsia" w:ascii="宋体" w:hAnsi="宋体" w:cs="宋体"/>
                <w:szCs w:val="21"/>
                <w:lang w:eastAsia="zh-CN"/>
              </w:rPr>
              <w:t>本项目专门面向中小企业采购，投标文件中须提供中小企业声明函。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right w:val="single" w:color="auto" w:sz="4" w:space="0"/>
            </w:tcBorders>
            <w:vAlign w:val="center"/>
          </w:tcPr>
          <w:p>
            <w:pPr>
              <w:spacing w:line="300" w:lineRule="auto"/>
              <w:jc w:val="center"/>
              <w:rPr>
                <w:rFonts w:ascii="宋体" w:hAnsi="宋体"/>
                <w:szCs w:val="21"/>
              </w:rPr>
            </w:pPr>
          </w:p>
        </w:tc>
        <w:tc>
          <w:tcPr>
            <w:tcW w:w="1851" w:type="dxa"/>
            <w:vMerge w:val="restart"/>
            <w:tcBorders>
              <w:top w:val="single" w:color="auto" w:sz="4" w:space="0"/>
              <w:left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信誉要求</w:t>
            </w: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rPr>
            </w:pPr>
            <w:r>
              <w:rPr>
                <w:rFonts w:hint="eastAsia" w:ascii="宋体" w:hAnsi="宋体" w:eastAsia="宋体" w:cs="宋体"/>
                <w:szCs w:val="21"/>
                <w:lang w:val="zh-CN"/>
              </w:rPr>
              <w:t>不接受被政府列入取消投标资格期间的企业或个人参加投标</w:t>
            </w:r>
            <w:r>
              <w:rPr>
                <w:rFonts w:hint="eastAsia" w:ascii="宋体" w:hAnsi="宋体" w:eastAsia="宋体" w:cs="宋体"/>
                <w:szCs w:val="21"/>
              </w:rPr>
              <w:t>，</w:t>
            </w:r>
            <w:r>
              <w:rPr>
                <w:rFonts w:hint="eastAsia" w:ascii="宋体" w:hAnsi="宋体" w:eastAsia="宋体" w:cs="宋体"/>
                <w:szCs w:val="21"/>
                <w:lang w:val="zh-CN"/>
              </w:rPr>
              <w:t>参加政府采购活动前3年内在经营活动中没有重大违法记录。标书内附由法定代表人签字和加盖公章的承诺书。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right w:val="single" w:color="auto" w:sz="4" w:space="0"/>
            </w:tcBorders>
            <w:vAlign w:val="center"/>
          </w:tcPr>
          <w:p>
            <w:pPr>
              <w:spacing w:line="300" w:lineRule="auto"/>
              <w:jc w:val="center"/>
              <w:rPr>
                <w:rFonts w:ascii="宋体" w:hAnsi="宋体"/>
                <w:szCs w:val="21"/>
              </w:rPr>
            </w:pPr>
          </w:p>
        </w:tc>
        <w:tc>
          <w:tcPr>
            <w:tcW w:w="1851" w:type="dxa"/>
            <w:vMerge w:val="continue"/>
            <w:tcBorders>
              <w:left w:val="single" w:color="auto" w:sz="4" w:space="0"/>
              <w:right w:val="single" w:color="auto" w:sz="4" w:space="0"/>
            </w:tcBorders>
            <w:vAlign w:val="center"/>
          </w:tcPr>
          <w:p>
            <w:pPr>
              <w:spacing w:line="300" w:lineRule="auto"/>
              <w:jc w:val="center"/>
              <w:rPr>
                <w:rFonts w:ascii="宋体" w:hAnsi="宋体"/>
                <w:szCs w:val="21"/>
              </w:rPr>
            </w:pPr>
          </w:p>
        </w:tc>
        <w:tc>
          <w:tcPr>
            <w:tcW w:w="5299"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szCs w:val="21"/>
              </w:rPr>
            </w:pPr>
            <w:r>
              <w:rPr>
                <w:rFonts w:hint="eastAsia" w:ascii="宋体" w:hAnsi="宋体" w:cs="宋体"/>
                <w:szCs w:val="21"/>
                <w:lang w:eastAsia="zh-CN"/>
              </w:rPr>
              <w:t>供应商</w:t>
            </w:r>
            <w:r>
              <w:rPr>
                <w:rFonts w:hint="eastAsia" w:ascii="宋体" w:hAnsi="宋体" w:eastAsia="宋体" w:cs="宋体"/>
                <w:szCs w:val="21"/>
              </w:rPr>
              <w:t>不得为“信用中国”网站（www.creditchina.gov.cn）中列入失信被执行人和重大税收违法案件当事人名单的</w:t>
            </w:r>
            <w:r>
              <w:rPr>
                <w:rFonts w:hint="eastAsia" w:ascii="宋体" w:hAnsi="宋体" w:cs="宋体"/>
                <w:szCs w:val="21"/>
                <w:lang w:eastAsia="zh-CN"/>
              </w:rPr>
              <w:t>供应商</w:t>
            </w:r>
            <w:r>
              <w:rPr>
                <w:rFonts w:hint="eastAsia" w:ascii="宋体" w:hAnsi="宋体" w:eastAsia="宋体" w:cs="宋体"/>
                <w:szCs w:val="21"/>
              </w:rPr>
              <w:t>，不得为中国政府采购网（www.ccgp.gov.cn）政府采购严重违法失信行为记录名单中被财政部门禁止参加政府采购活动的</w:t>
            </w:r>
            <w:r>
              <w:rPr>
                <w:rFonts w:hint="eastAsia" w:ascii="宋体" w:hAnsi="宋体" w:cs="宋体"/>
                <w:szCs w:val="21"/>
                <w:lang w:eastAsia="zh-CN"/>
              </w:rPr>
              <w:t>供应商</w:t>
            </w:r>
            <w:r>
              <w:rPr>
                <w:rFonts w:hint="eastAsia" w:ascii="宋体" w:hAnsi="宋体" w:eastAsia="宋体" w:cs="宋体"/>
                <w:szCs w:val="21"/>
              </w:rPr>
              <w:t>（处罚决定规定的时间和地域范围内）。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right w:val="single" w:color="auto" w:sz="4" w:space="0"/>
            </w:tcBorders>
            <w:vAlign w:val="center"/>
          </w:tcPr>
          <w:p>
            <w:pPr>
              <w:spacing w:line="300" w:lineRule="auto"/>
              <w:jc w:val="center"/>
              <w:rPr>
                <w:rFonts w:ascii="宋体" w:hAnsi="宋体"/>
                <w:szCs w:val="21"/>
              </w:rPr>
            </w:pPr>
          </w:p>
        </w:tc>
        <w:tc>
          <w:tcPr>
            <w:tcW w:w="185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授权委托书（如有委托代理人）</w:t>
            </w:r>
          </w:p>
        </w:tc>
        <w:tc>
          <w:tcPr>
            <w:tcW w:w="52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auto"/>
              <w:rPr>
                <w:rFonts w:ascii="宋体" w:hAnsi="宋体"/>
                <w:szCs w:val="21"/>
              </w:rPr>
            </w:pPr>
            <w:r>
              <w:rPr>
                <w:rFonts w:hint="eastAsia" w:ascii="宋体" w:hAnsi="宋体"/>
                <w:szCs w:val="21"/>
              </w:rPr>
              <w:t>由法定代表人及委托代理人签字并加盖公章。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continue"/>
            <w:tcBorders>
              <w:bottom w:val="single" w:color="auto" w:sz="4" w:space="0"/>
              <w:right w:val="single" w:color="auto" w:sz="4" w:space="0"/>
            </w:tcBorders>
            <w:vAlign w:val="center"/>
          </w:tcPr>
          <w:p>
            <w:pPr>
              <w:spacing w:line="300" w:lineRule="auto"/>
              <w:jc w:val="center"/>
              <w:rPr>
                <w:rFonts w:ascii="宋体" w:hAnsi="宋体"/>
                <w:szCs w:val="21"/>
              </w:rPr>
            </w:pPr>
          </w:p>
        </w:tc>
        <w:tc>
          <w:tcPr>
            <w:tcW w:w="1851"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其他要求</w:t>
            </w:r>
          </w:p>
        </w:tc>
        <w:tc>
          <w:tcPr>
            <w:tcW w:w="52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auto"/>
              <w:rPr>
                <w:rFonts w:hint="eastAsia" w:ascii="宋体" w:hAnsi="宋体" w:eastAsia="宋体" w:cs="Times New Roman"/>
              </w:rPr>
            </w:pPr>
            <w:r>
              <w:rPr>
                <w:rFonts w:hint="eastAsia" w:ascii="宋体" w:hAnsi="宋体" w:eastAsia="宋体" w:cs="Times New Roman"/>
              </w:rPr>
              <w:t>与采购人存在利害关系可能影响招标公正性的法人、其他组织或者个人，不得参加投标。单位负责人为同一人或者存在控股、管理关系的不同单位，不得参加同一标段投标或者未划分标段的同一招标项目投标。违反这两款规定的，相关投标均无效。</w:t>
            </w:r>
            <w:r>
              <w:rPr>
                <w:rFonts w:hint="eastAsia" w:ascii="宋体" w:hAnsi="宋体" w:eastAsia="宋体" w:cs="Times New Roman"/>
                <w:lang w:val="zh-CN"/>
              </w:rPr>
              <w:t>标书内附由法定代表人签字和加盖公章的承诺书。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 w:hRule="atLeast"/>
          <w:jc w:val="center"/>
        </w:trPr>
        <w:tc>
          <w:tcPr>
            <w:tcW w:w="1477" w:type="dxa"/>
            <w:vMerge w:val="restart"/>
            <w:tcBorders>
              <w:top w:val="single" w:color="auto" w:sz="4" w:space="0"/>
              <w:right w:val="single" w:color="auto" w:sz="4" w:space="0"/>
            </w:tcBorders>
            <w:vAlign w:val="center"/>
          </w:tcPr>
          <w:p>
            <w:pPr>
              <w:spacing w:line="300" w:lineRule="auto"/>
              <w:jc w:val="center"/>
              <w:rPr>
                <w:rFonts w:ascii="宋体" w:hAnsi="宋体"/>
                <w:szCs w:val="21"/>
              </w:rPr>
            </w:pPr>
          </w:p>
        </w:tc>
        <w:tc>
          <w:tcPr>
            <w:tcW w:w="185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p>
        </w:tc>
        <w:tc>
          <w:tcPr>
            <w:tcW w:w="52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auto"/>
              <w:rPr>
                <w:rFonts w:hint="eastAsia" w:ascii="宋体" w:hAnsi="宋体" w:eastAsia="宋体" w:cs="Times New Roman"/>
                <w:lang w:val="zh-CN"/>
              </w:rPr>
            </w:pPr>
            <w:r>
              <w:rPr>
                <w:rFonts w:hint="eastAsia" w:ascii="宋体" w:hAnsi="宋体" w:cs="Times New Roman"/>
                <w:lang w:val="zh-CN"/>
              </w:rPr>
              <w:t>供应商</w:t>
            </w:r>
            <w:r>
              <w:rPr>
                <w:rFonts w:hint="eastAsia" w:ascii="宋体" w:hAnsi="宋体" w:eastAsia="宋体" w:cs="Times New Roman"/>
                <w:lang w:val="zh-CN"/>
              </w:rPr>
              <w:t>不得存在下列1-5项情形之一：</w:t>
            </w:r>
          </w:p>
          <w:p>
            <w:pPr>
              <w:autoSpaceDE w:val="0"/>
              <w:autoSpaceDN w:val="0"/>
              <w:spacing w:line="300" w:lineRule="auto"/>
              <w:rPr>
                <w:rFonts w:hint="eastAsia" w:ascii="宋体" w:hAnsi="宋体" w:eastAsia="宋体" w:cs="Times New Roman"/>
              </w:rPr>
            </w:pPr>
            <w:r>
              <w:rPr>
                <w:rFonts w:hint="eastAsia" w:ascii="宋体" w:hAnsi="宋体" w:eastAsia="宋体" w:cs="Times New Roman"/>
              </w:rPr>
              <w:t>（1）为采购人不具有独立法人资格的附属机构（单位）；</w:t>
            </w:r>
          </w:p>
          <w:p>
            <w:pPr>
              <w:autoSpaceDE w:val="0"/>
              <w:autoSpaceDN w:val="0"/>
              <w:spacing w:line="300" w:lineRule="auto"/>
              <w:rPr>
                <w:rFonts w:hint="eastAsia" w:ascii="宋体" w:hAnsi="宋体" w:eastAsia="宋体" w:cs="Times New Roman"/>
              </w:rPr>
            </w:pPr>
            <w:r>
              <w:rPr>
                <w:rFonts w:hint="eastAsia" w:ascii="宋体" w:hAnsi="宋体" w:eastAsia="宋体" w:cs="Times New Roman"/>
              </w:rPr>
              <w:t>（2）被责令停业的；</w:t>
            </w:r>
          </w:p>
          <w:p>
            <w:pPr>
              <w:autoSpaceDE w:val="0"/>
              <w:autoSpaceDN w:val="0"/>
              <w:spacing w:line="300" w:lineRule="auto"/>
              <w:rPr>
                <w:rFonts w:hint="eastAsia" w:ascii="宋体" w:hAnsi="宋体" w:eastAsia="宋体" w:cs="Times New Roman"/>
              </w:rPr>
            </w:pPr>
            <w:r>
              <w:rPr>
                <w:rFonts w:hint="eastAsia" w:ascii="宋体" w:hAnsi="宋体" w:eastAsia="宋体" w:cs="Times New Roman"/>
              </w:rPr>
              <w:t>（3）被暂停或取消投标资格的；</w:t>
            </w:r>
          </w:p>
          <w:p>
            <w:pPr>
              <w:autoSpaceDE w:val="0"/>
              <w:autoSpaceDN w:val="0"/>
              <w:spacing w:line="300" w:lineRule="auto"/>
              <w:rPr>
                <w:rFonts w:hint="eastAsia" w:ascii="宋体" w:hAnsi="宋体" w:eastAsia="宋体" w:cs="Times New Roman"/>
              </w:rPr>
            </w:pPr>
            <w:r>
              <w:rPr>
                <w:rFonts w:hint="eastAsia" w:ascii="宋体" w:hAnsi="宋体" w:eastAsia="宋体" w:cs="Times New Roman"/>
              </w:rPr>
              <w:t>（4）财产被接管或冻结的；</w:t>
            </w:r>
          </w:p>
          <w:p>
            <w:pPr>
              <w:autoSpaceDE w:val="0"/>
              <w:autoSpaceDN w:val="0"/>
              <w:spacing w:line="300" w:lineRule="auto"/>
              <w:rPr>
                <w:rFonts w:hint="eastAsia" w:ascii="宋体" w:hAnsi="宋体" w:eastAsia="宋体" w:cs="Times New Roman"/>
              </w:rPr>
            </w:pPr>
            <w:r>
              <w:rPr>
                <w:rFonts w:hint="eastAsia" w:ascii="宋体" w:hAnsi="宋体" w:eastAsia="宋体" w:cs="Times New Roman"/>
              </w:rPr>
              <w:t>（5）在最近三年内有骗取中标或严重违约或重大质量问题的。</w:t>
            </w:r>
          </w:p>
          <w:p>
            <w:pPr>
              <w:autoSpaceDE w:val="0"/>
              <w:autoSpaceDN w:val="0"/>
              <w:spacing w:line="300" w:lineRule="auto"/>
              <w:rPr>
                <w:rFonts w:hint="eastAsia" w:ascii="宋体" w:hAnsi="宋体" w:eastAsia="宋体" w:cs="Times New Roman"/>
              </w:rPr>
            </w:pPr>
            <w:r>
              <w:rPr>
                <w:rFonts w:hint="eastAsia" w:ascii="宋体" w:hAnsi="宋体" w:eastAsia="宋体" w:cs="Times New Roman"/>
              </w:rPr>
              <w:t>投标文件中附由法定代表人签字并加盖</w:t>
            </w:r>
            <w:r>
              <w:rPr>
                <w:rFonts w:hint="eastAsia" w:ascii="宋体" w:hAnsi="宋体" w:cs="Times New Roman"/>
                <w:lang w:val="zh-CN"/>
              </w:rPr>
              <w:t>供应商</w:t>
            </w:r>
            <w:r>
              <w:rPr>
                <w:rFonts w:hint="eastAsia" w:ascii="宋体" w:hAnsi="宋体" w:eastAsia="宋体" w:cs="Times New Roman"/>
              </w:rPr>
              <w:t>公章的承诺书。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5" w:hRule="atLeast"/>
          <w:jc w:val="center"/>
        </w:trPr>
        <w:tc>
          <w:tcPr>
            <w:tcW w:w="1477" w:type="dxa"/>
            <w:vMerge w:val="continue"/>
            <w:tcBorders>
              <w:right w:val="single" w:color="auto" w:sz="4" w:space="0"/>
            </w:tcBorders>
            <w:vAlign w:val="center"/>
          </w:tcPr>
          <w:p>
            <w:pPr>
              <w:spacing w:line="300" w:lineRule="auto"/>
              <w:jc w:val="center"/>
              <w:rPr>
                <w:rFonts w:ascii="宋体" w:hAnsi="宋体"/>
                <w:szCs w:val="21"/>
              </w:rPr>
            </w:pPr>
          </w:p>
        </w:tc>
        <w:tc>
          <w:tcPr>
            <w:tcW w:w="1851" w:type="dxa"/>
            <w:tcBorders>
              <w:top w:val="single" w:color="auto" w:sz="4" w:space="0"/>
              <w:left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其他</w:t>
            </w:r>
          </w:p>
        </w:tc>
        <w:tc>
          <w:tcPr>
            <w:tcW w:w="5299" w:type="dxa"/>
            <w:tcBorders>
              <w:top w:val="single" w:color="auto" w:sz="4" w:space="0"/>
              <w:left w:val="single" w:color="auto" w:sz="4" w:space="0"/>
              <w:right w:val="single" w:color="auto" w:sz="4" w:space="0"/>
            </w:tcBorders>
            <w:vAlign w:val="center"/>
          </w:tcPr>
          <w:p>
            <w:pPr>
              <w:adjustRightInd w:val="0"/>
              <w:snapToGrid w:val="0"/>
              <w:rPr>
                <w:rFonts w:ascii="宋体" w:hAnsi="宋体" w:cs="宋体"/>
                <w:szCs w:val="21"/>
                <w:lang w:val="zh-CN"/>
              </w:rPr>
            </w:pPr>
            <w:r>
              <w:rPr>
                <w:rFonts w:hint="eastAsia" w:ascii="宋体" w:hAnsi="宋体"/>
                <w:szCs w:val="21"/>
              </w:rPr>
              <w:t>法律法规及招标文件规定的其他要求。</w:t>
            </w:r>
          </w:p>
        </w:tc>
      </w:tr>
    </w:tbl>
    <w:p>
      <w:pPr>
        <w:autoSpaceDN w:val="0"/>
        <w:adjustRightInd w:val="0"/>
        <w:snapToGrid w:val="0"/>
        <w:spacing w:line="360" w:lineRule="auto"/>
        <w:ind w:firstLine="360" w:firstLineChars="200"/>
        <w:rPr>
          <w:rFonts w:asciiTheme="majorEastAsia" w:hAnsiTheme="majorEastAsia" w:eastAsiaTheme="majorEastAsia"/>
          <w:sz w:val="18"/>
          <w:szCs w:val="18"/>
        </w:rPr>
      </w:pPr>
    </w:p>
    <w:p>
      <w:pPr>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注：（1）上述内容中有一项不合格，则资格审查不合格，不进入后续评审；</w:t>
      </w:r>
    </w:p>
    <w:p>
      <w:pPr>
        <w:autoSpaceDN w:val="0"/>
        <w:adjustRightInd w:val="0"/>
        <w:snapToGrid w:val="0"/>
        <w:spacing w:line="360" w:lineRule="auto"/>
        <w:ind w:firstLine="718" w:firstLineChars="342"/>
        <w:rPr>
          <w:rFonts w:ascii="宋体" w:hAnsi="宋体" w:cs="宋体"/>
          <w:szCs w:val="21"/>
        </w:rPr>
      </w:pPr>
      <w:r>
        <w:rPr>
          <w:rFonts w:hint="eastAsia" w:ascii="宋体" w:hAnsi="宋体" w:cs="宋体"/>
          <w:szCs w:val="21"/>
        </w:rPr>
        <w:t>（2）公开招标采购项目开标结束后，采购人或采购代理机构应当依法对</w:t>
      </w:r>
      <w:r>
        <w:rPr>
          <w:rFonts w:hint="eastAsia" w:ascii="宋体" w:hAnsi="宋体" w:cs="宋体"/>
          <w:szCs w:val="21"/>
          <w:lang w:eastAsia="zh-CN"/>
        </w:rPr>
        <w:t>供应商</w:t>
      </w:r>
      <w:r>
        <w:rPr>
          <w:rFonts w:hint="eastAsia" w:ascii="宋体" w:hAnsi="宋体" w:cs="宋体"/>
          <w:szCs w:val="21"/>
        </w:rPr>
        <w:t>的资格进行审查。合格</w:t>
      </w:r>
      <w:r>
        <w:rPr>
          <w:rFonts w:hint="eastAsia" w:ascii="宋体" w:hAnsi="宋体" w:cs="宋体"/>
          <w:szCs w:val="21"/>
          <w:lang w:eastAsia="zh-CN"/>
        </w:rPr>
        <w:t>供应商</w:t>
      </w:r>
      <w:r>
        <w:rPr>
          <w:rFonts w:hint="eastAsia" w:ascii="宋体" w:hAnsi="宋体" w:cs="宋体"/>
          <w:szCs w:val="21"/>
        </w:rPr>
        <w:t>不足3家的，不得评标。</w:t>
      </w:r>
    </w:p>
    <w:p>
      <w:pPr>
        <w:pStyle w:val="11"/>
        <w:spacing w:line="360" w:lineRule="auto"/>
        <w:ind w:firstLine="630" w:firstLineChars="300"/>
        <w:rPr>
          <w:rFonts w:ascii="宋体" w:hAnsi="宋体" w:cs="宋体"/>
          <w:szCs w:val="21"/>
        </w:rPr>
      </w:pPr>
      <w:r>
        <w:rPr>
          <w:rFonts w:hint="eastAsia" w:ascii="宋体" w:hAnsi="宋体" w:cs="宋体"/>
          <w:szCs w:val="21"/>
        </w:rPr>
        <w:t>（3）以上要求供应商提供财务状况报告（表）或其基本开户银行出具的资信证明材料、依法缴纳税收和社保保障资金的证明材料。供应商参加采购活动可提交反映其财务状况、依法缴纳税收和社保保障资金情况的资格条件承诺函（承诺函附后）。</w:t>
      </w:r>
    </w:p>
    <w:p>
      <w:pPr>
        <w:pStyle w:val="17"/>
        <w:spacing w:before="0" w:beforeAutospacing="0" w:after="0" w:afterAutospacing="0" w:line="360" w:lineRule="auto"/>
        <w:rPr>
          <w:rFonts w:ascii="宋体" w:hAnsi="宋体"/>
          <w:sz w:val="21"/>
          <w:szCs w:val="21"/>
        </w:rPr>
      </w:pPr>
      <w:r>
        <w:rPr>
          <w:rFonts w:hint="eastAsia" w:ascii="宋体" w:hAnsi="宋体"/>
          <w:sz w:val="21"/>
          <w:szCs w:val="21"/>
        </w:rPr>
        <w:t>以下情形不适用：</w:t>
      </w:r>
    </w:p>
    <w:p>
      <w:pPr>
        <w:pStyle w:val="17"/>
        <w:spacing w:before="0" w:beforeAutospacing="0" w:after="0" w:afterAutospacing="0" w:line="360" w:lineRule="auto"/>
        <w:rPr>
          <w:rFonts w:ascii="宋体" w:hAnsi="宋体"/>
          <w:sz w:val="21"/>
          <w:szCs w:val="21"/>
        </w:rPr>
      </w:pPr>
      <w:r>
        <w:rPr>
          <w:rFonts w:hint="eastAsia" w:ascii="宋体" w:hAnsi="宋体"/>
          <w:sz w:val="21"/>
          <w:szCs w:val="21"/>
        </w:rPr>
        <w:t>1.被列入政府采购不良行为记录名单的，被禁止参加政府采购活动且尚在处罚有效期内的；</w:t>
      </w:r>
    </w:p>
    <w:p>
      <w:pPr>
        <w:pStyle w:val="17"/>
        <w:spacing w:before="0" w:beforeAutospacing="0" w:after="0" w:afterAutospacing="0" w:line="360" w:lineRule="auto"/>
        <w:rPr>
          <w:rFonts w:ascii="宋体" w:hAnsi="宋体"/>
          <w:sz w:val="21"/>
          <w:szCs w:val="21"/>
        </w:rPr>
      </w:pPr>
      <w:r>
        <w:rPr>
          <w:rFonts w:hint="eastAsia" w:ascii="宋体" w:hAnsi="宋体"/>
          <w:sz w:val="21"/>
          <w:szCs w:val="21"/>
        </w:rPr>
        <w:t>2.被有关部门列入失信被执行人、联合惩戒对象、严重违法失信行为记录等情形的；</w:t>
      </w:r>
    </w:p>
    <w:p>
      <w:pPr>
        <w:pStyle w:val="17"/>
        <w:spacing w:before="0" w:beforeAutospacing="0" w:after="0" w:afterAutospacing="0" w:line="360" w:lineRule="auto"/>
        <w:rPr>
          <w:rFonts w:ascii="宋体" w:hAnsi="宋体"/>
          <w:sz w:val="21"/>
          <w:szCs w:val="21"/>
        </w:rPr>
      </w:pPr>
      <w:r>
        <w:rPr>
          <w:rFonts w:hint="eastAsia" w:ascii="宋体" w:hAnsi="宋体"/>
          <w:sz w:val="21"/>
          <w:szCs w:val="21"/>
        </w:rPr>
        <w:t>3.其他法律法规规定的不适用于资格条件信用承诺的情行。</w:t>
      </w:r>
    </w:p>
    <w:p>
      <w:pPr>
        <w:pStyle w:val="17"/>
        <w:spacing w:before="0" w:beforeAutospacing="0" w:after="0" w:afterAutospacing="0" w:line="360" w:lineRule="auto"/>
        <w:rPr>
          <w:rFonts w:ascii="宋体" w:hAnsi="宋体"/>
          <w:sz w:val="21"/>
          <w:szCs w:val="21"/>
        </w:rPr>
      </w:pPr>
    </w:p>
    <w:p>
      <w:pPr>
        <w:rPr>
          <w:rFonts w:ascii="宋体" w:hAnsi="宋体" w:cs="宋体"/>
          <w:szCs w:val="21"/>
        </w:rPr>
      </w:pPr>
      <w:r>
        <w:rPr>
          <w:rFonts w:hint="eastAsia" w:ascii="宋体" w:hAnsi="宋体" w:cs="宋体"/>
          <w:szCs w:val="21"/>
        </w:rPr>
        <w:br w:type="page"/>
      </w:r>
    </w:p>
    <w:p>
      <w:pPr>
        <w:autoSpaceDN w:val="0"/>
        <w:adjustRightInd w:val="0"/>
        <w:snapToGrid w:val="0"/>
        <w:spacing w:line="360" w:lineRule="auto"/>
        <w:rPr>
          <w:rFonts w:asciiTheme="majorEastAsia" w:hAnsiTheme="majorEastAsia" w:eastAsiaTheme="majorEastAsia"/>
          <w:b/>
          <w:bCs/>
          <w:sz w:val="24"/>
        </w:rPr>
      </w:pPr>
      <w:r>
        <w:rPr>
          <w:rFonts w:hint="eastAsia" w:asciiTheme="majorEastAsia" w:hAnsiTheme="majorEastAsia" w:eastAsiaTheme="majorEastAsia"/>
          <w:b/>
          <w:bCs/>
          <w:sz w:val="24"/>
        </w:rPr>
        <w:t>（二）符合性审查表</w:t>
      </w:r>
    </w:p>
    <w:p>
      <w:pPr>
        <w:autoSpaceDN w:val="0"/>
        <w:adjustRightInd w:val="0"/>
        <w:snapToGrid w:val="0"/>
        <w:spacing w:line="360" w:lineRule="auto"/>
        <w:jc w:val="center"/>
        <w:rPr>
          <w:rFonts w:asciiTheme="majorEastAsia" w:hAnsiTheme="majorEastAsia" w:eastAsiaTheme="majorEastAsia"/>
          <w:b/>
          <w:bCs/>
          <w:sz w:val="24"/>
        </w:rPr>
      </w:pPr>
      <w:r>
        <w:rPr>
          <w:rFonts w:hint="eastAsia" w:asciiTheme="majorEastAsia" w:hAnsiTheme="majorEastAsia" w:eastAsiaTheme="majorEastAsia"/>
          <w:b/>
          <w:bCs/>
          <w:sz w:val="24"/>
        </w:rPr>
        <w:t>符合性审查表</w:t>
      </w:r>
    </w:p>
    <w:tbl>
      <w:tblPr>
        <w:tblStyle w:val="22"/>
        <w:tblW w:w="91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73"/>
        <w:gridCol w:w="1181"/>
        <w:gridCol w:w="1999"/>
        <w:gridCol w:w="48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3" w:hRule="atLeast"/>
          <w:tblHeader/>
          <w:jc w:val="center"/>
        </w:trPr>
        <w:tc>
          <w:tcPr>
            <w:tcW w:w="2254" w:type="dxa"/>
            <w:gridSpan w:val="2"/>
            <w:tcBorders>
              <w:top w:val="single" w:color="auto" w:sz="4" w:space="0"/>
              <w:bottom w:val="single" w:color="auto" w:sz="4" w:space="0"/>
              <w:right w:val="single" w:color="auto" w:sz="4" w:space="0"/>
            </w:tcBorders>
            <w:vAlign w:val="center"/>
          </w:tcPr>
          <w:p>
            <w:pPr>
              <w:spacing w:line="300" w:lineRule="auto"/>
              <w:jc w:val="center"/>
              <w:rPr>
                <w:rFonts w:ascii="宋体" w:hAnsi="宋体"/>
                <w:b/>
                <w:szCs w:val="21"/>
              </w:rPr>
            </w:pPr>
            <w:r>
              <w:rPr>
                <w:rFonts w:ascii="宋体" w:hAnsi="宋体"/>
                <w:b/>
                <w:szCs w:val="21"/>
              </w:rPr>
              <w:t>条款号</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szCs w:val="21"/>
              </w:rPr>
            </w:pPr>
            <w:r>
              <w:rPr>
                <w:rFonts w:ascii="宋体" w:hAnsi="宋体"/>
                <w:b/>
                <w:szCs w:val="21"/>
              </w:rPr>
              <w:t>评审因素</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szCs w:val="21"/>
              </w:rPr>
            </w:pPr>
            <w:r>
              <w:rPr>
                <w:rFonts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5" w:hRule="atLeast"/>
          <w:jc w:val="center"/>
        </w:trPr>
        <w:tc>
          <w:tcPr>
            <w:tcW w:w="1073" w:type="dxa"/>
            <w:vMerge w:val="restart"/>
            <w:tcBorders>
              <w:top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2.</w:t>
            </w:r>
            <w:r>
              <w:rPr>
                <w:rFonts w:hint="eastAsia" w:ascii="宋体" w:hAnsi="宋体"/>
                <w:szCs w:val="21"/>
              </w:rPr>
              <w:t>2</w:t>
            </w:r>
            <w:r>
              <w:rPr>
                <w:rFonts w:ascii="宋体" w:hAnsi="宋体"/>
                <w:szCs w:val="21"/>
              </w:rPr>
              <w:t>.1</w:t>
            </w:r>
          </w:p>
        </w:tc>
        <w:tc>
          <w:tcPr>
            <w:tcW w:w="1181" w:type="dxa"/>
            <w:vMerge w:val="restart"/>
            <w:tcBorders>
              <w:top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形式评审标准</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lang w:eastAsia="zh-CN"/>
              </w:rPr>
              <w:t>供应商</w:t>
            </w:r>
            <w:r>
              <w:rPr>
                <w:rFonts w:ascii="宋体" w:hAnsi="宋体"/>
                <w:szCs w:val="21"/>
              </w:rPr>
              <w:t>名称</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ascii="宋体" w:hAnsi="宋体"/>
                <w:szCs w:val="21"/>
              </w:rPr>
              <w:t>与营业执照一致</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6" w:hRule="atLeast"/>
          <w:jc w:val="center"/>
        </w:trPr>
        <w:tc>
          <w:tcPr>
            <w:tcW w:w="1073" w:type="dxa"/>
            <w:vMerge w:val="continue"/>
            <w:tcBorders>
              <w:top w:val="nil"/>
              <w:bottom w:val="single" w:color="auto" w:sz="4" w:space="0"/>
              <w:right w:val="single" w:color="auto" w:sz="4" w:space="0"/>
            </w:tcBorders>
            <w:vAlign w:val="center"/>
          </w:tcPr>
          <w:p>
            <w:pPr>
              <w:spacing w:line="300" w:lineRule="auto"/>
              <w:jc w:val="center"/>
              <w:rPr>
                <w:rFonts w:ascii="宋体" w:hAnsi="宋体"/>
                <w:szCs w:val="21"/>
              </w:rPr>
            </w:pPr>
          </w:p>
        </w:tc>
        <w:tc>
          <w:tcPr>
            <w:tcW w:w="1181" w:type="dxa"/>
            <w:vMerge w:val="continue"/>
            <w:tcBorders>
              <w:top w:val="nil"/>
              <w:bottom w:val="single" w:color="auto" w:sz="4" w:space="0"/>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投标函签字盖章</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ascii="宋体" w:hAnsi="宋体"/>
                <w:szCs w:val="21"/>
              </w:rPr>
              <w:t>有法定代表人或其委托代理人签字</w:t>
            </w:r>
            <w:r>
              <w:rPr>
                <w:rFonts w:hint="eastAsia" w:ascii="宋体" w:hAnsi="宋体"/>
                <w:szCs w:val="21"/>
              </w:rPr>
              <w:t>和</w:t>
            </w:r>
            <w:r>
              <w:rPr>
                <w:rFonts w:ascii="宋体" w:hAnsi="宋体"/>
                <w:szCs w:val="21"/>
              </w:rPr>
              <w:t>加盖单位章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6" w:hRule="atLeast"/>
          <w:jc w:val="center"/>
        </w:trPr>
        <w:tc>
          <w:tcPr>
            <w:tcW w:w="1073" w:type="dxa"/>
            <w:vMerge w:val="continue"/>
            <w:tcBorders>
              <w:top w:val="nil"/>
              <w:bottom w:val="single" w:color="auto" w:sz="4" w:space="0"/>
              <w:right w:val="single" w:color="auto" w:sz="4" w:space="0"/>
            </w:tcBorders>
            <w:vAlign w:val="center"/>
          </w:tcPr>
          <w:p>
            <w:pPr>
              <w:spacing w:line="300" w:lineRule="auto"/>
              <w:jc w:val="center"/>
              <w:rPr>
                <w:rFonts w:ascii="宋体" w:hAnsi="宋体"/>
                <w:szCs w:val="21"/>
              </w:rPr>
            </w:pPr>
          </w:p>
        </w:tc>
        <w:tc>
          <w:tcPr>
            <w:tcW w:w="1181" w:type="dxa"/>
            <w:vMerge w:val="continue"/>
            <w:tcBorders>
              <w:top w:val="nil"/>
              <w:bottom w:val="single" w:color="auto" w:sz="4" w:space="0"/>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投标文件格式</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ascii="宋体" w:hAnsi="宋体"/>
                <w:szCs w:val="21"/>
              </w:rPr>
              <w:t>符合 “投标文件格式”的要求</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9" w:hRule="atLeast"/>
          <w:jc w:val="center"/>
        </w:trPr>
        <w:tc>
          <w:tcPr>
            <w:tcW w:w="1073" w:type="dxa"/>
            <w:vMerge w:val="continue"/>
            <w:tcBorders>
              <w:top w:val="nil"/>
              <w:bottom w:val="single" w:color="auto" w:sz="4" w:space="0"/>
              <w:right w:val="single" w:color="auto" w:sz="4" w:space="0"/>
            </w:tcBorders>
            <w:vAlign w:val="center"/>
          </w:tcPr>
          <w:p>
            <w:pPr>
              <w:spacing w:line="300" w:lineRule="auto"/>
              <w:jc w:val="center"/>
              <w:rPr>
                <w:rFonts w:ascii="宋体" w:hAnsi="宋体"/>
                <w:szCs w:val="21"/>
              </w:rPr>
            </w:pPr>
          </w:p>
        </w:tc>
        <w:tc>
          <w:tcPr>
            <w:tcW w:w="1181" w:type="dxa"/>
            <w:vMerge w:val="continue"/>
            <w:tcBorders>
              <w:top w:val="nil"/>
              <w:bottom w:val="single" w:color="auto" w:sz="4" w:space="0"/>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报价唯一</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ascii="宋体" w:hAnsi="宋体"/>
                <w:szCs w:val="21"/>
              </w:rPr>
              <w:t>只能有一个有效报价</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9" w:hRule="atLeast"/>
          <w:jc w:val="center"/>
        </w:trPr>
        <w:tc>
          <w:tcPr>
            <w:tcW w:w="1073" w:type="dxa"/>
            <w:vMerge w:val="restart"/>
            <w:tcBorders>
              <w:top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2.</w:t>
            </w:r>
            <w:r>
              <w:rPr>
                <w:rFonts w:hint="eastAsia" w:ascii="宋体" w:hAnsi="宋体"/>
                <w:szCs w:val="21"/>
              </w:rPr>
              <w:t>2</w:t>
            </w:r>
            <w:r>
              <w:rPr>
                <w:rFonts w:ascii="宋体" w:hAnsi="宋体"/>
                <w:szCs w:val="21"/>
              </w:rPr>
              <w:t>.</w:t>
            </w:r>
            <w:r>
              <w:rPr>
                <w:rFonts w:hint="eastAsia" w:ascii="宋体" w:hAnsi="宋体"/>
                <w:szCs w:val="21"/>
              </w:rPr>
              <w:t>2</w:t>
            </w:r>
          </w:p>
        </w:tc>
        <w:tc>
          <w:tcPr>
            <w:tcW w:w="1181" w:type="dxa"/>
            <w:vMerge w:val="restart"/>
            <w:tcBorders>
              <w:top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响应性</w:t>
            </w:r>
          </w:p>
          <w:p>
            <w:pPr>
              <w:spacing w:line="300" w:lineRule="auto"/>
              <w:jc w:val="center"/>
              <w:rPr>
                <w:rFonts w:ascii="宋体" w:hAnsi="宋体"/>
                <w:szCs w:val="21"/>
              </w:rPr>
            </w:pPr>
            <w:r>
              <w:rPr>
                <w:rFonts w:ascii="宋体" w:hAnsi="宋体"/>
                <w:szCs w:val="21"/>
              </w:rPr>
              <w:t>评审</w:t>
            </w:r>
          </w:p>
          <w:p>
            <w:pPr>
              <w:spacing w:line="300" w:lineRule="auto"/>
              <w:jc w:val="center"/>
              <w:rPr>
                <w:rFonts w:ascii="宋体" w:hAnsi="宋体"/>
                <w:szCs w:val="21"/>
              </w:rPr>
            </w:pPr>
            <w:r>
              <w:rPr>
                <w:rFonts w:ascii="宋体" w:hAnsi="宋体"/>
                <w:szCs w:val="21"/>
              </w:rPr>
              <w:t>标准</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投标报价</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hint="eastAsia" w:ascii="宋体" w:hAnsi="宋体"/>
                <w:szCs w:val="21"/>
              </w:rPr>
              <w:t>不超过采购预算。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5" w:hRule="atLeast"/>
          <w:jc w:val="center"/>
        </w:trPr>
        <w:tc>
          <w:tcPr>
            <w:tcW w:w="1073" w:type="dxa"/>
            <w:vMerge w:val="continue"/>
            <w:tcBorders>
              <w:top w:val="single" w:color="auto" w:sz="4" w:space="0"/>
              <w:right w:val="single" w:color="auto" w:sz="4" w:space="0"/>
            </w:tcBorders>
            <w:vAlign w:val="center"/>
          </w:tcPr>
          <w:p>
            <w:pPr>
              <w:spacing w:line="300" w:lineRule="auto"/>
              <w:jc w:val="center"/>
              <w:rPr>
                <w:rFonts w:ascii="宋体" w:hAnsi="宋体"/>
                <w:szCs w:val="21"/>
              </w:rPr>
            </w:pPr>
          </w:p>
        </w:tc>
        <w:tc>
          <w:tcPr>
            <w:tcW w:w="1181" w:type="dxa"/>
            <w:vMerge w:val="continue"/>
            <w:tcBorders>
              <w:top w:val="single" w:color="auto" w:sz="4" w:space="0"/>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投标内容</w:t>
            </w:r>
          </w:p>
        </w:tc>
        <w:tc>
          <w:tcPr>
            <w:tcW w:w="486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符合第二章“</w:t>
            </w:r>
            <w:r>
              <w:rPr>
                <w:rFonts w:hint="eastAsia" w:ascii="宋体" w:hAnsi="宋体"/>
                <w:szCs w:val="21"/>
                <w:lang w:eastAsia="zh-CN"/>
              </w:rPr>
              <w:t>供应商</w:t>
            </w:r>
            <w:r>
              <w:rPr>
                <w:rFonts w:ascii="宋体" w:hAnsi="宋体"/>
                <w:szCs w:val="21"/>
              </w:rPr>
              <w:t>须知”</w:t>
            </w:r>
            <w:r>
              <w:rPr>
                <w:rFonts w:hint="eastAsia" w:ascii="宋体" w:hAnsi="宋体"/>
                <w:szCs w:val="21"/>
              </w:rPr>
              <w:t>投标内容</w:t>
            </w:r>
            <w:r>
              <w:rPr>
                <w:rFonts w:ascii="宋体" w:hAnsi="宋体"/>
                <w:szCs w:val="21"/>
              </w:rPr>
              <w:t>规定</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7" w:hRule="atLeast"/>
          <w:jc w:val="center"/>
        </w:trPr>
        <w:tc>
          <w:tcPr>
            <w:tcW w:w="1073" w:type="dxa"/>
            <w:vMerge w:val="continue"/>
            <w:tcBorders>
              <w:right w:val="single" w:color="auto" w:sz="4" w:space="0"/>
            </w:tcBorders>
            <w:vAlign w:val="center"/>
          </w:tcPr>
          <w:p>
            <w:pPr>
              <w:spacing w:line="300" w:lineRule="auto"/>
              <w:jc w:val="center"/>
              <w:rPr>
                <w:rFonts w:ascii="宋体" w:hAnsi="宋体"/>
                <w:szCs w:val="21"/>
              </w:rPr>
            </w:pPr>
          </w:p>
        </w:tc>
        <w:tc>
          <w:tcPr>
            <w:tcW w:w="1181" w:type="dxa"/>
            <w:vMerge w:val="continue"/>
            <w:tcBorders>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Theme="majorEastAsia" w:hAnsiTheme="majorEastAsia" w:eastAsiaTheme="majorEastAsia"/>
                <w:szCs w:val="21"/>
              </w:rPr>
              <w:t>合同履行期限</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hint="eastAsia" w:ascii="宋体" w:hAnsi="宋体"/>
                <w:szCs w:val="21"/>
                <w:lang w:eastAsia="zh-CN"/>
              </w:rPr>
              <w:t>2024年2月1日至2024年12月31日</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4" w:hRule="atLeast"/>
          <w:jc w:val="center"/>
        </w:trPr>
        <w:tc>
          <w:tcPr>
            <w:tcW w:w="1073" w:type="dxa"/>
            <w:vMerge w:val="continue"/>
            <w:tcBorders>
              <w:right w:val="single" w:color="auto" w:sz="4" w:space="0"/>
            </w:tcBorders>
            <w:vAlign w:val="center"/>
          </w:tcPr>
          <w:p>
            <w:pPr>
              <w:spacing w:line="300" w:lineRule="auto"/>
              <w:jc w:val="center"/>
              <w:rPr>
                <w:rFonts w:ascii="宋体" w:hAnsi="宋体"/>
                <w:szCs w:val="21"/>
              </w:rPr>
            </w:pPr>
          </w:p>
        </w:tc>
        <w:tc>
          <w:tcPr>
            <w:tcW w:w="1181" w:type="dxa"/>
            <w:vMerge w:val="continue"/>
            <w:tcBorders>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szCs w:val="21"/>
                <w:lang w:eastAsia="zh-CN"/>
              </w:rPr>
            </w:pPr>
            <w:r>
              <w:rPr>
                <w:rFonts w:hint="eastAsia" w:ascii="宋体" w:hAnsi="宋体"/>
                <w:szCs w:val="21"/>
                <w:lang w:eastAsia="zh-CN"/>
              </w:rPr>
              <w:t>服务地点</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hint="eastAsia" w:ascii="宋体" w:hAnsi="宋体"/>
                <w:szCs w:val="21"/>
                <w:lang w:eastAsia="zh-CN"/>
              </w:rPr>
              <w:t>长春新区教育局17所公办学校</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5" w:hRule="atLeast"/>
          <w:jc w:val="center"/>
        </w:trPr>
        <w:tc>
          <w:tcPr>
            <w:tcW w:w="1073" w:type="dxa"/>
            <w:vMerge w:val="continue"/>
            <w:tcBorders>
              <w:right w:val="single" w:color="auto" w:sz="4" w:space="0"/>
            </w:tcBorders>
            <w:vAlign w:val="center"/>
          </w:tcPr>
          <w:p>
            <w:pPr>
              <w:spacing w:line="300" w:lineRule="auto"/>
              <w:jc w:val="center"/>
              <w:rPr>
                <w:rFonts w:ascii="宋体" w:hAnsi="宋体"/>
                <w:szCs w:val="21"/>
              </w:rPr>
            </w:pPr>
          </w:p>
        </w:tc>
        <w:tc>
          <w:tcPr>
            <w:tcW w:w="1181" w:type="dxa"/>
            <w:vMerge w:val="continue"/>
            <w:tcBorders>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质量</w:t>
            </w:r>
            <w:r>
              <w:rPr>
                <w:rFonts w:hint="eastAsia" w:ascii="宋体" w:hAnsi="宋体"/>
                <w:szCs w:val="21"/>
              </w:rPr>
              <w:t>要求</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hint="eastAsia" w:ascii="宋体" w:hAnsi="宋体"/>
              </w:rPr>
              <w:t>符合国家及行业相关合格标准。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9" w:hRule="atLeast"/>
          <w:jc w:val="center"/>
        </w:trPr>
        <w:tc>
          <w:tcPr>
            <w:tcW w:w="1073" w:type="dxa"/>
            <w:vMerge w:val="continue"/>
            <w:tcBorders>
              <w:right w:val="single" w:color="auto" w:sz="4" w:space="0"/>
            </w:tcBorders>
            <w:vAlign w:val="center"/>
          </w:tcPr>
          <w:p>
            <w:pPr>
              <w:spacing w:line="300" w:lineRule="auto"/>
              <w:jc w:val="center"/>
              <w:rPr>
                <w:rFonts w:ascii="宋体" w:hAnsi="宋体"/>
                <w:szCs w:val="21"/>
              </w:rPr>
            </w:pPr>
          </w:p>
        </w:tc>
        <w:tc>
          <w:tcPr>
            <w:tcW w:w="1181" w:type="dxa"/>
            <w:vMerge w:val="continue"/>
            <w:tcBorders>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投标有效期</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hint="eastAsia" w:ascii="宋体" w:hAnsi="宋体"/>
                <w:szCs w:val="21"/>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9" w:hRule="atLeast"/>
          <w:jc w:val="center"/>
        </w:trPr>
        <w:tc>
          <w:tcPr>
            <w:tcW w:w="1073" w:type="dxa"/>
            <w:vMerge w:val="continue"/>
            <w:tcBorders>
              <w:right w:val="single" w:color="auto" w:sz="4" w:space="0"/>
            </w:tcBorders>
            <w:vAlign w:val="center"/>
          </w:tcPr>
          <w:p>
            <w:pPr>
              <w:spacing w:line="300" w:lineRule="auto"/>
              <w:jc w:val="center"/>
              <w:rPr>
                <w:rFonts w:ascii="宋体" w:hAnsi="宋体"/>
                <w:szCs w:val="21"/>
              </w:rPr>
            </w:pPr>
          </w:p>
        </w:tc>
        <w:tc>
          <w:tcPr>
            <w:tcW w:w="1181" w:type="dxa"/>
            <w:vMerge w:val="continue"/>
            <w:tcBorders>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技术规格及要求</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hint="eastAsia" w:ascii="宋体" w:hAnsi="宋体"/>
                <w:szCs w:val="21"/>
              </w:rPr>
              <w:t>满足招标文件要求并提供相关证明材料。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9" w:hRule="atLeast"/>
          <w:jc w:val="center"/>
        </w:trPr>
        <w:tc>
          <w:tcPr>
            <w:tcW w:w="1073" w:type="dxa"/>
            <w:vMerge w:val="continue"/>
            <w:tcBorders>
              <w:right w:val="single" w:color="auto" w:sz="4" w:space="0"/>
            </w:tcBorders>
            <w:vAlign w:val="center"/>
          </w:tcPr>
          <w:p>
            <w:pPr>
              <w:spacing w:line="300" w:lineRule="auto"/>
              <w:jc w:val="center"/>
              <w:rPr>
                <w:rFonts w:ascii="宋体" w:hAnsi="宋体"/>
                <w:szCs w:val="21"/>
              </w:rPr>
            </w:pPr>
          </w:p>
        </w:tc>
        <w:tc>
          <w:tcPr>
            <w:tcW w:w="1181" w:type="dxa"/>
            <w:vMerge w:val="continue"/>
            <w:tcBorders>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联合体</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hint="eastAsia" w:ascii="宋体" w:hAnsi="宋体"/>
                <w:szCs w:val="21"/>
              </w:rPr>
              <w:t>不是联合体投标。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7" w:hRule="atLeast"/>
          <w:jc w:val="center"/>
        </w:trPr>
        <w:tc>
          <w:tcPr>
            <w:tcW w:w="1073" w:type="dxa"/>
            <w:vMerge w:val="continue"/>
            <w:tcBorders>
              <w:right w:val="single" w:color="auto" w:sz="4" w:space="0"/>
            </w:tcBorders>
            <w:vAlign w:val="center"/>
          </w:tcPr>
          <w:p>
            <w:pPr>
              <w:spacing w:line="300" w:lineRule="auto"/>
              <w:jc w:val="center"/>
              <w:rPr>
                <w:rFonts w:ascii="宋体" w:hAnsi="宋体"/>
                <w:szCs w:val="21"/>
              </w:rPr>
            </w:pPr>
          </w:p>
        </w:tc>
        <w:tc>
          <w:tcPr>
            <w:tcW w:w="1181" w:type="dxa"/>
            <w:vMerge w:val="continue"/>
            <w:tcBorders>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投标保证金</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hint="eastAsia" w:ascii="宋体" w:hAnsi="宋体"/>
                <w:szCs w:val="21"/>
              </w:rPr>
              <w:t>满足</w:t>
            </w:r>
            <w:r>
              <w:rPr>
                <w:rFonts w:hint="eastAsia" w:ascii="宋体" w:hAnsi="宋体"/>
                <w:szCs w:val="21"/>
                <w:lang w:eastAsia="zh-CN"/>
              </w:rPr>
              <w:t>供应商</w:t>
            </w:r>
            <w:r>
              <w:rPr>
                <w:rFonts w:hint="eastAsia" w:ascii="宋体" w:hAnsi="宋体"/>
                <w:szCs w:val="21"/>
              </w:rPr>
              <w:t>须知前附表3.4.1项要求。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4" w:hRule="atLeast"/>
          <w:jc w:val="center"/>
        </w:trPr>
        <w:tc>
          <w:tcPr>
            <w:tcW w:w="1073" w:type="dxa"/>
            <w:vMerge w:val="continue"/>
            <w:tcBorders>
              <w:right w:val="single" w:color="auto" w:sz="4" w:space="0"/>
            </w:tcBorders>
            <w:vAlign w:val="center"/>
          </w:tcPr>
          <w:p>
            <w:pPr>
              <w:spacing w:line="300" w:lineRule="auto"/>
              <w:jc w:val="center"/>
              <w:rPr>
                <w:rFonts w:ascii="宋体" w:hAnsi="宋体"/>
                <w:szCs w:val="21"/>
              </w:rPr>
            </w:pPr>
          </w:p>
        </w:tc>
        <w:tc>
          <w:tcPr>
            <w:tcW w:w="1181" w:type="dxa"/>
            <w:vMerge w:val="continue"/>
            <w:tcBorders>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ascii="宋体" w:hAnsi="宋体"/>
                <w:szCs w:val="21"/>
              </w:rPr>
              <w:t>权利义务</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ascii="宋体" w:hAnsi="宋体"/>
                <w:szCs w:val="21"/>
              </w:rPr>
              <w:t>符合第</w:t>
            </w:r>
            <w:r>
              <w:rPr>
                <w:rFonts w:hint="eastAsia" w:ascii="宋体" w:hAnsi="宋体"/>
                <w:szCs w:val="21"/>
              </w:rPr>
              <w:t>五</w:t>
            </w:r>
            <w:r>
              <w:rPr>
                <w:rFonts w:ascii="宋体" w:hAnsi="宋体"/>
                <w:szCs w:val="21"/>
              </w:rPr>
              <w:t>章“合同条款”规定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4" w:hRule="atLeast"/>
          <w:jc w:val="center"/>
        </w:trPr>
        <w:tc>
          <w:tcPr>
            <w:tcW w:w="1073" w:type="dxa"/>
            <w:tcBorders>
              <w:bottom w:val="single" w:color="auto" w:sz="4" w:space="0"/>
              <w:right w:val="single" w:color="auto" w:sz="4" w:space="0"/>
            </w:tcBorders>
            <w:vAlign w:val="center"/>
          </w:tcPr>
          <w:p>
            <w:pPr>
              <w:spacing w:line="300" w:lineRule="auto"/>
              <w:jc w:val="center"/>
              <w:rPr>
                <w:rFonts w:ascii="宋体" w:hAnsi="宋体"/>
                <w:szCs w:val="21"/>
              </w:rPr>
            </w:pPr>
          </w:p>
        </w:tc>
        <w:tc>
          <w:tcPr>
            <w:tcW w:w="1181" w:type="dxa"/>
            <w:tcBorders>
              <w:bottom w:val="single" w:color="auto" w:sz="4" w:space="0"/>
              <w:right w:val="single" w:color="auto" w:sz="4" w:space="0"/>
            </w:tcBorders>
            <w:vAlign w:val="center"/>
          </w:tcPr>
          <w:p>
            <w:pPr>
              <w:spacing w:line="300" w:lineRule="auto"/>
              <w:jc w:val="center"/>
              <w:rPr>
                <w:rFonts w:ascii="宋体" w:hAnsi="宋体"/>
                <w:szCs w:val="21"/>
              </w:rPr>
            </w:pPr>
          </w:p>
        </w:tc>
        <w:tc>
          <w:tcPr>
            <w:tcW w:w="199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其他</w:t>
            </w:r>
          </w:p>
        </w:tc>
        <w:tc>
          <w:tcPr>
            <w:tcW w:w="4867"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r>
              <w:rPr>
                <w:rFonts w:hint="eastAsia" w:ascii="宋体" w:hAnsi="宋体"/>
                <w:szCs w:val="21"/>
              </w:rPr>
              <w:t>法律法规及招标文件规定的其他要求。</w:t>
            </w:r>
          </w:p>
        </w:tc>
      </w:tr>
    </w:tbl>
    <w:p>
      <w:pPr>
        <w:pStyle w:val="39"/>
        <w:numPr>
          <w:ilvl w:val="0"/>
          <w:numId w:val="0"/>
        </w:numPr>
        <w:rPr>
          <w:rFonts w:asciiTheme="majorEastAsia" w:hAnsiTheme="majorEastAsia" w:eastAsiaTheme="majorEastAsia"/>
          <w:b/>
          <w:bCs/>
          <w:sz w:val="24"/>
        </w:rPr>
      </w:pPr>
    </w:p>
    <w:p>
      <w:pPr>
        <w:pStyle w:val="39"/>
        <w:numPr>
          <w:ilvl w:val="0"/>
          <w:numId w:val="0"/>
        </w:numPr>
        <w:rPr>
          <w:rFonts w:asciiTheme="majorEastAsia" w:hAnsiTheme="majorEastAsia" w:eastAsiaTheme="majorEastAsia"/>
          <w:b/>
          <w:bCs/>
          <w:sz w:val="24"/>
        </w:rPr>
      </w:pPr>
    </w:p>
    <w:p>
      <w:pPr>
        <w:autoSpaceDN w:val="0"/>
        <w:adjustRightInd w:val="0"/>
        <w:snapToGrid w:val="0"/>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注：供应商或其投标文件不符合上述情况之一的，则符合性审查不合格，不进入详细评审；</w:t>
      </w:r>
    </w:p>
    <w:p>
      <w:pPr>
        <w:autoSpaceDN w:val="0"/>
        <w:adjustRightInd w:val="0"/>
        <w:snapToGrid w:val="0"/>
        <w:spacing w:line="360" w:lineRule="auto"/>
        <w:rPr>
          <w:rFonts w:cs="黑体" w:asciiTheme="majorEastAsia" w:hAnsiTheme="majorEastAsia" w:eastAsiaTheme="majorEastAsia"/>
          <w:b/>
          <w:bCs/>
          <w:sz w:val="24"/>
        </w:rPr>
      </w:pPr>
      <w:r>
        <w:rPr>
          <w:rFonts w:hint="eastAsia" w:cs="黑体" w:asciiTheme="majorEastAsia" w:hAnsiTheme="majorEastAsia" w:eastAsiaTheme="majorEastAsia"/>
          <w:b/>
          <w:bCs/>
          <w:sz w:val="24"/>
        </w:rPr>
        <w:br w:type="page"/>
      </w:r>
      <w:r>
        <w:rPr>
          <w:rFonts w:hint="eastAsia" w:asciiTheme="majorEastAsia" w:hAnsiTheme="majorEastAsia" w:eastAsiaTheme="majorEastAsia"/>
          <w:b/>
          <w:bCs/>
          <w:sz w:val="24"/>
        </w:rPr>
        <w:t xml:space="preserve">（三）详细评审 </w:t>
      </w:r>
    </w:p>
    <w:p>
      <w:pPr>
        <w:pStyle w:val="11"/>
        <w:tabs>
          <w:tab w:val="left" w:pos="6840"/>
        </w:tabs>
        <w:autoSpaceDN w:val="0"/>
        <w:adjustRightInd w:val="0"/>
        <w:snapToGrid w:val="0"/>
        <w:spacing w:line="240" w:lineRule="auto"/>
        <w:ind w:right="-57"/>
        <w:jc w:val="center"/>
        <w:rPr>
          <w:rFonts w:asciiTheme="majorEastAsia" w:hAnsiTheme="majorEastAsia" w:eastAsiaTheme="majorEastAsia"/>
          <w:b/>
          <w:bCs/>
          <w:szCs w:val="21"/>
        </w:rPr>
      </w:pPr>
      <w:r>
        <w:rPr>
          <w:rFonts w:hint="eastAsia" w:asciiTheme="majorEastAsia" w:hAnsiTheme="majorEastAsia" w:eastAsiaTheme="majorEastAsia"/>
          <w:b/>
          <w:bCs/>
          <w:szCs w:val="21"/>
        </w:rPr>
        <w:t>详细评审表</w:t>
      </w:r>
    </w:p>
    <w:tbl>
      <w:tblPr>
        <w:tblStyle w:val="22"/>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928"/>
        <w:gridCol w:w="5172"/>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2963" w:type="dxa"/>
            <w:gridSpan w:val="2"/>
            <w:vAlign w:val="center"/>
          </w:tcPr>
          <w:p>
            <w:pPr>
              <w:pStyle w:val="11"/>
              <w:tabs>
                <w:tab w:val="left" w:pos="6840"/>
              </w:tabs>
              <w:adjustRightInd w:val="0"/>
              <w:snapToGrid w:val="0"/>
              <w:spacing w:before="36" w:beforeLines="15" w:line="276" w:lineRule="auto"/>
              <w:ind w:right="-56"/>
              <w:jc w:val="center"/>
              <w:rPr>
                <w:rFonts w:ascii="宋体" w:hAnsi="宋体"/>
                <w:color w:val="auto"/>
                <w:szCs w:val="21"/>
                <w:highlight w:val="none"/>
              </w:rPr>
            </w:pPr>
            <w:r>
              <w:rPr>
                <w:rFonts w:hint="eastAsia" w:ascii="宋体" w:hAnsi="宋体"/>
                <w:color w:val="auto"/>
                <w:szCs w:val="21"/>
                <w:highlight w:val="none"/>
              </w:rPr>
              <w:t>评审内容</w:t>
            </w:r>
          </w:p>
        </w:tc>
        <w:tc>
          <w:tcPr>
            <w:tcW w:w="5172" w:type="dxa"/>
            <w:vAlign w:val="center"/>
          </w:tcPr>
          <w:p>
            <w:pPr>
              <w:pStyle w:val="11"/>
              <w:tabs>
                <w:tab w:val="left" w:pos="6840"/>
              </w:tabs>
              <w:adjustRightInd w:val="0"/>
              <w:snapToGrid w:val="0"/>
              <w:spacing w:before="36" w:beforeLines="15" w:line="276" w:lineRule="auto"/>
              <w:ind w:right="-56"/>
              <w:jc w:val="center"/>
              <w:rPr>
                <w:rFonts w:ascii="宋体" w:hAnsi="宋体"/>
                <w:color w:val="auto"/>
                <w:szCs w:val="21"/>
                <w:highlight w:val="none"/>
              </w:rPr>
            </w:pPr>
            <w:r>
              <w:rPr>
                <w:rFonts w:hint="eastAsia" w:ascii="宋体" w:hAnsi="宋体"/>
                <w:color w:val="auto"/>
                <w:szCs w:val="21"/>
                <w:highlight w:val="none"/>
              </w:rPr>
              <w:t>评审标准</w:t>
            </w:r>
          </w:p>
        </w:tc>
        <w:tc>
          <w:tcPr>
            <w:tcW w:w="783" w:type="dxa"/>
            <w:vAlign w:val="center"/>
          </w:tcPr>
          <w:p>
            <w:pPr>
              <w:pStyle w:val="11"/>
              <w:tabs>
                <w:tab w:val="left" w:pos="6840"/>
              </w:tabs>
              <w:adjustRightInd w:val="0"/>
              <w:snapToGrid w:val="0"/>
              <w:spacing w:before="36" w:beforeLines="15" w:line="276" w:lineRule="auto"/>
              <w:ind w:right="-56"/>
              <w:jc w:val="center"/>
              <w:rPr>
                <w:rFonts w:ascii="宋体" w:hAnsi="宋体"/>
                <w:color w:val="auto"/>
                <w:szCs w:val="21"/>
                <w:highlight w:val="none"/>
              </w:rPr>
            </w:pPr>
            <w:r>
              <w:rPr>
                <w:rFonts w:hint="eastAsia" w:ascii="宋体" w:hAnsi="宋体"/>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7" w:hRule="atLeast"/>
          <w:jc w:val="center"/>
        </w:trPr>
        <w:tc>
          <w:tcPr>
            <w:tcW w:w="2963" w:type="dxa"/>
            <w:gridSpan w:val="2"/>
            <w:vAlign w:val="center"/>
          </w:tcPr>
          <w:p>
            <w:pPr>
              <w:adjustRightInd w:val="0"/>
              <w:snapToGrid w:val="0"/>
              <w:spacing w:before="36" w:beforeLines="15" w:line="276" w:lineRule="auto"/>
              <w:jc w:val="center"/>
              <w:rPr>
                <w:rFonts w:ascii="宋体" w:hAnsi="宋体"/>
                <w:color w:val="auto"/>
                <w:szCs w:val="21"/>
                <w:highlight w:val="none"/>
              </w:rPr>
            </w:pPr>
            <w:r>
              <w:rPr>
                <w:rFonts w:hint="eastAsia" w:ascii="宋体" w:hAnsi="宋体"/>
                <w:color w:val="auto"/>
                <w:szCs w:val="21"/>
                <w:highlight w:val="none"/>
              </w:rPr>
              <w:t>投标报价（</w:t>
            </w:r>
            <w:r>
              <w:rPr>
                <w:rFonts w:hint="eastAsia" w:ascii="宋体" w:hAnsi="宋体"/>
                <w:color w:val="auto"/>
                <w:szCs w:val="21"/>
                <w:highlight w:val="none"/>
                <w:lang w:val="en-US" w:eastAsia="zh-CN"/>
              </w:rPr>
              <w:t>30</w:t>
            </w:r>
            <w:r>
              <w:rPr>
                <w:rFonts w:hint="eastAsia" w:ascii="宋体" w:hAnsi="宋体"/>
                <w:color w:val="auto"/>
                <w:szCs w:val="21"/>
                <w:highlight w:val="none"/>
              </w:rPr>
              <w:t>分）</w:t>
            </w:r>
          </w:p>
        </w:tc>
        <w:tc>
          <w:tcPr>
            <w:tcW w:w="5172" w:type="dxa"/>
            <w:vAlign w:val="center"/>
          </w:tcPr>
          <w:p>
            <w:pPr>
              <w:adjustRightInd w:val="0"/>
              <w:snapToGrid w:val="0"/>
              <w:spacing w:before="36" w:beforeLines="15" w:line="276" w:lineRule="auto"/>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价格分统一采用低价优先法计算，即满足招标文件要求</w:t>
            </w:r>
          </w:p>
          <w:p>
            <w:pPr>
              <w:adjustRightInd w:val="0"/>
              <w:snapToGrid w:val="0"/>
              <w:spacing w:before="36" w:beforeLines="15" w:line="276" w:lineRule="auto"/>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且报价最低的投标报价为评标基准价，其价格分为满分。</w:t>
            </w:r>
          </w:p>
          <w:p>
            <w:pPr>
              <w:adjustRightInd w:val="0"/>
              <w:snapToGrid w:val="0"/>
              <w:spacing w:before="36" w:beforeLines="15" w:line="276" w:lineRule="auto"/>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其他供应商的价格分统一按照下列公式计算：</w:t>
            </w:r>
          </w:p>
          <w:p>
            <w:pPr>
              <w:adjustRightInd w:val="0"/>
              <w:snapToGrid w:val="0"/>
              <w:spacing w:before="36" w:beforeLines="15" w:line="276" w:lineRule="auto"/>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投标报价得分=（评标基准价／投标报价）×价权值</w:t>
            </w:r>
          </w:p>
          <w:p>
            <w:pPr>
              <w:adjustRightInd w:val="0"/>
              <w:snapToGrid w:val="0"/>
              <w:spacing w:before="36" w:beforeLines="15" w:line="276" w:lineRule="auto"/>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备注：</w:t>
            </w:r>
          </w:p>
          <w:p>
            <w:pPr>
              <w:adjustRightInd w:val="0"/>
              <w:snapToGrid w:val="0"/>
              <w:spacing w:before="36" w:beforeLines="15" w:line="276" w:lineRule="auto"/>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1.投标报价得分四舍五入后，小数点后保留两位有效数</w:t>
            </w:r>
          </w:p>
          <w:p>
            <w:pPr>
              <w:adjustRightInd w:val="0"/>
              <w:snapToGrid w:val="0"/>
              <w:spacing w:before="36" w:beforeLines="15" w:line="276" w:lineRule="auto"/>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字。</w:t>
            </w:r>
          </w:p>
          <w:p>
            <w:pPr>
              <w:adjustRightInd w:val="0"/>
              <w:snapToGrid w:val="0"/>
              <w:spacing w:before="36" w:beforeLines="15" w:line="276" w:lineRule="auto"/>
              <w:rPr>
                <w:rFonts w:ascii="宋体" w:hAnsi="宋体"/>
                <w:color w:val="auto"/>
                <w:szCs w:val="21"/>
                <w:highlight w:val="none"/>
              </w:rPr>
            </w:pPr>
            <w:r>
              <w:rPr>
                <w:rFonts w:hint="eastAsia" w:ascii="宋体" w:hAnsi="宋体" w:cs="宋体"/>
                <w:color w:val="auto"/>
                <w:kern w:val="0"/>
                <w:szCs w:val="21"/>
                <w:highlight w:val="none"/>
                <w:lang w:val="zh-CN"/>
              </w:rPr>
              <w:t>2.评标委员会认为供应商的报价明显低于其他通过符合性审查供应商的报价，有可能影响产品质量或者不能诚信履约的，应当要求其在评标现场合理的时间内（评标工作结束前）提供书面说明，必要时提交相关证明材料；供应商不能证明其报价合理性的，评标委员会应当将其作为无效投标处理。</w:t>
            </w:r>
          </w:p>
        </w:tc>
        <w:tc>
          <w:tcPr>
            <w:tcW w:w="783" w:type="dxa"/>
            <w:vAlign w:val="center"/>
          </w:tcPr>
          <w:p>
            <w:pPr>
              <w:autoSpaceDE w:val="0"/>
              <w:autoSpaceDN w:val="0"/>
              <w:adjustRightInd w:val="0"/>
              <w:jc w:val="center"/>
              <w:rPr>
                <w:rFonts w:ascii="宋体" w:hAnsi="宋体" w:cs="宋体"/>
                <w:color w:val="auto"/>
                <w:kern w:val="0"/>
                <w:szCs w:val="21"/>
                <w:highlight w:val="none"/>
                <w:lang w:val="zh-CN"/>
              </w:rPr>
            </w:pPr>
            <w:r>
              <w:rPr>
                <w:rFonts w:hint="eastAsia" w:ascii="宋体" w:hAnsi="宋体" w:cs="宋体"/>
                <w:color w:val="auto"/>
                <w:kern w:val="0"/>
                <w:szCs w:val="21"/>
                <w:highlight w:val="none"/>
                <w:lang w:val="en-US" w:eastAsia="zh-CN"/>
              </w:rPr>
              <w:t>30</w:t>
            </w:r>
            <w:r>
              <w:rPr>
                <w:rFonts w:hint="eastAsia" w:ascii="宋体" w:hAnsi="宋体" w:cs="宋体"/>
                <w:color w:val="auto"/>
                <w:kern w:val="0"/>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1035" w:type="dxa"/>
            <w:vMerge w:val="restart"/>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商务</w:t>
            </w:r>
          </w:p>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条款</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7</w:t>
            </w:r>
            <w:r>
              <w:rPr>
                <w:rFonts w:hint="eastAsia" w:ascii="宋体" w:hAnsi="宋体"/>
                <w:color w:val="auto"/>
                <w:szCs w:val="21"/>
                <w:highlight w:val="none"/>
              </w:rPr>
              <w:t>分）</w:t>
            </w:r>
          </w:p>
        </w:tc>
        <w:tc>
          <w:tcPr>
            <w:tcW w:w="1928"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企业业绩</w:t>
            </w:r>
          </w:p>
        </w:tc>
        <w:tc>
          <w:tcPr>
            <w:tcW w:w="5172" w:type="dxa"/>
            <w:vAlign w:val="center"/>
          </w:tcPr>
          <w:p>
            <w:pPr>
              <w:adjustRightInd w:val="0"/>
              <w:snapToGrid w:val="0"/>
              <w:spacing w:before="36" w:beforeLines="15" w:line="276" w:lineRule="auto"/>
              <w:rPr>
                <w:rFonts w:ascii="宋体" w:hAnsi="宋体"/>
                <w:color w:val="auto"/>
                <w:szCs w:val="21"/>
                <w:highlight w:val="none"/>
              </w:rPr>
            </w:pPr>
            <w:r>
              <w:rPr>
                <w:rFonts w:hint="eastAsia" w:ascii="宋体" w:hAnsi="宋体"/>
                <w:color w:val="auto"/>
                <w:szCs w:val="21"/>
                <w:highlight w:val="none"/>
              </w:rPr>
              <w:t>提交投标文件截止日前</w:t>
            </w:r>
            <w:r>
              <w:rPr>
                <w:rFonts w:hint="eastAsia" w:ascii="宋体" w:hAnsi="宋体"/>
                <w:color w:val="auto"/>
                <w:szCs w:val="21"/>
                <w:highlight w:val="none"/>
                <w:lang w:val="en-US" w:eastAsia="zh-CN"/>
              </w:rPr>
              <w:t>3</w:t>
            </w:r>
            <w:r>
              <w:rPr>
                <w:rFonts w:hint="eastAsia" w:ascii="宋体" w:hAnsi="宋体"/>
                <w:color w:val="auto"/>
                <w:szCs w:val="21"/>
                <w:highlight w:val="none"/>
              </w:rPr>
              <w:t>年内类似合同业绩，每提供一份得</w:t>
            </w:r>
            <w:r>
              <w:rPr>
                <w:rFonts w:hint="eastAsia" w:ascii="宋体" w:hAnsi="宋体"/>
                <w:color w:val="auto"/>
                <w:szCs w:val="21"/>
                <w:highlight w:val="none"/>
                <w:lang w:val="en-US" w:eastAsia="zh-CN"/>
              </w:rPr>
              <w:t>1</w:t>
            </w:r>
            <w:r>
              <w:rPr>
                <w:rFonts w:hint="eastAsia" w:ascii="宋体" w:hAnsi="宋体"/>
                <w:color w:val="auto"/>
                <w:szCs w:val="21"/>
                <w:highlight w:val="none"/>
              </w:rPr>
              <w:t>分，最高得</w:t>
            </w:r>
            <w:r>
              <w:rPr>
                <w:rFonts w:hint="eastAsia" w:ascii="宋体" w:hAnsi="宋体"/>
                <w:color w:val="auto"/>
                <w:szCs w:val="21"/>
                <w:highlight w:val="none"/>
                <w:lang w:val="en-US" w:eastAsia="zh-CN"/>
              </w:rPr>
              <w:t>2</w:t>
            </w:r>
            <w:r>
              <w:rPr>
                <w:rFonts w:hint="eastAsia" w:ascii="宋体" w:hAnsi="宋体"/>
                <w:color w:val="auto"/>
                <w:szCs w:val="21"/>
                <w:highlight w:val="none"/>
              </w:rPr>
              <w:t>分。（以投标文件中提交的合同扫描件及合同期内任意一个月发票扫描件为评分依据，未提供不得分）。</w:t>
            </w:r>
          </w:p>
        </w:tc>
        <w:tc>
          <w:tcPr>
            <w:tcW w:w="783" w:type="dxa"/>
            <w:vAlign w:val="center"/>
          </w:tcPr>
          <w:p>
            <w:pPr>
              <w:adjustRightInd w:val="0"/>
              <w:snapToGrid w:val="0"/>
              <w:spacing w:before="36" w:beforeLines="15" w:line="276" w:lineRule="auto"/>
              <w:jc w:val="center"/>
              <w:rPr>
                <w:rFonts w:ascii="宋体" w:hAnsi="宋体"/>
                <w:color w:val="auto"/>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1035" w:type="dxa"/>
            <w:vMerge w:val="continue"/>
            <w:vAlign w:val="center"/>
          </w:tcPr>
          <w:p>
            <w:pPr>
              <w:autoSpaceDE w:val="0"/>
              <w:autoSpaceDN w:val="0"/>
              <w:adjustRightInd w:val="0"/>
              <w:snapToGrid w:val="0"/>
              <w:spacing w:before="36" w:beforeLines="15" w:line="276" w:lineRule="auto"/>
              <w:jc w:val="center"/>
              <w:rPr>
                <w:rFonts w:ascii="宋体" w:hAnsi="宋体" w:cs="仿宋_GB2312"/>
                <w:color w:val="auto"/>
                <w:kern w:val="0"/>
                <w:szCs w:val="21"/>
                <w:highlight w:val="none"/>
              </w:rPr>
            </w:pPr>
          </w:p>
        </w:tc>
        <w:tc>
          <w:tcPr>
            <w:tcW w:w="1928" w:type="dxa"/>
            <w:vAlign w:val="center"/>
          </w:tcPr>
          <w:p>
            <w:pPr>
              <w:autoSpaceDE w:val="0"/>
              <w:autoSpaceDN w:val="0"/>
              <w:adjustRightInd w:val="0"/>
              <w:snapToGrid w:val="0"/>
              <w:spacing w:before="36" w:beforeLines="15" w:line="276" w:lineRule="auto"/>
              <w:jc w:val="center"/>
              <w:rPr>
                <w:rFonts w:ascii="宋体" w:hAnsi="宋体" w:cs="仿宋_GB2312"/>
                <w:color w:val="auto"/>
                <w:kern w:val="0"/>
                <w:szCs w:val="21"/>
                <w:highlight w:val="none"/>
              </w:rPr>
            </w:pPr>
            <w:r>
              <w:rPr>
                <w:rFonts w:hint="eastAsia" w:ascii="宋体" w:hAnsi="宋体" w:cs="仿宋_GB2312"/>
                <w:color w:val="auto"/>
                <w:kern w:val="0"/>
                <w:szCs w:val="21"/>
                <w:highlight w:val="none"/>
              </w:rPr>
              <w:t>项目负责人</w:t>
            </w:r>
          </w:p>
        </w:tc>
        <w:tc>
          <w:tcPr>
            <w:tcW w:w="5172" w:type="dxa"/>
            <w:vAlign w:val="center"/>
          </w:tcPr>
          <w:p>
            <w:pPr>
              <w:adjustRightInd w:val="0"/>
              <w:snapToGrid w:val="0"/>
              <w:spacing w:before="36" w:beforeLines="15" w:line="276" w:lineRule="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保安人员中设置</w:t>
            </w:r>
            <w:r>
              <w:rPr>
                <w:rFonts w:hint="eastAsia" w:ascii="宋体" w:hAnsi="宋体"/>
                <w:color w:val="auto"/>
                <w:szCs w:val="21"/>
                <w:highlight w:val="none"/>
              </w:rPr>
              <w:t>项目负责人1人，协调与督促秩序安全、</w:t>
            </w:r>
            <w:r>
              <w:rPr>
                <w:rFonts w:hint="eastAsia" w:ascii="宋体" w:hAnsi="宋体"/>
                <w:color w:val="auto"/>
                <w:szCs w:val="21"/>
                <w:highlight w:val="none"/>
                <w:lang w:val="en-US" w:eastAsia="zh-CN"/>
              </w:rPr>
              <w:t>人事调拨、紧急突发事件处置</w:t>
            </w:r>
            <w:r>
              <w:rPr>
                <w:rFonts w:hint="eastAsia" w:ascii="宋体" w:hAnsi="宋体"/>
                <w:color w:val="auto"/>
                <w:szCs w:val="21"/>
                <w:highlight w:val="none"/>
              </w:rPr>
              <w:t>等工作</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项目负责人</w:t>
            </w:r>
            <w:r>
              <w:rPr>
                <w:rFonts w:hint="eastAsia" w:ascii="宋体" w:hAnsi="宋体"/>
                <w:color w:val="auto"/>
                <w:szCs w:val="21"/>
                <w:highlight w:val="none"/>
              </w:rPr>
              <w:t>具备</w:t>
            </w:r>
            <w:r>
              <w:rPr>
                <w:rFonts w:hint="eastAsia" w:ascii="宋体" w:hAnsi="宋体"/>
                <w:color w:val="auto"/>
                <w:szCs w:val="21"/>
                <w:highlight w:val="none"/>
                <w:lang w:val="en-US" w:eastAsia="zh-CN"/>
              </w:rPr>
              <w:t>高级保安师职业资格的得5分，不具备不得分。（</w:t>
            </w:r>
            <w:r>
              <w:rPr>
                <w:rFonts w:hint="eastAsia" w:ascii="宋体" w:hAnsi="宋体"/>
                <w:color w:val="auto"/>
                <w:szCs w:val="21"/>
                <w:highlight w:val="none"/>
              </w:rPr>
              <w:t>标书内附</w:t>
            </w:r>
            <w:r>
              <w:rPr>
                <w:rFonts w:hint="eastAsia" w:ascii="宋体" w:hAnsi="宋体"/>
                <w:color w:val="auto"/>
                <w:szCs w:val="21"/>
                <w:highlight w:val="none"/>
                <w:lang w:val="en-US" w:eastAsia="zh-CN"/>
              </w:rPr>
              <w:t>职业资格证书</w:t>
            </w:r>
            <w:r>
              <w:rPr>
                <w:rFonts w:hint="eastAsia" w:ascii="宋体" w:hAnsi="宋体"/>
                <w:color w:val="auto"/>
                <w:szCs w:val="21"/>
                <w:highlight w:val="none"/>
              </w:rPr>
              <w:t>及近半年企业为其缴纳的社会保障资金证明材料加盖公章</w:t>
            </w:r>
            <w:r>
              <w:rPr>
                <w:rFonts w:hint="eastAsia" w:ascii="宋体" w:hAnsi="宋体"/>
                <w:color w:val="auto"/>
                <w:szCs w:val="21"/>
                <w:highlight w:val="none"/>
                <w:lang w:eastAsia="zh-CN"/>
              </w:rPr>
              <w:t>，</w:t>
            </w:r>
            <w:r>
              <w:rPr>
                <w:rFonts w:hint="eastAsia" w:ascii="宋体" w:hAnsi="宋体"/>
                <w:color w:val="auto"/>
                <w:szCs w:val="21"/>
                <w:highlight w:val="none"/>
              </w:rPr>
              <w:t>按要求提供材料得</w:t>
            </w:r>
            <w:r>
              <w:rPr>
                <w:rFonts w:hint="eastAsia" w:ascii="宋体" w:hAnsi="宋体"/>
                <w:color w:val="auto"/>
                <w:szCs w:val="21"/>
                <w:highlight w:val="none"/>
                <w:lang w:val="en-US" w:eastAsia="zh-CN"/>
              </w:rPr>
              <w:t>5</w:t>
            </w:r>
            <w:r>
              <w:rPr>
                <w:rFonts w:hint="eastAsia" w:ascii="宋体" w:hAnsi="宋体"/>
                <w:color w:val="auto"/>
                <w:szCs w:val="21"/>
                <w:highlight w:val="none"/>
              </w:rPr>
              <w:t>分，否则不得分</w:t>
            </w:r>
            <w:r>
              <w:rPr>
                <w:rFonts w:hint="eastAsia" w:ascii="宋体" w:hAnsi="宋体"/>
                <w:color w:val="auto"/>
                <w:szCs w:val="21"/>
                <w:highlight w:val="none"/>
                <w:lang w:val="en-US" w:eastAsia="zh-CN"/>
              </w:rPr>
              <w:t>）</w:t>
            </w:r>
            <w:r>
              <w:rPr>
                <w:rFonts w:hint="eastAsia" w:ascii="宋体" w:hAnsi="宋体"/>
                <w:color w:val="auto"/>
                <w:szCs w:val="21"/>
                <w:highlight w:val="none"/>
              </w:rPr>
              <w:t>。</w:t>
            </w:r>
          </w:p>
        </w:tc>
        <w:tc>
          <w:tcPr>
            <w:tcW w:w="783" w:type="dxa"/>
            <w:vAlign w:val="center"/>
          </w:tcPr>
          <w:p>
            <w:pPr>
              <w:pStyle w:val="13"/>
              <w:tabs>
                <w:tab w:val="clear" w:pos="4153"/>
                <w:tab w:val="clear" w:pos="8306"/>
              </w:tabs>
              <w:autoSpaceDE w:val="0"/>
              <w:autoSpaceDN w:val="0"/>
              <w:adjustRightInd w:val="0"/>
              <w:spacing w:before="36" w:beforeLines="15" w:line="276" w:lineRule="auto"/>
              <w:jc w:val="center"/>
              <w:rPr>
                <w:rFonts w:hint="eastAsia" w:ascii="宋体" w:hAnsi="宋体" w:cs="仿宋_GB2312"/>
                <w:color w:val="auto"/>
                <w:sz w:val="21"/>
                <w:szCs w:val="21"/>
                <w:highlight w:val="none"/>
                <w:lang w:val="en-US" w:eastAsia="zh-CN"/>
              </w:rPr>
            </w:pPr>
            <w:r>
              <w:rPr>
                <w:rFonts w:hint="eastAsia" w:ascii="宋体" w:hAnsi="宋体" w:cs="仿宋_GB2312"/>
                <w:color w:val="auto"/>
                <w:sz w:val="21"/>
                <w:szCs w:val="21"/>
                <w:highlight w:val="none"/>
                <w:lang w:val="en-US" w:eastAsia="zh-CN"/>
              </w:rPr>
              <w:t>5</w:t>
            </w:r>
            <w:r>
              <w:rPr>
                <w:rFonts w:hint="eastAsia" w:ascii="宋体" w:hAnsi="宋体" w:cs="宋体"/>
                <w:color w:val="auto"/>
                <w:kern w:val="0"/>
                <w:sz w:val="21"/>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6" w:hRule="atLeast"/>
          <w:jc w:val="center"/>
        </w:trPr>
        <w:tc>
          <w:tcPr>
            <w:tcW w:w="1035" w:type="dxa"/>
            <w:vMerge w:val="restart"/>
            <w:vAlign w:val="center"/>
          </w:tcPr>
          <w:p>
            <w:pPr>
              <w:adjustRightInd w:val="0"/>
              <w:snapToGrid w:val="0"/>
              <w:spacing w:before="36" w:beforeLines="15" w:line="276" w:lineRule="auto"/>
              <w:jc w:val="center"/>
              <w:rPr>
                <w:rFonts w:hint="eastAsia" w:ascii="宋体" w:hAnsi="宋体"/>
                <w:color w:val="auto"/>
                <w:szCs w:val="21"/>
                <w:highlight w:val="none"/>
              </w:rPr>
            </w:pPr>
            <w:r>
              <w:rPr>
                <w:rFonts w:hint="eastAsia" w:ascii="宋体" w:hAnsi="宋体"/>
                <w:color w:val="auto"/>
                <w:szCs w:val="21"/>
                <w:highlight w:val="none"/>
              </w:rPr>
              <w:t>技术</w:t>
            </w:r>
          </w:p>
          <w:p>
            <w:pPr>
              <w:adjustRightInd w:val="0"/>
              <w:snapToGrid w:val="0"/>
              <w:spacing w:before="36" w:beforeLines="15" w:line="276" w:lineRule="auto"/>
              <w:jc w:val="center"/>
              <w:rPr>
                <w:rFonts w:hint="eastAsia" w:ascii="宋体" w:hAnsi="宋体"/>
                <w:color w:val="auto"/>
                <w:szCs w:val="21"/>
                <w:highlight w:val="none"/>
              </w:rPr>
            </w:pPr>
            <w:r>
              <w:rPr>
                <w:rFonts w:hint="eastAsia" w:ascii="宋体" w:hAnsi="宋体"/>
                <w:color w:val="auto"/>
                <w:szCs w:val="21"/>
                <w:highlight w:val="none"/>
              </w:rPr>
              <w:t>条款</w:t>
            </w:r>
          </w:p>
          <w:p>
            <w:pPr>
              <w:adjustRightInd w:val="0"/>
              <w:snapToGrid w:val="0"/>
              <w:spacing w:before="36" w:beforeLines="15" w:line="276" w:lineRule="auto"/>
              <w:jc w:val="center"/>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53</w:t>
            </w:r>
            <w:bookmarkStart w:id="185" w:name="_GoBack"/>
            <w:bookmarkEnd w:id="185"/>
            <w:r>
              <w:rPr>
                <w:rFonts w:hint="eastAsia" w:ascii="宋体" w:hAnsi="宋体"/>
                <w:color w:val="auto"/>
                <w:szCs w:val="21"/>
                <w:highlight w:val="none"/>
              </w:rPr>
              <w:t>分）</w:t>
            </w:r>
          </w:p>
        </w:tc>
        <w:tc>
          <w:tcPr>
            <w:tcW w:w="1928" w:type="dxa"/>
            <w:vAlign w:val="center"/>
          </w:tcPr>
          <w:p>
            <w:pPr>
              <w:autoSpaceDE w:val="0"/>
              <w:autoSpaceDN w:val="0"/>
              <w:adjustRightInd w:val="0"/>
              <w:jc w:val="center"/>
              <w:rPr>
                <w:rFonts w:hint="default" w:ascii="宋体" w:hAnsi="宋体" w:eastAsia="宋体"/>
                <w:color w:val="auto"/>
                <w:szCs w:val="21"/>
                <w:highlight w:val="none"/>
                <w:lang w:val="en-US" w:eastAsia="zh-CN"/>
              </w:rPr>
            </w:pPr>
            <w:r>
              <w:rPr>
                <w:rFonts w:hint="eastAsia" w:ascii="宋体" w:hAnsi="宋体"/>
                <w:color w:val="auto"/>
                <w:szCs w:val="21"/>
                <w:highlight w:val="none"/>
              </w:rPr>
              <w:t>项目</w:t>
            </w:r>
            <w:r>
              <w:rPr>
                <w:rFonts w:hint="eastAsia" w:ascii="宋体" w:hAnsi="宋体"/>
                <w:color w:val="auto"/>
                <w:szCs w:val="21"/>
                <w:highlight w:val="none"/>
                <w:lang w:val="en-US" w:eastAsia="zh-CN"/>
              </w:rPr>
              <w:t>整体服务</w:t>
            </w:r>
            <w:r>
              <w:rPr>
                <w:rFonts w:hint="eastAsia" w:ascii="宋体" w:hAnsi="宋体"/>
                <w:color w:val="auto"/>
                <w:szCs w:val="21"/>
                <w:highlight w:val="none"/>
              </w:rPr>
              <w:t>方案</w:t>
            </w:r>
          </w:p>
        </w:tc>
        <w:tc>
          <w:tcPr>
            <w:tcW w:w="5172"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根据本项目的整体服务方案（包括但不限于项目实施的</w:t>
            </w:r>
            <w:r>
              <w:rPr>
                <w:rFonts w:hint="eastAsia" w:ascii="宋体" w:hAnsi="宋体" w:eastAsia="宋体" w:cs="宋体"/>
                <w:color w:val="auto"/>
                <w:sz w:val="21"/>
                <w:szCs w:val="21"/>
                <w:highlight w:val="none"/>
                <w:lang w:val="en-US" w:eastAsia="zh-CN"/>
              </w:rPr>
              <w:t>总体策划、</w:t>
            </w:r>
            <w:r>
              <w:rPr>
                <w:rFonts w:hint="eastAsia" w:ascii="宋体" w:hAnsi="宋体" w:cs="宋体"/>
                <w:color w:val="auto"/>
                <w:sz w:val="21"/>
                <w:szCs w:val="21"/>
                <w:highlight w:val="none"/>
                <w:lang w:val="en-US" w:eastAsia="zh-CN"/>
              </w:rPr>
              <w:t>管理制度、</w:t>
            </w:r>
            <w:r>
              <w:rPr>
                <w:rFonts w:hint="eastAsia" w:ascii="宋体" w:hAnsi="宋体" w:eastAsia="宋体" w:cs="宋体"/>
                <w:color w:val="auto"/>
                <w:sz w:val="21"/>
                <w:szCs w:val="21"/>
                <w:highlight w:val="none"/>
                <w:lang w:val="en-US" w:eastAsia="zh-CN"/>
              </w:rPr>
              <w:t>保安服务作业</w:t>
            </w:r>
            <w:r>
              <w:rPr>
                <w:rFonts w:hint="eastAsia" w:ascii="宋体" w:hAnsi="宋体" w:cs="宋体"/>
                <w:color w:val="auto"/>
                <w:sz w:val="21"/>
                <w:szCs w:val="21"/>
                <w:highlight w:val="none"/>
                <w:lang w:val="en-US" w:eastAsia="zh-CN"/>
              </w:rPr>
              <w:t>规程</w:t>
            </w:r>
            <w:r>
              <w:rPr>
                <w:rFonts w:hint="eastAsia" w:ascii="宋体" w:hAnsi="宋体" w:eastAsia="宋体" w:cs="宋体"/>
                <w:color w:val="auto"/>
                <w:sz w:val="21"/>
                <w:szCs w:val="21"/>
                <w:highlight w:val="none"/>
              </w:rPr>
              <w:t>等内容）给出得分：</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①整体服务方案编制科学合理，内容全面且有针对性，整体服务方案详细、先进且具备可行性，措施切实可行的，得</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14</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②整体服务方案编制比较科学合理，内容比较全面、比较有针对性，整体服务方案比较详细、基本具备先进性和可行性，比较可行的，得</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③整体服务方案编制一般科学合理，内容简单、针对性不强，整体服务方案简单、措施不完备、可行性一般的，得</w:t>
            </w: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autoSpaceDE w:val="0"/>
              <w:autoSpaceDN w:val="0"/>
              <w:adjustRightInd w:val="0"/>
              <w:spacing w:line="300" w:lineRule="exact"/>
              <w:rPr>
                <w:rFonts w:ascii="宋体" w:hAnsi="宋体"/>
                <w:color w:val="auto"/>
                <w:szCs w:val="21"/>
                <w:highlight w:val="none"/>
              </w:rPr>
            </w:pPr>
            <w:r>
              <w:rPr>
                <w:rFonts w:hint="eastAsia" w:ascii="宋体" w:hAnsi="宋体" w:eastAsia="宋体" w:cs="宋体"/>
                <w:color w:val="auto"/>
                <w:sz w:val="21"/>
                <w:szCs w:val="21"/>
                <w:highlight w:val="none"/>
              </w:rPr>
              <w:t>④严重缺项或无此项内容不得分</w:t>
            </w:r>
            <w:r>
              <w:rPr>
                <w:rFonts w:hint="eastAsia" w:ascii="宋体" w:hAnsi="宋体" w:cs="宋体"/>
                <w:color w:val="auto"/>
                <w:sz w:val="21"/>
                <w:szCs w:val="21"/>
                <w:highlight w:val="none"/>
                <w:lang w:eastAsia="zh-CN"/>
              </w:rPr>
              <w:t>。</w:t>
            </w:r>
          </w:p>
        </w:tc>
        <w:tc>
          <w:tcPr>
            <w:tcW w:w="783" w:type="dxa"/>
            <w:vAlign w:val="center"/>
          </w:tcPr>
          <w:p>
            <w:pPr>
              <w:autoSpaceDE w:val="0"/>
              <w:autoSpaceDN w:val="0"/>
              <w:adjustRightInd w:val="0"/>
              <w:spacing w:line="300" w:lineRule="exact"/>
              <w:jc w:val="center"/>
              <w:rPr>
                <w:rFonts w:ascii="宋体" w:hAnsi="宋体" w:cs="宋体"/>
                <w:color w:val="auto"/>
                <w:szCs w:val="21"/>
                <w:highlight w:val="none"/>
                <w:lang w:val="zh-CN"/>
              </w:rPr>
            </w:pPr>
            <w:r>
              <w:rPr>
                <w:rFonts w:hint="eastAsia" w:ascii="宋体" w:hAnsi="宋体" w:cs="宋体"/>
                <w:color w:val="auto"/>
                <w:szCs w:val="21"/>
                <w:highlight w:val="none"/>
                <w:lang w:val="en-US" w:eastAsia="zh-CN"/>
              </w:rPr>
              <w:t>14</w:t>
            </w:r>
            <w:r>
              <w:rPr>
                <w:rFonts w:hint="eastAsia" w:ascii="宋体" w:hAnsi="宋体" w:cs="宋体"/>
                <w:color w:val="auto"/>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035" w:type="dxa"/>
            <w:vMerge w:val="continue"/>
            <w:vAlign w:val="center"/>
          </w:tcPr>
          <w:p>
            <w:pPr>
              <w:adjustRightInd w:val="0"/>
              <w:snapToGrid w:val="0"/>
              <w:spacing w:before="36" w:beforeLines="15" w:line="276" w:lineRule="auto"/>
              <w:jc w:val="center"/>
              <w:rPr>
                <w:rFonts w:ascii="宋体" w:hAnsi="宋体"/>
                <w:color w:val="auto"/>
                <w:szCs w:val="21"/>
                <w:highlight w:val="none"/>
              </w:rPr>
            </w:pPr>
          </w:p>
        </w:tc>
        <w:tc>
          <w:tcPr>
            <w:tcW w:w="1928" w:type="dxa"/>
            <w:vAlign w:val="center"/>
          </w:tcPr>
          <w:p>
            <w:pPr>
              <w:jc w:val="center"/>
              <w:rPr>
                <w:rFonts w:hint="eastAsia" w:eastAsia="宋体"/>
                <w:color w:val="auto"/>
                <w:highlight w:val="none"/>
                <w:lang w:eastAsia="zh-CN"/>
              </w:rPr>
            </w:pPr>
            <w:r>
              <w:rPr>
                <w:rFonts w:hint="eastAsia"/>
                <w:color w:val="auto"/>
                <w:highlight w:val="none"/>
                <w:lang w:val="en-US" w:eastAsia="zh-CN"/>
              </w:rPr>
              <w:t>培训方案</w:t>
            </w:r>
          </w:p>
        </w:tc>
        <w:tc>
          <w:tcPr>
            <w:tcW w:w="5172" w:type="dxa"/>
            <w:vAlign w:val="center"/>
          </w:tcPr>
          <w:p>
            <w:pPr>
              <w:rPr>
                <w:rFonts w:hint="eastAsia"/>
                <w:color w:val="auto"/>
                <w:highlight w:val="none"/>
              </w:rPr>
            </w:pPr>
            <w:r>
              <w:rPr>
                <w:rFonts w:hint="eastAsia"/>
                <w:color w:val="auto"/>
                <w:highlight w:val="none"/>
              </w:rPr>
              <w:t>针对本项目的人员培训方案给出得分：</w:t>
            </w:r>
          </w:p>
          <w:p>
            <w:pPr>
              <w:rPr>
                <w:rFonts w:hint="eastAsia"/>
                <w:color w:val="auto"/>
                <w:highlight w:val="none"/>
              </w:rPr>
            </w:pPr>
            <w:r>
              <w:rPr>
                <w:rFonts w:hint="eastAsia"/>
                <w:color w:val="auto"/>
                <w:highlight w:val="none"/>
              </w:rPr>
              <w:t>①培训方案科学合理、详细、切实可行的，得</w:t>
            </w:r>
            <w:r>
              <w:rPr>
                <w:rFonts w:hint="eastAsia"/>
                <w:color w:val="auto"/>
                <w:highlight w:val="none"/>
                <w:lang w:val="en-US" w:eastAsia="zh-CN"/>
              </w:rPr>
              <w:t>8-10</w:t>
            </w:r>
            <w:r>
              <w:rPr>
                <w:rFonts w:hint="eastAsia"/>
                <w:color w:val="auto"/>
                <w:highlight w:val="none"/>
              </w:rPr>
              <w:t>分；</w:t>
            </w:r>
          </w:p>
          <w:p>
            <w:pPr>
              <w:rPr>
                <w:rFonts w:hint="eastAsia"/>
                <w:color w:val="auto"/>
                <w:highlight w:val="none"/>
              </w:rPr>
            </w:pPr>
            <w:r>
              <w:rPr>
                <w:rFonts w:hint="eastAsia"/>
                <w:color w:val="auto"/>
                <w:highlight w:val="none"/>
              </w:rPr>
              <w:t>②培训方案比较科学、比较合理、内容比较详细、比较可行的，得</w:t>
            </w:r>
            <w:r>
              <w:rPr>
                <w:rFonts w:hint="eastAsia"/>
                <w:color w:val="auto"/>
                <w:highlight w:val="none"/>
                <w:lang w:val="en-US" w:eastAsia="zh-CN"/>
              </w:rPr>
              <w:t>4-7</w:t>
            </w:r>
            <w:r>
              <w:rPr>
                <w:rFonts w:hint="eastAsia"/>
                <w:color w:val="auto"/>
                <w:highlight w:val="none"/>
              </w:rPr>
              <w:t>分；</w:t>
            </w:r>
          </w:p>
          <w:p>
            <w:pPr>
              <w:rPr>
                <w:rFonts w:hint="eastAsia"/>
                <w:color w:val="auto"/>
                <w:highlight w:val="none"/>
              </w:rPr>
            </w:pPr>
            <w:r>
              <w:rPr>
                <w:rFonts w:hint="eastAsia"/>
                <w:color w:val="auto"/>
                <w:highlight w:val="none"/>
              </w:rPr>
              <w:t>③培训方案不够</w:t>
            </w:r>
            <w:r>
              <w:rPr>
                <w:rFonts w:hint="eastAsia"/>
                <w:color w:val="auto"/>
                <w:highlight w:val="none"/>
                <w:lang w:val="en-US" w:eastAsia="zh-CN"/>
              </w:rPr>
              <w:t>科学</w:t>
            </w:r>
            <w:r>
              <w:rPr>
                <w:rFonts w:hint="eastAsia"/>
                <w:color w:val="auto"/>
                <w:highlight w:val="none"/>
              </w:rPr>
              <w:t>、不够合理、内容简单、可行性差的，得</w:t>
            </w:r>
            <w:r>
              <w:rPr>
                <w:rFonts w:hint="eastAsia"/>
                <w:color w:val="auto"/>
                <w:highlight w:val="none"/>
                <w:lang w:val="en-US" w:eastAsia="zh-CN"/>
              </w:rPr>
              <w:t>1-3</w:t>
            </w:r>
            <w:r>
              <w:rPr>
                <w:rFonts w:hint="eastAsia"/>
                <w:color w:val="auto"/>
                <w:highlight w:val="none"/>
              </w:rPr>
              <w:t>分；</w:t>
            </w:r>
          </w:p>
          <w:p>
            <w:pPr>
              <w:rPr>
                <w:color w:val="auto"/>
                <w:highlight w:val="none"/>
              </w:rPr>
            </w:pPr>
            <w:r>
              <w:rPr>
                <w:rFonts w:hint="eastAsia"/>
                <w:color w:val="auto"/>
                <w:highlight w:val="none"/>
              </w:rPr>
              <w:t>④严重缺项或无此项内容不得分。</w:t>
            </w:r>
          </w:p>
        </w:tc>
        <w:tc>
          <w:tcPr>
            <w:tcW w:w="783" w:type="dxa"/>
            <w:vAlign w:val="center"/>
          </w:tcPr>
          <w:p>
            <w:pPr>
              <w:autoSpaceDE w:val="0"/>
              <w:autoSpaceDN w:val="0"/>
              <w:adjustRightInd w:val="0"/>
              <w:spacing w:line="300" w:lineRule="exact"/>
              <w:jc w:val="center"/>
              <w:rPr>
                <w:rFonts w:ascii="宋体" w:hAnsi="宋体" w:cs="宋体"/>
                <w:color w:val="auto"/>
                <w:szCs w:val="21"/>
                <w:highlight w:val="none"/>
              </w:rPr>
            </w:pP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1035" w:type="dxa"/>
            <w:vMerge w:val="continue"/>
            <w:vAlign w:val="center"/>
          </w:tcPr>
          <w:p>
            <w:pPr>
              <w:adjustRightInd w:val="0"/>
              <w:snapToGrid w:val="0"/>
              <w:spacing w:before="36" w:beforeLines="15" w:line="276" w:lineRule="auto"/>
              <w:jc w:val="center"/>
              <w:rPr>
                <w:rFonts w:ascii="宋体" w:hAnsi="宋体"/>
                <w:color w:val="auto"/>
                <w:szCs w:val="21"/>
                <w:highlight w:val="none"/>
              </w:rPr>
            </w:pPr>
          </w:p>
        </w:tc>
        <w:tc>
          <w:tcPr>
            <w:tcW w:w="1928" w:type="dxa"/>
            <w:vAlign w:val="center"/>
          </w:tcPr>
          <w:p>
            <w:pPr>
              <w:autoSpaceDE w:val="0"/>
              <w:autoSpaceDN w:val="0"/>
              <w:adjustRightInd w:val="0"/>
              <w:jc w:val="center"/>
              <w:rPr>
                <w:rFonts w:hint="default" w:ascii="宋体" w:hAnsi="宋体" w:eastAsia="宋体"/>
                <w:color w:val="auto"/>
                <w:szCs w:val="21"/>
                <w:highlight w:val="none"/>
                <w:lang w:val="en-US" w:eastAsia="zh-CN"/>
              </w:rPr>
            </w:pPr>
            <w:r>
              <w:rPr>
                <w:rFonts w:hint="eastAsia" w:ascii="宋体" w:hAnsi="宋体" w:cs="宋体"/>
                <w:color w:val="auto"/>
                <w:szCs w:val="21"/>
                <w:highlight w:val="none"/>
              </w:rPr>
              <w:t>质量保证措施</w:t>
            </w:r>
          </w:p>
        </w:tc>
        <w:tc>
          <w:tcPr>
            <w:tcW w:w="5172" w:type="dxa"/>
            <w:vAlign w:val="center"/>
          </w:tcPr>
          <w:p>
            <w:pPr>
              <w:autoSpaceDE w:val="0"/>
              <w:autoSpaceDN w:val="0"/>
              <w:adjustRightInd w:val="0"/>
              <w:spacing w:line="300" w:lineRule="exact"/>
              <w:rPr>
                <w:rFonts w:hint="eastAsia"/>
                <w:color w:val="auto"/>
                <w:highlight w:val="none"/>
              </w:rPr>
            </w:pPr>
            <w:r>
              <w:rPr>
                <w:rFonts w:hint="eastAsia"/>
                <w:color w:val="auto"/>
                <w:highlight w:val="none"/>
              </w:rPr>
              <w:t>根据供应商</w:t>
            </w:r>
            <w:r>
              <w:rPr>
                <w:rFonts w:hint="eastAsia" w:ascii="宋体" w:hAnsi="宋体" w:cs="宋体"/>
                <w:color w:val="auto"/>
                <w:szCs w:val="21"/>
                <w:highlight w:val="none"/>
                <w:lang w:val="zh-CN"/>
              </w:rPr>
              <w:t>针对本项目拟定质量保证措施</w:t>
            </w:r>
            <w:r>
              <w:rPr>
                <w:rFonts w:hint="eastAsia"/>
                <w:color w:val="auto"/>
                <w:highlight w:val="none"/>
              </w:rPr>
              <w:t>给出得分：</w:t>
            </w:r>
          </w:p>
          <w:p>
            <w:pPr>
              <w:autoSpaceDE w:val="0"/>
              <w:autoSpaceDN w:val="0"/>
              <w:adjustRightInd w:val="0"/>
              <w:spacing w:line="300" w:lineRule="exact"/>
              <w:rPr>
                <w:rFonts w:hint="eastAsia"/>
                <w:color w:val="auto"/>
                <w:highlight w:val="none"/>
              </w:rPr>
            </w:pPr>
            <w:r>
              <w:rPr>
                <w:rFonts w:hint="eastAsia"/>
                <w:color w:val="auto"/>
                <w:highlight w:val="none"/>
              </w:rPr>
              <w:t>①</w:t>
            </w:r>
            <w:r>
              <w:rPr>
                <w:rFonts w:hint="eastAsia" w:ascii="宋体" w:hAnsi="宋体" w:cs="宋体"/>
                <w:color w:val="auto"/>
                <w:szCs w:val="21"/>
                <w:highlight w:val="none"/>
                <w:lang w:val="zh-CN"/>
              </w:rPr>
              <w:t>措施</w:t>
            </w:r>
            <w:r>
              <w:rPr>
                <w:rFonts w:hint="eastAsia" w:ascii="宋体" w:hAnsi="宋体" w:cs="宋体"/>
                <w:color w:val="auto"/>
                <w:szCs w:val="21"/>
                <w:highlight w:val="none"/>
                <w:lang w:val="en-US" w:eastAsia="zh-CN"/>
              </w:rPr>
              <w:t>全面</w:t>
            </w:r>
            <w:r>
              <w:rPr>
                <w:rFonts w:hint="eastAsia" w:ascii="宋体" w:hAnsi="宋体" w:cs="宋体"/>
                <w:color w:val="auto"/>
                <w:szCs w:val="21"/>
                <w:highlight w:val="none"/>
                <w:lang w:val="zh-CN"/>
              </w:rPr>
              <w:t>、合理、可操作性高、针对性强</w:t>
            </w:r>
            <w:r>
              <w:rPr>
                <w:rFonts w:hint="eastAsia"/>
                <w:color w:val="auto"/>
                <w:highlight w:val="none"/>
                <w:lang w:val="en-US" w:eastAsia="zh-CN"/>
              </w:rPr>
              <w:t>的，</w:t>
            </w:r>
            <w:r>
              <w:rPr>
                <w:rFonts w:hint="eastAsia"/>
                <w:color w:val="auto"/>
                <w:highlight w:val="none"/>
              </w:rPr>
              <w:t>得</w:t>
            </w:r>
            <w:r>
              <w:rPr>
                <w:rFonts w:hint="eastAsia"/>
                <w:color w:val="auto"/>
                <w:highlight w:val="none"/>
                <w:lang w:val="en-US" w:eastAsia="zh-CN"/>
              </w:rPr>
              <w:t>8-10</w:t>
            </w:r>
            <w:r>
              <w:rPr>
                <w:rFonts w:hint="eastAsia"/>
                <w:color w:val="auto"/>
                <w:highlight w:val="none"/>
              </w:rPr>
              <w:t>分；</w:t>
            </w:r>
          </w:p>
          <w:p>
            <w:pPr>
              <w:autoSpaceDE w:val="0"/>
              <w:autoSpaceDN w:val="0"/>
              <w:adjustRightInd w:val="0"/>
              <w:spacing w:line="300" w:lineRule="exact"/>
              <w:rPr>
                <w:rFonts w:hint="eastAsia"/>
                <w:color w:val="auto"/>
                <w:highlight w:val="none"/>
              </w:rPr>
            </w:pPr>
            <w:r>
              <w:rPr>
                <w:rFonts w:hint="eastAsia"/>
                <w:color w:val="auto"/>
                <w:highlight w:val="none"/>
              </w:rPr>
              <w:t>②</w:t>
            </w:r>
            <w:r>
              <w:rPr>
                <w:rFonts w:hint="eastAsia" w:ascii="宋体" w:hAnsi="宋体" w:cs="宋体"/>
                <w:color w:val="auto"/>
                <w:szCs w:val="21"/>
                <w:highlight w:val="none"/>
                <w:lang w:val="zh-CN"/>
              </w:rPr>
              <w:t>措施</w:t>
            </w:r>
            <w:r>
              <w:rPr>
                <w:rFonts w:hint="eastAsia" w:ascii="宋体" w:hAnsi="宋体" w:cs="宋体"/>
                <w:color w:val="auto"/>
                <w:szCs w:val="21"/>
                <w:highlight w:val="none"/>
                <w:lang w:val="en-US" w:eastAsia="zh-CN"/>
              </w:rPr>
              <w:t>比较全面</w:t>
            </w:r>
            <w:r>
              <w:rPr>
                <w:rFonts w:hint="eastAsia" w:ascii="宋体" w:hAnsi="宋体" w:cs="宋体"/>
                <w:color w:val="auto"/>
                <w:szCs w:val="21"/>
                <w:highlight w:val="none"/>
                <w:lang w:val="zh-CN"/>
              </w:rPr>
              <w:t>、</w:t>
            </w:r>
            <w:r>
              <w:rPr>
                <w:rFonts w:hint="eastAsia" w:ascii="宋体" w:hAnsi="宋体" w:cs="宋体"/>
                <w:color w:val="auto"/>
                <w:szCs w:val="21"/>
                <w:highlight w:val="none"/>
                <w:lang w:val="en-US" w:eastAsia="zh-CN"/>
              </w:rPr>
              <w:t>设置比较</w:t>
            </w:r>
            <w:r>
              <w:rPr>
                <w:rFonts w:hint="eastAsia" w:ascii="宋体" w:hAnsi="宋体" w:cs="宋体"/>
                <w:color w:val="auto"/>
                <w:szCs w:val="21"/>
                <w:highlight w:val="none"/>
                <w:lang w:val="zh-CN"/>
              </w:rPr>
              <w:t>合理、可操作性</w:t>
            </w:r>
            <w:r>
              <w:rPr>
                <w:rFonts w:hint="eastAsia" w:ascii="宋体" w:hAnsi="宋体" w:cs="宋体"/>
                <w:color w:val="auto"/>
                <w:szCs w:val="21"/>
                <w:highlight w:val="none"/>
                <w:lang w:val="en-US" w:eastAsia="zh-CN"/>
              </w:rPr>
              <w:t>比较</w:t>
            </w:r>
            <w:r>
              <w:rPr>
                <w:rFonts w:hint="eastAsia" w:ascii="宋体" w:hAnsi="宋体" w:cs="宋体"/>
                <w:color w:val="auto"/>
                <w:szCs w:val="21"/>
                <w:highlight w:val="none"/>
                <w:lang w:val="zh-CN"/>
              </w:rPr>
              <w:t>高、针对性</w:t>
            </w:r>
            <w:r>
              <w:rPr>
                <w:rFonts w:hint="eastAsia" w:ascii="宋体" w:hAnsi="宋体" w:cs="宋体"/>
                <w:color w:val="auto"/>
                <w:szCs w:val="21"/>
                <w:highlight w:val="none"/>
                <w:lang w:val="en-US" w:eastAsia="zh-CN"/>
              </w:rPr>
              <w:t>比较</w:t>
            </w:r>
            <w:r>
              <w:rPr>
                <w:rFonts w:hint="eastAsia" w:ascii="宋体" w:hAnsi="宋体" w:cs="宋体"/>
                <w:color w:val="auto"/>
                <w:szCs w:val="21"/>
                <w:highlight w:val="none"/>
                <w:lang w:val="zh-CN"/>
              </w:rPr>
              <w:t>强</w:t>
            </w:r>
            <w:r>
              <w:rPr>
                <w:rFonts w:hint="eastAsia"/>
                <w:color w:val="auto"/>
                <w:highlight w:val="none"/>
                <w:lang w:val="en-US" w:eastAsia="zh-CN"/>
              </w:rPr>
              <w:t>的，</w:t>
            </w:r>
            <w:r>
              <w:rPr>
                <w:rFonts w:hint="eastAsia"/>
                <w:color w:val="auto"/>
                <w:highlight w:val="none"/>
              </w:rPr>
              <w:t>得</w:t>
            </w:r>
            <w:r>
              <w:rPr>
                <w:rFonts w:hint="eastAsia"/>
                <w:color w:val="auto"/>
                <w:highlight w:val="none"/>
                <w:lang w:val="en-US" w:eastAsia="zh-CN"/>
              </w:rPr>
              <w:t>4</w:t>
            </w:r>
            <w:r>
              <w:rPr>
                <w:rFonts w:hint="eastAsia"/>
                <w:color w:val="auto"/>
                <w:highlight w:val="none"/>
              </w:rPr>
              <w:t>-</w:t>
            </w:r>
            <w:r>
              <w:rPr>
                <w:rFonts w:hint="eastAsia"/>
                <w:color w:val="auto"/>
                <w:highlight w:val="none"/>
                <w:lang w:val="en-US" w:eastAsia="zh-CN"/>
              </w:rPr>
              <w:t>7</w:t>
            </w:r>
            <w:r>
              <w:rPr>
                <w:rFonts w:hint="eastAsia"/>
                <w:color w:val="auto"/>
                <w:highlight w:val="none"/>
              </w:rPr>
              <w:t>分；</w:t>
            </w:r>
          </w:p>
          <w:p>
            <w:pPr>
              <w:autoSpaceDE w:val="0"/>
              <w:autoSpaceDN w:val="0"/>
              <w:adjustRightInd w:val="0"/>
              <w:spacing w:line="300" w:lineRule="exact"/>
              <w:rPr>
                <w:rFonts w:hint="eastAsia"/>
                <w:color w:val="auto"/>
                <w:highlight w:val="none"/>
              </w:rPr>
            </w:pPr>
            <w:r>
              <w:rPr>
                <w:rFonts w:hint="eastAsia"/>
                <w:color w:val="auto"/>
                <w:highlight w:val="none"/>
              </w:rPr>
              <w:t>③</w:t>
            </w:r>
            <w:r>
              <w:rPr>
                <w:rFonts w:hint="eastAsia" w:ascii="宋体" w:hAnsi="宋体" w:cs="宋体"/>
                <w:color w:val="auto"/>
                <w:szCs w:val="21"/>
                <w:highlight w:val="none"/>
                <w:lang w:val="zh-CN"/>
              </w:rPr>
              <w:t>措施</w:t>
            </w:r>
            <w:r>
              <w:rPr>
                <w:rFonts w:hint="eastAsia"/>
                <w:color w:val="auto"/>
                <w:highlight w:val="none"/>
              </w:rPr>
              <w:t>不够全面、</w:t>
            </w:r>
            <w:r>
              <w:rPr>
                <w:rFonts w:hint="eastAsia" w:ascii="宋体" w:hAnsi="宋体" w:cs="宋体"/>
                <w:color w:val="auto"/>
                <w:szCs w:val="21"/>
                <w:highlight w:val="none"/>
                <w:lang w:val="zh-CN"/>
              </w:rPr>
              <w:t>可操作性</w:t>
            </w:r>
            <w:r>
              <w:rPr>
                <w:rFonts w:hint="eastAsia" w:ascii="宋体" w:hAnsi="宋体" w:cs="宋体"/>
                <w:color w:val="auto"/>
                <w:szCs w:val="21"/>
                <w:highlight w:val="none"/>
                <w:lang w:val="en-US" w:eastAsia="zh-CN"/>
              </w:rPr>
              <w:t>不</w:t>
            </w:r>
            <w:r>
              <w:rPr>
                <w:rFonts w:hint="eastAsia" w:ascii="宋体" w:hAnsi="宋体" w:cs="宋体"/>
                <w:color w:val="auto"/>
                <w:szCs w:val="21"/>
                <w:highlight w:val="none"/>
                <w:lang w:val="zh-CN"/>
              </w:rPr>
              <w:t>高</w:t>
            </w:r>
            <w:r>
              <w:rPr>
                <w:rFonts w:hint="eastAsia" w:ascii="宋体" w:hAnsi="宋体" w:cs="宋体"/>
                <w:color w:val="auto"/>
                <w:szCs w:val="21"/>
                <w:highlight w:val="none"/>
                <w:lang w:val="en-US" w:eastAsia="zh-CN"/>
              </w:rPr>
              <w:t>的，</w:t>
            </w:r>
            <w:r>
              <w:rPr>
                <w:rFonts w:hint="eastAsia"/>
                <w:color w:val="auto"/>
                <w:highlight w:val="none"/>
              </w:rPr>
              <w:t>得</w:t>
            </w:r>
            <w:r>
              <w:rPr>
                <w:rFonts w:hint="eastAsia"/>
                <w:color w:val="auto"/>
                <w:highlight w:val="none"/>
                <w:lang w:val="en-US" w:eastAsia="zh-CN"/>
              </w:rPr>
              <w:t>1-3</w:t>
            </w:r>
            <w:r>
              <w:rPr>
                <w:rFonts w:hint="eastAsia"/>
                <w:color w:val="auto"/>
                <w:highlight w:val="none"/>
              </w:rPr>
              <w:t>分；</w:t>
            </w:r>
          </w:p>
          <w:p>
            <w:pPr>
              <w:autoSpaceDE w:val="0"/>
              <w:autoSpaceDN w:val="0"/>
              <w:adjustRightInd w:val="0"/>
              <w:spacing w:line="300" w:lineRule="exact"/>
              <w:rPr>
                <w:rFonts w:ascii="宋体" w:hAnsi="宋体"/>
                <w:color w:val="auto"/>
                <w:szCs w:val="21"/>
                <w:highlight w:val="none"/>
              </w:rPr>
            </w:pPr>
            <w:r>
              <w:rPr>
                <w:rFonts w:hint="eastAsia"/>
                <w:color w:val="auto"/>
                <w:highlight w:val="none"/>
              </w:rPr>
              <w:t>④严重缺项或无此项内容不得分。</w:t>
            </w:r>
          </w:p>
        </w:tc>
        <w:tc>
          <w:tcPr>
            <w:tcW w:w="783" w:type="dxa"/>
            <w:vAlign w:val="center"/>
          </w:tcPr>
          <w:p>
            <w:pPr>
              <w:autoSpaceDE w:val="0"/>
              <w:autoSpaceDN w:val="0"/>
              <w:adjustRightInd w:val="0"/>
              <w:spacing w:line="300" w:lineRule="exact"/>
              <w:jc w:val="center"/>
              <w:rPr>
                <w:rFonts w:ascii="宋体" w:hAnsi="宋体" w:cs="宋体"/>
                <w:color w:val="auto"/>
                <w:szCs w:val="21"/>
                <w:highlight w:val="none"/>
                <w:lang w:val="zh-CN"/>
              </w:rPr>
            </w:pPr>
            <w:r>
              <w:rPr>
                <w:rFonts w:hint="eastAsia" w:ascii="宋体" w:hAnsi="宋体" w:cs="宋体"/>
                <w:color w:val="auto"/>
                <w:szCs w:val="21"/>
                <w:highlight w:val="none"/>
                <w:lang w:val="en-US" w:eastAsia="zh-CN"/>
              </w:rPr>
              <w:t>10</w:t>
            </w:r>
            <w:r>
              <w:rPr>
                <w:rFonts w:hint="eastAsia" w:ascii="宋体" w:hAnsi="宋体" w:cs="宋体"/>
                <w:color w:val="auto"/>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1035" w:type="dxa"/>
            <w:vMerge w:val="continue"/>
            <w:vAlign w:val="center"/>
          </w:tcPr>
          <w:p>
            <w:pPr>
              <w:adjustRightInd w:val="0"/>
              <w:snapToGrid w:val="0"/>
              <w:spacing w:before="36" w:beforeLines="15" w:line="276" w:lineRule="auto"/>
              <w:jc w:val="center"/>
              <w:rPr>
                <w:rFonts w:ascii="宋体" w:hAnsi="宋体"/>
                <w:color w:val="auto"/>
                <w:szCs w:val="21"/>
                <w:highlight w:val="none"/>
              </w:rPr>
            </w:pPr>
          </w:p>
        </w:tc>
        <w:tc>
          <w:tcPr>
            <w:tcW w:w="1928" w:type="dxa"/>
            <w:vAlign w:val="center"/>
          </w:tcPr>
          <w:p>
            <w:pPr>
              <w:jc w:val="center"/>
              <w:rPr>
                <w:color w:val="auto"/>
                <w:highlight w:val="none"/>
              </w:rPr>
            </w:pPr>
            <w:r>
              <w:rPr>
                <w:rFonts w:hint="eastAsia"/>
                <w:color w:val="auto"/>
                <w:highlight w:val="none"/>
              </w:rPr>
              <w:t>应急响应方案</w:t>
            </w:r>
          </w:p>
        </w:tc>
        <w:tc>
          <w:tcPr>
            <w:tcW w:w="5172" w:type="dxa"/>
            <w:vAlign w:val="center"/>
          </w:tcPr>
          <w:p>
            <w:pPr>
              <w:rPr>
                <w:rFonts w:hint="eastAsia"/>
                <w:color w:val="auto"/>
                <w:highlight w:val="none"/>
              </w:rPr>
            </w:pPr>
            <w:r>
              <w:rPr>
                <w:rFonts w:hint="eastAsia"/>
                <w:color w:val="auto"/>
                <w:highlight w:val="none"/>
              </w:rPr>
              <w:t>根据供应商有针对火灾、防盗、治安、涉维稳等群体性事件、突发性公共事件、防疫措施、防汛措施</w:t>
            </w:r>
            <w:r>
              <w:rPr>
                <w:rFonts w:hint="eastAsia"/>
                <w:color w:val="auto"/>
                <w:highlight w:val="none"/>
                <w:lang w:val="en-US" w:eastAsia="zh-CN"/>
              </w:rPr>
              <w:t>等</w:t>
            </w:r>
            <w:r>
              <w:rPr>
                <w:rFonts w:hint="eastAsia"/>
                <w:color w:val="auto"/>
                <w:highlight w:val="none"/>
              </w:rPr>
              <w:t xml:space="preserve">应急预案及处置方案，根据应急处理预案的全面性、安全性、预见性进行综合比较评分。 </w:t>
            </w:r>
          </w:p>
          <w:p>
            <w:pPr>
              <w:rPr>
                <w:rFonts w:hint="eastAsia"/>
                <w:color w:val="auto"/>
                <w:highlight w:val="none"/>
              </w:rPr>
            </w:pPr>
            <w:r>
              <w:rPr>
                <w:rFonts w:hint="eastAsia"/>
                <w:color w:val="auto"/>
                <w:highlight w:val="none"/>
              </w:rPr>
              <w:t>①应急处理预案的全面性、安全性、预见性科学合理：</w:t>
            </w:r>
            <w:r>
              <w:rPr>
                <w:rFonts w:hint="eastAsia"/>
                <w:color w:val="auto"/>
                <w:highlight w:val="none"/>
                <w:lang w:val="en-US" w:eastAsia="zh-CN"/>
              </w:rPr>
              <w:t>8-10</w:t>
            </w:r>
            <w:r>
              <w:rPr>
                <w:rFonts w:hint="eastAsia"/>
                <w:color w:val="auto"/>
                <w:highlight w:val="none"/>
              </w:rPr>
              <w:t xml:space="preserve">分； </w:t>
            </w:r>
          </w:p>
          <w:p>
            <w:pPr>
              <w:rPr>
                <w:rFonts w:hint="eastAsia"/>
                <w:color w:val="auto"/>
                <w:highlight w:val="none"/>
              </w:rPr>
            </w:pPr>
            <w:r>
              <w:rPr>
                <w:rFonts w:hint="eastAsia"/>
                <w:color w:val="auto"/>
                <w:highlight w:val="none"/>
              </w:rPr>
              <w:t>②应急处理预案的全面性、安全性、预见性比较科学合理：</w:t>
            </w:r>
            <w:r>
              <w:rPr>
                <w:rFonts w:hint="eastAsia"/>
                <w:color w:val="auto"/>
                <w:highlight w:val="none"/>
                <w:lang w:val="en-US" w:eastAsia="zh-CN"/>
              </w:rPr>
              <w:t>4</w:t>
            </w:r>
            <w:r>
              <w:rPr>
                <w:rFonts w:hint="eastAsia"/>
                <w:color w:val="auto"/>
                <w:highlight w:val="none"/>
              </w:rPr>
              <w:t>-</w:t>
            </w:r>
            <w:r>
              <w:rPr>
                <w:rFonts w:hint="eastAsia"/>
                <w:color w:val="auto"/>
                <w:highlight w:val="none"/>
                <w:lang w:val="en-US" w:eastAsia="zh-CN"/>
              </w:rPr>
              <w:t>7</w:t>
            </w:r>
            <w:r>
              <w:rPr>
                <w:rFonts w:hint="eastAsia"/>
                <w:color w:val="auto"/>
                <w:highlight w:val="none"/>
              </w:rPr>
              <w:t xml:space="preserve">分； </w:t>
            </w:r>
          </w:p>
          <w:p>
            <w:pPr>
              <w:rPr>
                <w:rFonts w:hint="eastAsia"/>
                <w:color w:val="auto"/>
                <w:highlight w:val="none"/>
              </w:rPr>
            </w:pPr>
            <w:r>
              <w:rPr>
                <w:rFonts w:hint="eastAsia"/>
                <w:color w:val="auto"/>
                <w:highlight w:val="none"/>
              </w:rPr>
              <w:t>③应急处理预案的全面性、安全性、预见性不够科学合理：</w:t>
            </w:r>
            <w:r>
              <w:rPr>
                <w:rFonts w:hint="eastAsia"/>
                <w:color w:val="auto"/>
                <w:highlight w:val="none"/>
                <w:lang w:val="en-US" w:eastAsia="zh-CN"/>
              </w:rPr>
              <w:t>1-3</w:t>
            </w:r>
            <w:r>
              <w:rPr>
                <w:rFonts w:hint="eastAsia"/>
                <w:color w:val="auto"/>
                <w:highlight w:val="none"/>
              </w:rPr>
              <w:t xml:space="preserve">分； </w:t>
            </w:r>
          </w:p>
          <w:p>
            <w:pPr>
              <w:rPr>
                <w:color w:val="auto"/>
                <w:highlight w:val="none"/>
              </w:rPr>
            </w:pPr>
            <w:r>
              <w:rPr>
                <w:rFonts w:hint="eastAsia"/>
                <w:color w:val="auto"/>
                <w:highlight w:val="none"/>
              </w:rPr>
              <w:t>④严重缺项或无此项内容不得分。</w:t>
            </w:r>
          </w:p>
        </w:tc>
        <w:tc>
          <w:tcPr>
            <w:tcW w:w="783" w:type="dxa"/>
            <w:vAlign w:val="center"/>
          </w:tcPr>
          <w:p>
            <w:pPr>
              <w:autoSpaceDE w:val="0"/>
              <w:autoSpaceDN w:val="0"/>
              <w:adjustRightInd w:val="0"/>
              <w:snapToGrid w:val="0"/>
              <w:spacing w:before="36" w:beforeLines="15" w:line="276" w:lineRule="auto"/>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6" w:hRule="atLeast"/>
          <w:jc w:val="center"/>
        </w:trPr>
        <w:tc>
          <w:tcPr>
            <w:tcW w:w="1035" w:type="dxa"/>
            <w:vMerge w:val="continue"/>
            <w:vAlign w:val="center"/>
          </w:tcPr>
          <w:p>
            <w:pPr>
              <w:adjustRightInd w:val="0"/>
              <w:snapToGrid w:val="0"/>
              <w:spacing w:before="36" w:beforeLines="15" w:line="276" w:lineRule="auto"/>
              <w:jc w:val="center"/>
              <w:rPr>
                <w:rFonts w:ascii="宋体" w:hAnsi="宋体"/>
                <w:color w:val="auto"/>
                <w:szCs w:val="21"/>
                <w:highlight w:val="none"/>
              </w:rPr>
            </w:pPr>
          </w:p>
        </w:tc>
        <w:tc>
          <w:tcPr>
            <w:tcW w:w="1928" w:type="dxa"/>
            <w:vAlign w:val="center"/>
          </w:tcPr>
          <w:p>
            <w:pPr>
              <w:jc w:val="center"/>
              <w:rPr>
                <w:rFonts w:hint="eastAsia" w:ascii="宋体" w:hAnsi="宋体" w:eastAsia="宋体" w:cs="仿宋_GB2312"/>
                <w:color w:val="auto"/>
                <w:kern w:val="0"/>
                <w:szCs w:val="21"/>
                <w:highlight w:val="none"/>
                <w:lang w:eastAsia="zh-CN"/>
              </w:rPr>
            </w:pPr>
            <w:r>
              <w:rPr>
                <w:rFonts w:hint="eastAsia"/>
                <w:color w:val="auto"/>
                <w:highlight w:val="none"/>
                <w:lang w:val="en-US" w:eastAsia="zh-CN"/>
              </w:rPr>
              <w:t>人员稳定方案</w:t>
            </w:r>
          </w:p>
        </w:tc>
        <w:tc>
          <w:tcPr>
            <w:tcW w:w="5172" w:type="dxa"/>
            <w:vAlign w:val="center"/>
          </w:tcPr>
          <w:p>
            <w:pPr>
              <w:rPr>
                <w:rFonts w:hint="eastAsia" w:ascii="宋体" w:hAnsi="宋体" w:eastAsia="宋体" w:cs="宋体"/>
                <w:color w:val="auto"/>
                <w:sz w:val="21"/>
                <w:szCs w:val="21"/>
                <w:highlight w:val="none"/>
              </w:rPr>
            </w:pPr>
            <w:r>
              <w:rPr>
                <w:rFonts w:hint="eastAsia"/>
                <w:color w:val="auto"/>
                <w:highlight w:val="none"/>
              </w:rPr>
              <w:t>根据供应商</w:t>
            </w:r>
            <w:r>
              <w:rPr>
                <w:rFonts w:hint="eastAsia"/>
                <w:color w:val="auto"/>
                <w:highlight w:val="none"/>
                <w:lang w:val="en-US" w:eastAsia="zh-CN"/>
              </w:rPr>
              <w:t>针对本项目提供详细的人员稳定性保障措施、人员流失应急预案</w:t>
            </w:r>
            <w:r>
              <w:rPr>
                <w:rFonts w:hint="eastAsia" w:ascii="宋体" w:hAnsi="宋体" w:eastAsia="宋体" w:cs="宋体"/>
                <w:color w:val="auto"/>
                <w:sz w:val="21"/>
                <w:szCs w:val="21"/>
                <w:highlight w:val="none"/>
              </w:rPr>
              <w:t>给出得分：</w:t>
            </w:r>
          </w:p>
          <w:p>
            <w:pPr>
              <w:rPr>
                <w:rFonts w:hint="eastAsia"/>
                <w:color w:val="auto"/>
                <w:highlight w:val="none"/>
              </w:rPr>
            </w:pPr>
            <w:r>
              <w:rPr>
                <w:rFonts w:hint="eastAsia"/>
                <w:color w:val="auto"/>
                <w:highlight w:val="none"/>
              </w:rPr>
              <w:t>①</w:t>
            </w:r>
            <w:r>
              <w:rPr>
                <w:rFonts w:hint="eastAsia"/>
                <w:color w:val="auto"/>
                <w:highlight w:val="none"/>
                <w:lang w:val="en-US" w:eastAsia="zh-CN"/>
              </w:rPr>
              <w:t>人员稳定方案</w:t>
            </w:r>
            <w:r>
              <w:rPr>
                <w:rFonts w:hint="eastAsia"/>
                <w:color w:val="auto"/>
                <w:highlight w:val="none"/>
              </w:rPr>
              <w:t>科学合理、切实可行</w:t>
            </w:r>
            <w:r>
              <w:rPr>
                <w:rFonts w:hint="eastAsia"/>
                <w:color w:val="auto"/>
                <w:highlight w:val="none"/>
                <w:lang w:eastAsia="zh-CN"/>
              </w:rPr>
              <w:t>、</w:t>
            </w:r>
            <w:r>
              <w:rPr>
                <w:rFonts w:hint="eastAsia"/>
                <w:color w:val="auto"/>
                <w:highlight w:val="none"/>
                <w:lang w:val="en-US" w:eastAsia="zh-CN"/>
              </w:rPr>
              <w:t>有充分支撑条件</w:t>
            </w:r>
            <w:r>
              <w:rPr>
                <w:rFonts w:hint="eastAsia"/>
                <w:color w:val="auto"/>
                <w:highlight w:val="none"/>
              </w:rPr>
              <w:t>的：</w:t>
            </w:r>
            <w:r>
              <w:rPr>
                <w:rFonts w:hint="eastAsia"/>
                <w:color w:val="auto"/>
                <w:highlight w:val="none"/>
                <w:lang w:val="en-US" w:eastAsia="zh-CN"/>
              </w:rPr>
              <w:t>6-9</w:t>
            </w:r>
            <w:r>
              <w:rPr>
                <w:rFonts w:hint="eastAsia"/>
                <w:color w:val="auto"/>
                <w:highlight w:val="none"/>
              </w:rPr>
              <w:t xml:space="preserve">分； </w:t>
            </w:r>
          </w:p>
          <w:p>
            <w:pPr>
              <w:rPr>
                <w:rFonts w:hint="eastAsia"/>
                <w:color w:val="auto"/>
                <w:highlight w:val="none"/>
              </w:rPr>
            </w:pPr>
            <w:r>
              <w:rPr>
                <w:rFonts w:hint="eastAsia"/>
                <w:color w:val="auto"/>
                <w:highlight w:val="none"/>
              </w:rPr>
              <w:t>②</w:t>
            </w:r>
            <w:r>
              <w:rPr>
                <w:rFonts w:hint="eastAsia"/>
                <w:color w:val="auto"/>
                <w:highlight w:val="none"/>
                <w:lang w:val="en-US" w:eastAsia="zh-CN"/>
              </w:rPr>
              <w:t>人员稳定方案比较</w:t>
            </w:r>
            <w:r>
              <w:rPr>
                <w:rFonts w:hint="eastAsia"/>
                <w:color w:val="auto"/>
                <w:highlight w:val="none"/>
              </w:rPr>
              <w:t>科学、</w:t>
            </w:r>
            <w:r>
              <w:rPr>
                <w:rFonts w:hint="eastAsia"/>
                <w:color w:val="auto"/>
                <w:highlight w:val="none"/>
                <w:lang w:val="en-US" w:eastAsia="zh-CN"/>
              </w:rPr>
              <w:t>比较</w:t>
            </w:r>
            <w:r>
              <w:rPr>
                <w:rFonts w:hint="eastAsia"/>
                <w:color w:val="auto"/>
                <w:highlight w:val="none"/>
              </w:rPr>
              <w:t>可行</w:t>
            </w:r>
            <w:r>
              <w:rPr>
                <w:rFonts w:hint="eastAsia"/>
                <w:color w:val="auto"/>
                <w:highlight w:val="none"/>
                <w:lang w:eastAsia="zh-CN"/>
              </w:rPr>
              <w:t>、</w:t>
            </w:r>
            <w:r>
              <w:rPr>
                <w:rFonts w:hint="eastAsia"/>
                <w:color w:val="auto"/>
                <w:highlight w:val="none"/>
                <w:lang w:val="en-US" w:eastAsia="zh-CN"/>
              </w:rPr>
              <w:t>有支撑条件</w:t>
            </w:r>
            <w:r>
              <w:rPr>
                <w:rFonts w:hint="eastAsia"/>
                <w:color w:val="auto"/>
                <w:highlight w:val="none"/>
              </w:rPr>
              <w:t>的：</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5</w:t>
            </w:r>
            <w:r>
              <w:rPr>
                <w:rFonts w:hint="eastAsia"/>
                <w:color w:val="auto"/>
                <w:highlight w:val="none"/>
              </w:rPr>
              <w:t xml:space="preserve">分； </w:t>
            </w:r>
          </w:p>
          <w:p>
            <w:pPr>
              <w:rPr>
                <w:rFonts w:hint="eastAsia"/>
                <w:color w:val="auto"/>
                <w:highlight w:val="none"/>
              </w:rPr>
            </w:pPr>
            <w:r>
              <w:rPr>
                <w:rFonts w:hint="eastAsia"/>
                <w:color w:val="auto"/>
                <w:highlight w:val="none"/>
              </w:rPr>
              <w:t>③</w:t>
            </w:r>
            <w:r>
              <w:rPr>
                <w:rFonts w:hint="eastAsia"/>
                <w:color w:val="auto"/>
                <w:highlight w:val="none"/>
                <w:lang w:val="en-US" w:eastAsia="zh-CN"/>
              </w:rPr>
              <w:t>人员稳定方案不够合理、可行性差、无支撑条件的</w:t>
            </w:r>
            <w:r>
              <w:rPr>
                <w:rFonts w:hint="eastAsia"/>
                <w:color w:val="auto"/>
                <w:highlight w:val="none"/>
              </w:rPr>
              <w:t>：</w:t>
            </w:r>
            <w:r>
              <w:rPr>
                <w:rFonts w:hint="eastAsia"/>
                <w:color w:val="auto"/>
                <w:highlight w:val="none"/>
                <w:lang w:val="en-US" w:eastAsia="zh-CN"/>
              </w:rPr>
              <w:t>1-2</w:t>
            </w:r>
            <w:r>
              <w:rPr>
                <w:rFonts w:hint="eastAsia"/>
                <w:color w:val="auto"/>
                <w:highlight w:val="none"/>
              </w:rPr>
              <w:t xml:space="preserve">分； </w:t>
            </w:r>
          </w:p>
          <w:p>
            <w:pPr>
              <w:rPr>
                <w:rFonts w:ascii="宋体" w:hAnsi="宋体" w:cs="宋体"/>
                <w:color w:val="auto"/>
                <w:highlight w:val="none"/>
              </w:rPr>
            </w:pPr>
            <w:r>
              <w:rPr>
                <w:rFonts w:hint="eastAsia"/>
                <w:color w:val="auto"/>
                <w:highlight w:val="none"/>
              </w:rPr>
              <w:t>④严重缺项或无此项内容不得分。</w:t>
            </w:r>
          </w:p>
        </w:tc>
        <w:tc>
          <w:tcPr>
            <w:tcW w:w="783" w:type="dxa"/>
            <w:vAlign w:val="center"/>
          </w:tcPr>
          <w:p>
            <w:pPr>
              <w:autoSpaceDE w:val="0"/>
              <w:autoSpaceDN w:val="0"/>
              <w:adjustRightInd w:val="0"/>
              <w:snapToGrid w:val="0"/>
              <w:spacing w:before="36" w:beforeLines="15" w:line="276" w:lineRule="auto"/>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1" w:hRule="atLeast"/>
          <w:jc w:val="center"/>
        </w:trPr>
        <w:tc>
          <w:tcPr>
            <w:tcW w:w="1035" w:type="dxa"/>
            <w:vMerge w:val="restart"/>
            <w:vAlign w:val="center"/>
          </w:tcPr>
          <w:p>
            <w:pPr>
              <w:adjustRightInd w:val="0"/>
              <w:snapToGrid w:val="0"/>
              <w:spacing w:before="36" w:beforeLines="15" w:line="276" w:lineRule="auto"/>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其他</w:t>
            </w:r>
          </w:p>
          <w:p>
            <w:pPr>
              <w:adjustRightInd w:val="0"/>
              <w:snapToGrid w:val="0"/>
              <w:spacing w:before="36" w:beforeLines="15" w:line="276" w:lineRule="auto"/>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因素</w:t>
            </w:r>
          </w:p>
          <w:p>
            <w:pPr>
              <w:adjustRightInd w:val="0"/>
              <w:snapToGrid w:val="0"/>
              <w:spacing w:before="36" w:beforeLines="15" w:line="276"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rPr>
              <w:t>（</w:t>
            </w:r>
            <w:r>
              <w:rPr>
                <w:rFonts w:hint="eastAsia" w:ascii="宋体" w:hAnsi="宋体"/>
                <w:color w:val="auto"/>
                <w:szCs w:val="21"/>
                <w:highlight w:val="none"/>
                <w:lang w:val="en-US" w:eastAsia="zh-CN"/>
              </w:rPr>
              <w:t>10</w:t>
            </w:r>
            <w:r>
              <w:rPr>
                <w:rFonts w:hint="eastAsia" w:ascii="宋体" w:hAnsi="宋体"/>
                <w:color w:val="auto"/>
                <w:szCs w:val="21"/>
                <w:highlight w:val="none"/>
              </w:rPr>
              <w:t>分）</w:t>
            </w:r>
          </w:p>
        </w:tc>
        <w:tc>
          <w:tcPr>
            <w:tcW w:w="1928" w:type="dxa"/>
            <w:vAlign w:val="center"/>
          </w:tcPr>
          <w:p>
            <w:pPr>
              <w:jc w:val="center"/>
              <w:rPr>
                <w:rFonts w:hint="eastAsia" w:ascii="宋体" w:hAnsi="宋体" w:cs="仿宋_GB2312"/>
                <w:color w:val="auto"/>
                <w:kern w:val="0"/>
                <w:szCs w:val="21"/>
                <w:highlight w:val="none"/>
                <w:lang w:eastAsia="zh-CN"/>
              </w:rPr>
            </w:pPr>
            <w:r>
              <w:rPr>
                <w:rFonts w:hint="eastAsia" w:ascii="宋体" w:hAnsi="宋体" w:cs="仿宋_GB2312"/>
                <w:color w:val="auto"/>
                <w:kern w:val="0"/>
                <w:szCs w:val="21"/>
                <w:highlight w:val="none"/>
                <w:lang w:eastAsia="zh-CN"/>
              </w:rPr>
              <w:t>优惠条件</w:t>
            </w:r>
          </w:p>
        </w:tc>
        <w:tc>
          <w:tcPr>
            <w:tcW w:w="5172" w:type="dxa"/>
            <w:vAlign w:val="center"/>
          </w:tcPr>
          <w:p>
            <w:pPr>
              <w:autoSpaceDE w:val="0"/>
              <w:autoSpaceDN w:val="0"/>
              <w:adjustRightInd w:val="0"/>
              <w:spacing w:line="300" w:lineRule="exact"/>
              <w:jc w:val="left"/>
              <w:rPr>
                <w:rFonts w:hint="default" w:ascii="宋体" w:hAnsi="宋体" w:eastAsia="宋体"/>
                <w:color w:val="auto"/>
                <w:szCs w:val="21"/>
                <w:highlight w:val="none"/>
                <w:lang w:val="en-US" w:eastAsia="zh-CN"/>
              </w:rPr>
            </w:pPr>
            <w:r>
              <w:rPr>
                <w:rFonts w:hint="default" w:ascii="宋体" w:hAnsi="宋体" w:eastAsia="宋体"/>
                <w:color w:val="auto"/>
                <w:szCs w:val="21"/>
                <w:highlight w:val="none"/>
                <w:lang w:val="en-US" w:eastAsia="zh-CN"/>
              </w:rPr>
              <w:t>评标委员会根据各供应商的实质性优惠条件进行综合比较，完善、科学、合理，每提供一项实质性条件得1分，最多得</w:t>
            </w:r>
            <w:r>
              <w:rPr>
                <w:rFonts w:hint="eastAsia" w:ascii="宋体" w:hAnsi="宋体"/>
                <w:color w:val="auto"/>
                <w:szCs w:val="21"/>
                <w:highlight w:val="none"/>
                <w:lang w:val="en-US" w:eastAsia="zh-CN"/>
              </w:rPr>
              <w:t>5</w:t>
            </w:r>
            <w:r>
              <w:rPr>
                <w:rFonts w:hint="default" w:ascii="宋体" w:hAnsi="宋体" w:eastAsia="宋体"/>
                <w:color w:val="auto"/>
                <w:szCs w:val="21"/>
                <w:highlight w:val="none"/>
                <w:lang w:val="en-US" w:eastAsia="zh-CN"/>
              </w:rPr>
              <w:t>分，没有不得分。</w:t>
            </w:r>
          </w:p>
        </w:tc>
        <w:tc>
          <w:tcPr>
            <w:tcW w:w="783" w:type="dxa"/>
            <w:vAlign w:val="center"/>
          </w:tcPr>
          <w:p>
            <w:pPr>
              <w:autoSpaceDE w:val="0"/>
              <w:autoSpaceDN w:val="0"/>
              <w:adjustRightInd w:val="0"/>
              <w:snapToGrid w:val="0"/>
              <w:spacing w:before="36" w:beforeLines="15" w:line="276" w:lineRule="auto"/>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1035" w:type="dxa"/>
            <w:vMerge w:val="continue"/>
            <w:vAlign w:val="center"/>
          </w:tcPr>
          <w:p>
            <w:pPr>
              <w:adjustRightInd w:val="0"/>
              <w:snapToGrid w:val="0"/>
              <w:spacing w:before="36" w:beforeLines="15" w:line="276" w:lineRule="auto"/>
              <w:jc w:val="center"/>
              <w:rPr>
                <w:rFonts w:ascii="宋体" w:hAnsi="宋体"/>
                <w:color w:val="auto"/>
                <w:szCs w:val="21"/>
                <w:highlight w:val="none"/>
              </w:rPr>
            </w:pPr>
          </w:p>
        </w:tc>
        <w:tc>
          <w:tcPr>
            <w:tcW w:w="1928" w:type="dxa"/>
            <w:vAlign w:val="center"/>
          </w:tcPr>
          <w:p>
            <w:pPr>
              <w:jc w:val="center"/>
              <w:rPr>
                <w:rFonts w:hint="eastAsia" w:ascii="宋体" w:hAnsi="宋体" w:cs="仿宋_GB2312"/>
                <w:color w:val="auto"/>
                <w:kern w:val="0"/>
                <w:szCs w:val="21"/>
                <w:highlight w:val="none"/>
                <w:lang w:eastAsia="zh-CN"/>
              </w:rPr>
            </w:pPr>
            <w:r>
              <w:rPr>
                <w:rFonts w:hint="eastAsia" w:ascii="宋体" w:hAnsi="宋体" w:cs="仿宋_GB2312"/>
                <w:color w:val="auto"/>
                <w:kern w:val="0"/>
                <w:szCs w:val="21"/>
                <w:highlight w:val="none"/>
                <w:lang w:eastAsia="zh-CN"/>
              </w:rPr>
              <w:t>服务承诺</w:t>
            </w:r>
          </w:p>
        </w:tc>
        <w:tc>
          <w:tcPr>
            <w:tcW w:w="5172" w:type="dxa"/>
            <w:vAlign w:val="center"/>
          </w:tcPr>
          <w:p>
            <w:pPr>
              <w:autoSpaceDE w:val="0"/>
              <w:autoSpaceDN w:val="0"/>
              <w:adjustRightInd w:val="0"/>
              <w:spacing w:line="300" w:lineRule="exact"/>
              <w:jc w:val="left"/>
              <w:rPr>
                <w:rFonts w:hint="eastAsia" w:ascii="宋体" w:hAnsi="宋体"/>
                <w:color w:val="auto"/>
                <w:szCs w:val="21"/>
                <w:highlight w:val="none"/>
              </w:rPr>
            </w:pPr>
            <w:r>
              <w:rPr>
                <w:rFonts w:hint="eastAsia" w:ascii="宋体" w:hAnsi="宋体"/>
                <w:color w:val="auto"/>
                <w:szCs w:val="21"/>
                <w:highlight w:val="none"/>
              </w:rPr>
              <w:t>评标委员会根据各供应商的实质性服务承诺进行综合比较，完善、科学、合理，每提供一项实质性承诺项得1分，最多得</w:t>
            </w:r>
            <w:r>
              <w:rPr>
                <w:rFonts w:hint="eastAsia" w:ascii="宋体" w:hAnsi="宋体"/>
                <w:color w:val="auto"/>
                <w:szCs w:val="21"/>
                <w:highlight w:val="none"/>
                <w:lang w:val="en-US" w:eastAsia="zh-CN"/>
              </w:rPr>
              <w:t>5</w:t>
            </w:r>
            <w:r>
              <w:rPr>
                <w:rFonts w:hint="eastAsia" w:ascii="宋体" w:hAnsi="宋体"/>
                <w:color w:val="auto"/>
                <w:szCs w:val="21"/>
                <w:highlight w:val="none"/>
              </w:rPr>
              <w:t>分，没有不得分。</w:t>
            </w:r>
          </w:p>
        </w:tc>
        <w:tc>
          <w:tcPr>
            <w:tcW w:w="783" w:type="dxa"/>
            <w:vAlign w:val="center"/>
          </w:tcPr>
          <w:p>
            <w:pPr>
              <w:autoSpaceDE w:val="0"/>
              <w:autoSpaceDN w:val="0"/>
              <w:adjustRightInd w:val="0"/>
              <w:snapToGrid w:val="0"/>
              <w:spacing w:before="36" w:beforeLines="15" w:line="276" w:lineRule="auto"/>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8135" w:type="dxa"/>
            <w:gridSpan w:val="3"/>
            <w:vAlign w:val="center"/>
          </w:tcPr>
          <w:p>
            <w:pPr>
              <w:adjustRightInd w:val="0"/>
              <w:snapToGrid w:val="0"/>
              <w:spacing w:before="36" w:beforeLines="15" w:line="276" w:lineRule="auto"/>
              <w:jc w:val="center"/>
              <w:rPr>
                <w:rFonts w:ascii="宋体" w:hAnsi="宋体"/>
                <w:color w:val="auto"/>
                <w:szCs w:val="21"/>
                <w:highlight w:val="none"/>
              </w:rPr>
            </w:pPr>
            <w:r>
              <w:rPr>
                <w:rFonts w:hint="eastAsia" w:ascii="宋体" w:hAnsi="宋体"/>
                <w:color w:val="auto"/>
                <w:szCs w:val="21"/>
                <w:highlight w:val="none"/>
              </w:rPr>
              <w:t>合计</w:t>
            </w:r>
          </w:p>
        </w:tc>
        <w:tc>
          <w:tcPr>
            <w:tcW w:w="783" w:type="dxa"/>
            <w:vAlign w:val="center"/>
          </w:tcPr>
          <w:p>
            <w:pPr>
              <w:adjustRightInd w:val="0"/>
              <w:snapToGrid w:val="0"/>
              <w:spacing w:before="36" w:beforeLines="15" w:line="276" w:lineRule="auto"/>
              <w:jc w:val="center"/>
              <w:rPr>
                <w:rFonts w:ascii="宋体" w:hAnsi="宋体"/>
                <w:color w:val="auto"/>
                <w:szCs w:val="21"/>
                <w:highlight w:val="none"/>
              </w:rPr>
            </w:pPr>
            <w:r>
              <w:rPr>
                <w:rFonts w:hint="eastAsia" w:ascii="宋体" w:hAnsi="宋体"/>
                <w:color w:val="auto"/>
                <w:szCs w:val="21"/>
                <w:highlight w:val="none"/>
              </w:rPr>
              <w:t>100分</w:t>
            </w:r>
          </w:p>
        </w:tc>
      </w:tr>
    </w:tbl>
    <w:p>
      <w:pPr>
        <w:autoSpaceDN w:val="0"/>
        <w:adjustRightInd w:val="0"/>
        <w:snapToGrid w:val="0"/>
        <w:spacing w:line="360" w:lineRule="auto"/>
        <w:rPr>
          <w:rFonts w:asciiTheme="majorEastAsia" w:hAnsiTheme="majorEastAsia" w:eastAsiaTheme="majorEastAsia"/>
          <w:b/>
          <w:bCs/>
          <w:sz w:val="24"/>
        </w:rPr>
      </w:pPr>
      <w:r>
        <w:rPr>
          <w:rFonts w:hint="eastAsia" w:asciiTheme="majorEastAsia" w:hAnsiTheme="majorEastAsia" w:eastAsiaTheme="majorEastAsia"/>
          <w:b/>
          <w:bCs/>
          <w:sz w:val="24"/>
        </w:rPr>
        <w:t xml:space="preserve"> (四) 说  明</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评标委员会对满足招标文件实质性要求的投标文件，按照本章规定的评分标准进行打分，并按得分由高到低顺序推荐中标候选人，或根据采购人授权直接确定中标人，但投标报价低于其成本的除外。综合评分得分相同的，按投标报价由低到高顺序排列。得分且投标报价相同的并列。投标文件满足招标文件全部实质性要求，且按照评审因素的</w:t>
      </w:r>
      <w:r>
        <w:rPr>
          <w:rFonts w:hint="eastAsia" w:asciiTheme="majorEastAsia" w:hAnsiTheme="majorEastAsia" w:eastAsiaTheme="majorEastAsia"/>
          <w:szCs w:val="21"/>
          <w:lang w:val="en-US" w:eastAsia="zh-CN"/>
        </w:rPr>
        <w:t>技术方案</w:t>
      </w:r>
      <w:r>
        <w:rPr>
          <w:rFonts w:hint="eastAsia" w:asciiTheme="majorEastAsia" w:hAnsiTheme="majorEastAsia" w:eastAsiaTheme="majorEastAsia"/>
          <w:szCs w:val="21"/>
        </w:rPr>
        <w:t>评审得分最高的</w:t>
      </w:r>
      <w:r>
        <w:rPr>
          <w:rFonts w:hint="eastAsia" w:asciiTheme="majorEastAsia" w:hAnsiTheme="majorEastAsia" w:eastAsiaTheme="majorEastAsia"/>
          <w:szCs w:val="21"/>
          <w:lang w:eastAsia="zh-CN"/>
        </w:rPr>
        <w:t>供应商</w:t>
      </w:r>
      <w:r>
        <w:rPr>
          <w:rFonts w:hint="eastAsia" w:asciiTheme="majorEastAsia" w:hAnsiTheme="majorEastAsia" w:eastAsiaTheme="majorEastAsia"/>
          <w:szCs w:val="21"/>
        </w:rPr>
        <w:t>为排名第一的中标候选人；</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2、本办法未列内容，不作为本次评审依据。</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投标报价有算术错误的，评标委员会按以下原则对投标报价进行修正，修正的价格经</w:t>
      </w:r>
      <w:r>
        <w:rPr>
          <w:rFonts w:hint="eastAsia" w:asciiTheme="majorEastAsia" w:hAnsiTheme="majorEastAsia" w:eastAsiaTheme="majorEastAsia"/>
          <w:szCs w:val="21"/>
          <w:lang w:eastAsia="zh-CN"/>
        </w:rPr>
        <w:t>供应商</w:t>
      </w:r>
      <w:r>
        <w:rPr>
          <w:rFonts w:hint="eastAsia" w:asciiTheme="majorEastAsia" w:hAnsiTheme="majorEastAsia" w:eastAsiaTheme="majorEastAsia"/>
          <w:szCs w:val="21"/>
        </w:rPr>
        <w:t>书面确认后具有约束力。</w:t>
      </w:r>
      <w:r>
        <w:rPr>
          <w:rFonts w:hint="eastAsia" w:asciiTheme="majorEastAsia" w:hAnsiTheme="majorEastAsia" w:eastAsiaTheme="majorEastAsia"/>
          <w:szCs w:val="21"/>
          <w:lang w:eastAsia="zh-CN"/>
        </w:rPr>
        <w:t>供应商</w:t>
      </w:r>
      <w:r>
        <w:rPr>
          <w:rFonts w:hint="eastAsia" w:asciiTheme="majorEastAsia" w:hAnsiTheme="majorEastAsia" w:eastAsiaTheme="majorEastAsia"/>
          <w:szCs w:val="21"/>
        </w:rPr>
        <w:t>不接受修正价格的，评标委员会应当否决其投标。</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（1）投标文件中的大写金额与小写金额不一致的，以大写金额为准；</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（2）总价金额与依据单价计算出的结果不一致的，以单价金额为准修正总价，但单价金额小数点有明显错误的除外。</w:t>
      </w:r>
    </w:p>
    <w:p>
      <w:pPr>
        <w:autoSpaceDN w:val="0"/>
        <w:adjustRightInd w:val="0"/>
        <w:snapToGrid w:val="0"/>
        <w:spacing w:before="312" w:line="360" w:lineRule="auto"/>
        <w:jc w:val="center"/>
        <w:rPr>
          <w:rFonts w:hint="eastAsia" w:asciiTheme="majorEastAsia" w:hAnsiTheme="majorEastAsia" w:eastAsiaTheme="majorEastAsia"/>
          <w:bCs/>
          <w:sz w:val="28"/>
          <w:szCs w:val="28"/>
        </w:rPr>
      </w:pPr>
    </w:p>
    <w:p>
      <w:pPr>
        <w:autoSpaceDN w:val="0"/>
        <w:adjustRightInd w:val="0"/>
        <w:snapToGrid w:val="0"/>
        <w:spacing w:before="312" w:line="360" w:lineRule="auto"/>
        <w:jc w:val="center"/>
        <w:rPr>
          <w:rFonts w:hint="eastAsia" w:asciiTheme="majorEastAsia" w:hAnsiTheme="majorEastAsia" w:eastAsiaTheme="majorEastAsia"/>
          <w:bCs/>
          <w:sz w:val="28"/>
          <w:szCs w:val="28"/>
        </w:rPr>
      </w:pPr>
    </w:p>
    <w:p>
      <w:pPr>
        <w:autoSpaceDN w:val="0"/>
        <w:adjustRightInd w:val="0"/>
        <w:snapToGrid w:val="0"/>
        <w:spacing w:before="312" w:line="360" w:lineRule="auto"/>
        <w:jc w:val="center"/>
        <w:rPr>
          <w:rFonts w:hint="eastAsia" w:asciiTheme="majorEastAsia" w:hAnsiTheme="majorEastAsia" w:eastAsiaTheme="majorEastAsia"/>
          <w:bCs/>
          <w:sz w:val="28"/>
          <w:szCs w:val="28"/>
        </w:rPr>
      </w:pPr>
    </w:p>
    <w:p>
      <w:pPr>
        <w:autoSpaceDN w:val="0"/>
        <w:adjustRightInd w:val="0"/>
        <w:snapToGrid w:val="0"/>
        <w:spacing w:before="312" w:line="360" w:lineRule="auto"/>
        <w:jc w:val="center"/>
        <w:rPr>
          <w:rFonts w:hint="eastAsia" w:asciiTheme="majorEastAsia" w:hAnsiTheme="majorEastAsia" w:eastAsiaTheme="majorEastAsia"/>
          <w:bCs/>
          <w:sz w:val="28"/>
          <w:szCs w:val="28"/>
        </w:rPr>
      </w:pPr>
    </w:p>
    <w:p>
      <w:pPr>
        <w:autoSpaceDN w:val="0"/>
        <w:adjustRightInd w:val="0"/>
        <w:snapToGrid w:val="0"/>
        <w:spacing w:before="312" w:line="360" w:lineRule="auto"/>
        <w:jc w:val="center"/>
        <w:rPr>
          <w:rFonts w:hint="eastAsia" w:asciiTheme="majorEastAsia" w:hAnsiTheme="majorEastAsia" w:eastAsiaTheme="majorEastAsia"/>
          <w:bCs/>
          <w:sz w:val="28"/>
          <w:szCs w:val="28"/>
        </w:rPr>
      </w:pPr>
    </w:p>
    <w:p>
      <w:pPr>
        <w:autoSpaceDN w:val="0"/>
        <w:adjustRightInd w:val="0"/>
        <w:snapToGrid w:val="0"/>
        <w:spacing w:before="312" w:line="360" w:lineRule="auto"/>
        <w:jc w:val="center"/>
        <w:rPr>
          <w:rFonts w:hint="eastAsia" w:asciiTheme="majorEastAsia" w:hAnsiTheme="majorEastAsia" w:eastAsiaTheme="majorEastAsia"/>
          <w:bCs/>
          <w:sz w:val="28"/>
          <w:szCs w:val="28"/>
        </w:rPr>
      </w:pPr>
    </w:p>
    <w:p>
      <w:pPr>
        <w:autoSpaceDN w:val="0"/>
        <w:adjustRightInd w:val="0"/>
        <w:snapToGrid w:val="0"/>
        <w:spacing w:before="312" w:line="360" w:lineRule="auto"/>
        <w:jc w:val="center"/>
        <w:rPr>
          <w:rFonts w:hint="eastAsia" w:asciiTheme="majorEastAsia" w:hAnsiTheme="majorEastAsia" w:eastAsiaTheme="majorEastAsia"/>
          <w:bCs/>
          <w:sz w:val="28"/>
          <w:szCs w:val="28"/>
        </w:rPr>
      </w:pPr>
    </w:p>
    <w:p>
      <w:pPr>
        <w:autoSpaceDN w:val="0"/>
        <w:adjustRightInd w:val="0"/>
        <w:snapToGrid w:val="0"/>
        <w:spacing w:before="312" w:line="360" w:lineRule="auto"/>
        <w:jc w:val="center"/>
        <w:rPr>
          <w:rFonts w:hint="eastAsia" w:asciiTheme="majorEastAsia" w:hAnsiTheme="majorEastAsia" w:eastAsiaTheme="majorEastAsia"/>
          <w:bCs/>
          <w:sz w:val="28"/>
          <w:szCs w:val="28"/>
        </w:rPr>
      </w:pPr>
    </w:p>
    <w:p>
      <w:pPr>
        <w:autoSpaceDN w:val="0"/>
        <w:adjustRightInd w:val="0"/>
        <w:snapToGrid w:val="0"/>
        <w:spacing w:before="312" w:line="360" w:lineRule="auto"/>
        <w:jc w:val="center"/>
        <w:rPr>
          <w:rFonts w:hint="eastAsia" w:asciiTheme="majorEastAsia" w:hAnsiTheme="majorEastAsia" w:eastAsiaTheme="majorEastAsia"/>
          <w:bCs/>
          <w:sz w:val="28"/>
          <w:szCs w:val="28"/>
        </w:rPr>
      </w:pPr>
    </w:p>
    <w:p>
      <w:pPr>
        <w:autoSpaceDN w:val="0"/>
        <w:adjustRightInd w:val="0"/>
        <w:snapToGrid w:val="0"/>
        <w:spacing w:before="312" w:line="360" w:lineRule="auto"/>
        <w:jc w:val="center"/>
        <w:rPr>
          <w:rFonts w:hint="eastAsia" w:asciiTheme="majorEastAsia" w:hAnsiTheme="majorEastAsia" w:eastAsiaTheme="majorEastAsia"/>
          <w:bCs/>
          <w:sz w:val="28"/>
          <w:szCs w:val="28"/>
        </w:rPr>
      </w:pPr>
    </w:p>
    <w:p>
      <w:pPr>
        <w:autoSpaceDN w:val="0"/>
        <w:adjustRightInd w:val="0"/>
        <w:snapToGrid w:val="0"/>
        <w:spacing w:before="312" w:line="360" w:lineRule="auto"/>
        <w:jc w:val="center"/>
        <w:rPr>
          <w:rFonts w:hint="eastAsia" w:asciiTheme="majorEastAsia" w:hAnsiTheme="majorEastAsia" w:eastAsiaTheme="majorEastAsia"/>
          <w:bCs/>
          <w:sz w:val="28"/>
          <w:szCs w:val="28"/>
        </w:rPr>
      </w:pPr>
    </w:p>
    <w:p>
      <w:pPr>
        <w:autoSpaceDN w:val="0"/>
        <w:adjustRightInd w:val="0"/>
        <w:snapToGrid w:val="0"/>
        <w:spacing w:before="312" w:line="360" w:lineRule="auto"/>
        <w:jc w:val="center"/>
        <w:rPr>
          <w:rFonts w:hint="eastAsia" w:asciiTheme="majorEastAsia" w:hAnsiTheme="majorEastAsia" w:eastAsiaTheme="majorEastAsia"/>
          <w:bCs/>
          <w:sz w:val="28"/>
          <w:szCs w:val="28"/>
        </w:rPr>
      </w:pPr>
    </w:p>
    <w:p>
      <w:pPr>
        <w:autoSpaceDN w:val="0"/>
        <w:adjustRightInd w:val="0"/>
        <w:snapToGrid w:val="0"/>
        <w:spacing w:before="312" w:line="360" w:lineRule="auto"/>
        <w:jc w:val="center"/>
        <w:rPr>
          <w:rFonts w:hint="eastAsia" w:asciiTheme="majorEastAsia" w:hAnsiTheme="majorEastAsia" w:eastAsiaTheme="majorEastAsia"/>
          <w:bCs/>
          <w:sz w:val="28"/>
          <w:szCs w:val="28"/>
        </w:rPr>
      </w:pPr>
    </w:p>
    <w:p>
      <w:pPr>
        <w:autoSpaceDN w:val="0"/>
        <w:adjustRightInd w:val="0"/>
        <w:snapToGrid w:val="0"/>
        <w:spacing w:before="312" w:line="360" w:lineRule="auto"/>
        <w:jc w:val="center"/>
        <w:rPr>
          <w:rFonts w:hint="eastAsia" w:asciiTheme="majorEastAsia" w:hAnsiTheme="majorEastAsia" w:eastAsiaTheme="majorEastAsia"/>
          <w:bCs/>
          <w:sz w:val="28"/>
          <w:szCs w:val="28"/>
        </w:rPr>
      </w:pPr>
    </w:p>
    <w:p>
      <w:pPr>
        <w:autoSpaceDN w:val="0"/>
        <w:adjustRightInd w:val="0"/>
        <w:snapToGrid w:val="0"/>
        <w:spacing w:before="312" w:line="360" w:lineRule="auto"/>
        <w:jc w:val="center"/>
        <w:rPr>
          <w:rFonts w:asciiTheme="majorEastAsia" w:hAnsiTheme="majorEastAsia" w:eastAsiaTheme="majorEastAsia"/>
          <w:sz w:val="28"/>
          <w:szCs w:val="28"/>
        </w:rPr>
      </w:pPr>
      <w:r>
        <w:rPr>
          <w:rFonts w:hint="eastAsia" w:asciiTheme="majorEastAsia" w:hAnsiTheme="majorEastAsia" w:eastAsiaTheme="majorEastAsia"/>
          <w:bCs/>
          <w:sz w:val="28"/>
          <w:szCs w:val="28"/>
        </w:rPr>
        <w:t>附件：</w:t>
      </w:r>
      <w:bookmarkStart w:id="76" w:name="_Toc63327628"/>
      <w:r>
        <w:rPr>
          <w:rFonts w:hint="eastAsia" w:asciiTheme="majorEastAsia" w:hAnsiTheme="majorEastAsia" w:eastAsiaTheme="majorEastAsia"/>
          <w:sz w:val="28"/>
          <w:szCs w:val="28"/>
        </w:rPr>
        <w:t>关于印发《政府采购促进中小企业发展管理办法》的通知</w:t>
      </w:r>
      <w:bookmarkEnd w:id="76"/>
    </w:p>
    <w:p>
      <w:pPr>
        <w:autoSpaceDN w:val="0"/>
        <w:adjustRightInd w:val="0"/>
        <w:snapToGrid w:val="0"/>
        <w:spacing w:before="312" w:line="360" w:lineRule="auto"/>
        <w:jc w:val="center"/>
        <w:rPr>
          <w:rFonts w:cs="Arial" w:asciiTheme="majorEastAsia" w:hAnsiTheme="majorEastAsia" w:eastAsiaTheme="majorEastAsia"/>
          <w:sz w:val="28"/>
          <w:szCs w:val="28"/>
        </w:rPr>
      </w:pPr>
      <w:r>
        <w:rPr>
          <w:rFonts w:hint="eastAsia" w:asciiTheme="majorEastAsia" w:hAnsiTheme="majorEastAsia" w:eastAsiaTheme="majorEastAsia"/>
          <w:sz w:val="28"/>
          <w:szCs w:val="28"/>
        </w:rPr>
        <w:t>财库[2020]46号</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各中央预算单位办公厅（室），各省、自治区、直辖市、计划单列市财政厅（局）、工业和信息化主管部门，新疆生产建设兵团财政局、工业和信息化主管部门：</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autoSpaceDN w:val="0"/>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附件：政府采购促进中小企业发展管理办法。</w:t>
      </w:r>
    </w:p>
    <w:p>
      <w:pPr>
        <w:autoSpaceDN w:val="0"/>
        <w:adjustRightInd w:val="0"/>
        <w:snapToGrid w:val="0"/>
        <w:spacing w:before="312" w:line="360" w:lineRule="auto"/>
        <w:jc w:val="right"/>
        <w:rPr>
          <w:rFonts w:asciiTheme="majorEastAsia" w:hAnsiTheme="majorEastAsia" w:eastAsiaTheme="majorEastAsia"/>
          <w:szCs w:val="21"/>
        </w:rPr>
      </w:pPr>
      <w:r>
        <w:rPr>
          <w:rFonts w:hint="eastAsia" w:asciiTheme="majorEastAsia" w:hAnsiTheme="majorEastAsia" w:eastAsiaTheme="majorEastAsia"/>
          <w:szCs w:val="21"/>
        </w:rPr>
        <w:t>财  政  部</w:t>
      </w:r>
    </w:p>
    <w:p>
      <w:pPr>
        <w:autoSpaceDN w:val="0"/>
        <w:adjustRightInd w:val="0"/>
        <w:snapToGrid w:val="0"/>
        <w:spacing w:before="312" w:line="360" w:lineRule="auto"/>
        <w:jc w:val="right"/>
        <w:rPr>
          <w:rFonts w:asciiTheme="majorEastAsia" w:hAnsiTheme="majorEastAsia" w:eastAsiaTheme="majorEastAsia"/>
          <w:szCs w:val="21"/>
        </w:rPr>
      </w:pPr>
      <w:r>
        <w:rPr>
          <w:rFonts w:hint="eastAsia" w:asciiTheme="majorEastAsia" w:hAnsiTheme="majorEastAsia" w:eastAsiaTheme="majorEastAsia"/>
          <w:szCs w:val="21"/>
        </w:rPr>
        <w:t>工业和信息化部</w:t>
      </w:r>
    </w:p>
    <w:p>
      <w:pPr>
        <w:autoSpaceDN w:val="0"/>
        <w:adjustRightInd w:val="0"/>
        <w:snapToGrid w:val="0"/>
        <w:spacing w:before="312" w:line="360" w:lineRule="auto"/>
        <w:jc w:val="right"/>
        <w:rPr>
          <w:rFonts w:asciiTheme="majorEastAsia" w:hAnsiTheme="majorEastAsia" w:eastAsiaTheme="majorEastAsia"/>
          <w:szCs w:val="21"/>
        </w:rPr>
      </w:pPr>
      <w:r>
        <w:rPr>
          <w:rFonts w:hint="eastAsia" w:asciiTheme="majorEastAsia" w:hAnsiTheme="majorEastAsia" w:eastAsiaTheme="majorEastAsia"/>
          <w:szCs w:val="21"/>
        </w:rPr>
        <w:t>2020年12月18日</w:t>
      </w:r>
    </w:p>
    <w:p>
      <w:pPr>
        <w:pStyle w:val="6"/>
        <w:autoSpaceDN w:val="0"/>
        <w:adjustRightInd w:val="0"/>
        <w:snapToGrid w:val="0"/>
        <w:spacing w:line="360" w:lineRule="auto"/>
        <w:ind w:firstLine="560"/>
        <w:rPr>
          <w:rFonts w:cs="Arial" w:asciiTheme="majorEastAsia" w:hAnsiTheme="majorEastAsia" w:eastAsiaTheme="majorEastAsia"/>
          <w:bCs/>
          <w:sz w:val="28"/>
          <w:szCs w:val="28"/>
        </w:rPr>
      </w:pPr>
    </w:p>
    <w:p>
      <w:pPr>
        <w:pStyle w:val="6"/>
        <w:autoSpaceDN w:val="0"/>
        <w:adjustRightInd w:val="0"/>
        <w:snapToGrid w:val="0"/>
        <w:spacing w:line="360" w:lineRule="auto"/>
        <w:ind w:firstLine="560"/>
        <w:jc w:val="center"/>
        <w:rPr>
          <w:rFonts w:cs="宋体" w:asciiTheme="majorEastAsia" w:hAnsiTheme="majorEastAsia" w:eastAsiaTheme="majorEastAsia"/>
          <w:szCs w:val="21"/>
        </w:rPr>
      </w:pPr>
      <w:bookmarkStart w:id="77" w:name="_Toc63327629"/>
      <w:r>
        <w:rPr>
          <w:rFonts w:cs="Arial" w:asciiTheme="majorEastAsia" w:hAnsiTheme="majorEastAsia" w:eastAsiaTheme="majorEastAsia"/>
          <w:sz w:val="28"/>
          <w:szCs w:val="28"/>
        </w:rPr>
        <w:br w:type="page"/>
      </w:r>
      <w:r>
        <w:rPr>
          <w:rFonts w:hint="eastAsia" w:cs="宋体" w:asciiTheme="majorEastAsia" w:hAnsiTheme="majorEastAsia" w:eastAsiaTheme="majorEastAsia"/>
          <w:szCs w:val="21"/>
        </w:rPr>
        <w:t>政府采购促进中小企业发展管理办法</w:t>
      </w:r>
      <w:bookmarkEnd w:id="77"/>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第一条　</w:t>
      </w:r>
      <w:r>
        <w:rPr>
          <w:rFonts w:hint="eastAsia" w:asciiTheme="majorEastAsia" w:hAnsiTheme="majorEastAsia" w:eastAsiaTheme="majorEastAsia"/>
          <w:spacing w:val="7"/>
          <w:sz w:val="21"/>
          <w:szCs w:val="21"/>
        </w:rPr>
        <w:t>为了发挥政府采购的政策功能，促进中小企业健康发展，根据《中华人民共和国政府采购法》、《中华人民共和国中小企业促进法》等有关法律法规，制定本办法。</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第二条　</w:t>
      </w:r>
      <w:r>
        <w:rPr>
          <w:rFonts w:hint="eastAsia" w:asciiTheme="majorEastAsia" w:hAnsiTheme="majorEastAsia" w:eastAsiaTheme="majorEastAsia"/>
          <w:spacing w:val="7"/>
          <w:sz w:val="21"/>
          <w:szCs w:val="21"/>
        </w:rPr>
        <w:t>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符合中小企业划分标准的个体工商户，在政府采购活动中视同中小企业。</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第三条　</w:t>
      </w:r>
      <w:r>
        <w:rPr>
          <w:rFonts w:hint="eastAsia" w:asciiTheme="majorEastAsia" w:hAnsiTheme="majorEastAsia" w:eastAsiaTheme="majorEastAsia"/>
          <w:spacing w:val="7"/>
          <w:sz w:val="21"/>
          <w:szCs w:val="21"/>
        </w:rPr>
        <w:t>采购人在政府采购活动中应当通过加强采购需求管理，落实预留采购份额、价格评审优惠、优先采购等措施，提高中小企业在政府采购中的份额，支持中小企业发展。</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第四条　</w:t>
      </w:r>
      <w:r>
        <w:rPr>
          <w:rFonts w:hint="eastAsia" w:asciiTheme="majorEastAsia" w:hAnsiTheme="majorEastAsia" w:eastAsiaTheme="majorEastAsia"/>
          <w:spacing w:val="7"/>
          <w:sz w:val="21"/>
          <w:szCs w:val="21"/>
        </w:rPr>
        <w:t>在政府采购活动中，供应商提供的货物、工程或者服务符合下列情形的，享受本办法规定的中小企业扶持政策：</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（一）在货物采购项目中，货物由中小企业制造，即货物由中小企业生产且使用该中小企业商号或者注册商标；</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（二）在工程采购项目中，工程由中小企业承建，即工程施工单位为中小企业；</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（三）在服务采购项目中，服务由中小企业承接，即提供服务的人员为中小企业依照《中华人民共和国劳动合同法》订立劳动合同的从业人员。</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在货物采购项目中，供应商提供的货物既有中小企业制造货物，也有大型企业制造货物的，不享受本办法规定的中小企业扶持政策。</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以联合体形式参加政府采购活动，联合体各方均为中小企业的，联合体视同中小企业。其中，联合体各方均为小微企业的，联合体视同小微企业。</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第五条　</w:t>
      </w:r>
      <w:r>
        <w:rPr>
          <w:rFonts w:hint="eastAsia" w:asciiTheme="majorEastAsia" w:hAnsiTheme="majorEastAsia" w:eastAsiaTheme="majorEastAsia"/>
          <w:spacing w:val="7"/>
          <w:sz w:val="21"/>
          <w:szCs w:val="21"/>
        </w:rPr>
        <w:t>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第六条</w:t>
      </w:r>
      <w:r>
        <w:rPr>
          <w:rFonts w:hint="eastAsia" w:asciiTheme="majorEastAsia" w:hAnsiTheme="majorEastAsia" w:eastAsiaTheme="majorEastAsia"/>
          <w:spacing w:val="7"/>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符合下列情形之一的，可不专门面向中小企业预留采购份额：</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（一）法律法规和国家有关政策明确规定优先或者应当面向事业单位、社会组织等非企业主体采购的；</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（二）因确需使用不可替代的专利、专有技术，基础设施限制，或者提供特定公共服务等原因，只能从中小企业之外的供应商处采购的；</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（三）按照本办法规定预留采购份额无法确保充分供应、充分竞争，或者存在可能影响政府采购目标实现的情形；</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（四）框架协议采购项目；</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（五）省级以上人民政府财政部门规定的其他情形。</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除上述情形外，其他均为适宜由中小企业提供的情形。</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第七条　</w:t>
      </w:r>
      <w:r>
        <w:rPr>
          <w:rFonts w:hint="eastAsia" w:asciiTheme="majorEastAsia" w:hAnsiTheme="majorEastAsia" w:eastAsiaTheme="majorEastAsia"/>
          <w:spacing w:val="7"/>
          <w:sz w:val="21"/>
          <w:szCs w:val="21"/>
        </w:rPr>
        <w:t>采购限额标准以上，200万元以下的货物和服务采购项目、400万元以下的工程采购项目，适宜由中小企业提供的，采购人应当专门面向中小企业采购。</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第八条</w:t>
      </w:r>
      <w:r>
        <w:rPr>
          <w:rFonts w:hint="eastAsia" w:asciiTheme="majorEastAsia" w:hAnsiTheme="majorEastAsia" w:eastAsiaTheme="majorEastAsia"/>
          <w:spacing w:val="7"/>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（一）将采购项目整体或者设置采购包专门面向中小企业采购；</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（二）要求供应商以联合体形式参加采购活动，且联合体中小企业承担的部分达到一定比例；</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（三）要求获得采购合同的供应商将采购项目中的一定比例分包给一家或者多家中小企业。</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组成联合体或者接受分包合同的中小企业与联合体内其他企业、分包企业之间不得存在直接控股、管理关系。</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第九条　</w:t>
      </w:r>
      <w:r>
        <w:rPr>
          <w:rFonts w:hint="eastAsia" w:asciiTheme="majorEastAsia" w:hAnsiTheme="majorEastAsia" w:eastAsiaTheme="majorEastAsia"/>
          <w:spacing w:val="7"/>
          <w:sz w:val="21"/>
          <w:szCs w:val="21"/>
        </w:rPr>
        <w:t>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第十条　</w:t>
      </w:r>
      <w:r>
        <w:rPr>
          <w:rFonts w:hint="eastAsia" w:asciiTheme="majorEastAsia" w:hAnsiTheme="majorEastAsia" w:eastAsiaTheme="majorEastAsia"/>
          <w:spacing w:val="7"/>
          <w:sz w:val="21"/>
          <w:szCs w:val="21"/>
        </w:rPr>
        <w:t>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第十一条　</w:t>
      </w:r>
      <w:r>
        <w:rPr>
          <w:rFonts w:hint="eastAsia" w:asciiTheme="majorEastAsia" w:hAnsiTheme="majorEastAsia" w:eastAsiaTheme="majorEastAsia"/>
          <w:spacing w:val="7"/>
          <w:sz w:val="21"/>
          <w:szCs w:val="21"/>
        </w:rPr>
        <w:t>中小企业参加政府采购活动，应当出具本办法规定的《中小企业声明函》（附1），否则不得享受相关中小企业扶持政策。任何单位和个人不得要求供应商提供《中小企业声明函》之外的中小企业身份证明文件。</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pacing w:val="7"/>
          <w:sz w:val="21"/>
          <w:szCs w:val="21"/>
        </w:rPr>
      </w:pPr>
      <w:r>
        <w:rPr>
          <w:rStyle w:val="25"/>
          <w:rFonts w:hint="eastAsia" w:cs="宋体" w:asciiTheme="majorEastAsia" w:hAnsiTheme="majorEastAsia" w:eastAsiaTheme="majorEastAsia"/>
          <w:spacing w:val="7"/>
          <w:sz w:val="21"/>
          <w:szCs w:val="21"/>
        </w:rPr>
        <w:t>第十二条　</w:t>
      </w:r>
      <w:r>
        <w:rPr>
          <w:rFonts w:hint="eastAsia" w:asciiTheme="majorEastAsia" w:hAnsiTheme="majorEastAsia" w:eastAsiaTheme="majorEastAsia"/>
          <w:spacing w:val="7"/>
          <w:sz w:val="21"/>
          <w:szCs w:val="21"/>
        </w:rPr>
        <w:t>采购项目涉及中小企业采购的，采购文件应当明确以下内容：</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pacing w:val="7"/>
          <w:sz w:val="21"/>
          <w:szCs w:val="21"/>
        </w:rPr>
      </w:pPr>
      <w:r>
        <w:rPr>
          <w:rFonts w:hint="eastAsia" w:asciiTheme="majorEastAsia" w:hAnsiTheme="majorEastAsia" w:eastAsiaTheme="majorEastAsia"/>
          <w:spacing w:val="7"/>
          <w:sz w:val="21"/>
          <w:szCs w:val="21"/>
        </w:rPr>
        <w:t>（一）预留份额的采购项目或者采购包，明确该项目或相关采购包专门面向中小企业采购，以及相关标的及预算金额；</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（二）要求以联合体形式参加或者合同分包的，明确联合协议或者分包意向协议中中小企业合同金额应当达到的比例，并作为供应商资格条件；</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（三）非预留份额的采购项目或者采购包，明确有关价格扣除比例或者价格分加分比例；</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（四）规定依据本办法规定享受扶持政策获得政府采购合同的，小微企业不得将合同分包给大中型企业，中型企业不得将合同分包给大型企业；</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（五）采购人认为具备相关条件的，明确对中小企业在资金支付期限、预付款比例等方面的优惠措施；</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（六）明确采购标的对应的中小企业划分标准所属行业；</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（七）法律法规和省级以上人民政府财政部门规定的其他事项。</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第十三条　</w:t>
      </w:r>
      <w:r>
        <w:rPr>
          <w:rFonts w:hint="eastAsia" w:asciiTheme="majorEastAsia" w:hAnsiTheme="majorEastAsia" w:eastAsiaTheme="majorEastAsia"/>
          <w:spacing w:val="7"/>
          <w:sz w:val="21"/>
          <w:szCs w:val="21"/>
        </w:rPr>
        <w:t>中标、成交供应商享受本办法规定的中小企业扶持政策的，采购人、采购代理机构应当随中标、成交结果公开中标、成交供应商的《中小企业声明函》。</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适用招标投标法的政府采购工程建设项目，应当在公示中标候选人时公开中标候选人的《中小企业声明函》。</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第十四条</w:t>
      </w:r>
      <w:r>
        <w:rPr>
          <w:rFonts w:hint="eastAsia" w:asciiTheme="majorEastAsia" w:hAnsiTheme="majorEastAsia" w:eastAsiaTheme="majorEastAsia"/>
          <w:spacing w:val="7"/>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第十五条　</w:t>
      </w:r>
      <w:r>
        <w:rPr>
          <w:rFonts w:hint="eastAsia" w:asciiTheme="majorEastAsia" w:hAnsiTheme="majorEastAsia" w:eastAsiaTheme="majorEastAsia"/>
          <w:spacing w:val="7"/>
          <w:sz w:val="21"/>
          <w:szCs w:val="21"/>
        </w:rPr>
        <w:t>鼓励各地区、各部门在采购活动中允许中小企业引入信用担保手段，为中小企业在投标（响应）保证、履约保证等方面提供专业化服务。鼓励中小企业依法合规通过政府采购合同融资。</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第十六条　</w:t>
      </w:r>
      <w:r>
        <w:rPr>
          <w:rFonts w:hint="eastAsia" w:asciiTheme="majorEastAsia" w:hAnsiTheme="majorEastAsia" w:eastAsiaTheme="majorEastAsia"/>
          <w:spacing w:val="7"/>
          <w:sz w:val="21"/>
          <w:szCs w:val="21"/>
        </w:rPr>
        <w:t>政府采购监督检查、投诉处理及政府采购行政处罚中对中小企业的认定，由货物制造商或者工程、服务供应商注册登记所在地的县级以上人民政府中小企业主管部门负责。</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中小企业主管部门应当在收到财政部门或者有关招标投标行政监督部门关于协助开展中小企业认定函后10个工作日内做出书面答复。</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第十七条　</w:t>
      </w:r>
      <w:r>
        <w:rPr>
          <w:rFonts w:hint="eastAsia" w:asciiTheme="majorEastAsia" w:hAnsiTheme="majorEastAsia" w:eastAsiaTheme="majorEastAsia"/>
          <w:spacing w:val="7"/>
          <w:sz w:val="21"/>
          <w:szCs w:val="21"/>
        </w:rPr>
        <w:t>各地区、各部门应当对涉及中小企业采购的预算项目实施全过程绩效管理，合理设置绩效目标和指标，落实扶持中小企业有关政策要求，定期开展绩效监控和评价，强化绩效评价结果应用。</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第十八条　</w:t>
      </w:r>
      <w:r>
        <w:rPr>
          <w:rFonts w:hint="eastAsia" w:asciiTheme="majorEastAsia" w:hAnsiTheme="majorEastAsia" w:eastAsiaTheme="majorEastAsia"/>
          <w:spacing w:val="7"/>
          <w:sz w:val="21"/>
          <w:szCs w:val="21"/>
        </w:rPr>
        <w:t>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第十九条</w:t>
      </w:r>
      <w:r>
        <w:rPr>
          <w:rFonts w:hint="eastAsia" w:asciiTheme="majorEastAsia" w:hAnsiTheme="majorEastAsia" w:eastAsiaTheme="majorEastAsia"/>
          <w:spacing w:val="7"/>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第二十条</w:t>
      </w:r>
      <w:r>
        <w:rPr>
          <w:rFonts w:hint="eastAsia" w:asciiTheme="majorEastAsia" w:hAnsiTheme="majorEastAsia" w:eastAsiaTheme="majorEastAsia"/>
          <w:spacing w:val="7"/>
          <w:sz w:val="21"/>
          <w:szCs w:val="21"/>
        </w:rPr>
        <w:t>　供应商按照本办法规定提供声明函内容不实的，属于提供虚假材料谋取中标、成交，依照《中华人民共和国政府采购法》等国家有关规定追究相应责任。</w:t>
      </w:r>
    </w:p>
    <w:p>
      <w:pPr>
        <w:pStyle w:val="17"/>
        <w:autoSpaceDN w:val="0"/>
        <w:adjustRightInd w:val="0"/>
        <w:snapToGrid w:val="0"/>
        <w:spacing w:before="0" w:beforeAutospacing="0" w:after="0" w:afterAutospacing="0" w:line="360" w:lineRule="auto"/>
        <w:ind w:firstLine="448" w:firstLineChars="200"/>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适用招标投标法的政府采购工程建设项目，</w:t>
      </w:r>
      <w:r>
        <w:rPr>
          <w:rFonts w:hint="eastAsia" w:asciiTheme="majorEastAsia" w:hAnsiTheme="majorEastAsia" w:eastAsiaTheme="majorEastAsia"/>
          <w:spacing w:val="7"/>
          <w:sz w:val="21"/>
          <w:szCs w:val="21"/>
          <w:lang w:eastAsia="zh-CN"/>
        </w:rPr>
        <w:t>供应商</w:t>
      </w:r>
      <w:r>
        <w:rPr>
          <w:rFonts w:hint="eastAsia" w:asciiTheme="majorEastAsia" w:hAnsiTheme="majorEastAsia" w:eastAsiaTheme="majorEastAsia"/>
          <w:spacing w:val="7"/>
          <w:sz w:val="21"/>
          <w:szCs w:val="21"/>
        </w:rPr>
        <w:t>按照本办法规定提供声明函内容不实的，属于弄虚作假骗取中标，依照《中华人民共和国招标投标法》等国家有关规定追究相应责任。</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第二十一条　</w:t>
      </w:r>
      <w:r>
        <w:rPr>
          <w:rFonts w:hint="eastAsia" w:asciiTheme="majorEastAsia" w:hAnsiTheme="majorEastAsia" w:eastAsiaTheme="majorEastAsia"/>
          <w:spacing w:val="7"/>
          <w:sz w:val="21"/>
          <w:szCs w:val="21"/>
        </w:rPr>
        <w:t>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第二十二条</w:t>
      </w:r>
      <w:r>
        <w:rPr>
          <w:rFonts w:hint="eastAsia" w:asciiTheme="majorEastAsia" w:hAnsiTheme="majorEastAsia" w:eastAsiaTheme="majorEastAsia"/>
          <w:spacing w:val="7"/>
          <w:sz w:val="21"/>
          <w:szCs w:val="21"/>
        </w:rPr>
        <w:t>　对外援助项目、国家相关资格或者资质管理制度另有规定的项目，不适用本办法。</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第二十三条　</w:t>
      </w:r>
      <w:r>
        <w:rPr>
          <w:rFonts w:hint="eastAsia" w:asciiTheme="majorEastAsia" w:hAnsiTheme="majorEastAsia" w:eastAsiaTheme="majorEastAsia"/>
          <w:spacing w:val="7"/>
          <w:sz w:val="21"/>
          <w:szCs w:val="21"/>
        </w:rPr>
        <w:t>关于视同中小企业的其他主体的政府采购扶持政策，由财政部会同有关部门另行规定。</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第二十四条</w:t>
      </w:r>
      <w:r>
        <w:rPr>
          <w:rFonts w:hint="eastAsia" w:asciiTheme="majorEastAsia" w:hAnsiTheme="majorEastAsia" w:eastAsiaTheme="majorEastAsia"/>
          <w:spacing w:val="7"/>
          <w:sz w:val="21"/>
          <w:szCs w:val="21"/>
        </w:rPr>
        <w:t>　省级财政部门可以会同中小企业主管部门根据本办法的规定制定具体实施办法。</w:t>
      </w:r>
    </w:p>
    <w:p>
      <w:pPr>
        <w:pStyle w:val="17"/>
        <w:autoSpaceDN w:val="0"/>
        <w:adjustRightInd w:val="0"/>
        <w:snapToGrid w:val="0"/>
        <w:spacing w:before="0" w:beforeAutospacing="0" w:after="0" w:afterAutospacing="0" w:line="360" w:lineRule="auto"/>
        <w:ind w:firstLine="450" w:firstLineChars="200"/>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第二十五条</w:t>
      </w:r>
      <w:r>
        <w:rPr>
          <w:rFonts w:hint="eastAsia" w:asciiTheme="majorEastAsia" w:hAnsiTheme="majorEastAsia" w:eastAsiaTheme="majorEastAsia"/>
          <w:spacing w:val="7"/>
          <w:sz w:val="21"/>
          <w:szCs w:val="21"/>
        </w:rPr>
        <w:t>　本办法自2021年1月1日起施行。《财政部工业和信息化部关于印发〈政府采购促进中小企业发展暂行办法〉的通知》（财库﹝2011﹞181号）同时废止。</w:t>
      </w:r>
    </w:p>
    <w:p>
      <w:pPr>
        <w:pStyle w:val="17"/>
        <w:autoSpaceDN w:val="0"/>
        <w:adjustRightInd w:val="0"/>
        <w:snapToGrid w:val="0"/>
        <w:spacing w:before="0" w:beforeAutospacing="0" w:after="0" w:afterAutospacing="0" w:line="360" w:lineRule="auto"/>
        <w:jc w:val="both"/>
        <w:rPr>
          <w:rFonts w:asciiTheme="majorEastAsia" w:hAnsiTheme="majorEastAsia" w:eastAsiaTheme="majorEastAsia"/>
          <w:sz w:val="21"/>
          <w:szCs w:val="21"/>
        </w:rPr>
      </w:pPr>
      <w:r>
        <w:rPr>
          <w:rStyle w:val="25"/>
          <w:rFonts w:hint="eastAsia" w:cs="宋体" w:asciiTheme="majorEastAsia" w:hAnsiTheme="majorEastAsia" w:eastAsiaTheme="majorEastAsia"/>
          <w:spacing w:val="7"/>
          <w:sz w:val="21"/>
          <w:szCs w:val="21"/>
        </w:rPr>
        <w:t>附：</w:t>
      </w:r>
    </w:p>
    <w:p>
      <w:pPr>
        <w:pStyle w:val="17"/>
        <w:autoSpaceDN w:val="0"/>
        <w:adjustRightInd w:val="0"/>
        <w:snapToGrid w:val="0"/>
        <w:spacing w:before="0" w:beforeAutospacing="0" w:after="0" w:afterAutospacing="0" w:line="360" w:lineRule="auto"/>
        <w:jc w:val="both"/>
        <w:rPr>
          <w:rFonts w:asciiTheme="majorEastAsia" w:hAnsiTheme="majorEastAsia" w:eastAsiaTheme="majorEastAsia"/>
          <w:sz w:val="21"/>
          <w:szCs w:val="21"/>
        </w:rPr>
      </w:pPr>
      <w:r>
        <w:rPr>
          <w:rFonts w:hint="eastAsia" w:asciiTheme="majorEastAsia" w:hAnsiTheme="majorEastAsia" w:eastAsiaTheme="majorEastAsia"/>
          <w:spacing w:val="7"/>
          <w:sz w:val="21"/>
          <w:szCs w:val="21"/>
        </w:rPr>
        <w:t>1.中小企业声明函</w:t>
      </w:r>
    </w:p>
    <w:p>
      <w:pPr>
        <w:autoSpaceDN w:val="0"/>
        <w:adjustRightInd w:val="0"/>
        <w:snapToGrid w:val="0"/>
        <w:spacing w:line="360" w:lineRule="auto"/>
        <w:ind w:firstLine="448" w:firstLineChars="200"/>
        <w:rPr>
          <w:rFonts w:cs="宋体" w:asciiTheme="majorEastAsia" w:hAnsiTheme="majorEastAsia" w:eastAsiaTheme="majorEastAsia"/>
          <w:spacing w:val="7"/>
          <w:szCs w:val="21"/>
        </w:rPr>
      </w:pPr>
      <w:r>
        <w:rPr>
          <w:rFonts w:hint="eastAsia" w:cs="宋体" w:asciiTheme="majorEastAsia" w:hAnsiTheme="majorEastAsia" w:eastAsiaTheme="majorEastAsia"/>
          <w:spacing w:val="7"/>
          <w:szCs w:val="21"/>
        </w:rPr>
        <w:t>2.面向中小企业预留项目执行情况公告</w:t>
      </w:r>
    </w:p>
    <w:p>
      <w:pPr>
        <w:pStyle w:val="20"/>
        <w:autoSpaceDN w:val="0"/>
        <w:adjustRightInd w:val="0"/>
        <w:snapToGrid w:val="0"/>
        <w:spacing w:line="360" w:lineRule="auto"/>
        <w:rPr>
          <w:rFonts w:cs="宋体" w:asciiTheme="majorEastAsia" w:hAnsiTheme="majorEastAsia" w:eastAsiaTheme="majorEastAsia"/>
          <w:szCs w:val="21"/>
        </w:rPr>
      </w:pPr>
    </w:p>
    <w:p>
      <w:pPr>
        <w:pStyle w:val="20"/>
        <w:autoSpaceDN w:val="0"/>
        <w:adjustRightInd w:val="0"/>
        <w:snapToGrid w:val="0"/>
        <w:spacing w:line="360" w:lineRule="auto"/>
        <w:rPr>
          <w:rFonts w:cs="宋体" w:asciiTheme="majorEastAsia" w:hAnsiTheme="majorEastAsia" w:eastAsiaTheme="majorEastAsia"/>
          <w:szCs w:val="21"/>
        </w:rPr>
      </w:pPr>
    </w:p>
    <w:p>
      <w:pPr>
        <w:pStyle w:val="20"/>
        <w:autoSpaceDN w:val="0"/>
        <w:adjustRightInd w:val="0"/>
        <w:snapToGrid w:val="0"/>
        <w:spacing w:line="360" w:lineRule="auto"/>
        <w:rPr>
          <w:rFonts w:cs="宋体" w:asciiTheme="majorEastAsia" w:hAnsiTheme="majorEastAsia" w:eastAsiaTheme="majorEastAsia"/>
          <w:szCs w:val="21"/>
        </w:rPr>
      </w:pPr>
    </w:p>
    <w:p>
      <w:pPr>
        <w:pStyle w:val="2"/>
        <w:keepNext w:val="0"/>
        <w:keepLines w:val="0"/>
        <w:autoSpaceDN w:val="0"/>
        <w:adjustRightInd w:val="0"/>
        <w:snapToGrid w:val="0"/>
        <w:spacing w:before="162" w:line="360" w:lineRule="auto"/>
        <w:rPr>
          <w:rFonts w:cs="宋体" w:asciiTheme="majorEastAsia" w:hAnsiTheme="majorEastAsia" w:eastAsiaTheme="majorEastAsia"/>
          <w:b w:val="0"/>
          <w:bCs w:val="0"/>
          <w:sz w:val="21"/>
          <w:szCs w:val="21"/>
        </w:rPr>
      </w:pPr>
      <w:bookmarkStart w:id="78" w:name="_Toc63327630"/>
      <w:bookmarkStart w:id="79" w:name="_Toc12886"/>
      <w:bookmarkStart w:id="80" w:name="_Toc77167164"/>
      <w:r>
        <w:rPr>
          <w:rFonts w:hint="eastAsia" w:cs="宋体" w:asciiTheme="majorEastAsia" w:hAnsiTheme="majorEastAsia" w:eastAsiaTheme="majorEastAsia"/>
          <w:b w:val="0"/>
          <w:bCs w:val="0"/>
          <w:sz w:val="21"/>
          <w:szCs w:val="21"/>
        </w:rPr>
        <w:t>附1</w:t>
      </w:r>
      <w:bookmarkEnd w:id="78"/>
      <w:bookmarkEnd w:id="79"/>
      <w:bookmarkEnd w:id="80"/>
    </w:p>
    <w:p>
      <w:pPr>
        <w:jc w:val="center"/>
        <w:rPr>
          <w:rFonts w:ascii="宋体" w:cs="宋体"/>
          <w:b/>
          <w:bCs/>
          <w:color w:val="000000"/>
          <w:kern w:val="2"/>
          <w:sz w:val="32"/>
          <w:szCs w:val="32"/>
          <w:lang w:val="zh-CN" w:bidi="zh-CN"/>
        </w:rPr>
      </w:pPr>
      <w:r>
        <w:rPr>
          <w:rFonts w:hint="eastAsia" w:ascii="宋体" w:cs="宋体"/>
          <w:b/>
          <w:bCs/>
          <w:color w:val="000000"/>
          <w:kern w:val="2"/>
          <w:sz w:val="32"/>
          <w:szCs w:val="32"/>
          <w:lang w:val="zh-CN" w:bidi="zh-CN"/>
        </w:rPr>
        <w:t>中小企业声明函（工程、服务）</w:t>
      </w:r>
    </w:p>
    <w:p>
      <w:pPr>
        <w:widowControl w:val="0"/>
        <w:spacing w:before="5"/>
        <w:jc w:val="both"/>
        <w:rPr>
          <w:rFonts w:ascii="宋体" w:cs="宋体"/>
          <w:b/>
          <w:color w:val="000000"/>
          <w:kern w:val="2"/>
          <w:sz w:val="48"/>
          <w:szCs w:val="32"/>
          <w:lang w:val="zh-CN" w:bidi="zh-CN"/>
        </w:rPr>
      </w:pPr>
    </w:p>
    <w:p>
      <w:pPr>
        <w:widowControl w:val="0"/>
        <w:spacing w:line="360" w:lineRule="auto"/>
        <w:ind w:firstLine="420" w:firstLineChars="200"/>
        <w:jc w:val="both"/>
        <w:rPr>
          <w:rFonts w:ascii="宋体" w:cs="宋体"/>
          <w:bCs/>
          <w:color w:val="000000"/>
          <w:kern w:val="2"/>
          <w:sz w:val="21"/>
          <w:szCs w:val="21"/>
          <w:lang w:val="zh-CN" w:bidi="zh-CN"/>
        </w:rPr>
      </w:pPr>
      <w:r>
        <w:rPr>
          <w:rFonts w:hint="eastAsia" w:ascii="宋体" w:cs="宋体"/>
          <w:bCs/>
          <w:color w:val="000000"/>
          <w:kern w:val="2"/>
          <w:sz w:val="21"/>
          <w:szCs w:val="21"/>
          <w:lang w:val="zh-CN" w:bidi="zh-CN"/>
        </w:rPr>
        <w:t>本公司（联合体）郑重声明，根据《政府采购促进中小企业发展管理办法》（财库﹝2020﹞46 号）的规定，本公司（联合体）参加</w:t>
      </w:r>
      <w:r>
        <w:rPr>
          <w:rFonts w:hint="eastAsia" w:ascii="宋体" w:cs="宋体"/>
          <w:bCs/>
          <w:color w:val="000000"/>
          <w:kern w:val="2"/>
          <w:sz w:val="21"/>
          <w:szCs w:val="21"/>
          <w:u w:val="single"/>
          <w:lang w:val="zh-CN" w:bidi="zh-CN"/>
        </w:rPr>
        <w:t>（单位名称）</w:t>
      </w:r>
      <w:r>
        <w:rPr>
          <w:rFonts w:hint="eastAsia" w:ascii="宋体" w:cs="宋体"/>
          <w:bCs/>
          <w:color w:val="000000"/>
          <w:kern w:val="2"/>
          <w:sz w:val="21"/>
          <w:szCs w:val="21"/>
          <w:lang w:val="zh-CN" w:bidi="zh-CN"/>
        </w:rPr>
        <w:t>的</w:t>
      </w:r>
      <w:r>
        <w:rPr>
          <w:rFonts w:hint="eastAsia" w:ascii="宋体" w:cs="宋体"/>
          <w:bCs/>
          <w:color w:val="000000"/>
          <w:kern w:val="2"/>
          <w:sz w:val="21"/>
          <w:szCs w:val="21"/>
          <w:u w:val="single"/>
          <w:lang w:val="zh-CN" w:bidi="zh-CN"/>
        </w:rPr>
        <w:t>（项目名称）</w:t>
      </w:r>
      <w:r>
        <w:rPr>
          <w:rFonts w:hint="eastAsia" w:ascii="宋体" w:cs="宋体"/>
          <w:bCs/>
          <w:color w:val="000000"/>
          <w:kern w:val="2"/>
          <w:sz w:val="21"/>
          <w:szCs w:val="21"/>
          <w:lang w:val="zh-CN" w:bidi="zh-CN"/>
        </w:rPr>
        <w:t>采购活动，工程的施工单位全部为符合政策要求的中小企业（或者：服务全部由符合政策要求的中小企业承接）。相关企业（含联合体中的中小企业、签订分包意向协议的中小企业）的具体情况如下：</w:t>
      </w:r>
    </w:p>
    <w:p>
      <w:pPr>
        <w:widowControl w:val="0"/>
        <w:tabs>
          <w:tab w:val="left" w:pos="1243"/>
        </w:tabs>
        <w:spacing w:line="360" w:lineRule="auto"/>
        <w:ind w:firstLine="420" w:firstLineChars="200"/>
        <w:rPr>
          <w:rFonts w:ascii="宋体" w:cs="宋体"/>
          <w:bCs/>
          <w:color w:val="000000"/>
          <w:kern w:val="2"/>
          <w:sz w:val="21"/>
          <w:szCs w:val="21"/>
        </w:rPr>
      </w:pPr>
      <w:r>
        <w:rPr>
          <w:rFonts w:hint="eastAsia" w:ascii="宋体" w:cs="宋体"/>
          <w:bCs/>
          <w:color w:val="000000"/>
          <w:kern w:val="2"/>
          <w:sz w:val="21"/>
          <w:szCs w:val="21"/>
          <w:lang w:bidi="zh-CN"/>
        </w:rPr>
        <w:t>1.</w:t>
      </w:r>
      <w:r>
        <w:rPr>
          <w:rFonts w:hint="eastAsia" w:ascii="宋体" w:cs="宋体"/>
          <w:bCs/>
          <w:color w:val="000000"/>
          <w:kern w:val="2"/>
          <w:sz w:val="21"/>
          <w:szCs w:val="21"/>
          <w:u w:val="single" w:color="000000"/>
          <w:lang w:val="zh-CN" w:bidi="zh-CN"/>
        </w:rPr>
        <w:t>（标的名称）</w:t>
      </w:r>
      <w:r>
        <w:rPr>
          <w:rFonts w:hint="eastAsia" w:ascii="宋体" w:cs="宋体"/>
          <w:bCs/>
          <w:color w:val="000000"/>
          <w:kern w:val="2"/>
          <w:sz w:val="21"/>
          <w:szCs w:val="21"/>
          <w:u w:color="000000"/>
          <w:lang w:val="zh-CN" w:bidi="zh-CN"/>
        </w:rPr>
        <w:t>，属于（</w:t>
      </w:r>
      <w:r>
        <w:rPr>
          <w:rFonts w:hint="eastAsia" w:ascii="宋体" w:cs="宋体"/>
          <w:bCs/>
          <w:color w:val="000000"/>
          <w:kern w:val="2"/>
          <w:sz w:val="21"/>
          <w:szCs w:val="21"/>
          <w:u w:val="single" w:color="000000"/>
          <w:lang w:val="zh-CN" w:bidi="zh-CN"/>
        </w:rPr>
        <w:t>采购文件中明确的所属行业）</w:t>
      </w:r>
      <w:r>
        <w:rPr>
          <w:rFonts w:hint="eastAsia" w:ascii="宋体" w:cs="宋体"/>
          <w:bCs/>
          <w:color w:val="000000"/>
          <w:kern w:val="2"/>
          <w:sz w:val="21"/>
          <w:szCs w:val="21"/>
          <w:u w:color="000000"/>
          <w:lang w:val="zh-CN" w:bidi="zh-CN"/>
        </w:rPr>
        <w:t>；</w:t>
      </w:r>
      <w:r>
        <w:rPr>
          <w:rFonts w:hint="eastAsia" w:ascii="宋体" w:cs="宋体"/>
          <w:bCs/>
          <w:color w:val="000000"/>
          <w:kern w:val="2"/>
          <w:sz w:val="21"/>
          <w:szCs w:val="21"/>
        </w:rPr>
        <w:t>承建（承接）企业为</w:t>
      </w:r>
      <w:r>
        <w:rPr>
          <w:rFonts w:hint="eastAsia" w:ascii="宋体" w:cs="宋体"/>
          <w:bCs/>
          <w:color w:val="000000"/>
          <w:kern w:val="2"/>
          <w:sz w:val="21"/>
          <w:szCs w:val="21"/>
          <w:u w:val="single"/>
        </w:rPr>
        <w:t>（企业名称）</w:t>
      </w:r>
      <w:r>
        <w:rPr>
          <w:rFonts w:hint="eastAsia" w:ascii="宋体" w:cs="宋体"/>
          <w:bCs/>
          <w:color w:val="000000"/>
          <w:kern w:val="2"/>
          <w:sz w:val="21"/>
          <w:szCs w:val="21"/>
        </w:rPr>
        <w:t>，从业人员</w:t>
      </w:r>
      <w:r>
        <w:rPr>
          <w:rFonts w:hint="eastAsia" w:ascii="宋体" w:cs="宋体"/>
          <w:bCs/>
          <w:color w:val="000000"/>
          <w:kern w:val="2"/>
          <w:sz w:val="21"/>
          <w:szCs w:val="21"/>
          <w:u w:val="single"/>
        </w:rPr>
        <w:t xml:space="preserve">    </w:t>
      </w:r>
      <w:r>
        <w:rPr>
          <w:rFonts w:hint="eastAsia" w:ascii="宋体" w:cs="宋体"/>
          <w:bCs/>
          <w:color w:val="000000"/>
          <w:kern w:val="2"/>
          <w:sz w:val="21"/>
          <w:szCs w:val="21"/>
        </w:rPr>
        <w:t>人，营业收入为</w:t>
      </w:r>
      <w:r>
        <w:rPr>
          <w:rFonts w:hint="eastAsia" w:ascii="宋体" w:cs="宋体"/>
          <w:bCs/>
          <w:color w:val="000000"/>
          <w:kern w:val="2"/>
          <w:sz w:val="21"/>
          <w:szCs w:val="21"/>
          <w:u w:val="single"/>
        </w:rPr>
        <w:t xml:space="preserve">    </w:t>
      </w:r>
      <w:r>
        <w:rPr>
          <w:rFonts w:hint="eastAsia" w:ascii="宋体" w:cs="宋体"/>
          <w:bCs/>
          <w:color w:val="000000"/>
          <w:kern w:val="2"/>
          <w:sz w:val="21"/>
          <w:szCs w:val="21"/>
        </w:rPr>
        <w:t>万元，资产总额为</w:t>
      </w:r>
      <w:r>
        <w:rPr>
          <w:rFonts w:hint="eastAsia" w:ascii="宋体" w:cs="宋体"/>
          <w:bCs/>
          <w:color w:val="000000"/>
          <w:kern w:val="2"/>
          <w:sz w:val="21"/>
          <w:szCs w:val="21"/>
          <w:u w:val="single"/>
        </w:rPr>
        <w:t xml:space="preserve">    </w:t>
      </w:r>
      <w:r>
        <w:rPr>
          <w:rFonts w:hint="eastAsia" w:ascii="宋体" w:cs="宋体"/>
          <w:bCs/>
          <w:color w:val="000000"/>
          <w:kern w:val="2"/>
          <w:sz w:val="21"/>
          <w:szCs w:val="21"/>
        </w:rPr>
        <w:t>万元</w:t>
      </w:r>
      <w:r>
        <w:fldChar w:fldCharType="begin"/>
      </w:r>
      <w:r>
        <w:instrText xml:space="preserve"> HYPERLINK \l "_bookmark1" </w:instrText>
      </w:r>
      <w:r>
        <w:fldChar w:fldCharType="separate"/>
      </w:r>
      <w:r>
        <w:rPr>
          <w:rFonts w:hint="eastAsia" w:ascii="宋体" w:cs="宋体"/>
          <w:bCs/>
          <w:color w:val="000000"/>
          <w:kern w:val="2"/>
          <w:position w:val="16"/>
          <w:sz w:val="21"/>
          <w:szCs w:val="21"/>
        </w:rPr>
        <w:t>1</w:t>
      </w:r>
      <w:r>
        <w:rPr>
          <w:rFonts w:hint="eastAsia" w:ascii="宋体" w:cs="宋体"/>
          <w:bCs/>
          <w:color w:val="000000"/>
          <w:kern w:val="2"/>
          <w:position w:val="16"/>
          <w:sz w:val="21"/>
          <w:szCs w:val="21"/>
        </w:rPr>
        <w:fldChar w:fldCharType="end"/>
      </w:r>
      <w:r>
        <w:rPr>
          <w:rFonts w:hint="eastAsia" w:ascii="宋体" w:cs="宋体"/>
          <w:bCs/>
          <w:color w:val="000000"/>
          <w:kern w:val="2"/>
          <w:sz w:val="21"/>
          <w:szCs w:val="21"/>
        </w:rPr>
        <w:t>，属于</w:t>
      </w:r>
      <w:r>
        <w:rPr>
          <w:rFonts w:hint="eastAsia" w:ascii="宋体" w:cs="宋体"/>
          <w:bCs/>
          <w:color w:val="000000"/>
          <w:kern w:val="2"/>
          <w:sz w:val="21"/>
          <w:szCs w:val="21"/>
          <w:u w:val="single"/>
        </w:rPr>
        <w:t>（中型企业、小型企业、微型企业）</w:t>
      </w:r>
      <w:r>
        <w:rPr>
          <w:rFonts w:hint="eastAsia" w:ascii="宋体" w:cs="宋体"/>
          <w:bCs/>
          <w:color w:val="000000"/>
          <w:kern w:val="2"/>
          <w:sz w:val="21"/>
          <w:szCs w:val="21"/>
        </w:rPr>
        <w:t>；</w:t>
      </w:r>
    </w:p>
    <w:p>
      <w:pPr>
        <w:widowControl w:val="0"/>
        <w:tabs>
          <w:tab w:val="left" w:pos="1243"/>
          <w:tab w:val="left" w:pos="1806"/>
          <w:tab w:val="left" w:pos="5005"/>
          <w:tab w:val="left" w:pos="7213"/>
        </w:tabs>
        <w:spacing w:line="360" w:lineRule="auto"/>
        <w:ind w:firstLine="420" w:firstLineChars="200"/>
        <w:rPr>
          <w:rFonts w:ascii="宋体" w:cs="宋体"/>
          <w:bCs/>
          <w:color w:val="000000"/>
          <w:kern w:val="2"/>
          <w:sz w:val="21"/>
          <w:szCs w:val="21"/>
          <w:u w:color="000000"/>
          <w:lang w:val="zh-CN" w:bidi="zh-CN"/>
        </w:rPr>
      </w:pPr>
      <w:r>
        <w:rPr>
          <w:rFonts w:hint="eastAsia" w:ascii="宋体" w:cs="宋体"/>
          <w:bCs/>
          <w:color w:val="000000"/>
          <w:kern w:val="2"/>
          <w:sz w:val="21"/>
          <w:szCs w:val="21"/>
          <w:lang w:bidi="zh-CN"/>
        </w:rPr>
        <w:t>2.</w:t>
      </w:r>
      <w:r>
        <w:rPr>
          <w:rFonts w:hint="eastAsia" w:ascii="宋体" w:cs="宋体"/>
          <w:bCs/>
          <w:color w:val="000000"/>
          <w:kern w:val="2"/>
          <w:sz w:val="21"/>
          <w:szCs w:val="21"/>
          <w:u w:val="single" w:color="000000"/>
          <w:lang w:val="zh-CN" w:bidi="zh-CN"/>
        </w:rPr>
        <w:t>（标的名称）</w:t>
      </w:r>
      <w:r>
        <w:rPr>
          <w:rFonts w:hint="eastAsia" w:ascii="宋体" w:cs="宋体"/>
          <w:bCs/>
          <w:color w:val="000000"/>
          <w:kern w:val="2"/>
          <w:sz w:val="21"/>
          <w:szCs w:val="21"/>
          <w:u w:color="000000"/>
          <w:lang w:val="zh-CN" w:bidi="zh-CN"/>
        </w:rPr>
        <w:t>，属于（</w:t>
      </w:r>
      <w:r>
        <w:rPr>
          <w:rFonts w:hint="eastAsia" w:ascii="宋体" w:cs="宋体"/>
          <w:bCs/>
          <w:color w:val="000000"/>
          <w:kern w:val="2"/>
          <w:sz w:val="21"/>
          <w:szCs w:val="21"/>
          <w:u w:val="single" w:color="000000"/>
          <w:lang w:val="zh-CN" w:bidi="zh-CN"/>
        </w:rPr>
        <w:t>采购文件中明确的所属行业）</w:t>
      </w:r>
      <w:r>
        <w:rPr>
          <w:rFonts w:hint="eastAsia" w:ascii="宋体" w:cs="宋体"/>
          <w:bCs/>
          <w:color w:val="000000"/>
          <w:kern w:val="2"/>
          <w:sz w:val="21"/>
          <w:szCs w:val="21"/>
          <w:u w:color="000000"/>
          <w:lang w:val="zh-CN" w:bidi="zh-CN"/>
        </w:rPr>
        <w:t>；承建（承接）企业为</w:t>
      </w:r>
      <w:r>
        <w:rPr>
          <w:rFonts w:hint="eastAsia" w:ascii="宋体" w:cs="宋体"/>
          <w:bCs/>
          <w:color w:val="000000"/>
          <w:kern w:val="2"/>
          <w:sz w:val="21"/>
          <w:szCs w:val="21"/>
          <w:u w:val="single" w:color="000000"/>
          <w:lang w:val="zh-CN" w:bidi="zh-CN"/>
        </w:rPr>
        <w:t>（企业名称）</w:t>
      </w:r>
      <w:r>
        <w:rPr>
          <w:rFonts w:hint="eastAsia" w:ascii="宋体" w:cs="宋体"/>
          <w:bCs/>
          <w:color w:val="000000"/>
          <w:kern w:val="2"/>
          <w:sz w:val="21"/>
          <w:szCs w:val="21"/>
          <w:u w:color="000000"/>
          <w:lang w:val="zh-CN" w:bidi="zh-CN"/>
        </w:rPr>
        <w:t>，从业人员</w:t>
      </w:r>
      <w:r>
        <w:rPr>
          <w:rFonts w:hint="eastAsia" w:ascii="宋体" w:cs="宋体"/>
          <w:bCs/>
          <w:color w:val="000000"/>
          <w:kern w:val="2"/>
          <w:sz w:val="21"/>
          <w:szCs w:val="21"/>
          <w:u w:val="single"/>
        </w:rPr>
        <w:t xml:space="preserve">    </w:t>
      </w:r>
      <w:r>
        <w:rPr>
          <w:rFonts w:hint="eastAsia" w:ascii="宋体" w:cs="宋体"/>
          <w:bCs/>
          <w:color w:val="000000"/>
          <w:kern w:val="2"/>
          <w:sz w:val="21"/>
          <w:szCs w:val="21"/>
          <w:u w:color="000000"/>
          <w:lang w:val="zh-CN" w:bidi="zh-CN"/>
        </w:rPr>
        <w:t>人，营业收入为</w:t>
      </w:r>
      <w:r>
        <w:rPr>
          <w:rFonts w:hint="eastAsia" w:ascii="宋体" w:cs="宋体"/>
          <w:bCs/>
          <w:color w:val="000000"/>
          <w:kern w:val="2"/>
          <w:sz w:val="21"/>
          <w:szCs w:val="21"/>
          <w:u w:val="single" w:color="000000"/>
          <w:lang w:bidi="zh-CN"/>
        </w:rPr>
        <w:t xml:space="preserve">    </w:t>
      </w:r>
      <w:r>
        <w:rPr>
          <w:rFonts w:hint="eastAsia" w:ascii="宋体" w:cs="宋体"/>
          <w:bCs/>
          <w:color w:val="000000"/>
          <w:kern w:val="2"/>
          <w:sz w:val="21"/>
          <w:szCs w:val="21"/>
          <w:u w:color="000000"/>
          <w:lang w:val="zh-CN" w:bidi="zh-CN"/>
        </w:rPr>
        <w:t>万元，资产总额为</w:t>
      </w:r>
      <w:r>
        <w:rPr>
          <w:rFonts w:hint="eastAsia" w:ascii="宋体" w:cs="宋体"/>
          <w:bCs/>
          <w:color w:val="000000"/>
          <w:kern w:val="2"/>
          <w:sz w:val="21"/>
          <w:szCs w:val="21"/>
          <w:u w:val="single" w:color="000000"/>
          <w:lang w:val="zh-CN" w:bidi="zh-CN"/>
        </w:rPr>
        <w:t xml:space="preserve"> </w:t>
      </w:r>
      <w:r>
        <w:rPr>
          <w:rFonts w:hint="eastAsia" w:ascii="宋体" w:cs="宋体"/>
          <w:bCs/>
          <w:color w:val="000000"/>
          <w:kern w:val="2"/>
          <w:sz w:val="21"/>
          <w:szCs w:val="21"/>
          <w:u w:val="single" w:color="000000"/>
          <w:lang w:bidi="zh-CN"/>
        </w:rPr>
        <w:t xml:space="preserve">    </w:t>
      </w:r>
      <w:r>
        <w:rPr>
          <w:rFonts w:hint="eastAsia" w:ascii="宋体" w:cs="宋体"/>
          <w:bCs/>
          <w:color w:val="000000"/>
          <w:kern w:val="2"/>
          <w:sz w:val="21"/>
          <w:szCs w:val="21"/>
          <w:u w:color="000000"/>
          <w:lang w:val="zh-CN" w:bidi="zh-CN"/>
        </w:rPr>
        <w:t>万元，属于</w:t>
      </w:r>
      <w:r>
        <w:rPr>
          <w:rFonts w:hint="eastAsia" w:ascii="宋体" w:cs="宋体"/>
          <w:bCs/>
          <w:color w:val="000000"/>
          <w:kern w:val="2"/>
          <w:sz w:val="21"/>
          <w:szCs w:val="21"/>
          <w:u w:val="single" w:color="000000"/>
          <w:lang w:val="zh-CN" w:bidi="zh-CN"/>
        </w:rPr>
        <w:t>（中型企业、小型企业、微型企业）</w:t>
      </w:r>
      <w:r>
        <w:rPr>
          <w:rFonts w:hint="eastAsia" w:ascii="宋体" w:cs="宋体"/>
          <w:bCs/>
          <w:color w:val="000000"/>
          <w:kern w:val="2"/>
          <w:sz w:val="21"/>
          <w:szCs w:val="21"/>
          <w:u w:color="000000"/>
          <w:lang w:val="zh-CN" w:bidi="zh-CN"/>
        </w:rPr>
        <w:t>；</w:t>
      </w:r>
    </w:p>
    <w:p>
      <w:pPr>
        <w:widowControl w:val="0"/>
        <w:spacing w:line="360" w:lineRule="auto"/>
        <w:ind w:firstLine="420" w:firstLineChars="200"/>
        <w:jc w:val="both"/>
        <w:rPr>
          <w:rFonts w:ascii="宋体" w:cs="宋体"/>
          <w:bCs/>
          <w:color w:val="000000"/>
          <w:kern w:val="2"/>
          <w:sz w:val="21"/>
          <w:szCs w:val="21"/>
          <w:lang w:val="zh-CN" w:bidi="zh-CN"/>
        </w:rPr>
      </w:pPr>
      <w:r>
        <w:rPr>
          <w:rFonts w:hint="eastAsia" w:ascii="宋体" w:cs="宋体"/>
          <w:bCs/>
          <w:color w:val="000000"/>
          <w:kern w:val="2"/>
          <w:sz w:val="21"/>
          <w:szCs w:val="21"/>
          <w:lang w:val="zh-CN" w:bidi="zh-CN"/>
        </w:rPr>
        <w:t>……</w:t>
      </w:r>
    </w:p>
    <w:p>
      <w:pPr>
        <w:widowControl w:val="0"/>
        <w:spacing w:line="360" w:lineRule="auto"/>
        <w:ind w:firstLine="420" w:firstLineChars="200"/>
        <w:jc w:val="both"/>
        <w:rPr>
          <w:rFonts w:ascii="宋体" w:cs="宋体"/>
          <w:bCs/>
          <w:color w:val="000000"/>
          <w:kern w:val="2"/>
          <w:sz w:val="21"/>
          <w:szCs w:val="21"/>
          <w:lang w:val="zh-CN" w:bidi="zh-CN"/>
        </w:rPr>
      </w:pPr>
      <w:r>
        <w:rPr>
          <w:rFonts w:hint="eastAsia" w:ascii="宋体" w:cs="宋体"/>
          <w:bCs/>
          <w:color w:val="000000"/>
          <w:kern w:val="2"/>
          <w:sz w:val="21"/>
          <w:szCs w:val="21"/>
          <w:lang w:val="zh-CN" w:bidi="zh-CN"/>
        </w:rPr>
        <w:t>以上企业，不属于大企业的分支机构，不存在控股股东为大企业的情形，也不存在与大企业的负责人为同一人的情形。</w:t>
      </w:r>
    </w:p>
    <w:p>
      <w:pPr>
        <w:widowControl w:val="0"/>
        <w:spacing w:line="360" w:lineRule="auto"/>
        <w:ind w:firstLine="420" w:firstLineChars="200"/>
        <w:jc w:val="both"/>
        <w:rPr>
          <w:rFonts w:ascii="宋体" w:cs="宋体"/>
          <w:bCs/>
          <w:color w:val="000000"/>
          <w:kern w:val="2"/>
          <w:sz w:val="21"/>
          <w:szCs w:val="21"/>
          <w:lang w:val="zh-CN" w:bidi="zh-CN"/>
        </w:rPr>
      </w:pPr>
      <w:r>
        <w:rPr>
          <w:rFonts w:hint="eastAsia" w:ascii="宋体" w:cs="宋体"/>
          <w:bCs/>
          <w:color w:val="000000"/>
          <w:kern w:val="2"/>
          <w:sz w:val="21"/>
          <w:szCs w:val="21"/>
          <w:lang w:val="zh-CN" w:bidi="zh-CN"/>
        </w:rPr>
        <w:t>本企业对上述声明内容的真实性负责。如有虚假，将依法承担相应责任。</w:t>
      </w:r>
    </w:p>
    <w:p>
      <w:pPr>
        <w:widowControl w:val="0"/>
        <w:spacing w:before="29" w:line="317" w:lineRule="auto"/>
        <w:ind w:left="4060" w:right="2166"/>
        <w:jc w:val="both"/>
        <w:rPr>
          <w:rFonts w:ascii="宋体" w:cs="宋体"/>
          <w:bCs/>
          <w:color w:val="000000"/>
          <w:kern w:val="2"/>
          <w:sz w:val="21"/>
          <w:szCs w:val="21"/>
          <w:lang w:val="zh-CN" w:bidi="zh-CN"/>
        </w:rPr>
      </w:pPr>
    </w:p>
    <w:p>
      <w:pPr>
        <w:widowControl w:val="0"/>
        <w:spacing w:before="29" w:line="317" w:lineRule="auto"/>
        <w:ind w:left="4060" w:right="2166"/>
        <w:jc w:val="both"/>
        <w:rPr>
          <w:rFonts w:ascii="宋体" w:cs="宋体"/>
          <w:bCs/>
          <w:color w:val="000000"/>
          <w:kern w:val="2"/>
          <w:sz w:val="21"/>
          <w:szCs w:val="21"/>
          <w:lang w:val="zh-CN" w:bidi="zh-CN"/>
        </w:rPr>
      </w:pPr>
      <w:r>
        <w:rPr>
          <w:rFonts w:hint="eastAsia" w:ascii="宋体" w:cs="宋体"/>
          <w:bCs/>
          <w:color w:val="000000"/>
          <w:kern w:val="2"/>
          <w:sz w:val="21"/>
          <w:szCs w:val="21"/>
          <w:lang w:val="zh-CN" w:bidi="zh-CN"/>
        </w:rPr>
        <w:t>企业名称（盖章）：</w:t>
      </w:r>
    </w:p>
    <w:p>
      <w:pPr>
        <w:widowControl w:val="0"/>
        <w:spacing w:before="29" w:line="317" w:lineRule="auto"/>
        <w:ind w:left="4060" w:right="2166"/>
        <w:jc w:val="both"/>
        <w:rPr>
          <w:rFonts w:ascii="宋体" w:cs="宋体"/>
          <w:b/>
          <w:color w:val="000000"/>
          <w:kern w:val="2"/>
          <w:sz w:val="21"/>
          <w:szCs w:val="21"/>
          <w:lang w:val="zh-CN" w:bidi="zh-CN"/>
        </w:rPr>
      </w:pPr>
      <w:r>
        <w:rPr>
          <w:rFonts w:hint="eastAsia" w:ascii="宋体" w:cs="宋体"/>
          <w:bCs/>
          <w:color w:val="000000"/>
          <w:kern w:val="2"/>
          <w:sz w:val="21"/>
          <w:szCs w:val="21"/>
          <w:lang w:val="zh-CN" w:bidi="zh-CN"/>
        </w:rPr>
        <w:t>日期：</w:t>
      </w:r>
    </w:p>
    <w:p>
      <w:pPr>
        <w:pStyle w:val="20"/>
        <w:autoSpaceDN w:val="0"/>
        <w:adjustRightInd w:val="0"/>
        <w:snapToGrid w:val="0"/>
        <w:spacing w:line="360" w:lineRule="auto"/>
        <w:ind w:left="3360" w:firstLineChars="200"/>
        <w:rPr>
          <w:rFonts w:cs="宋体" w:asciiTheme="majorEastAsia" w:hAnsiTheme="majorEastAsia" w:eastAsiaTheme="majorEastAsia"/>
          <w:szCs w:val="21"/>
        </w:rPr>
      </w:pPr>
    </w:p>
    <w:p>
      <w:pPr>
        <w:pStyle w:val="6"/>
        <w:autoSpaceDN w:val="0"/>
        <w:adjustRightInd w:val="0"/>
        <w:snapToGrid w:val="0"/>
        <w:spacing w:line="360" w:lineRule="auto"/>
        <w:ind w:firstLine="420"/>
        <w:jc w:val="left"/>
        <w:rPr>
          <w:rFonts w:cs="宋体" w:asciiTheme="majorEastAsia" w:hAnsiTheme="majorEastAsia" w:eastAsiaTheme="majorEastAsia"/>
          <w:bCs/>
          <w:szCs w:val="21"/>
        </w:rPr>
      </w:pPr>
    </w:p>
    <w:p>
      <w:pPr>
        <w:pStyle w:val="6"/>
        <w:autoSpaceDN w:val="0"/>
        <w:adjustRightInd w:val="0"/>
        <w:snapToGrid w:val="0"/>
        <w:spacing w:line="360" w:lineRule="auto"/>
        <w:ind w:firstLine="420"/>
        <w:jc w:val="left"/>
        <w:rPr>
          <w:rFonts w:cs="宋体" w:asciiTheme="majorEastAsia" w:hAnsiTheme="majorEastAsia" w:eastAsiaTheme="majorEastAsia"/>
          <w:bCs/>
          <w:szCs w:val="21"/>
        </w:rPr>
      </w:pPr>
    </w:p>
    <w:p>
      <w:pPr>
        <w:pStyle w:val="6"/>
        <w:autoSpaceDN w:val="0"/>
        <w:adjustRightInd w:val="0"/>
        <w:snapToGrid w:val="0"/>
        <w:spacing w:line="360" w:lineRule="auto"/>
        <w:ind w:firstLine="420"/>
        <w:jc w:val="left"/>
        <w:rPr>
          <w:rFonts w:cs="宋体" w:asciiTheme="majorEastAsia" w:hAnsiTheme="majorEastAsia" w:eastAsiaTheme="majorEastAsia"/>
          <w:bCs/>
          <w:szCs w:val="21"/>
        </w:rPr>
      </w:pPr>
    </w:p>
    <w:p>
      <w:pPr>
        <w:pStyle w:val="6"/>
        <w:autoSpaceDN w:val="0"/>
        <w:adjustRightInd w:val="0"/>
        <w:snapToGrid w:val="0"/>
        <w:spacing w:line="360" w:lineRule="auto"/>
        <w:ind w:firstLine="420"/>
        <w:jc w:val="left"/>
        <w:rPr>
          <w:rFonts w:cs="宋体" w:asciiTheme="majorEastAsia" w:hAnsiTheme="majorEastAsia" w:eastAsiaTheme="majorEastAsia"/>
          <w:bCs/>
          <w:szCs w:val="21"/>
        </w:rPr>
      </w:pPr>
    </w:p>
    <w:p>
      <w:pPr>
        <w:pStyle w:val="6"/>
        <w:autoSpaceDN w:val="0"/>
        <w:adjustRightInd w:val="0"/>
        <w:snapToGrid w:val="0"/>
        <w:spacing w:line="360" w:lineRule="auto"/>
        <w:ind w:firstLine="420"/>
        <w:jc w:val="left"/>
        <w:rPr>
          <w:rFonts w:cs="宋体" w:asciiTheme="majorEastAsia" w:hAnsiTheme="majorEastAsia" w:eastAsiaTheme="majorEastAsia"/>
          <w:bCs/>
          <w:szCs w:val="21"/>
        </w:rPr>
      </w:pPr>
    </w:p>
    <w:p>
      <w:pPr>
        <w:pStyle w:val="6"/>
        <w:autoSpaceDN w:val="0"/>
        <w:adjustRightInd w:val="0"/>
        <w:snapToGrid w:val="0"/>
        <w:spacing w:line="360" w:lineRule="auto"/>
        <w:ind w:firstLine="420"/>
        <w:jc w:val="left"/>
        <w:rPr>
          <w:rFonts w:cs="宋体" w:asciiTheme="majorEastAsia" w:hAnsiTheme="majorEastAsia" w:eastAsiaTheme="majorEastAsia"/>
          <w:bCs/>
          <w:szCs w:val="21"/>
        </w:rPr>
      </w:pPr>
    </w:p>
    <w:p>
      <w:pPr>
        <w:pStyle w:val="6"/>
        <w:autoSpaceDN w:val="0"/>
        <w:adjustRightInd w:val="0"/>
        <w:snapToGrid w:val="0"/>
        <w:spacing w:line="360" w:lineRule="auto"/>
        <w:ind w:firstLine="420"/>
        <w:jc w:val="left"/>
        <w:rPr>
          <w:rFonts w:cs="宋体" w:asciiTheme="majorEastAsia" w:hAnsiTheme="majorEastAsia" w:eastAsiaTheme="majorEastAsia"/>
          <w:bCs/>
          <w:szCs w:val="21"/>
        </w:rPr>
      </w:pPr>
      <w:r>
        <w:rPr>
          <w:rFonts w:hint="eastAsia" w:cs="宋体" w:asciiTheme="majorEastAsia" w:hAnsiTheme="majorEastAsia" w:eastAsiaTheme="majorEastAsia"/>
          <w:bCs/>
          <w:szCs w:val="21"/>
        </w:rPr>
        <w:br w:type="page"/>
      </w:r>
      <w:r>
        <w:rPr>
          <w:rFonts w:hint="eastAsia" w:cs="宋体" w:asciiTheme="majorEastAsia" w:hAnsiTheme="majorEastAsia" w:eastAsiaTheme="majorEastAsia"/>
          <w:bCs/>
          <w:szCs w:val="21"/>
        </w:rPr>
        <w:t>中小企业划型标准规定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一、根据《中华人民共和国中小企业促进法》和《国务院关于进一步促进中小企业发展的若干意见》(国发〔2009〕36号)，制定本规定。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二、中小企业划分为中型、小型、微型三种类型，具体标准根据企业从业人员、营业收入、资产总额等指标，结合行业特点制定。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四、各行业划型标准为：</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（一）农、林、牧、渔业。营业收入20000万元以下的为中小微型企业。其中，营业收入500万元及以上的为中型企业，营业收入50万元及以上的为小型企业，营业收入50万元以下的为微型企业。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（十六）其他未列明行业。从业人员300人以下的为中小微型企业。其中，从业人员100人及以上的为中型企业；从业人员10人及以上的为小型企业；从业人员10人以下的为微型企业。</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五、企业类型的划分以统计部门的统计数据为依据。</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六、本规定适用于在中华人民共和国境内依法设立的各类所有制和各种组织形式的企业。个体工商户和本规定以外的行业，参照本规定进行划型。</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七、本规定的中型企业标准上限即为大型企业标准的下限，国家统计部门据此制定大中小微型企业的统计分类。国务院有关部门据此进行相关数据分析，不得制定与本规定不一致的企业划型标准。</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八、本规定由工业和信息化部、国家统计局会同有关部门根据《国民经济行业分类》修订情况和企业发展变化情况适时修订。</w:t>
      </w:r>
    </w:p>
    <w:p>
      <w:pPr>
        <w:autoSpaceDN w:val="0"/>
        <w:adjustRightInd w:val="0"/>
        <w:snapToGrid w:val="0"/>
        <w:spacing w:line="360" w:lineRule="auto"/>
        <w:ind w:firstLine="420" w:firstLineChars="200"/>
        <w:rPr>
          <w:rFonts w:cs="宋体" w:asciiTheme="majorEastAsia" w:hAnsiTheme="majorEastAsia" w:eastAsiaTheme="majorEastAsia"/>
          <w:bCs/>
          <w:szCs w:val="21"/>
          <w:lang w:val="zh-CN"/>
        </w:rPr>
      </w:pPr>
      <w:r>
        <w:rPr>
          <w:rFonts w:hint="eastAsia" w:cs="宋体" w:asciiTheme="majorEastAsia" w:hAnsiTheme="majorEastAsia" w:eastAsiaTheme="majorEastAsia"/>
          <w:bCs/>
          <w:szCs w:val="21"/>
          <w:lang w:val="zh-CN"/>
        </w:rPr>
        <w:t>九、本规定由工业和信息化部、国家统计局会同有关部门负责解释。</w:t>
      </w:r>
    </w:p>
    <w:p>
      <w:pPr>
        <w:autoSpaceDN w:val="0"/>
        <w:adjustRightInd w:val="0"/>
        <w:snapToGrid w:val="0"/>
        <w:spacing w:line="360" w:lineRule="auto"/>
        <w:rPr>
          <w:rFonts w:cs="宋体" w:asciiTheme="majorEastAsia" w:hAnsiTheme="majorEastAsia" w:eastAsiaTheme="majorEastAsia"/>
          <w:szCs w:val="21"/>
        </w:rPr>
      </w:pPr>
      <w:r>
        <w:rPr>
          <w:rFonts w:hint="eastAsia" w:cs="宋体" w:asciiTheme="majorEastAsia" w:hAnsiTheme="majorEastAsia" w:eastAsiaTheme="majorEastAsia"/>
          <w:bCs/>
          <w:szCs w:val="21"/>
          <w:lang w:val="zh-CN"/>
        </w:rPr>
        <w:t>十、本规定自发布之日起执行，原国家经贸委、原国家计委、财政部和国家统计局2003年颁布的《中小企业标准暂行规定》同时废止。</w:t>
      </w:r>
    </w:p>
    <w:p>
      <w:pPr>
        <w:autoSpaceDN w:val="0"/>
        <w:adjustRightInd w:val="0"/>
        <w:snapToGrid w:val="0"/>
        <w:spacing w:line="360" w:lineRule="auto"/>
        <w:rPr>
          <w:rFonts w:cs="宋体" w:asciiTheme="majorEastAsia" w:hAnsiTheme="majorEastAsia" w:eastAsiaTheme="majorEastAsia"/>
          <w:szCs w:val="21"/>
        </w:rPr>
        <w:sectPr>
          <w:footerReference r:id="rId3" w:type="default"/>
          <w:pgSz w:w="11906" w:h="16838"/>
          <w:pgMar w:top="1418" w:right="1418" w:bottom="1418" w:left="1701" w:header="851" w:footer="851" w:gutter="0"/>
          <w:pgNumType w:start="1"/>
          <w:cols w:space="720" w:num="1"/>
          <w:docGrid w:linePitch="312" w:charSpace="0"/>
        </w:sectPr>
      </w:pPr>
      <w:r>
        <w:rPr>
          <w:rFonts w:hint="eastAsia" w:cs="宋体" w:asciiTheme="majorEastAsia" w:hAnsiTheme="majorEastAsia" w:eastAsiaTheme="majorEastAsia"/>
          <w:szCs w:val="21"/>
        </w:rPr>
        <w:br w:type="page"/>
      </w:r>
    </w:p>
    <w:p>
      <w:pPr>
        <w:pStyle w:val="2"/>
        <w:autoSpaceDN w:val="0"/>
        <w:adjustRightInd w:val="0"/>
        <w:snapToGrid w:val="0"/>
        <w:spacing w:before="0" w:after="0" w:line="360" w:lineRule="auto"/>
        <w:jc w:val="center"/>
        <w:rPr>
          <w:rFonts w:asciiTheme="majorEastAsia" w:hAnsiTheme="majorEastAsia" w:eastAsiaTheme="majorEastAsia"/>
        </w:rPr>
      </w:pPr>
      <w:bookmarkStart w:id="81" w:name="_Toc48760974"/>
      <w:bookmarkStart w:id="82" w:name="_Toc30695"/>
      <w:r>
        <w:rPr>
          <w:rFonts w:hint="eastAsia" w:asciiTheme="majorEastAsia" w:hAnsiTheme="majorEastAsia" w:eastAsiaTheme="majorEastAsia"/>
        </w:rPr>
        <w:t>第四部分</w:t>
      </w:r>
      <w:r>
        <w:rPr>
          <w:rFonts w:asciiTheme="majorEastAsia" w:hAnsiTheme="majorEastAsia" w:eastAsiaTheme="majorEastAsia"/>
        </w:rPr>
        <w:t xml:space="preserve">  </w:t>
      </w:r>
      <w:r>
        <w:rPr>
          <w:rFonts w:hint="eastAsia" w:asciiTheme="majorEastAsia" w:hAnsiTheme="majorEastAsia" w:eastAsiaTheme="majorEastAsia"/>
        </w:rPr>
        <w:t>采购需求</w:t>
      </w:r>
      <w:bookmarkEnd w:id="81"/>
      <w:bookmarkEnd w:id="82"/>
      <w:bookmarkStart w:id="83" w:name="_第五部分__"/>
      <w:bookmarkEnd w:id="83"/>
    </w:p>
    <w:bookmarkEnd w:id="1"/>
    <w:bookmarkEnd w:id="2"/>
    <w:bookmarkEnd w:id="3"/>
    <w:p>
      <w:pPr>
        <w:jc w:val="center"/>
        <w:rPr>
          <w:rFonts w:hint="eastAsia" w:cs="宋体" w:asciiTheme="majorEastAsia" w:hAnsiTheme="majorEastAsia" w:eastAsiaTheme="majorEastAsia"/>
          <w:b/>
          <w:bCs/>
          <w:sz w:val="28"/>
          <w:szCs w:val="36"/>
        </w:rPr>
      </w:pPr>
      <w:bookmarkStart w:id="84" w:name="_Toc502304490"/>
      <w:bookmarkStart w:id="85" w:name="_Toc2135"/>
      <w:bookmarkStart w:id="86" w:name="_Toc144974834"/>
      <w:bookmarkStart w:id="87" w:name="_Toc152045772"/>
      <w:bookmarkStart w:id="88" w:name="_Toc246996340"/>
      <w:bookmarkStart w:id="89" w:name="_Toc246997083"/>
      <w:bookmarkStart w:id="90" w:name="_Toc179632789"/>
      <w:bookmarkStart w:id="91" w:name="_Toc152042554"/>
      <w:bookmarkStart w:id="92" w:name="_Toc247085855"/>
      <w:r>
        <w:rPr>
          <w:rFonts w:hint="eastAsia" w:cs="宋体" w:asciiTheme="majorEastAsia" w:hAnsiTheme="majorEastAsia" w:eastAsiaTheme="majorEastAsia"/>
          <w:b/>
          <w:bCs/>
          <w:sz w:val="28"/>
          <w:szCs w:val="36"/>
        </w:rPr>
        <w:t>长春新区教育局17所公办学校安保服务</w:t>
      </w:r>
    </w:p>
    <w:p>
      <w:pPr>
        <w:jc w:val="center"/>
        <w:rPr>
          <w:rFonts w:hint="eastAsia" w:cs="宋体" w:asciiTheme="majorEastAsia" w:hAnsiTheme="majorEastAsia" w:eastAsiaTheme="majorEastAsia"/>
          <w:b/>
          <w:bCs/>
          <w:sz w:val="28"/>
          <w:szCs w:val="36"/>
        </w:rPr>
      </w:pPr>
      <w:r>
        <w:rPr>
          <w:rFonts w:hint="eastAsia" w:cs="宋体" w:asciiTheme="majorEastAsia" w:hAnsiTheme="majorEastAsia" w:eastAsiaTheme="majorEastAsia"/>
          <w:b/>
          <w:bCs/>
          <w:sz w:val="28"/>
          <w:szCs w:val="36"/>
        </w:rPr>
        <w:t>采购项目需求</w:t>
      </w:r>
    </w:p>
    <w:p>
      <w:pPr>
        <w:rPr>
          <w:rFonts w:hint="eastAsia" w:cs="宋体" w:asciiTheme="majorEastAsia" w:hAnsiTheme="majorEastAsia" w:eastAsiaTheme="majorEastAsia"/>
          <w:sz w:val="28"/>
          <w:szCs w:val="36"/>
        </w:rPr>
      </w:pP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为加强中小学安全管理，保障学校及其学生和教职员工的人身、财产安全，维护学校正常的教育教学秩序，根据《中小学幼儿园安全防范工作规范（试行）》（公治［2015］168号）规定，按照全市同类学校安保人员配备数量及工资标准，长春新区教育局对一实验（含北辰校区）、二实验、兴华、慧仁、尚德（含正德校区）、慧谷（含超强、启源校区）、省二高新、明达、英才（含崇文校区）、北郊、一间、三胜、兴港、西营城、启明、致远学校、北湖实验学校的安保服务进行统一招标，共需配备专职安保人员234人</w:t>
      </w:r>
      <w:r>
        <w:rPr>
          <w:rFonts w:hint="eastAsia" w:cs="宋体" w:asciiTheme="majorEastAsia" w:hAnsiTheme="majorEastAsia" w:eastAsiaTheme="majorEastAsia"/>
          <w:sz w:val="28"/>
          <w:szCs w:val="36"/>
          <w:lang w:eastAsia="zh-CN"/>
        </w:rPr>
        <w:t>，</w:t>
      </w:r>
      <w:r>
        <w:rPr>
          <w:rFonts w:hint="eastAsia" w:cs="宋体" w:asciiTheme="majorEastAsia" w:hAnsiTheme="majorEastAsia" w:eastAsiaTheme="majorEastAsia"/>
          <w:sz w:val="28"/>
          <w:szCs w:val="36"/>
        </w:rPr>
        <w:t>每年服务费约为644万元（以实际中标金额为准）。</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一、服务周期与支付方式</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2024年2月1日至2024年12月31日；每半年结束经学校、长春新区教育局验收合同后支付相应服务费用。</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二、服务地点</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长春高新第一实验学校（含北辰校区）；</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长春高新第二实验学校；</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长春高新兴华学校；</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长春高新技术产业开发区慧仁学校；</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长春高新技术产业开发区尚德学校（含正德校区）；</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长春高新技术产业开发区慧谷学校（含超强、启源校区）；</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长春新区北湖明达学校；</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长春新区北湖英才学校（含崇文校区）；</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吉林省第二实验高新学校</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长春市宽城区北郊小学；</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长春市宽城区奋进乡一间堡小学；</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德惠市米沙子镇三胜村小学；</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长春市九台区西营城中心学校；</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长春新区兴港学校；</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长春新区北湖实验学校；</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长春新区启明学校；</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长春新区致远学校。</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三、安保人员具体要求</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（一）投标方根据学校的要求制定具体的人员编制方案，派驻人员在服务过程中，如需更换，应征得招标人同意。</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（二）保安员自然情况要求：男，18周岁以上50周岁以下；身高1.70米以上，智力正常、身体健康、五官端正；政治历史清楚、品行端正、思想作风正派、无违法犯罪的记录。</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（三）初中以上（含初中）文化程度，培训达标后持证上岗。</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（四）保安员执行勤务时，投标方应为每位保安服务人员统一配备学校认可的保安人员服装，佩戴统一的保安标志，持有保安人员工作证件。</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（五）夜间需要每两个小时进行一次巡视工作，以水、电、气、安防设备为主并有相关记录及巡点部位签到记录。</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二、工作内容</w:t>
      </w:r>
    </w:p>
    <w:p>
      <w:pPr>
        <w:ind w:firstLine="560" w:firstLineChars="2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一）在学校的指导下，负责校园内场所的办公秩序、学校师生及设施设备的安全保卫工作；实施相应的安全保卫措施以维护校园内内的治安，保证各功能区域正常的秩序；预防抢劫、偷盗等刑事案件的发生；预防发生重大灾害伤亡事故。</w:t>
      </w:r>
      <w:r>
        <w:rPr>
          <w:rFonts w:hint="eastAsia" w:cs="宋体" w:asciiTheme="majorEastAsia" w:hAnsiTheme="majorEastAsia" w:eastAsiaTheme="majorEastAsia"/>
          <w:sz w:val="28"/>
          <w:szCs w:val="36"/>
        </w:rPr>
        <w:br w:type="textWrapping"/>
      </w:r>
      <w:r>
        <w:rPr>
          <w:rFonts w:hint="eastAsia" w:cs="宋体" w:asciiTheme="majorEastAsia" w:hAnsiTheme="majorEastAsia" w:eastAsiaTheme="majorEastAsia"/>
          <w:sz w:val="28"/>
          <w:szCs w:val="36"/>
        </w:rPr>
        <w:t xml:space="preserve">  </w:t>
      </w:r>
      <w:r>
        <w:rPr>
          <w:rFonts w:hint="eastAsia" w:cs="宋体" w:asciiTheme="majorEastAsia" w:hAnsiTheme="majorEastAsia" w:eastAsiaTheme="majorEastAsia"/>
          <w:sz w:val="28"/>
          <w:szCs w:val="36"/>
          <w:lang w:val="en-US" w:eastAsia="zh-CN"/>
        </w:rPr>
        <w:t xml:space="preserve"> </w:t>
      </w:r>
      <w:r>
        <w:rPr>
          <w:rFonts w:hint="eastAsia" w:cs="宋体" w:asciiTheme="majorEastAsia" w:hAnsiTheme="majorEastAsia" w:eastAsiaTheme="majorEastAsia"/>
          <w:sz w:val="28"/>
          <w:szCs w:val="36"/>
        </w:rPr>
        <w:t>（二）在学校的指导下，负责学校内的消防安全管理工作。</w:t>
      </w:r>
      <w:r>
        <w:rPr>
          <w:rFonts w:hint="eastAsia" w:cs="宋体" w:asciiTheme="majorEastAsia" w:hAnsiTheme="majorEastAsia" w:eastAsiaTheme="majorEastAsia"/>
          <w:sz w:val="28"/>
          <w:szCs w:val="36"/>
        </w:rPr>
        <w:br w:type="textWrapping"/>
      </w:r>
      <w:r>
        <w:rPr>
          <w:rFonts w:hint="eastAsia" w:cs="宋体" w:asciiTheme="majorEastAsia" w:hAnsiTheme="majorEastAsia" w:eastAsiaTheme="majorEastAsia"/>
          <w:sz w:val="28"/>
          <w:szCs w:val="36"/>
        </w:rPr>
        <w:t xml:space="preserve">  </w:t>
      </w:r>
      <w:r>
        <w:rPr>
          <w:rFonts w:hint="eastAsia" w:cs="宋体" w:asciiTheme="majorEastAsia" w:hAnsiTheme="majorEastAsia" w:eastAsiaTheme="majorEastAsia"/>
          <w:sz w:val="28"/>
          <w:szCs w:val="36"/>
          <w:lang w:val="en-US" w:eastAsia="zh-CN"/>
        </w:rPr>
        <w:t xml:space="preserve"> </w:t>
      </w:r>
      <w:r>
        <w:rPr>
          <w:rFonts w:hint="eastAsia" w:cs="宋体" w:asciiTheme="majorEastAsia" w:hAnsiTheme="majorEastAsia" w:eastAsiaTheme="majorEastAsia"/>
          <w:sz w:val="28"/>
          <w:szCs w:val="36"/>
        </w:rPr>
        <w:t>（三）在学校的指导下，负责校园外围交通疏导工作；指挥车辆按规定进出校园；指导车辆按规定停放在地面停车位；对运送货物车辆的停放、装卸货物等实施管理；对非机动车辆停放负责管理。</w:t>
      </w:r>
      <w:r>
        <w:rPr>
          <w:rFonts w:hint="eastAsia" w:cs="宋体" w:asciiTheme="majorEastAsia" w:hAnsiTheme="majorEastAsia" w:eastAsiaTheme="majorEastAsia"/>
          <w:sz w:val="28"/>
          <w:szCs w:val="36"/>
        </w:rPr>
        <w:br w:type="textWrapping"/>
      </w:r>
      <w:r>
        <w:rPr>
          <w:rFonts w:hint="eastAsia" w:cs="宋体" w:asciiTheme="majorEastAsia" w:hAnsiTheme="majorEastAsia" w:eastAsiaTheme="majorEastAsia"/>
          <w:sz w:val="28"/>
          <w:szCs w:val="36"/>
        </w:rPr>
        <w:t xml:space="preserve">  （四）在学校的指导下，对校园范围内的治安状况、环境秩序负责。</w:t>
      </w:r>
      <w:r>
        <w:rPr>
          <w:rFonts w:hint="eastAsia" w:cs="宋体" w:asciiTheme="majorEastAsia" w:hAnsiTheme="majorEastAsia" w:eastAsiaTheme="majorEastAsia"/>
          <w:sz w:val="28"/>
          <w:szCs w:val="36"/>
        </w:rPr>
        <w:br w:type="textWrapping"/>
      </w:r>
      <w:r>
        <w:rPr>
          <w:rFonts w:hint="eastAsia" w:cs="宋体" w:asciiTheme="majorEastAsia" w:hAnsiTheme="majorEastAsia" w:eastAsiaTheme="majorEastAsia"/>
          <w:sz w:val="28"/>
          <w:szCs w:val="36"/>
        </w:rPr>
        <w:t xml:space="preserve">  （五）在学校的指导下，清理校园周围坐卧的顾客、行人、等负责劝阻疏导。</w:t>
      </w:r>
    </w:p>
    <w:p>
      <w:pPr>
        <w:ind w:firstLine="280" w:firstLineChars="1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（六）配合进行冬季扫雪铲冰以及夏季防汛工作。</w:t>
      </w:r>
    </w:p>
    <w:p>
      <w:pPr>
        <w:ind w:firstLine="280" w:firstLineChars="1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（七）协助配合物业处理特殊天气、火警、设备故障等突发事件。</w:t>
      </w:r>
    </w:p>
    <w:p>
      <w:pPr>
        <w:ind w:firstLine="280" w:firstLineChars="100"/>
        <w:rPr>
          <w:rFonts w:hint="eastAsia" w:cs="宋体" w:asciiTheme="majorEastAsia" w:hAnsiTheme="majorEastAsia" w:eastAsiaTheme="majorEastAsia"/>
          <w:sz w:val="28"/>
          <w:szCs w:val="36"/>
        </w:rPr>
      </w:pPr>
      <w:r>
        <w:rPr>
          <w:rFonts w:hint="eastAsia" w:cs="宋体" w:asciiTheme="majorEastAsia" w:hAnsiTheme="majorEastAsia" w:eastAsiaTheme="majorEastAsia"/>
          <w:sz w:val="28"/>
          <w:szCs w:val="36"/>
        </w:rPr>
        <w:t>（八）完成学校指派的其他临时工作。</w:t>
      </w:r>
    </w:p>
    <w:p>
      <w:pPr>
        <w:ind w:firstLine="560" w:firstLineChars="200"/>
        <w:rPr>
          <w:rFonts w:hint="eastAsia" w:cs="宋体" w:asciiTheme="majorEastAsia" w:hAnsiTheme="majorEastAsia" w:eastAsiaTheme="majorEastAsia"/>
          <w:sz w:val="28"/>
          <w:szCs w:val="36"/>
          <w:lang w:val="en-US" w:eastAsia="zh-CN"/>
        </w:rPr>
      </w:pPr>
      <w:r>
        <w:rPr>
          <w:rFonts w:hint="eastAsia" w:cs="宋体" w:asciiTheme="majorEastAsia" w:hAnsiTheme="majorEastAsia" w:eastAsiaTheme="majorEastAsia"/>
          <w:sz w:val="28"/>
          <w:szCs w:val="36"/>
          <w:lang w:val="en-US" w:eastAsia="zh-CN"/>
        </w:rPr>
        <w:t>三、本项目面向中小企业采购</w:t>
      </w:r>
    </w:p>
    <w:p>
      <w:pPr>
        <w:ind w:firstLine="560" w:firstLineChars="200"/>
        <w:rPr>
          <w:rFonts w:hint="eastAsia" w:cs="宋体" w:asciiTheme="majorEastAsia" w:hAnsiTheme="majorEastAsia" w:eastAsiaTheme="majorEastAsia"/>
          <w:sz w:val="28"/>
          <w:szCs w:val="36"/>
          <w:lang w:val="en-US" w:eastAsia="zh-CN"/>
        </w:rPr>
      </w:pPr>
      <w:r>
        <w:rPr>
          <w:rFonts w:hint="eastAsia" w:cs="宋体" w:asciiTheme="majorEastAsia" w:hAnsiTheme="majorEastAsia" w:eastAsiaTheme="majorEastAsia"/>
          <w:sz w:val="28"/>
          <w:szCs w:val="36"/>
          <w:lang w:val="en-US" w:eastAsia="zh-CN"/>
        </w:rPr>
        <w:t>四、诚信记录良好的供应商免收履约担保金</w:t>
      </w:r>
    </w:p>
    <w:p>
      <w:pPr>
        <w:rPr>
          <w:rFonts w:hint="eastAsia" w:cs="宋体" w:asciiTheme="majorEastAsia" w:hAnsiTheme="majorEastAsia" w:eastAsiaTheme="majorEastAsia"/>
        </w:rPr>
      </w:pPr>
    </w:p>
    <w:p>
      <w:pPr>
        <w:rPr>
          <w:rFonts w:hint="eastAsia" w:cs="宋体" w:asciiTheme="majorEastAsia" w:hAnsiTheme="majorEastAsia" w:eastAsiaTheme="majorEastAsia"/>
        </w:rPr>
      </w:pPr>
    </w:p>
    <w:p>
      <w:pPr>
        <w:rPr>
          <w:rFonts w:hint="eastAsia" w:cs="宋体" w:asciiTheme="majorEastAsia" w:hAnsiTheme="majorEastAsia" w:eastAsiaTheme="majorEastAsia"/>
        </w:rPr>
      </w:pPr>
    </w:p>
    <w:p>
      <w:pPr>
        <w:rPr>
          <w:rFonts w:hint="eastAsia" w:cs="宋体" w:asciiTheme="majorEastAsia" w:hAnsiTheme="majorEastAsia" w:eastAsiaTheme="majorEastAsia"/>
        </w:rPr>
      </w:pPr>
    </w:p>
    <w:p>
      <w:pPr>
        <w:rPr>
          <w:rFonts w:hint="eastAsia" w:cs="宋体" w:asciiTheme="majorEastAsia" w:hAnsiTheme="majorEastAsia" w:eastAsiaTheme="majorEastAsia"/>
        </w:rPr>
      </w:pPr>
    </w:p>
    <w:p>
      <w:pPr>
        <w:rPr>
          <w:rFonts w:hint="eastAsia" w:cs="宋体" w:asciiTheme="majorEastAsia" w:hAnsiTheme="majorEastAsia" w:eastAsiaTheme="majorEastAsia"/>
        </w:rPr>
      </w:pPr>
    </w:p>
    <w:p>
      <w:pPr>
        <w:rPr>
          <w:rFonts w:hint="eastAsia" w:cs="宋体" w:asciiTheme="majorEastAsia" w:hAnsiTheme="majorEastAsia" w:eastAsiaTheme="majorEastAsia"/>
        </w:rPr>
      </w:pPr>
    </w:p>
    <w:p>
      <w:pPr>
        <w:rPr>
          <w:rFonts w:hint="eastAsia" w:cs="宋体" w:asciiTheme="majorEastAsia" w:hAnsiTheme="majorEastAsia" w:eastAsiaTheme="majorEastAsia"/>
        </w:rPr>
      </w:pPr>
      <w:r>
        <w:rPr>
          <w:rFonts w:hint="eastAsia" w:cs="宋体" w:asciiTheme="majorEastAsia" w:hAnsiTheme="majorEastAsia" w:eastAsiaTheme="majorEastAsia"/>
        </w:rPr>
        <w:t xml:space="preserve">        </w:t>
      </w:r>
    </w:p>
    <w:p>
      <w:pPr>
        <w:jc w:val="right"/>
        <w:rPr>
          <w:rFonts w:hint="eastAsia" w:cs="宋体" w:asciiTheme="majorEastAsia" w:hAnsiTheme="majorEastAsia" w:eastAsiaTheme="majorEastAsia"/>
          <w:sz w:val="28"/>
          <w:szCs w:val="36"/>
        </w:rPr>
      </w:pPr>
      <w:r>
        <w:rPr>
          <w:rFonts w:hint="eastAsia" w:cs="宋体" w:asciiTheme="majorEastAsia" w:hAnsiTheme="majorEastAsia" w:eastAsiaTheme="majorEastAsia"/>
        </w:rPr>
        <w:t xml:space="preserve">                              </w:t>
      </w:r>
      <w:r>
        <w:rPr>
          <w:rFonts w:hint="eastAsia" w:cs="宋体" w:asciiTheme="majorEastAsia" w:hAnsiTheme="majorEastAsia" w:eastAsiaTheme="majorEastAsia"/>
          <w:sz w:val="28"/>
          <w:szCs w:val="36"/>
        </w:rPr>
        <w:t xml:space="preserve">         </w:t>
      </w:r>
    </w:p>
    <w:p>
      <w:pPr>
        <w:rPr>
          <w:rFonts w:cs="宋体" w:asciiTheme="majorEastAsia" w:hAnsiTheme="majorEastAsia" w:eastAsiaTheme="majorEastAsia"/>
        </w:rPr>
      </w:pPr>
      <w:r>
        <w:rPr>
          <w:rFonts w:hint="eastAsia" w:cs="宋体" w:asciiTheme="majorEastAsia" w:hAnsiTheme="majorEastAsia" w:eastAsiaTheme="majorEastAsia"/>
        </w:rPr>
        <w:br w:type="page"/>
      </w:r>
    </w:p>
    <w:p>
      <w:pPr>
        <w:pStyle w:val="2"/>
        <w:autoSpaceDN w:val="0"/>
        <w:adjustRightInd w:val="0"/>
        <w:snapToGrid w:val="0"/>
        <w:spacing w:line="360" w:lineRule="auto"/>
        <w:jc w:val="center"/>
        <w:rPr>
          <w:rFonts w:cs="宋体" w:asciiTheme="majorEastAsia" w:hAnsiTheme="majorEastAsia" w:eastAsiaTheme="majorEastAsia"/>
        </w:rPr>
      </w:pPr>
      <w:r>
        <w:rPr>
          <w:rFonts w:hint="eastAsia" w:cs="宋体" w:asciiTheme="majorEastAsia" w:hAnsiTheme="majorEastAsia" w:eastAsiaTheme="majorEastAsia"/>
        </w:rPr>
        <w:t>第五部分 合同条款及格式</w:t>
      </w:r>
      <w:bookmarkEnd w:id="84"/>
      <w:bookmarkEnd w:id="85"/>
    </w:p>
    <w:p>
      <w:pPr>
        <w:autoSpaceDN w:val="0"/>
        <w:adjustRightInd w:val="0"/>
        <w:snapToGrid w:val="0"/>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w:t>
      </w:r>
      <w:bookmarkEnd w:id="86"/>
      <w:bookmarkEnd w:id="87"/>
      <w:bookmarkEnd w:id="88"/>
      <w:bookmarkEnd w:id="89"/>
      <w:bookmarkEnd w:id="90"/>
      <w:bookmarkEnd w:id="91"/>
      <w:bookmarkEnd w:id="92"/>
      <w:bookmarkStart w:id="93" w:name="_Toc502304491"/>
    </w:p>
    <w:p>
      <w:pPr>
        <w:autoSpaceDN w:val="0"/>
        <w:adjustRightInd w:val="0"/>
        <w:snapToGrid w:val="0"/>
        <w:spacing w:line="360" w:lineRule="auto"/>
        <w:jc w:val="center"/>
        <w:rPr>
          <w:rFonts w:cs="宋体" w:asciiTheme="majorEastAsia" w:hAnsiTheme="majorEastAsia" w:eastAsiaTheme="majorEastAsia"/>
          <w:b/>
          <w:bCs/>
          <w:sz w:val="32"/>
          <w:szCs w:val="32"/>
        </w:rPr>
      </w:pPr>
    </w:p>
    <w:p>
      <w:pPr>
        <w:autoSpaceDN w:val="0"/>
        <w:adjustRightInd w:val="0"/>
        <w:snapToGrid w:val="0"/>
        <w:spacing w:line="360" w:lineRule="auto"/>
        <w:jc w:val="center"/>
        <w:rPr>
          <w:rFonts w:cs="宋体" w:asciiTheme="majorEastAsia" w:hAnsiTheme="majorEastAsia" w:eastAsiaTheme="majorEastAsia"/>
          <w:b/>
          <w:bCs/>
          <w:sz w:val="32"/>
          <w:szCs w:val="32"/>
        </w:rPr>
      </w:pPr>
    </w:p>
    <w:p>
      <w:pPr>
        <w:pStyle w:val="18"/>
        <w:rPr>
          <w:rFonts w:cs="宋体" w:asciiTheme="majorEastAsia" w:hAnsiTheme="majorEastAsia" w:eastAsiaTheme="majorEastAsia"/>
          <w:b/>
          <w:bCs/>
          <w:sz w:val="32"/>
          <w:szCs w:val="32"/>
        </w:rPr>
      </w:pPr>
    </w:p>
    <w:p>
      <w:pPr>
        <w:rPr>
          <w:rFonts w:cs="宋体" w:asciiTheme="majorEastAsia" w:hAnsiTheme="majorEastAsia" w:eastAsiaTheme="majorEastAsia"/>
          <w:b/>
          <w:bCs/>
          <w:sz w:val="32"/>
          <w:szCs w:val="32"/>
        </w:rPr>
      </w:pPr>
    </w:p>
    <w:p>
      <w:pPr>
        <w:pStyle w:val="18"/>
        <w:rPr>
          <w:rFonts w:cs="宋体" w:asciiTheme="majorEastAsia" w:hAnsiTheme="majorEastAsia" w:eastAsiaTheme="majorEastAsia"/>
          <w:b/>
          <w:bCs/>
          <w:sz w:val="32"/>
          <w:szCs w:val="32"/>
        </w:rPr>
      </w:pPr>
    </w:p>
    <w:p>
      <w:pPr>
        <w:rPr>
          <w:rFonts w:cs="宋体" w:asciiTheme="majorEastAsia" w:hAnsiTheme="majorEastAsia" w:eastAsiaTheme="majorEastAsia"/>
          <w:b/>
          <w:bCs/>
          <w:sz w:val="32"/>
          <w:szCs w:val="32"/>
        </w:rPr>
      </w:pPr>
    </w:p>
    <w:p>
      <w:pPr>
        <w:pStyle w:val="18"/>
        <w:rPr>
          <w:rFonts w:cs="宋体" w:asciiTheme="majorEastAsia" w:hAnsiTheme="majorEastAsia" w:eastAsiaTheme="majorEastAsia"/>
          <w:b/>
          <w:bCs/>
          <w:sz w:val="32"/>
          <w:szCs w:val="32"/>
        </w:rPr>
      </w:pPr>
    </w:p>
    <w:p>
      <w:pPr>
        <w:rPr>
          <w:rFonts w:cs="宋体" w:asciiTheme="majorEastAsia" w:hAnsiTheme="majorEastAsia" w:eastAsiaTheme="majorEastAsia"/>
          <w:b/>
          <w:bCs/>
          <w:sz w:val="32"/>
          <w:szCs w:val="32"/>
        </w:rPr>
      </w:pPr>
    </w:p>
    <w:p>
      <w:pPr>
        <w:pStyle w:val="18"/>
        <w:rPr>
          <w:rFonts w:cs="宋体" w:asciiTheme="majorEastAsia" w:hAnsiTheme="majorEastAsia" w:eastAsiaTheme="majorEastAsia"/>
          <w:b/>
          <w:bCs/>
          <w:sz w:val="32"/>
          <w:szCs w:val="32"/>
        </w:rPr>
      </w:pPr>
    </w:p>
    <w:p>
      <w:pPr>
        <w:rPr>
          <w:rFonts w:cs="宋体" w:asciiTheme="majorEastAsia" w:hAnsiTheme="majorEastAsia" w:eastAsiaTheme="majorEastAsia"/>
          <w:b/>
          <w:bCs/>
          <w:sz w:val="32"/>
          <w:szCs w:val="32"/>
        </w:rPr>
      </w:pPr>
    </w:p>
    <w:p>
      <w:pPr>
        <w:pStyle w:val="18"/>
        <w:rPr>
          <w:rFonts w:cs="宋体" w:asciiTheme="majorEastAsia" w:hAnsiTheme="majorEastAsia" w:eastAsiaTheme="majorEastAsia"/>
          <w:b/>
          <w:bCs/>
          <w:sz w:val="32"/>
          <w:szCs w:val="32"/>
        </w:rPr>
      </w:pPr>
    </w:p>
    <w:p>
      <w:pPr>
        <w:rPr>
          <w:rFonts w:cs="宋体" w:asciiTheme="majorEastAsia" w:hAnsiTheme="majorEastAsia" w:eastAsiaTheme="majorEastAsia"/>
          <w:b/>
          <w:bCs/>
          <w:sz w:val="32"/>
          <w:szCs w:val="32"/>
        </w:rPr>
      </w:pPr>
    </w:p>
    <w:p>
      <w:pPr>
        <w:pStyle w:val="18"/>
        <w:rPr>
          <w:rFonts w:cs="宋体" w:asciiTheme="majorEastAsia" w:hAnsiTheme="majorEastAsia" w:eastAsiaTheme="majorEastAsia"/>
          <w:b/>
          <w:bCs/>
          <w:sz w:val="32"/>
          <w:szCs w:val="32"/>
        </w:rPr>
      </w:pPr>
    </w:p>
    <w:p>
      <w:pPr>
        <w:rPr>
          <w:rFonts w:cs="宋体" w:asciiTheme="majorEastAsia" w:hAnsiTheme="majorEastAsia" w:eastAsiaTheme="majorEastAsia"/>
          <w:b/>
          <w:bCs/>
          <w:sz w:val="32"/>
          <w:szCs w:val="32"/>
        </w:rPr>
      </w:pPr>
    </w:p>
    <w:p>
      <w:pPr>
        <w:pStyle w:val="18"/>
        <w:rPr>
          <w:rFonts w:cs="宋体" w:asciiTheme="majorEastAsia" w:hAnsiTheme="majorEastAsia" w:eastAsiaTheme="majorEastAsia"/>
          <w:b/>
          <w:bCs/>
          <w:sz w:val="32"/>
          <w:szCs w:val="32"/>
        </w:rPr>
      </w:pPr>
    </w:p>
    <w:p>
      <w:pPr>
        <w:rPr>
          <w:rFonts w:cs="宋体" w:asciiTheme="majorEastAsia" w:hAnsiTheme="majorEastAsia" w:eastAsiaTheme="majorEastAsia"/>
          <w:b/>
          <w:bCs/>
          <w:sz w:val="32"/>
          <w:szCs w:val="32"/>
        </w:rPr>
      </w:pPr>
    </w:p>
    <w:p>
      <w:pPr>
        <w:pStyle w:val="18"/>
        <w:rPr>
          <w:rFonts w:cs="宋体" w:asciiTheme="majorEastAsia" w:hAnsiTheme="majorEastAsia" w:eastAsiaTheme="majorEastAsia"/>
          <w:b/>
          <w:bCs/>
          <w:sz w:val="32"/>
          <w:szCs w:val="32"/>
        </w:rPr>
      </w:pPr>
    </w:p>
    <w:p>
      <w:pPr>
        <w:rPr>
          <w:rFonts w:cs="宋体" w:asciiTheme="majorEastAsia" w:hAnsiTheme="majorEastAsia" w:eastAsiaTheme="majorEastAsia"/>
          <w:b/>
          <w:bCs/>
          <w:sz w:val="32"/>
          <w:szCs w:val="32"/>
        </w:rPr>
      </w:pPr>
    </w:p>
    <w:p>
      <w:pPr>
        <w:pStyle w:val="18"/>
        <w:rPr>
          <w:rFonts w:cs="宋体" w:asciiTheme="majorEastAsia" w:hAnsiTheme="majorEastAsia" w:eastAsiaTheme="majorEastAsia"/>
          <w:b/>
          <w:bCs/>
          <w:sz w:val="32"/>
          <w:szCs w:val="32"/>
        </w:rPr>
      </w:pPr>
    </w:p>
    <w:p>
      <w:pPr>
        <w:rPr>
          <w:rFonts w:cs="宋体" w:asciiTheme="majorEastAsia" w:hAnsiTheme="majorEastAsia" w:eastAsiaTheme="majorEastAsia"/>
          <w:b/>
          <w:bCs/>
          <w:sz w:val="32"/>
          <w:szCs w:val="32"/>
        </w:rPr>
      </w:pPr>
    </w:p>
    <w:p>
      <w:pPr>
        <w:pStyle w:val="18"/>
        <w:rPr>
          <w:rFonts w:cs="宋体" w:asciiTheme="majorEastAsia" w:hAnsiTheme="majorEastAsia" w:eastAsiaTheme="majorEastAsia"/>
          <w:b/>
          <w:bCs/>
          <w:sz w:val="32"/>
          <w:szCs w:val="32"/>
        </w:rPr>
      </w:pPr>
    </w:p>
    <w:p>
      <w:pPr>
        <w:pStyle w:val="2"/>
        <w:jc w:val="center"/>
        <w:rPr>
          <w:rFonts w:hint="eastAsia" w:ascii="宋体" w:hAnsi="宋体" w:eastAsia="宋体" w:cs="宋体"/>
          <w:sz w:val="36"/>
          <w:szCs w:val="36"/>
        </w:rPr>
      </w:pPr>
      <w:r>
        <w:rPr>
          <w:rFonts w:hint="eastAsia" w:ascii="宋体" w:hAnsi="宋体" w:eastAsia="宋体" w:cs="宋体"/>
          <w:sz w:val="36"/>
          <w:szCs w:val="36"/>
        </w:rPr>
        <w:t>政府购买服务合同范本</w:t>
      </w:r>
    </w:p>
    <w:p>
      <w:pPr>
        <w:spacing w:after="500" w:line="288" w:lineRule="auto"/>
        <w:jc w:val="center"/>
        <w:rPr>
          <w:rFonts w:hint="eastAsia" w:ascii="宋体" w:hAnsi="宋体" w:eastAsia="宋体" w:cs="宋体"/>
          <w:b/>
          <w:sz w:val="27"/>
        </w:rPr>
      </w:pPr>
      <w:r>
        <w:rPr>
          <w:rFonts w:hint="eastAsia" w:ascii="宋体" w:hAnsi="宋体" w:eastAsia="宋体" w:cs="宋体"/>
          <w:b/>
          <w:sz w:val="27"/>
        </w:rPr>
        <w:t xml:space="preserve">      主要合同条款</w:t>
      </w:r>
    </w:p>
    <w:p>
      <w:pPr>
        <w:keepNext w:val="0"/>
        <w:keepLines w:val="0"/>
        <w:pageBreakBefore w:val="0"/>
        <w:widowControl w:val="0"/>
        <w:tabs>
          <w:tab w:val="left" w:pos="720"/>
        </w:tabs>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甲方：</w:t>
      </w:r>
    </w:p>
    <w:p>
      <w:pPr>
        <w:keepNext w:val="0"/>
        <w:keepLines w:val="0"/>
        <w:pageBreakBefore w:val="0"/>
        <w:widowControl w:val="0"/>
        <w:tabs>
          <w:tab w:val="left" w:pos="720"/>
        </w:tabs>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乙方：</w:t>
      </w:r>
    </w:p>
    <w:p>
      <w:pPr>
        <w:keepNext w:val="0"/>
        <w:keepLines w:val="0"/>
        <w:pageBreakBefore w:val="0"/>
        <w:widowControl w:val="0"/>
        <w:tabs>
          <w:tab w:val="left" w:pos="720"/>
        </w:tabs>
        <w:kinsoku/>
        <w:wordWrap/>
        <w:overflowPunct/>
        <w:topLinePunct w:val="0"/>
        <w:autoSpaceDE/>
        <w:bidi w:val="0"/>
        <w:spacing w:line="360" w:lineRule="auto"/>
        <w:ind w:left="0" w:leftChars="0" w:firstLine="240" w:firstLineChars="100"/>
        <w:textAlignment w:val="auto"/>
        <w:rPr>
          <w:rFonts w:hint="eastAsia" w:ascii="宋体" w:hAnsi="宋体" w:eastAsia="宋体" w:cs="宋体"/>
          <w:sz w:val="24"/>
          <w:szCs w:val="22"/>
        </w:rPr>
      </w:pPr>
      <w:r>
        <w:rPr>
          <w:rFonts w:hint="eastAsia" w:ascii="宋体" w:hAnsi="宋体" w:eastAsia="宋体" w:cs="宋体"/>
          <w:sz w:val="24"/>
          <w:szCs w:val="22"/>
        </w:rPr>
        <w:t>根据甲方委托</w:t>
      </w:r>
      <w:r>
        <w:rPr>
          <w:rFonts w:hint="eastAsia" w:ascii="宋体" w:hAnsi="宋体" w:eastAsia="宋体" w:cs="宋体"/>
          <w:sz w:val="24"/>
          <w:szCs w:val="22"/>
          <w:u w:val="single"/>
        </w:rPr>
        <w:t>　　　　　　　　　（政府采购代理机构名称）</w:t>
      </w:r>
      <w:r>
        <w:rPr>
          <w:rFonts w:hint="eastAsia" w:ascii="宋体" w:hAnsi="宋体" w:eastAsia="宋体" w:cs="宋体"/>
          <w:sz w:val="24"/>
          <w:szCs w:val="22"/>
        </w:rPr>
        <w:t>实施的</w:t>
      </w:r>
      <w:r>
        <w:rPr>
          <w:rFonts w:hint="eastAsia" w:ascii="宋体" w:hAnsi="宋体" w:eastAsia="宋体" w:cs="宋体"/>
          <w:sz w:val="24"/>
          <w:szCs w:val="22"/>
          <w:lang w:val="en-US" w:eastAsia="zh-CN"/>
        </w:rPr>
        <w:t xml:space="preserve">   </w:t>
      </w:r>
      <w:r>
        <w:rPr>
          <w:rFonts w:hint="eastAsia" w:ascii="宋体" w:hAnsi="宋体" w:eastAsia="宋体" w:cs="宋体"/>
          <w:sz w:val="24"/>
          <w:szCs w:val="22"/>
          <w:u w:val="single"/>
          <w:lang w:val="en-US" w:eastAsia="zh-CN"/>
        </w:rPr>
        <w:t xml:space="preserve">   </w:t>
      </w:r>
      <w:r>
        <w:rPr>
          <w:rFonts w:hint="eastAsia" w:ascii="宋体" w:hAnsi="宋体" w:eastAsia="宋体" w:cs="宋体"/>
          <w:sz w:val="24"/>
          <w:szCs w:val="22"/>
          <w:u w:val="single"/>
        </w:rPr>
        <w:t xml:space="preserve">             项目</w:t>
      </w:r>
      <w:r>
        <w:rPr>
          <w:rFonts w:hint="eastAsia" w:ascii="宋体" w:hAnsi="宋体" w:eastAsia="宋体" w:cs="宋体"/>
          <w:sz w:val="24"/>
          <w:szCs w:val="22"/>
          <w:u w:val="single"/>
          <w:lang w:val="en-US" w:eastAsia="zh-CN"/>
        </w:rPr>
        <w:t xml:space="preserve">名称        </w:t>
      </w:r>
      <w:r>
        <w:rPr>
          <w:rFonts w:hint="eastAsia" w:ascii="宋体" w:hAnsi="宋体" w:eastAsia="宋体" w:cs="宋体"/>
          <w:sz w:val="24"/>
          <w:szCs w:val="22"/>
        </w:rPr>
        <w:t>的采购结果，按照《中华人民共和国政府采购法》、《中华人民共和国</w:t>
      </w:r>
      <w:r>
        <w:rPr>
          <w:rFonts w:hint="eastAsia" w:ascii="宋体" w:hAnsi="宋体" w:eastAsia="宋体" w:cs="宋体"/>
          <w:sz w:val="24"/>
          <w:szCs w:val="22"/>
          <w:lang w:eastAsia="zh-CN"/>
        </w:rPr>
        <w:t>民法典</w:t>
      </w:r>
      <w:r>
        <w:rPr>
          <w:rFonts w:hint="eastAsia" w:ascii="宋体" w:hAnsi="宋体" w:eastAsia="宋体" w:cs="宋体"/>
          <w:sz w:val="24"/>
          <w:szCs w:val="22"/>
        </w:rPr>
        <w:t>》规定，经甲乙双方协商，本着平等互利和诚实信用的原则，双方一致同意，签订本合同.</w:t>
      </w:r>
    </w:p>
    <w:p>
      <w:pPr>
        <w:keepNext w:val="0"/>
        <w:keepLines w:val="0"/>
        <w:pageBreakBefore w:val="0"/>
        <w:widowControl w:val="0"/>
        <w:numPr>
          <w:ilvl w:val="0"/>
          <w:numId w:val="5"/>
        </w:numPr>
        <w:kinsoku/>
        <w:wordWrap/>
        <w:overflowPunct/>
        <w:topLinePunct w:val="0"/>
        <w:autoSpaceDE/>
        <w:bidi w:val="0"/>
        <w:spacing w:line="360" w:lineRule="auto"/>
        <w:ind w:left="0" w:leftChars="0" w:firstLine="482" w:firstLineChars="200"/>
        <w:textAlignment w:val="auto"/>
        <w:rPr>
          <w:rFonts w:hint="eastAsia" w:ascii="宋体" w:hAnsi="宋体" w:eastAsia="宋体" w:cs="宋体"/>
          <w:b/>
          <w:sz w:val="24"/>
          <w:szCs w:val="22"/>
        </w:rPr>
      </w:pPr>
      <w:r>
        <w:rPr>
          <w:rFonts w:hint="eastAsia" w:ascii="宋体" w:hAnsi="宋体" w:eastAsia="宋体" w:cs="宋体"/>
          <w:b/>
          <w:sz w:val="24"/>
          <w:szCs w:val="22"/>
        </w:rPr>
        <w:t>购买服务的内容及期限</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1、甲方以</w:t>
      </w:r>
      <w:r>
        <w:rPr>
          <w:rFonts w:hint="eastAsia" w:ascii="宋体" w:hAnsi="宋体" w:eastAsia="宋体" w:cs="宋体"/>
          <w:sz w:val="24"/>
          <w:szCs w:val="22"/>
          <w:u w:val="single"/>
        </w:rPr>
        <w:t>　　　　（</w:t>
      </w:r>
      <w:r>
        <w:rPr>
          <w:rFonts w:hint="eastAsia" w:ascii="宋体" w:hAnsi="宋体" w:eastAsia="宋体" w:cs="宋体"/>
          <w:sz w:val="24"/>
          <w:szCs w:val="22"/>
        </w:rPr>
        <w:t>政府采购方式）采购乙方提供的以下服务：</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u w:val="single"/>
        </w:rPr>
        <w:t xml:space="preserve">                             </w:t>
      </w:r>
      <w:r>
        <w:rPr>
          <w:rFonts w:hint="eastAsia" w:ascii="宋体" w:hAnsi="宋体" w:eastAsia="宋体" w:cs="宋体"/>
          <w:sz w:val="24"/>
          <w:szCs w:val="22"/>
        </w:rPr>
        <w:t>。内容包括：</w:t>
      </w:r>
      <w:r>
        <w:rPr>
          <w:rFonts w:hint="eastAsia" w:ascii="宋体" w:hAnsi="宋体" w:eastAsia="宋体" w:cs="宋体"/>
          <w:sz w:val="24"/>
          <w:szCs w:val="22"/>
          <w:u w:val="single"/>
        </w:rPr>
        <w:t xml:space="preserve">                           </w:t>
      </w:r>
      <w:r>
        <w:rPr>
          <w:rFonts w:hint="eastAsia" w:ascii="宋体" w:hAnsi="宋体" w:eastAsia="宋体" w:cs="宋体"/>
          <w:sz w:val="24"/>
          <w:szCs w:val="22"/>
        </w:rPr>
        <w:t>。</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2、本合同项目下的服务期限为：</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自______年___</w:t>
      </w:r>
      <w:r>
        <w:rPr>
          <w:rFonts w:hint="eastAsia" w:ascii="宋体" w:hAnsi="宋体" w:eastAsia="宋体" w:cs="宋体"/>
          <w:sz w:val="24"/>
          <w:szCs w:val="22"/>
          <w:u w:val="single"/>
        </w:rPr>
        <w:t xml:space="preserve"> </w:t>
      </w:r>
      <w:r>
        <w:rPr>
          <w:rFonts w:hint="eastAsia" w:ascii="宋体" w:hAnsi="宋体" w:eastAsia="宋体" w:cs="宋体"/>
          <w:sz w:val="24"/>
          <w:szCs w:val="22"/>
        </w:rPr>
        <w:t>月</w:t>
      </w:r>
      <w:r>
        <w:rPr>
          <w:rFonts w:hint="eastAsia" w:ascii="宋体" w:hAnsi="宋体" w:eastAsia="宋体" w:cs="宋体"/>
          <w:sz w:val="24"/>
          <w:szCs w:val="22"/>
          <w:u w:val="single"/>
        </w:rPr>
        <w:t xml:space="preserve">    </w:t>
      </w:r>
      <w:r>
        <w:rPr>
          <w:rFonts w:hint="eastAsia" w:ascii="宋体" w:hAnsi="宋体" w:eastAsia="宋体" w:cs="宋体"/>
          <w:sz w:val="24"/>
          <w:szCs w:val="22"/>
        </w:rPr>
        <w:t>日至______年___</w:t>
      </w:r>
      <w:r>
        <w:rPr>
          <w:rFonts w:hint="eastAsia" w:ascii="宋体" w:hAnsi="宋体" w:eastAsia="宋体" w:cs="宋体"/>
          <w:sz w:val="24"/>
          <w:szCs w:val="22"/>
          <w:u w:val="single"/>
        </w:rPr>
        <w:t xml:space="preserve"> </w:t>
      </w:r>
      <w:r>
        <w:rPr>
          <w:rFonts w:hint="eastAsia" w:ascii="宋体" w:hAnsi="宋体" w:eastAsia="宋体" w:cs="宋体"/>
          <w:sz w:val="24"/>
          <w:szCs w:val="22"/>
        </w:rPr>
        <w:t>月</w:t>
      </w:r>
      <w:r>
        <w:rPr>
          <w:rFonts w:hint="eastAsia" w:ascii="宋体" w:hAnsi="宋体" w:eastAsia="宋体" w:cs="宋体"/>
          <w:sz w:val="24"/>
          <w:szCs w:val="22"/>
          <w:u w:val="single"/>
        </w:rPr>
        <w:t xml:space="preserve">    </w:t>
      </w:r>
      <w:r>
        <w:rPr>
          <w:rFonts w:hint="eastAsia" w:ascii="宋体" w:hAnsi="宋体" w:eastAsia="宋体" w:cs="宋体"/>
          <w:sz w:val="24"/>
          <w:szCs w:val="22"/>
        </w:rPr>
        <w:t>日止，共计</w:t>
      </w:r>
      <w:r>
        <w:rPr>
          <w:rFonts w:hint="eastAsia" w:ascii="宋体" w:hAnsi="宋体" w:eastAsia="宋体" w:cs="宋体"/>
          <w:sz w:val="24"/>
          <w:szCs w:val="22"/>
          <w:u w:val="single"/>
        </w:rPr>
        <w:t xml:space="preserve">     </w:t>
      </w:r>
      <w:r>
        <w:rPr>
          <w:rFonts w:hint="eastAsia" w:ascii="宋体" w:hAnsi="宋体" w:eastAsia="宋体" w:cs="宋体"/>
          <w:sz w:val="24"/>
          <w:szCs w:val="22"/>
        </w:rPr>
        <w:t>天。</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u w:val="single"/>
        </w:rPr>
      </w:pPr>
      <w:r>
        <w:rPr>
          <w:rFonts w:hint="eastAsia" w:ascii="宋体" w:hAnsi="宋体" w:eastAsia="宋体" w:cs="宋体"/>
          <w:sz w:val="24"/>
          <w:szCs w:val="22"/>
        </w:rPr>
        <w:t>3、服务地点：</w:t>
      </w:r>
      <w:r>
        <w:rPr>
          <w:rFonts w:hint="eastAsia" w:ascii="宋体" w:hAnsi="宋体" w:eastAsia="宋体" w:cs="宋体"/>
          <w:sz w:val="24"/>
          <w:szCs w:val="22"/>
          <w:u w:val="single"/>
        </w:rPr>
        <w:t xml:space="preserve">              </w:t>
      </w:r>
      <w:r>
        <w:rPr>
          <w:rFonts w:hint="eastAsia" w:ascii="宋体" w:hAnsi="宋体" w:eastAsia="宋体" w:cs="宋体"/>
          <w:sz w:val="24"/>
          <w:szCs w:val="22"/>
        </w:rPr>
        <w:t>。</w:t>
      </w:r>
    </w:p>
    <w:p>
      <w:pPr>
        <w:keepNext w:val="0"/>
        <w:keepLines w:val="0"/>
        <w:pageBreakBefore w:val="0"/>
        <w:widowControl w:val="0"/>
        <w:kinsoku/>
        <w:wordWrap/>
        <w:overflowPunct/>
        <w:topLinePunct w:val="0"/>
        <w:autoSpaceDE/>
        <w:bidi w:val="0"/>
        <w:spacing w:line="360" w:lineRule="auto"/>
        <w:ind w:left="0" w:leftChars="0" w:firstLine="482" w:firstLineChars="200"/>
        <w:textAlignment w:val="auto"/>
        <w:rPr>
          <w:rFonts w:hint="eastAsia" w:ascii="宋体" w:hAnsi="宋体" w:eastAsia="宋体" w:cs="宋体"/>
          <w:b/>
          <w:sz w:val="24"/>
          <w:szCs w:val="22"/>
        </w:rPr>
      </w:pPr>
      <w:r>
        <w:rPr>
          <w:rFonts w:hint="eastAsia" w:ascii="宋体" w:hAnsi="宋体" w:eastAsia="宋体" w:cs="宋体"/>
          <w:b/>
          <w:sz w:val="24"/>
          <w:szCs w:val="22"/>
        </w:rPr>
        <w:t>第二条  合同金额</w:t>
      </w:r>
    </w:p>
    <w:p>
      <w:pPr>
        <w:pStyle w:val="11"/>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本合同服务费总金额为人民币（大写）：_____________元（￥_______________元）。</w:t>
      </w:r>
    </w:p>
    <w:p>
      <w:pPr>
        <w:keepNext w:val="0"/>
        <w:keepLines w:val="0"/>
        <w:pageBreakBefore w:val="0"/>
        <w:widowControl w:val="0"/>
        <w:kinsoku/>
        <w:wordWrap/>
        <w:overflowPunct/>
        <w:topLinePunct w:val="0"/>
        <w:autoSpaceDE/>
        <w:bidi w:val="0"/>
        <w:spacing w:line="360" w:lineRule="auto"/>
        <w:ind w:left="0" w:leftChars="0" w:firstLine="482" w:firstLineChars="200"/>
        <w:textAlignment w:val="auto"/>
        <w:rPr>
          <w:rFonts w:hint="eastAsia" w:ascii="宋体" w:hAnsi="宋体" w:eastAsia="宋体" w:cs="宋体"/>
          <w:b/>
          <w:sz w:val="24"/>
          <w:szCs w:val="22"/>
        </w:rPr>
      </w:pPr>
      <w:r>
        <w:rPr>
          <w:rFonts w:hint="eastAsia" w:ascii="宋体" w:hAnsi="宋体" w:eastAsia="宋体" w:cs="宋体"/>
          <w:b/>
          <w:sz w:val="24"/>
          <w:szCs w:val="22"/>
        </w:rPr>
        <w:t>第三条  服务质量标准为：</w:t>
      </w:r>
    </w:p>
    <w:p>
      <w:pPr>
        <w:keepNext w:val="0"/>
        <w:keepLines w:val="0"/>
        <w:pageBreakBefore w:val="0"/>
        <w:widowControl w:val="0"/>
        <w:kinsoku/>
        <w:wordWrap/>
        <w:overflowPunct/>
        <w:topLinePunct w:val="0"/>
        <w:autoSpaceDE/>
        <w:bidi w:val="0"/>
        <w:spacing w:line="360" w:lineRule="auto"/>
        <w:ind w:left="0" w:leftChars="0" w:firstLine="482" w:firstLineChars="200"/>
        <w:textAlignment w:val="auto"/>
        <w:rPr>
          <w:rFonts w:hint="eastAsia" w:ascii="宋体" w:hAnsi="宋体" w:eastAsia="宋体" w:cs="宋体"/>
          <w:b/>
          <w:sz w:val="24"/>
          <w:szCs w:val="22"/>
        </w:rPr>
      </w:pPr>
      <w:r>
        <w:rPr>
          <w:rFonts w:hint="eastAsia" w:ascii="宋体" w:hAnsi="宋体" w:eastAsia="宋体" w:cs="宋体"/>
          <w:b/>
          <w:sz w:val="24"/>
          <w:szCs w:val="22"/>
        </w:rPr>
        <w:t>第四条  验收方及验收标准</w:t>
      </w:r>
    </w:p>
    <w:p>
      <w:pPr>
        <w:keepNext w:val="0"/>
        <w:keepLines w:val="0"/>
        <w:pageBreakBefore w:val="0"/>
        <w:widowControl w:val="0"/>
        <w:kinsoku/>
        <w:wordWrap/>
        <w:overflowPunct/>
        <w:topLinePunct w:val="0"/>
        <w:autoSpaceDE/>
        <w:bidi w:val="0"/>
        <w:spacing w:line="360" w:lineRule="auto"/>
        <w:ind w:left="0" w:leftChars="0" w:firstLine="482" w:firstLineChars="200"/>
        <w:textAlignment w:val="auto"/>
        <w:rPr>
          <w:rFonts w:hint="eastAsia" w:ascii="宋体" w:hAnsi="宋体" w:eastAsia="宋体" w:cs="宋体"/>
          <w:b/>
          <w:sz w:val="24"/>
          <w:szCs w:val="22"/>
        </w:rPr>
      </w:pPr>
      <w:r>
        <w:rPr>
          <w:rFonts w:hint="eastAsia" w:ascii="宋体" w:hAnsi="宋体" w:eastAsia="宋体" w:cs="宋体"/>
          <w:b/>
          <w:sz w:val="24"/>
          <w:szCs w:val="22"/>
        </w:rPr>
        <w:t>第五条  服务受益方评价标准及方法</w:t>
      </w:r>
    </w:p>
    <w:p>
      <w:pPr>
        <w:keepNext w:val="0"/>
        <w:keepLines w:val="0"/>
        <w:pageBreakBefore w:val="0"/>
        <w:widowControl w:val="0"/>
        <w:kinsoku/>
        <w:wordWrap/>
        <w:overflowPunct/>
        <w:topLinePunct w:val="0"/>
        <w:autoSpaceDE/>
        <w:bidi w:val="0"/>
        <w:spacing w:line="360" w:lineRule="auto"/>
        <w:ind w:left="0" w:leftChars="0" w:firstLine="482" w:firstLineChars="200"/>
        <w:textAlignment w:val="auto"/>
        <w:rPr>
          <w:rFonts w:hint="eastAsia" w:ascii="宋体" w:hAnsi="宋体" w:eastAsia="宋体" w:cs="宋体"/>
          <w:b/>
          <w:sz w:val="24"/>
          <w:szCs w:val="22"/>
        </w:rPr>
      </w:pPr>
      <w:r>
        <w:rPr>
          <w:rFonts w:hint="eastAsia" w:ascii="宋体" w:hAnsi="宋体" w:eastAsia="宋体" w:cs="宋体"/>
          <w:b/>
          <w:sz w:val="24"/>
          <w:szCs w:val="22"/>
        </w:rPr>
        <w:t>第六条  双方权利和义务</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1、甲方的权利和义务：</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2、乙方的权利和义务：</w:t>
      </w:r>
    </w:p>
    <w:p>
      <w:pPr>
        <w:keepNext w:val="0"/>
        <w:keepLines w:val="0"/>
        <w:pageBreakBefore w:val="0"/>
        <w:widowControl w:val="0"/>
        <w:tabs>
          <w:tab w:val="left" w:pos="630"/>
        </w:tabs>
        <w:kinsoku/>
        <w:wordWrap/>
        <w:overflowPunct/>
        <w:topLinePunct w:val="0"/>
        <w:autoSpaceDE/>
        <w:bidi w:val="0"/>
        <w:spacing w:line="360" w:lineRule="auto"/>
        <w:ind w:left="0" w:leftChars="0" w:firstLine="482" w:firstLineChars="200"/>
        <w:textAlignment w:val="auto"/>
        <w:rPr>
          <w:rFonts w:hint="eastAsia" w:ascii="宋体" w:hAnsi="宋体" w:eastAsia="宋体" w:cs="宋体"/>
          <w:b/>
          <w:sz w:val="24"/>
          <w:szCs w:val="22"/>
        </w:rPr>
      </w:pPr>
      <w:r>
        <w:rPr>
          <w:rFonts w:hint="eastAsia" w:ascii="宋体" w:hAnsi="宋体" w:eastAsia="宋体" w:cs="宋体"/>
          <w:b/>
          <w:sz w:val="24"/>
          <w:szCs w:val="22"/>
        </w:rPr>
        <w:t>第七条  付款方式</w:t>
      </w:r>
    </w:p>
    <w:p>
      <w:pPr>
        <w:keepNext w:val="0"/>
        <w:keepLines w:val="0"/>
        <w:pageBreakBefore w:val="0"/>
        <w:widowControl w:val="0"/>
        <w:kinsoku/>
        <w:wordWrap/>
        <w:overflowPunct/>
        <w:topLinePunct w:val="0"/>
        <w:autoSpaceDE/>
        <w:bidi w:val="0"/>
        <w:spacing w:line="360" w:lineRule="auto"/>
        <w:ind w:left="0" w:leftChars="0" w:firstLine="482" w:firstLineChars="200"/>
        <w:textAlignment w:val="auto"/>
        <w:rPr>
          <w:rFonts w:hint="eastAsia" w:ascii="宋体" w:hAnsi="宋体" w:eastAsia="宋体" w:cs="宋体"/>
          <w:b/>
          <w:sz w:val="24"/>
          <w:szCs w:val="22"/>
        </w:rPr>
      </w:pPr>
      <w:r>
        <w:rPr>
          <w:rFonts w:hint="eastAsia" w:ascii="宋体" w:hAnsi="宋体" w:eastAsia="宋体" w:cs="宋体"/>
          <w:b/>
          <w:sz w:val="24"/>
          <w:szCs w:val="22"/>
        </w:rPr>
        <w:t>注：根据服务类型选择以下任一种付款方式</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1、一次性付款：</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乙方履约完毕经甲方验收合格后</w:t>
      </w:r>
      <w:r>
        <w:rPr>
          <w:rFonts w:hint="eastAsia" w:ascii="宋体" w:hAnsi="宋体" w:eastAsia="宋体" w:cs="宋体"/>
          <w:sz w:val="24"/>
          <w:szCs w:val="22"/>
          <w:u w:val="single"/>
        </w:rPr>
        <w:t xml:space="preserve">   </w:t>
      </w:r>
      <w:r>
        <w:rPr>
          <w:rFonts w:hint="eastAsia" w:ascii="宋体" w:hAnsi="宋体" w:eastAsia="宋体" w:cs="宋体"/>
          <w:sz w:val="24"/>
          <w:szCs w:val="22"/>
        </w:rPr>
        <w:t>日内，一次性支付全部服务费。</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2、分期支付：</w:t>
      </w:r>
    </w:p>
    <w:p>
      <w:pPr>
        <w:keepNext w:val="0"/>
        <w:keepLines w:val="0"/>
        <w:pageBreakBefore w:val="0"/>
        <w:widowControl w:val="0"/>
        <w:numPr>
          <w:ilvl w:val="0"/>
          <w:numId w:val="6"/>
        </w:numPr>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按年/按季度/按月支付等额的服务费；</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（2）合同签订后</w:t>
      </w:r>
      <w:r>
        <w:rPr>
          <w:rFonts w:hint="eastAsia" w:ascii="宋体" w:hAnsi="宋体" w:eastAsia="宋体" w:cs="宋体"/>
          <w:sz w:val="24"/>
          <w:szCs w:val="22"/>
          <w:u w:val="single"/>
        </w:rPr>
        <w:t xml:space="preserve">  </w:t>
      </w:r>
      <w:r>
        <w:rPr>
          <w:rFonts w:hint="eastAsia" w:ascii="宋体" w:hAnsi="宋体" w:eastAsia="宋体" w:cs="宋体"/>
          <w:sz w:val="24"/>
          <w:szCs w:val="22"/>
        </w:rPr>
        <w:t>日内，甲方向乙方支付</w:t>
      </w:r>
      <w:r>
        <w:rPr>
          <w:rFonts w:hint="eastAsia" w:ascii="宋体" w:hAnsi="宋体" w:eastAsia="宋体" w:cs="宋体"/>
          <w:sz w:val="24"/>
          <w:szCs w:val="22"/>
          <w:u w:val="single"/>
        </w:rPr>
        <w:t xml:space="preserve">     </w:t>
      </w:r>
      <w:r>
        <w:rPr>
          <w:rFonts w:hint="eastAsia" w:ascii="宋体" w:hAnsi="宋体" w:eastAsia="宋体" w:cs="宋体"/>
          <w:sz w:val="24"/>
          <w:szCs w:val="22"/>
        </w:rPr>
        <w:t>元（或服务费总额的</w:t>
      </w:r>
      <w:r>
        <w:rPr>
          <w:rFonts w:hint="eastAsia" w:ascii="宋体" w:hAnsi="宋体" w:eastAsia="宋体" w:cs="宋体"/>
          <w:sz w:val="24"/>
          <w:szCs w:val="22"/>
          <w:u w:val="single"/>
        </w:rPr>
        <w:t xml:space="preserve">    </w:t>
      </w:r>
      <w:r>
        <w:rPr>
          <w:rFonts w:hint="eastAsia" w:ascii="宋体" w:hAnsi="宋体" w:eastAsia="宋体" w:cs="宋体"/>
          <w:sz w:val="24"/>
          <w:szCs w:val="22"/>
        </w:rPr>
        <w:t>% ）；在交付服务成果后</w:t>
      </w:r>
      <w:r>
        <w:rPr>
          <w:rFonts w:hint="eastAsia" w:ascii="宋体" w:hAnsi="宋体" w:eastAsia="宋体" w:cs="宋体"/>
          <w:sz w:val="24"/>
          <w:szCs w:val="22"/>
          <w:u w:val="single"/>
        </w:rPr>
        <w:t xml:space="preserve">   </w:t>
      </w:r>
      <w:r>
        <w:rPr>
          <w:rFonts w:hint="eastAsia" w:ascii="宋体" w:hAnsi="宋体" w:eastAsia="宋体" w:cs="宋体"/>
          <w:sz w:val="24"/>
          <w:szCs w:val="22"/>
        </w:rPr>
        <w:t>日内，支付服务费总额的</w:t>
      </w:r>
      <w:r>
        <w:rPr>
          <w:rFonts w:hint="eastAsia" w:ascii="宋体" w:hAnsi="宋体" w:eastAsia="宋体" w:cs="宋体"/>
          <w:sz w:val="24"/>
          <w:szCs w:val="22"/>
          <w:u w:val="single"/>
        </w:rPr>
        <w:t xml:space="preserve">   </w:t>
      </w:r>
      <w:r>
        <w:rPr>
          <w:rFonts w:hint="eastAsia" w:ascii="宋体" w:hAnsi="宋体" w:eastAsia="宋体" w:cs="宋体"/>
          <w:sz w:val="24"/>
          <w:szCs w:val="22"/>
        </w:rPr>
        <w:t>%。</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（3）按进度支付服务费：</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1)服务人员到达服务地并提交服务实施方案后__天内，甲方应将总服务费的__</w:t>
      </w:r>
      <w:r>
        <w:rPr>
          <w:rFonts w:hint="eastAsia" w:ascii="宋体" w:hAnsi="宋体" w:eastAsia="宋体" w:cs="宋体"/>
          <w:sz w:val="24"/>
          <w:szCs w:val="22"/>
          <w:u w:val="single"/>
        </w:rPr>
        <w:t xml:space="preserve"> </w:t>
      </w:r>
      <w:r>
        <w:rPr>
          <w:rFonts w:hint="eastAsia" w:ascii="宋体" w:hAnsi="宋体" w:eastAsia="宋体" w:cs="宋体"/>
          <w:sz w:val="24"/>
          <w:szCs w:val="22"/>
        </w:rPr>
        <w:t>%付给乙方。</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2)第二次付款为总服务费的__</w:t>
      </w:r>
      <w:r>
        <w:rPr>
          <w:rFonts w:hint="eastAsia" w:ascii="宋体" w:hAnsi="宋体" w:eastAsia="宋体" w:cs="宋体"/>
          <w:sz w:val="24"/>
          <w:szCs w:val="22"/>
          <w:u w:val="single"/>
        </w:rPr>
        <w:t xml:space="preserve"> </w:t>
      </w:r>
      <w:r>
        <w:rPr>
          <w:rFonts w:hint="eastAsia" w:ascii="宋体" w:hAnsi="宋体" w:eastAsia="宋体" w:cs="宋体"/>
          <w:sz w:val="24"/>
          <w:szCs w:val="22"/>
        </w:rPr>
        <w:t>%，甲方应在乙方已经准备好，并递交了服务报告及其它相关文件，而这些报告和文件符合合同附件的要求并被甲方验收后付给乙方。</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3)最后一次付款额应为总服务费的__</w:t>
      </w:r>
      <w:r>
        <w:rPr>
          <w:rFonts w:hint="eastAsia" w:ascii="宋体" w:hAnsi="宋体" w:eastAsia="宋体" w:cs="宋体"/>
          <w:sz w:val="24"/>
          <w:szCs w:val="22"/>
          <w:u w:val="single"/>
        </w:rPr>
        <w:t xml:space="preserve"> </w:t>
      </w:r>
      <w:r>
        <w:rPr>
          <w:rFonts w:hint="eastAsia" w:ascii="宋体" w:hAnsi="宋体" w:eastAsia="宋体" w:cs="宋体"/>
          <w:sz w:val="24"/>
          <w:szCs w:val="22"/>
        </w:rPr>
        <w:t>%，甲方应在乙方递交了服务总结报告和说明并完全履行合同完毕</w:t>
      </w:r>
      <w:r>
        <w:rPr>
          <w:rFonts w:hint="eastAsia" w:ascii="宋体" w:hAnsi="宋体" w:eastAsia="宋体" w:cs="宋体"/>
          <w:sz w:val="24"/>
          <w:szCs w:val="22"/>
          <w:u w:val="single"/>
        </w:rPr>
        <w:t xml:space="preserve">    </w:t>
      </w:r>
      <w:r>
        <w:rPr>
          <w:rFonts w:hint="eastAsia" w:ascii="宋体" w:hAnsi="宋体" w:eastAsia="宋体" w:cs="宋体"/>
          <w:sz w:val="24"/>
          <w:szCs w:val="22"/>
        </w:rPr>
        <w:t>日内付给乙方。</w:t>
      </w:r>
    </w:p>
    <w:p>
      <w:pPr>
        <w:keepNext w:val="0"/>
        <w:keepLines w:val="0"/>
        <w:pageBreakBefore w:val="0"/>
        <w:widowControl w:val="0"/>
        <w:tabs>
          <w:tab w:val="left" w:pos="900"/>
        </w:tabs>
        <w:kinsoku/>
        <w:wordWrap/>
        <w:overflowPunct/>
        <w:topLinePunct w:val="0"/>
        <w:autoSpaceDE/>
        <w:bidi w:val="0"/>
        <w:spacing w:line="360" w:lineRule="auto"/>
        <w:ind w:left="0" w:leftChars="0" w:firstLine="482" w:firstLineChars="200"/>
        <w:textAlignment w:val="auto"/>
        <w:rPr>
          <w:rFonts w:hint="eastAsia" w:ascii="宋体" w:hAnsi="宋体" w:eastAsia="宋体" w:cs="宋体"/>
          <w:b/>
          <w:sz w:val="24"/>
          <w:szCs w:val="22"/>
        </w:rPr>
      </w:pPr>
      <w:r>
        <w:rPr>
          <w:rFonts w:hint="eastAsia" w:ascii="宋体" w:hAnsi="宋体" w:eastAsia="宋体" w:cs="宋体"/>
          <w:b/>
          <w:sz w:val="24"/>
          <w:szCs w:val="22"/>
        </w:rPr>
        <w:t>第八条  违约责任</w:t>
      </w:r>
    </w:p>
    <w:p>
      <w:pPr>
        <w:keepNext w:val="0"/>
        <w:keepLines w:val="0"/>
        <w:pageBreakBefore w:val="0"/>
        <w:widowControl w:val="0"/>
        <w:tabs>
          <w:tab w:val="left" w:pos="900"/>
        </w:tabs>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1、乙方提供的服务不符合采购文件、报价文件或本合同规定的，甲方有权拒收，并且乙方须向甲方支付本合同总价__</w:t>
      </w:r>
      <w:r>
        <w:rPr>
          <w:rFonts w:hint="eastAsia" w:ascii="宋体" w:hAnsi="宋体" w:eastAsia="宋体" w:cs="宋体"/>
          <w:sz w:val="24"/>
          <w:szCs w:val="22"/>
          <w:u w:val="single"/>
        </w:rPr>
        <w:t xml:space="preserve"> </w:t>
      </w:r>
      <w:r>
        <w:rPr>
          <w:rFonts w:hint="eastAsia" w:ascii="宋体" w:hAnsi="宋体" w:eastAsia="宋体" w:cs="宋体"/>
          <w:sz w:val="24"/>
          <w:szCs w:val="22"/>
        </w:rPr>
        <w:t>%的违约金。</w:t>
      </w:r>
    </w:p>
    <w:p>
      <w:pPr>
        <w:keepNext w:val="0"/>
        <w:keepLines w:val="0"/>
        <w:pageBreakBefore w:val="0"/>
        <w:widowControl w:val="0"/>
        <w:tabs>
          <w:tab w:val="left" w:pos="720"/>
          <w:tab w:val="left" w:pos="900"/>
        </w:tabs>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2、乙方未能按本合同规定的服务时间提供服务，从逾期之日起每日按本合同总价__</w:t>
      </w:r>
      <w:r>
        <w:rPr>
          <w:rFonts w:hint="eastAsia" w:ascii="宋体" w:hAnsi="宋体" w:eastAsia="宋体" w:cs="宋体"/>
          <w:sz w:val="24"/>
          <w:szCs w:val="22"/>
          <w:u w:val="single"/>
        </w:rPr>
        <w:t xml:space="preserve"> </w:t>
      </w:r>
      <w:r>
        <w:rPr>
          <w:rFonts w:hint="eastAsia" w:ascii="宋体" w:hAnsi="宋体" w:eastAsia="宋体" w:cs="宋体"/>
          <w:sz w:val="24"/>
          <w:szCs w:val="22"/>
        </w:rPr>
        <w:t>%的数额向甲方支付违约金；逾期半个月以上的，甲方有权终止合同，由此造成的甲方经济损失由乙方承担。</w:t>
      </w:r>
    </w:p>
    <w:p>
      <w:pPr>
        <w:keepNext w:val="0"/>
        <w:keepLines w:val="0"/>
        <w:pageBreakBefore w:val="0"/>
        <w:widowControl w:val="0"/>
        <w:tabs>
          <w:tab w:val="left" w:pos="720"/>
          <w:tab w:val="left" w:pos="900"/>
        </w:tabs>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3、未经甲方同意乙方不得私自将该服务转包第三方完成。如私自转包，则处本合同总价__</w:t>
      </w:r>
      <w:r>
        <w:rPr>
          <w:rFonts w:hint="eastAsia" w:ascii="宋体" w:hAnsi="宋体" w:eastAsia="宋体" w:cs="宋体"/>
          <w:sz w:val="24"/>
          <w:szCs w:val="22"/>
          <w:u w:val="single"/>
        </w:rPr>
        <w:t xml:space="preserve"> </w:t>
      </w:r>
      <w:r>
        <w:rPr>
          <w:rFonts w:hint="eastAsia" w:ascii="宋体" w:hAnsi="宋体" w:eastAsia="宋体" w:cs="宋体"/>
          <w:sz w:val="24"/>
          <w:szCs w:val="22"/>
        </w:rPr>
        <w:t>%的违约金。</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4、甲方无正当理由拒绝接受服务，到期拒付服务款项的，甲方向乙方偿付本合同总价的__</w:t>
      </w:r>
      <w:r>
        <w:rPr>
          <w:rFonts w:hint="eastAsia" w:ascii="宋体" w:hAnsi="宋体" w:eastAsia="宋体" w:cs="宋体"/>
          <w:sz w:val="24"/>
          <w:szCs w:val="22"/>
          <w:u w:val="single"/>
        </w:rPr>
        <w:t xml:space="preserve"> </w:t>
      </w:r>
      <w:r>
        <w:rPr>
          <w:rFonts w:hint="eastAsia" w:ascii="宋体" w:hAnsi="宋体" w:eastAsia="宋体" w:cs="宋体"/>
          <w:sz w:val="24"/>
          <w:szCs w:val="22"/>
        </w:rPr>
        <w:t>%的违约金。甲方逾期付款，则每日按逾期金额的__</w:t>
      </w:r>
      <w:r>
        <w:rPr>
          <w:rFonts w:hint="eastAsia" w:ascii="宋体" w:hAnsi="宋体" w:eastAsia="宋体" w:cs="宋体"/>
          <w:sz w:val="24"/>
          <w:szCs w:val="22"/>
          <w:u w:val="single"/>
        </w:rPr>
        <w:t xml:space="preserve"> </w:t>
      </w:r>
      <w:r>
        <w:rPr>
          <w:rFonts w:hint="eastAsia" w:ascii="宋体" w:hAnsi="宋体" w:eastAsia="宋体" w:cs="宋体"/>
          <w:sz w:val="24"/>
          <w:szCs w:val="22"/>
        </w:rPr>
        <w:t>%向乙方偿付违约金。</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bCs/>
          <w:sz w:val="24"/>
          <w:szCs w:val="22"/>
        </w:rPr>
      </w:pPr>
      <w:r>
        <w:rPr>
          <w:rFonts w:hint="eastAsia" w:ascii="宋体" w:hAnsi="宋体" w:eastAsia="宋体" w:cs="宋体"/>
          <w:bCs/>
          <w:sz w:val="24"/>
          <w:szCs w:val="22"/>
        </w:rPr>
        <w:t>5、其它违约责任按《中华人民共和国</w:t>
      </w:r>
      <w:r>
        <w:rPr>
          <w:rFonts w:hint="eastAsia" w:ascii="宋体" w:hAnsi="宋体" w:eastAsia="宋体" w:cs="宋体"/>
          <w:bCs/>
          <w:sz w:val="24"/>
          <w:szCs w:val="22"/>
          <w:lang w:eastAsia="zh-CN"/>
        </w:rPr>
        <w:t>民法典</w:t>
      </w:r>
      <w:r>
        <w:rPr>
          <w:rFonts w:hint="eastAsia" w:ascii="宋体" w:hAnsi="宋体" w:eastAsia="宋体" w:cs="宋体"/>
          <w:bCs/>
          <w:sz w:val="24"/>
          <w:szCs w:val="22"/>
        </w:rPr>
        <w:t>》处理。</w:t>
      </w:r>
    </w:p>
    <w:p>
      <w:pPr>
        <w:keepNext w:val="0"/>
        <w:keepLines w:val="0"/>
        <w:pageBreakBefore w:val="0"/>
        <w:widowControl w:val="0"/>
        <w:kinsoku/>
        <w:wordWrap/>
        <w:overflowPunct/>
        <w:topLinePunct w:val="0"/>
        <w:autoSpaceDE/>
        <w:bidi w:val="0"/>
        <w:spacing w:line="360" w:lineRule="auto"/>
        <w:ind w:left="0" w:leftChars="0" w:firstLine="482" w:firstLineChars="200"/>
        <w:textAlignment w:val="auto"/>
        <w:rPr>
          <w:rFonts w:hint="eastAsia" w:ascii="宋体" w:hAnsi="宋体" w:eastAsia="宋体" w:cs="宋体"/>
          <w:b/>
          <w:sz w:val="24"/>
          <w:szCs w:val="22"/>
        </w:rPr>
      </w:pPr>
      <w:r>
        <w:rPr>
          <w:rFonts w:hint="eastAsia" w:ascii="宋体" w:hAnsi="宋体" w:eastAsia="宋体" w:cs="宋体"/>
          <w:b/>
          <w:sz w:val="24"/>
          <w:szCs w:val="22"/>
        </w:rPr>
        <w:t>第九条  知识产权归属</w:t>
      </w:r>
    </w:p>
    <w:p>
      <w:pPr>
        <w:keepNext w:val="0"/>
        <w:keepLines w:val="0"/>
        <w:pageBreakBefore w:val="0"/>
        <w:widowControl w:val="0"/>
        <w:tabs>
          <w:tab w:val="left" w:pos="900"/>
        </w:tabs>
        <w:kinsoku/>
        <w:wordWrap/>
        <w:overflowPunct/>
        <w:topLinePunct w:val="0"/>
        <w:autoSpaceDE/>
        <w:bidi w:val="0"/>
        <w:spacing w:line="360" w:lineRule="auto"/>
        <w:ind w:left="0" w:leftChars="0" w:firstLine="482" w:firstLineChars="200"/>
        <w:textAlignment w:val="auto"/>
        <w:rPr>
          <w:rFonts w:hint="eastAsia" w:ascii="宋体" w:hAnsi="宋体" w:eastAsia="宋体" w:cs="宋体"/>
          <w:b/>
          <w:sz w:val="24"/>
          <w:szCs w:val="22"/>
        </w:rPr>
      </w:pPr>
      <w:r>
        <w:rPr>
          <w:rFonts w:hint="eastAsia" w:ascii="宋体" w:hAnsi="宋体" w:eastAsia="宋体" w:cs="宋体"/>
          <w:b/>
          <w:sz w:val="24"/>
          <w:szCs w:val="22"/>
        </w:rPr>
        <w:t>第十条  保密条款</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1、乙方对甲方提供的资料负有保密义务，未经甲方同意，不得向项目无关单位和个人提供有关资料。如发生以上情况，甲方有权索赔。</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2、甲方有义务保护乙方的知识产权，未经乙方同意，甲方对工程咨询单位交付的成果文件、资料不得向第三方转让或用于本合同以外的项目。如发生以上情况，乙方有权索赔。</w:t>
      </w:r>
    </w:p>
    <w:p>
      <w:pPr>
        <w:keepNext w:val="0"/>
        <w:keepLines w:val="0"/>
        <w:pageBreakBefore w:val="0"/>
        <w:widowControl w:val="0"/>
        <w:kinsoku/>
        <w:wordWrap/>
        <w:overflowPunct/>
        <w:topLinePunct w:val="0"/>
        <w:autoSpaceDE/>
        <w:bidi w:val="0"/>
        <w:spacing w:line="360" w:lineRule="auto"/>
        <w:ind w:left="0" w:leftChars="0" w:firstLine="482" w:firstLineChars="200"/>
        <w:textAlignment w:val="auto"/>
        <w:rPr>
          <w:rFonts w:hint="eastAsia" w:ascii="宋体" w:hAnsi="宋体" w:eastAsia="宋体" w:cs="宋体"/>
          <w:b/>
          <w:sz w:val="24"/>
          <w:szCs w:val="22"/>
        </w:rPr>
      </w:pPr>
      <w:r>
        <w:rPr>
          <w:rFonts w:hint="eastAsia" w:ascii="宋体" w:hAnsi="宋体" w:eastAsia="宋体" w:cs="宋体"/>
          <w:b/>
          <w:sz w:val="24"/>
          <w:szCs w:val="22"/>
        </w:rPr>
        <w:t>第十一条  争议的解决</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本合同执行过程中发生的任何争议，如双方不能通过友好协商解决，由合同签订地法院处理。</w:t>
      </w:r>
    </w:p>
    <w:p>
      <w:pPr>
        <w:keepNext w:val="0"/>
        <w:keepLines w:val="0"/>
        <w:pageBreakBefore w:val="0"/>
        <w:widowControl w:val="0"/>
        <w:kinsoku/>
        <w:wordWrap/>
        <w:overflowPunct/>
        <w:topLinePunct w:val="0"/>
        <w:autoSpaceDE/>
        <w:bidi w:val="0"/>
        <w:spacing w:line="360" w:lineRule="auto"/>
        <w:ind w:left="0" w:leftChars="0" w:firstLine="482" w:firstLineChars="200"/>
        <w:textAlignment w:val="auto"/>
        <w:rPr>
          <w:rFonts w:hint="eastAsia" w:ascii="宋体" w:hAnsi="宋体" w:eastAsia="宋体" w:cs="宋体"/>
          <w:b/>
          <w:sz w:val="24"/>
          <w:szCs w:val="22"/>
        </w:rPr>
      </w:pPr>
      <w:r>
        <w:rPr>
          <w:rFonts w:hint="eastAsia" w:ascii="宋体" w:hAnsi="宋体" w:eastAsia="宋体" w:cs="宋体"/>
          <w:b/>
          <w:sz w:val="24"/>
          <w:szCs w:val="22"/>
        </w:rPr>
        <w:t>第十二条  不可抗力</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keepNext w:val="0"/>
        <w:keepLines w:val="0"/>
        <w:pageBreakBefore w:val="0"/>
        <w:widowControl w:val="0"/>
        <w:tabs>
          <w:tab w:val="left" w:pos="630"/>
        </w:tabs>
        <w:kinsoku/>
        <w:wordWrap/>
        <w:overflowPunct/>
        <w:topLinePunct w:val="0"/>
        <w:autoSpaceDE/>
        <w:bidi w:val="0"/>
        <w:spacing w:line="360" w:lineRule="auto"/>
        <w:ind w:left="0" w:leftChars="0" w:firstLine="482" w:firstLineChars="200"/>
        <w:textAlignment w:val="auto"/>
        <w:rPr>
          <w:rFonts w:hint="eastAsia" w:ascii="宋体" w:hAnsi="宋体" w:eastAsia="宋体" w:cs="宋体"/>
          <w:b/>
          <w:sz w:val="24"/>
          <w:szCs w:val="22"/>
        </w:rPr>
      </w:pPr>
      <w:r>
        <w:rPr>
          <w:rFonts w:hint="eastAsia" w:ascii="宋体" w:hAnsi="宋体" w:eastAsia="宋体" w:cs="宋体"/>
          <w:b/>
          <w:sz w:val="24"/>
          <w:szCs w:val="22"/>
        </w:rPr>
        <w:t>第十三条  合同的终止</w:t>
      </w:r>
    </w:p>
    <w:p>
      <w:pPr>
        <w:keepNext w:val="0"/>
        <w:keepLines w:val="0"/>
        <w:pageBreakBefore w:val="0"/>
        <w:widowControl w:val="0"/>
        <w:tabs>
          <w:tab w:val="left" w:pos="630"/>
        </w:tabs>
        <w:kinsoku/>
        <w:wordWrap/>
        <w:overflowPunct/>
        <w:topLinePunct w:val="0"/>
        <w:autoSpaceDE/>
        <w:bidi w:val="0"/>
        <w:spacing w:line="360" w:lineRule="auto"/>
        <w:ind w:left="0" w:leftChars="0" w:firstLine="480" w:firstLineChars="200"/>
        <w:textAlignment w:val="auto"/>
        <w:rPr>
          <w:rFonts w:hint="eastAsia" w:ascii="宋体" w:hAnsi="宋体" w:eastAsia="宋体" w:cs="宋体"/>
          <w:b/>
          <w:sz w:val="24"/>
          <w:szCs w:val="22"/>
        </w:rPr>
      </w:pPr>
      <w:r>
        <w:rPr>
          <w:rFonts w:hint="eastAsia" w:ascii="宋体" w:hAnsi="宋体" w:eastAsia="宋体" w:cs="宋体"/>
          <w:sz w:val="24"/>
          <w:szCs w:val="22"/>
        </w:rPr>
        <w:t>1、合同期满，双方未续签的；</w:t>
      </w:r>
    </w:p>
    <w:p>
      <w:pPr>
        <w:keepNext w:val="0"/>
        <w:keepLines w:val="0"/>
        <w:pageBreakBefore w:val="0"/>
        <w:widowControl w:val="0"/>
        <w:tabs>
          <w:tab w:val="left" w:pos="630"/>
        </w:tabs>
        <w:kinsoku/>
        <w:wordWrap/>
        <w:overflowPunct/>
        <w:topLinePunct w:val="0"/>
        <w:autoSpaceDE/>
        <w:bidi w:val="0"/>
        <w:spacing w:line="360" w:lineRule="auto"/>
        <w:ind w:left="0" w:leftChars="0" w:firstLine="480" w:firstLineChars="200"/>
        <w:textAlignment w:val="auto"/>
        <w:rPr>
          <w:rFonts w:hint="eastAsia" w:ascii="宋体" w:hAnsi="宋体" w:eastAsia="宋体" w:cs="宋体"/>
          <w:b/>
          <w:sz w:val="24"/>
          <w:szCs w:val="22"/>
        </w:rPr>
      </w:pPr>
      <w:r>
        <w:rPr>
          <w:rFonts w:hint="eastAsia" w:ascii="宋体" w:hAnsi="宋体" w:eastAsia="宋体" w:cs="宋体"/>
          <w:sz w:val="24"/>
          <w:szCs w:val="22"/>
        </w:rPr>
        <w:t>2、乙方服务能力丧失，致使服务无法正常进行的；</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b/>
          <w:sz w:val="24"/>
          <w:szCs w:val="22"/>
        </w:rPr>
      </w:pPr>
      <w:r>
        <w:rPr>
          <w:rFonts w:hint="eastAsia" w:ascii="宋体" w:hAnsi="宋体" w:eastAsia="宋体" w:cs="宋体"/>
          <w:sz w:val="24"/>
          <w:szCs w:val="22"/>
        </w:rPr>
        <w:t>3、在履行合同过程中，发现乙方已不符合国办发〔2013〕96号、冀政办〔2014〕3号文件规定的承接主体应具备的条件，造成合同无法履行的。</w:t>
      </w:r>
    </w:p>
    <w:p>
      <w:pPr>
        <w:keepNext w:val="0"/>
        <w:keepLines w:val="0"/>
        <w:pageBreakBefore w:val="0"/>
        <w:widowControl w:val="0"/>
        <w:kinsoku/>
        <w:wordWrap/>
        <w:overflowPunct/>
        <w:topLinePunct w:val="0"/>
        <w:autoSpaceDE/>
        <w:bidi w:val="0"/>
        <w:spacing w:line="360" w:lineRule="auto"/>
        <w:ind w:left="0" w:leftChars="0" w:firstLine="482" w:firstLineChars="200"/>
        <w:textAlignment w:val="auto"/>
        <w:rPr>
          <w:rFonts w:hint="eastAsia" w:ascii="宋体" w:hAnsi="宋体" w:eastAsia="宋体" w:cs="宋体"/>
          <w:b/>
          <w:sz w:val="24"/>
          <w:szCs w:val="22"/>
        </w:rPr>
      </w:pPr>
      <w:r>
        <w:rPr>
          <w:rFonts w:hint="eastAsia" w:ascii="宋体" w:hAnsi="宋体" w:eastAsia="宋体" w:cs="宋体"/>
          <w:b/>
          <w:sz w:val="24"/>
          <w:szCs w:val="22"/>
        </w:rPr>
        <w:t>第十四条  税费</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此项目发生的与本合同执行有关的一切税费均由乙方负担。</w:t>
      </w:r>
    </w:p>
    <w:p>
      <w:pPr>
        <w:keepNext w:val="0"/>
        <w:keepLines w:val="0"/>
        <w:pageBreakBefore w:val="0"/>
        <w:widowControl w:val="0"/>
        <w:kinsoku/>
        <w:wordWrap/>
        <w:overflowPunct/>
        <w:topLinePunct w:val="0"/>
        <w:autoSpaceDE/>
        <w:bidi w:val="0"/>
        <w:spacing w:line="360" w:lineRule="auto"/>
        <w:ind w:left="0" w:leftChars="0" w:firstLine="482" w:firstLineChars="200"/>
        <w:textAlignment w:val="auto"/>
        <w:rPr>
          <w:rFonts w:hint="eastAsia" w:ascii="宋体" w:hAnsi="宋体" w:eastAsia="宋体" w:cs="宋体"/>
          <w:b/>
          <w:sz w:val="24"/>
          <w:szCs w:val="22"/>
        </w:rPr>
      </w:pPr>
      <w:r>
        <w:rPr>
          <w:rFonts w:hint="eastAsia" w:ascii="宋体" w:hAnsi="宋体" w:eastAsia="宋体" w:cs="宋体"/>
          <w:b/>
          <w:sz w:val="24"/>
          <w:szCs w:val="22"/>
        </w:rPr>
        <w:t>第十五条  其它</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b/>
          <w:sz w:val="24"/>
          <w:szCs w:val="22"/>
        </w:rPr>
      </w:pPr>
      <w:r>
        <w:rPr>
          <w:rFonts w:hint="eastAsia" w:ascii="宋体" w:hAnsi="宋体" w:eastAsia="宋体" w:cs="宋体"/>
          <w:sz w:val="24"/>
          <w:szCs w:val="22"/>
        </w:rPr>
        <w:t>1、本合同所有附件及政府采购文件均为合同的有效组成部分，与本合同具有同等法律效力。</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bCs/>
          <w:sz w:val="24"/>
          <w:szCs w:val="22"/>
        </w:rPr>
        <w:t>2、</w:t>
      </w:r>
      <w:r>
        <w:rPr>
          <w:rFonts w:hint="eastAsia" w:ascii="宋体" w:hAnsi="宋体" w:eastAsia="宋体" w:cs="宋体"/>
          <w:sz w:val="24"/>
          <w:szCs w:val="22"/>
        </w:rPr>
        <w:t>在执行本合同的过程中，所有经双方签署确认的文件（包括会议纪要、补充协议、往来信函）即成为本合同的有效组成部分。</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 xml:space="preserve">3、如一方地址、电话、传真号码有变更，应在变更当日内书面通知对方，否则，应承担相应责任。 </w:t>
      </w:r>
    </w:p>
    <w:p>
      <w:pPr>
        <w:keepNext w:val="0"/>
        <w:keepLines w:val="0"/>
        <w:pageBreakBefore w:val="0"/>
        <w:widowControl w:val="0"/>
        <w:kinsoku/>
        <w:wordWrap/>
        <w:overflowPunct/>
        <w:topLinePunct w:val="0"/>
        <w:autoSpaceDE/>
        <w:bidi w:val="0"/>
        <w:spacing w:line="360" w:lineRule="auto"/>
        <w:ind w:left="0" w:leftChars="0" w:firstLine="482" w:firstLineChars="200"/>
        <w:textAlignment w:val="auto"/>
        <w:rPr>
          <w:rFonts w:hint="eastAsia" w:ascii="宋体" w:hAnsi="宋体" w:eastAsia="宋体" w:cs="宋体"/>
          <w:b/>
          <w:sz w:val="24"/>
          <w:szCs w:val="22"/>
        </w:rPr>
      </w:pPr>
      <w:r>
        <w:rPr>
          <w:rFonts w:hint="eastAsia" w:ascii="宋体" w:hAnsi="宋体" w:eastAsia="宋体" w:cs="宋体"/>
          <w:b/>
          <w:sz w:val="24"/>
          <w:szCs w:val="22"/>
        </w:rPr>
        <w:t>第十六条  补充条款</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1、谅解与备忘条款：</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2、双方不可撤销的责任与义务：</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3、双方约定以下补充条款：</w:t>
      </w:r>
    </w:p>
    <w:p>
      <w:pPr>
        <w:keepNext w:val="0"/>
        <w:keepLines w:val="0"/>
        <w:pageBreakBefore w:val="0"/>
        <w:widowControl w:val="0"/>
        <w:kinsoku/>
        <w:wordWrap/>
        <w:overflowPunct/>
        <w:topLinePunct w:val="0"/>
        <w:autoSpaceDE/>
        <w:bidi w:val="0"/>
        <w:spacing w:line="360" w:lineRule="auto"/>
        <w:ind w:left="0" w:leftChars="0" w:firstLine="482" w:firstLineChars="200"/>
        <w:textAlignment w:val="auto"/>
        <w:rPr>
          <w:rFonts w:hint="eastAsia" w:ascii="宋体" w:hAnsi="宋体" w:eastAsia="宋体" w:cs="宋体"/>
          <w:b/>
          <w:sz w:val="24"/>
          <w:szCs w:val="22"/>
        </w:rPr>
      </w:pPr>
      <w:r>
        <w:rPr>
          <w:rFonts w:hint="eastAsia" w:ascii="宋体" w:hAnsi="宋体" w:eastAsia="宋体" w:cs="宋体"/>
          <w:b/>
          <w:sz w:val="24"/>
          <w:szCs w:val="22"/>
        </w:rPr>
        <w:t>第十七条  合同生效</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1、本合同订立时间：</w:t>
      </w:r>
      <w:r>
        <w:rPr>
          <w:rFonts w:hint="eastAsia" w:ascii="宋体" w:hAnsi="宋体" w:eastAsia="宋体" w:cs="宋体"/>
          <w:sz w:val="24"/>
          <w:szCs w:val="22"/>
          <w:u w:val="single"/>
        </w:rPr>
        <w:t xml:space="preserve">       </w:t>
      </w:r>
      <w:r>
        <w:rPr>
          <w:rFonts w:hint="eastAsia" w:ascii="宋体" w:hAnsi="宋体" w:eastAsia="宋体" w:cs="宋体"/>
          <w:sz w:val="24"/>
          <w:szCs w:val="22"/>
        </w:rPr>
        <w:t xml:space="preserve"> 年</w:t>
      </w:r>
      <w:r>
        <w:rPr>
          <w:rFonts w:hint="eastAsia" w:ascii="宋体" w:hAnsi="宋体" w:eastAsia="宋体" w:cs="宋体"/>
          <w:sz w:val="24"/>
          <w:szCs w:val="22"/>
          <w:u w:val="single"/>
        </w:rPr>
        <w:t xml:space="preserve">      </w:t>
      </w:r>
      <w:r>
        <w:rPr>
          <w:rFonts w:hint="eastAsia" w:ascii="宋体" w:hAnsi="宋体" w:eastAsia="宋体" w:cs="宋体"/>
          <w:sz w:val="24"/>
          <w:szCs w:val="22"/>
        </w:rPr>
        <w:t xml:space="preserve">月 </w:t>
      </w:r>
      <w:r>
        <w:rPr>
          <w:rFonts w:hint="eastAsia" w:ascii="宋体" w:hAnsi="宋体" w:eastAsia="宋体" w:cs="宋体"/>
          <w:sz w:val="24"/>
          <w:szCs w:val="22"/>
          <w:u w:val="single"/>
        </w:rPr>
        <w:t xml:space="preserve">     </w:t>
      </w:r>
      <w:r>
        <w:rPr>
          <w:rFonts w:hint="eastAsia" w:ascii="宋体" w:hAnsi="宋体" w:eastAsia="宋体" w:cs="宋体"/>
          <w:sz w:val="24"/>
          <w:szCs w:val="22"/>
        </w:rPr>
        <w:t>日</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2、本合同订立地点：</w:t>
      </w:r>
      <w:r>
        <w:rPr>
          <w:rFonts w:hint="eastAsia" w:ascii="宋体" w:hAnsi="宋体" w:eastAsia="宋体" w:cs="宋体"/>
          <w:sz w:val="24"/>
          <w:szCs w:val="22"/>
          <w:u w:val="single"/>
        </w:rPr>
        <w:t xml:space="preserve">                          </w:t>
      </w:r>
      <w:r>
        <w:rPr>
          <w:rFonts w:hint="eastAsia" w:ascii="宋体" w:hAnsi="宋体" w:eastAsia="宋体" w:cs="宋体"/>
          <w:sz w:val="24"/>
          <w:szCs w:val="22"/>
        </w:rPr>
        <w:t xml:space="preserve">。                       </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3、本合同在甲乙双方法人代表或其授权代表签字盖章后生效。</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4、本合同一式</w:t>
      </w:r>
      <w:r>
        <w:rPr>
          <w:rFonts w:hint="eastAsia" w:ascii="宋体" w:hAnsi="宋体" w:eastAsia="宋体" w:cs="宋体"/>
          <w:sz w:val="24"/>
          <w:szCs w:val="22"/>
          <w:u w:val="single"/>
        </w:rPr>
        <w:t xml:space="preserve">    </w:t>
      </w:r>
      <w:r>
        <w:rPr>
          <w:rFonts w:hint="eastAsia" w:ascii="宋体" w:hAnsi="宋体" w:eastAsia="宋体" w:cs="宋体"/>
          <w:sz w:val="24"/>
          <w:szCs w:val="22"/>
        </w:rPr>
        <w:t>份，甲乙双方、代理机构及政府采购监督管理部门各执一份，具有同等法律效力。</w:t>
      </w:r>
    </w:p>
    <w:p>
      <w:pPr>
        <w:keepNext w:val="0"/>
        <w:keepLines w:val="0"/>
        <w:pageBreakBefore w:val="0"/>
        <w:widowControl w:val="0"/>
        <w:kinsoku/>
        <w:wordWrap/>
        <w:overflowPunct/>
        <w:topLinePunct w:val="0"/>
        <w:autoSpaceDE/>
        <w:bidi w:val="0"/>
        <w:spacing w:line="360" w:lineRule="auto"/>
        <w:ind w:left="0" w:leftChars="0" w:firstLine="482" w:firstLineChars="200"/>
        <w:textAlignment w:val="auto"/>
        <w:rPr>
          <w:rFonts w:hint="eastAsia" w:ascii="宋体" w:hAnsi="宋体" w:eastAsia="宋体" w:cs="宋体"/>
          <w:sz w:val="24"/>
          <w:szCs w:val="22"/>
        </w:rPr>
      </w:pPr>
      <w:r>
        <w:rPr>
          <w:rFonts w:hint="eastAsia" w:ascii="宋体" w:hAnsi="宋体" w:eastAsia="宋体" w:cs="宋体"/>
          <w:b/>
          <w:sz w:val="24"/>
          <w:szCs w:val="22"/>
        </w:rPr>
        <w:t>第十八条  合同附件</w:t>
      </w:r>
      <w:r>
        <w:rPr>
          <w:rFonts w:hint="eastAsia" w:ascii="宋体" w:hAnsi="宋体" w:eastAsia="宋体" w:cs="宋体"/>
          <w:sz w:val="24"/>
          <w:szCs w:val="22"/>
        </w:rPr>
        <w:t>(签定具体合同时，若有附件应注明，并注明附件名称。)</w:t>
      </w:r>
    </w:p>
    <w:p>
      <w:pPr>
        <w:keepNext w:val="0"/>
        <w:keepLines w:val="0"/>
        <w:pageBreakBefore w:val="0"/>
        <w:widowControl w:val="0"/>
        <w:kinsoku/>
        <w:wordWrap/>
        <w:overflowPunct/>
        <w:topLinePunct w:val="0"/>
        <w:autoSpaceDE/>
        <w:bidi w:val="0"/>
        <w:spacing w:line="360" w:lineRule="auto"/>
        <w:ind w:left="0" w:leftChars="0" w:firstLine="482" w:firstLineChars="200"/>
        <w:textAlignment w:val="auto"/>
        <w:rPr>
          <w:rFonts w:hint="eastAsia" w:ascii="宋体" w:hAnsi="宋体" w:eastAsia="宋体" w:cs="宋体"/>
          <w:b/>
          <w:sz w:val="24"/>
          <w:szCs w:val="22"/>
        </w:rPr>
      </w:pPr>
      <w:r>
        <w:rPr>
          <w:rFonts w:hint="eastAsia" w:ascii="宋体" w:hAnsi="宋体" w:eastAsia="宋体" w:cs="宋体"/>
          <w:b/>
          <w:sz w:val="24"/>
          <w:szCs w:val="22"/>
        </w:rPr>
        <w:t>甲方（盖章）：                        乙方（盖章）：</w:t>
      </w:r>
    </w:p>
    <w:p>
      <w:pPr>
        <w:keepNext w:val="0"/>
        <w:keepLines w:val="0"/>
        <w:pageBreakBefore w:val="0"/>
        <w:widowControl w:val="0"/>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法定代表人（盖章或签字）：            法定代表人（盖章或签字）：</w:t>
      </w:r>
    </w:p>
    <w:p>
      <w:pPr>
        <w:keepNext w:val="0"/>
        <w:keepLines w:val="0"/>
        <w:pageBreakBefore w:val="0"/>
        <w:widowControl w:val="0"/>
        <w:tabs>
          <w:tab w:val="left" w:pos="525"/>
          <w:tab w:val="left" w:pos="1155"/>
        </w:tabs>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 xml:space="preserve">委托代理人（签字）：                 </w:t>
      </w:r>
      <w:r>
        <w:rPr>
          <w:rFonts w:hint="eastAsia" w:ascii="宋体" w:hAnsi="宋体" w:eastAsia="宋体" w:cs="宋体"/>
          <w:sz w:val="24"/>
          <w:szCs w:val="22"/>
          <w:lang w:val="en-US" w:eastAsia="zh-CN"/>
        </w:rPr>
        <w:t xml:space="preserve"> </w:t>
      </w:r>
      <w:r>
        <w:rPr>
          <w:rFonts w:hint="eastAsia" w:ascii="宋体" w:hAnsi="宋体" w:eastAsia="宋体" w:cs="宋体"/>
          <w:sz w:val="24"/>
          <w:szCs w:val="22"/>
        </w:rPr>
        <w:t>委托代理人（签字）：</w:t>
      </w:r>
    </w:p>
    <w:p>
      <w:pPr>
        <w:keepNext w:val="0"/>
        <w:keepLines w:val="0"/>
        <w:pageBreakBefore w:val="0"/>
        <w:widowControl w:val="0"/>
        <w:tabs>
          <w:tab w:val="left" w:pos="525"/>
          <w:tab w:val="left" w:pos="1155"/>
        </w:tabs>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地  址：                              地  址：</w:t>
      </w:r>
    </w:p>
    <w:p>
      <w:pPr>
        <w:keepNext w:val="0"/>
        <w:keepLines w:val="0"/>
        <w:pageBreakBefore w:val="0"/>
        <w:widowControl w:val="0"/>
        <w:tabs>
          <w:tab w:val="left" w:pos="525"/>
          <w:tab w:val="left" w:pos="1155"/>
        </w:tabs>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电  话：                              电  话：</w:t>
      </w:r>
    </w:p>
    <w:p>
      <w:pPr>
        <w:keepNext w:val="0"/>
        <w:keepLines w:val="0"/>
        <w:pageBreakBefore w:val="0"/>
        <w:widowControl w:val="0"/>
        <w:tabs>
          <w:tab w:val="left" w:pos="525"/>
          <w:tab w:val="left" w:pos="1155"/>
        </w:tabs>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开户名称：</w:t>
      </w:r>
      <w:r>
        <w:rPr>
          <w:rFonts w:hint="eastAsia" w:ascii="宋体" w:hAnsi="宋体" w:eastAsia="宋体" w:cs="宋体"/>
          <w:sz w:val="24"/>
          <w:szCs w:val="22"/>
          <w:lang w:val="en-US" w:eastAsia="zh-CN"/>
        </w:rPr>
        <w:t xml:space="preserve">                            </w:t>
      </w:r>
      <w:r>
        <w:rPr>
          <w:rFonts w:hint="eastAsia" w:ascii="宋体" w:hAnsi="宋体" w:eastAsia="宋体" w:cs="宋体"/>
          <w:sz w:val="24"/>
          <w:szCs w:val="22"/>
        </w:rPr>
        <w:t>开户名称：</w:t>
      </w:r>
    </w:p>
    <w:p>
      <w:pPr>
        <w:keepNext w:val="0"/>
        <w:keepLines w:val="0"/>
        <w:pageBreakBefore w:val="0"/>
        <w:widowControl w:val="0"/>
        <w:tabs>
          <w:tab w:val="left" w:pos="525"/>
          <w:tab w:val="left" w:pos="1155"/>
        </w:tabs>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开 户 行：</w:t>
      </w:r>
      <w:r>
        <w:rPr>
          <w:rFonts w:hint="eastAsia" w:ascii="宋体" w:hAnsi="宋体" w:eastAsia="宋体" w:cs="宋体"/>
          <w:sz w:val="24"/>
          <w:szCs w:val="22"/>
          <w:lang w:val="en-US" w:eastAsia="zh-CN"/>
        </w:rPr>
        <w:t xml:space="preserve">                            </w:t>
      </w:r>
      <w:r>
        <w:rPr>
          <w:rFonts w:hint="eastAsia" w:ascii="宋体" w:hAnsi="宋体" w:eastAsia="宋体" w:cs="宋体"/>
          <w:sz w:val="24"/>
          <w:szCs w:val="22"/>
        </w:rPr>
        <w:t>开 户 行：</w:t>
      </w:r>
    </w:p>
    <w:p>
      <w:pPr>
        <w:keepNext w:val="0"/>
        <w:keepLines w:val="0"/>
        <w:pageBreakBefore w:val="0"/>
        <w:widowControl w:val="0"/>
        <w:tabs>
          <w:tab w:val="left" w:pos="525"/>
          <w:tab w:val="left" w:pos="1155"/>
        </w:tabs>
        <w:kinsoku/>
        <w:wordWrap/>
        <w:overflowPunct/>
        <w:topLinePunct w:val="0"/>
        <w:autoSpaceDE/>
        <w:bidi w:val="0"/>
        <w:spacing w:line="360" w:lineRule="auto"/>
        <w:ind w:left="0" w:leftChars="0" w:firstLine="480" w:firstLineChars="200"/>
        <w:textAlignment w:val="auto"/>
        <w:rPr>
          <w:rFonts w:hint="eastAsia" w:ascii="宋体" w:hAnsi="宋体" w:eastAsia="宋体" w:cs="宋体"/>
          <w:sz w:val="24"/>
          <w:szCs w:val="22"/>
        </w:rPr>
      </w:pPr>
      <w:r>
        <w:rPr>
          <w:rFonts w:hint="eastAsia" w:ascii="宋体" w:hAnsi="宋体" w:eastAsia="宋体" w:cs="宋体"/>
          <w:sz w:val="24"/>
          <w:szCs w:val="22"/>
        </w:rPr>
        <w:t>银行帐号：</w:t>
      </w:r>
      <w:r>
        <w:rPr>
          <w:rFonts w:hint="eastAsia" w:ascii="宋体" w:hAnsi="宋体" w:eastAsia="宋体" w:cs="宋体"/>
          <w:sz w:val="24"/>
          <w:szCs w:val="22"/>
          <w:lang w:val="en-US" w:eastAsia="zh-CN"/>
        </w:rPr>
        <w:t xml:space="preserve">                            </w:t>
      </w:r>
      <w:r>
        <w:rPr>
          <w:rFonts w:hint="eastAsia" w:ascii="宋体" w:hAnsi="宋体" w:eastAsia="宋体" w:cs="宋体"/>
          <w:sz w:val="24"/>
          <w:szCs w:val="22"/>
        </w:rPr>
        <w:t>银行帐号：</w:t>
      </w:r>
    </w:p>
    <w:p>
      <w:pPr>
        <w:keepNext w:val="0"/>
        <w:keepLines w:val="0"/>
        <w:pageBreakBefore w:val="0"/>
        <w:widowControl w:val="0"/>
        <w:kinsoku/>
        <w:wordWrap/>
        <w:overflowPunct/>
        <w:topLinePunct w:val="0"/>
        <w:autoSpaceDE/>
        <w:bidi w:val="0"/>
        <w:spacing w:line="360" w:lineRule="auto"/>
        <w:ind w:left="0" w:leftChars="0" w:firstLine="444" w:firstLineChars="185"/>
        <w:textAlignment w:val="auto"/>
        <w:rPr>
          <w:rFonts w:ascii="宋体"/>
          <w:color w:val="000000"/>
          <w:sz w:val="22"/>
          <w:szCs w:val="22"/>
        </w:rPr>
      </w:pPr>
      <w:r>
        <w:rPr>
          <w:rFonts w:hint="eastAsia" w:ascii="宋体" w:hAnsi="宋体" w:eastAsia="宋体" w:cs="宋体"/>
          <w:sz w:val="24"/>
          <w:szCs w:val="22"/>
        </w:rPr>
        <w:t>日  期：</w:t>
      </w:r>
      <w:r>
        <w:rPr>
          <w:rFonts w:hint="eastAsia" w:ascii="宋体" w:hAnsi="宋体" w:eastAsia="宋体" w:cs="宋体"/>
          <w:sz w:val="24"/>
          <w:szCs w:val="22"/>
          <w:u w:val="single"/>
        </w:rPr>
        <w:t xml:space="preserve">   年 　月　 日</w:t>
      </w:r>
      <w:r>
        <w:rPr>
          <w:rFonts w:hint="eastAsia" w:ascii="宋体" w:hAnsi="宋体" w:eastAsia="宋体" w:cs="宋体"/>
          <w:sz w:val="24"/>
          <w:szCs w:val="22"/>
        </w:rPr>
        <w:t xml:space="preserve">              </w:t>
      </w:r>
      <w:r>
        <w:rPr>
          <w:rFonts w:hint="eastAsia" w:ascii="宋体" w:hAnsi="宋体" w:eastAsia="宋体" w:cs="宋体"/>
          <w:sz w:val="24"/>
          <w:szCs w:val="22"/>
          <w:lang w:val="en-US" w:eastAsia="zh-CN"/>
        </w:rPr>
        <w:t xml:space="preserve">  </w:t>
      </w:r>
      <w:r>
        <w:rPr>
          <w:rFonts w:hint="eastAsia" w:ascii="宋体" w:hAnsi="宋体" w:eastAsia="宋体" w:cs="宋体"/>
          <w:sz w:val="24"/>
          <w:szCs w:val="22"/>
        </w:rPr>
        <w:t>日    期：</w:t>
      </w:r>
      <w:r>
        <w:rPr>
          <w:rFonts w:hint="eastAsia" w:ascii="宋体" w:hAnsi="宋体" w:eastAsia="宋体" w:cs="宋体"/>
          <w:sz w:val="24"/>
          <w:szCs w:val="22"/>
          <w:u w:val="single"/>
        </w:rPr>
        <w:t xml:space="preserve">    年   月   日</w:t>
      </w:r>
    </w:p>
    <w:p>
      <w:pPr>
        <w:keepNext w:val="0"/>
        <w:keepLines w:val="0"/>
        <w:pageBreakBefore w:val="0"/>
        <w:widowControl w:val="0"/>
        <w:kinsoku/>
        <w:wordWrap/>
        <w:overflowPunct/>
        <w:topLinePunct w:val="0"/>
        <w:autoSpaceDE/>
        <w:autoSpaceDN w:val="0"/>
        <w:bidi w:val="0"/>
        <w:adjustRightInd w:val="0"/>
        <w:snapToGrid w:val="0"/>
        <w:spacing w:line="360" w:lineRule="auto"/>
        <w:ind w:left="0" w:leftChars="0" w:firstLine="400" w:firstLineChars="200"/>
        <w:textAlignment w:val="auto"/>
        <w:rPr>
          <w:rFonts w:cs="宋体" w:asciiTheme="majorEastAsia" w:hAnsiTheme="majorEastAsia" w:eastAsiaTheme="majorEastAsia"/>
          <w:sz w:val="20"/>
          <w:szCs w:val="20"/>
        </w:rPr>
      </w:pPr>
    </w:p>
    <w:p>
      <w:pPr>
        <w:autoSpaceDN w:val="0"/>
        <w:adjustRightInd w:val="0"/>
        <w:snapToGrid w:val="0"/>
        <w:spacing w:line="360" w:lineRule="auto"/>
        <w:ind w:firstLine="420" w:firstLineChars="200"/>
        <w:rPr>
          <w:rFonts w:cs="宋体" w:asciiTheme="majorEastAsia" w:hAnsiTheme="majorEastAsia" w:eastAsiaTheme="majorEastAsia"/>
          <w:szCs w:val="21"/>
        </w:rPr>
      </w:pPr>
      <w:bookmarkStart w:id="94" w:name="_Toc310580633"/>
    </w:p>
    <w:p>
      <w:pPr>
        <w:autoSpaceDN w:val="0"/>
        <w:adjustRightInd w:val="0"/>
        <w:snapToGrid w:val="0"/>
        <w:spacing w:line="360" w:lineRule="auto"/>
        <w:ind w:firstLine="420" w:firstLineChars="200"/>
        <w:rPr>
          <w:rFonts w:cs="宋体" w:asciiTheme="majorEastAsia" w:hAnsiTheme="majorEastAsia" w:eastAsiaTheme="majorEastAsia"/>
          <w:szCs w:val="21"/>
        </w:rPr>
      </w:pPr>
    </w:p>
    <w:p>
      <w:pPr>
        <w:autoSpaceDN w:val="0"/>
        <w:adjustRightInd w:val="0"/>
        <w:snapToGrid w:val="0"/>
        <w:spacing w:line="360" w:lineRule="auto"/>
        <w:ind w:firstLine="420" w:firstLineChars="200"/>
        <w:rPr>
          <w:rFonts w:cs="宋体" w:asciiTheme="majorEastAsia" w:hAnsiTheme="majorEastAsia" w:eastAsiaTheme="majorEastAsia"/>
          <w:szCs w:val="21"/>
        </w:rPr>
      </w:pPr>
    </w:p>
    <w:bookmarkEnd w:id="94"/>
    <w:p>
      <w:pPr>
        <w:autoSpaceDN w:val="0"/>
        <w:adjustRightInd w:val="0"/>
        <w:snapToGrid w:val="0"/>
        <w:spacing w:line="360" w:lineRule="auto"/>
        <w:rPr>
          <w:rFonts w:asciiTheme="majorEastAsia" w:hAnsiTheme="majorEastAsia" w:eastAsiaTheme="majorEastAsia"/>
          <w:sz w:val="32"/>
          <w:szCs w:val="32"/>
        </w:rPr>
      </w:pPr>
    </w:p>
    <w:p>
      <w:pPr>
        <w:pStyle w:val="39"/>
        <w:widowControl w:val="0"/>
        <w:numPr>
          <w:ilvl w:val="0"/>
          <w:numId w:val="0"/>
        </w:numPr>
        <w:spacing w:line="360" w:lineRule="auto"/>
        <w:jc w:val="both"/>
        <w:rPr>
          <w:rFonts w:asciiTheme="majorEastAsia" w:hAnsiTheme="majorEastAsia" w:eastAsiaTheme="majorEastAsia"/>
          <w:sz w:val="32"/>
          <w:szCs w:val="32"/>
        </w:rPr>
      </w:pPr>
    </w:p>
    <w:p>
      <w:pPr>
        <w:pStyle w:val="39"/>
        <w:widowControl w:val="0"/>
        <w:numPr>
          <w:ilvl w:val="0"/>
          <w:numId w:val="0"/>
        </w:numPr>
        <w:spacing w:line="360" w:lineRule="auto"/>
        <w:jc w:val="both"/>
        <w:rPr>
          <w:rFonts w:asciiTheme="majorEastAsia" w:hAnsiTheme="majorEastAsia" w:eastAsiaTheme="majorEastAsia"/>
          <w:sz w:val="32"/>
          <w:szCs w:val="32"/>
        </w:rPr>
      </w:pPr>
    </w:p>
    <w:p>
      <w:pPr>
        <w:pStyle w:val="39"/>
        <w:widowControl w:val="0"/>
        <w:numPr>
          <w:ilvl w:val="0"/>
          <w:numId w:val="0"/>
        </w:numPr>
        <w:spacing w:line="360" w:lineRule="auto"/>
        <w:jc w:val="both"/>
        <w:rPr>
          <w:rFonts w:asciiTheme="majorEastAsia" w:hAnsiTheme="majorEastAsia" w:eastAsiaTheme="majorEastAsia"/>
          <w:sz w:val="32"/>
          <w:szCs w:val="32"/>
        </w:rPr>
      </w:pPr>
    </w:p>
    <w:p>
      <w:pPr>
        <w:pStyle w:val="39"/>
        <w:widowControl w:val="0"/>
        <w:numPr>
          <w:ilvl w:val="0"/>
          <w:numId w:val="0"/>
        </w:numPr>
        <w:spacing w:line="360" w:lineRule="auto"/>
        <w:jc w:val="both"/>
        <w:rPr>
          <w:rFonts w:asciiTheme="majorEastAsia" w:hAnsiTheme="majorEastAsia" w:eastAsiaTheme="majorEastAsia"/>
          <w:sz w:val="32"/>
          <w:szCs w:val="32"/>
        </w:rPr>
      </w:pPr>
    </w:p>
    <w:p>
      <w:pPr>
        <w:pStyle w:val="39"/>
        <w:widowControl w:val="0"/>
        <w:numPr>
          <w:ilvl w:val="0"/>
          <w:numId w:val="0"/>
        </w:numPr>
        <w:spacing w:line="360" w:lineRule="auto"/>
        <w:jc w:val="both"/>
        <w:rPr>
          <w:rFonts w:asciiTheme="majorEastAsia" w:hAnsiTheme="majorEastAsia" w:eastAsiaTheme="majorEastAsia"/>
          <w:sz w:val="32"/>
          <w:szCs w:val="32"/>
        </w:rPr>
      </w:pPr>
    </w:p>
    <w:p>
      <w:pPr>
        <w:autoSpaceDN w:val="0"/>
        <w:adjustRightInd w:val="0"/>
        <w:snapToGrid w:val="0"/>
        <w:spacing w:line="360" w:lineRule="auto"/>
        <w:rPr>
          <w:rFonts w:asciiTheme="majorEastAsia" w:hAnsiTheme="majorEastAsia" w:eastAsiaTheme="majorEastAsia"/>
          <w:sz w:val="32"/>
          <w:szCs w:val="32"/>
        </w:rPr>
      </w:pPr>
    </w:p>
    <w:p>
      <w:pPr>
        <w:pStyle w:val="39"/>
        <w:numPr>
          <w:ilvl w:val="0"/>
          <w:numId w:val="0"/>
        </w:numPr>
        <w:rPr>
          <w:rFonts w:asciiTheme="majorEastAsia" w:hAnsiTheme="majorEastAsia" w:eastAsiaTheme="majorEastAsia"/>
          <w:sz w:val="32"/>
          <w:szCs w:val="32"/>
        </w:rPr>
      </w:pPr>
    </w:p>
    <w:p>
      <w:pPr>
        <w:pStyle w:val="39"/>
        <w:numPr>
          <w:ilvl w:val="0"/>
          <w:numId w:val="0"/>
        </w:numPr>
        <w:rPr>
          <w:rFonts w:asciiTheme="majorEastAsia" w:hAnsiTheme="majorEastAsia" w:eastAsiaTheme="majorEastAsia"/>
          <w:sz w:val="32"/>
          <w:szCs w:val="32"/>
        </w:rPr>
      </w:pPr>
    </w:p>
    <w:p>
      <w:pPr>
        <w:pStyle w:val="39"/>
        <w:numPr>
          <w:ilvl w:val="0"/>
          <w:numId w:val="0"/>
        </w:numPr>
        <w:rPr>
          <w:rFonts w:asciiTheme="majorEastAsia" w:hAnsiTheme="majorEastAsia" w:eastAsiaTheme="majorEastAsia"/>
          <w:sz w:val="32"/>
          <w:szCs w:val="32"/>
        </w:rPr>
      </w:pPr>
    </w:p>
    <w:p>
      <w:pPr>
        <w:pStyle w:val="39"/>
        <w:numPr>
          <w:ilvl w:val="0"/>
          <w:numId w:val="0"/>
        </w:numPr>
        <w:rPr>
          <w:rFonts w:asciiTheme="majorEastAsia" w:hAnsiTheme="majorEastAsia" w:eastAsiaTheme="majorEastAsia"/>
          <w:sz w:val="32"/>
          <w:szCs w:val="32"/>
        </w:rPr>
      </w:pPr>
    </w:p>
    <w:p>
      <w:pPr>
        <w:pStyle w:val="39"/>
        <w:numPr>
          <w:ilvl w:val="0"/>
          <w:numId w:val="0"/>
        </w:numPr>
        <w:rPr>
          <w:rFonts w:asciiTheme="majorEastAsia" w:hAnsiTheme="majorEastAsia" w:eastAsiaTheme="majorEastAsia"/>
          <w:sz w:val="32"/>
          <w:szCs w:val="32"/>
        </w:rPr>
      </w:pPr>
    </w:p>
    <w:p>
      <w:pPr>
        <w:autoSpaceDN w:val="0"/>
        <w:adjustRightInd w:val="0"/>
        <w:snapToGrid w:val="0"/>
        <w:spacing w:line="360" w:lineRule="auto"/>
        <w:jc w:val="center"/>
        <w:outlineLvl w:val="0"/>
        <w:rPr>
          <w:rFonts w:cs="宋体" w:asciiTheme="majorEastAsia" w:hAnsiTheme="majorEastAsia" w:eastAsiaTheme="majorEastAsia"/>
          <w:szCs w:val="21"/>
        </w:rPr>
      </w:pPr>
      <w:bookmarkStart w:id="95" w:name="_Toc9933"/>
      <w:r>
        <w:rPr>
          <w:rFonts w:hint="eastAsia" w:cs="宋体" w:asciiTheme="majorEastAsia" w:hAnsiTheme="majorEastAsia" w:eastAsiaTheme="majorEastAsia"/>
          <w:b/>
          <w:bCs/>
          <w:kern w:val="44"/>
          <w:sz w:val="44"/>
          <w:szCs w:val="44"/>
        </w:rPr>
        <w:t xml:space="preserve">第六部分  </w:t>
      </w:r>
      <w:bookmarkEnd w:id="93"/>
      <w:r>
        <w:rPr>
          <w:rFonts w:hint="eastAsia" w:cs="宋体" w:asciiTheme="majorEastAsia" w:hAnsiTheme="majorEastAsia" w:eastAsiaTheme="majorEastAsia"/>
          <w:b/>
          <w:bCs/>
          <w:kern w:val="44"/>
          <w:sz w:val="44"/>
          <w:szCs w:val="44"/>
        </w:rPr>
        <w:t>投标文件格式</w:t>
      </w:r>
      <w:bookmarkEnd w:id="95"/>
    </w:p>
    <w:p>
      <w:pPr>
        <w:autoSpaceDN w:val="0"/>
        <w:adjustRightInd w:val="0"/>
        <w:snapToGrid w:val="0"/>
        <w:spacing w:line="360" w:lineRule="auto"/>
        <w:rPr>
          <w:rFonts w:cs="宋体" w:asciiTheme="majorEastAsia" w:hAnsiTheme="majorEastAsia" w:eastAsiaTheme="majorEastAsia"/>
          <w:szCs w:val="21"/>
        </w:rPr>
      </w:pPr>
      <w:bookmarkStart w:id="96" w:name="_Toc152042575"/>
      <w:bookmarkStart w:id="97" w:name="_Toc179632806"/>
      <w:bookmarkStart w:id="98" w:name="_Toc247085872"/>
      <w:bookmarkStart w:id="99" w:name="_Toc152045786"/>
      <w:bookmarkStart w:id="100" w:name="_Toc246997097"/>
      <w:bookmarkStart w:id="101" w:name="_Toc144974855"/>
      <w:bookmarkStart w:id="102" w:name="_Toc246996354"/>
    </w:p>
    <w:p>
      <w:pPr>
        <w:autoSpaceDN w:val="0"/>
        <w:adjustRightInd w:val="0"/>
        <w:snapToGrid w:val="0"/>
        <w:spacing w:line="360" w:lineRule="auto"/>
        <w:rPr>
          <w:rFonts w:cs="宋体" w:asciiTheme="majorEastAsia" w:hAnsiTheme="majorEastAsia" w:eastAsiaTheme="majorEastAsia"/>
          <w:sz w:val="24"/>
        </w:rPr>
      </w:pPr>
    </w:p>
    <w:p>
      <w:pPr>
        <w:spacing w:line="300" w:lineRule="auto"/>
        <w:jc w:val="center"/>
        <w:rPr>
          <w:rFonts w:ascii="宋体" w:hAnsi="宋体"/>
          <w:sz w:val="20"/>
          <w:szCs w:val="20"/>
        </w:rPr>
      </w:pPr>
      <w:r>
        <w:rPr>
          <w:rFonts w:hint="eastAsia" w:ascii="宋体" w:hAnsi="宋体"/>
          <w:sz w:val="28"/>
          <w:szCs w:val="28"/>
          <w:u w:val="single"/>
        </w:rPr>
        <w:t xml:space="preserve">                </w:t>
      </w:r>
      <w:r>
        <w:rPr>
          <w:rFonts w:ascii="宋体" w:hAnsi="宋体"/>
          <w:sz w:val="28"/>
          <w:szCs w:val="28"/>
        </w:rPr>
        <w:t>（项目名称）</w:t>
      </w:r>
    </w:p>
    <w:p>
      <w:pPr>
        <w:spacing w:line="300" w:lineRule="auto"/>
        <w:rPr>
          <w:rFonts w:ascii="宋体" w:hAnsi="宋体"/>
          <w:sz w:val="20"/>
          <w:szCs w:val="20"/>
        </w:rPr>
      </w:pPr>
    </w:p>
    <w:p>
      <w:pPr>
        <w:spacing w:line="300" w:lineRule="auto"/>
        <w:rPr>
          <w:rFonts w:ascii="宋体" w:hAnsi="宋体"/>
          <w:sz w:val="20"/>
          <w:szCs w:val="20"/>
        </w:rPr>
      </w:pPr>
    </w:p>
    <w:p>
      <w:pPr>
        <w:spacing w:line="300" w:lineRule="auto"/>
        <w:jc w:val="center"/>
        <w:rPr>
          <w:rFonts w:ascii="宋体" w:hAnsi="宋体"/>
          <w:sz w:val="48"/>
          <w:szCs w:val="48"/>
        </w:rPr>
      </w:pPr>
      <w:r>
        <w:rPr>
          <w:rFonts w:ascii="宋体" w:hAnsi="宋体"/>
          <w:sz w:val="48"/>
          <w:szCs w:val="48"/>
        </w:rPr>
        <w:t>投  标  文  件</w:t>
      </w:r>
    </w:p>
    <w:p>
      <w:pPr>
        <w:spacing w:line="300" w:lineRule="auto"/>
        <w:rPr>
          <w:rFonts w:ascii="宋体" w:hAnsi="宋体"/>
          <w:sz w:val="28"/>
          <w:szCs w:val="28"/>
        </w:rPr>
      </w:pPr>
    </w:p>
    <w:p>
      <w:pPr>
        <w:spacing w:line="300" w:lineRule="auto"/>
        <w:rPr>
          <w:rFonts w:ascii="宋体" w:hAnsi="宋体"/>
          <w:sz w:val="28"/>
          <w:szCs w:val="28"/>
        </w:rPr>
      </w:pPr>
    </w:p>
    <w:p>
      <w:pPr>
        <w:jc w:val="center"/>
        <w:rPr>
          <w:rFonts w:ascii="宋体" w:hAnsi="宋体"/>
          <w:sz w:val="28"/>
          <w:szCs w:val="28"/>
        </w:rPr>
      </w:pPr>
      <w:r>
        <w:rPr>
          <w:rFonts w:hint="eastAsia" w:ascii="宋体" w:hAnsi="宋体"/>
          <w:sz w:val="28"/>
          <w:szCs w:val="28"/>
        </w:rPr>
        <w:t>（正/副本）</w:t>
      </w:r>
    </w:p>
    <w:p>
      <w:pPr>
        <w:jc w:val="center"/>
        <w:rPr>
          <w:rFonts w:ascii="宋体" w:hAnsi="宋体"/>
          <w:sz w:val="28"/>
          <w:szCs w:val="28"/>
        </w:rPr>
      </w:pPr>
      <w:r>
        <w:rPr>
          <w:rFonts w:hint="eastAsia" w:ascii="宋体" w:hAnsi="宋体"/>
          <w:sz w:val="28"/>
          <w:szCs w:val="28"/>
        </w:rPr>
        <w:t>招标项目编号：</w:t>
      </w:r>
    </w:p>
    <w:p>
      <w:pPr>
        <w:spacing w:line="300" w:lineRule="auto"/>
        <w:rPr>
          <w:rFonts w:ascii="宋体" w:hAnsi="宋体"/>
          <w:sz w:val="28"/>
          <w:szCs w:val="28"/>
        </w:rPr>
      </w:pPr>
    </w:p>
    <w:p>
      <w:pPr>
        <w:spacing w:line="300" w:lineRule="auto"/>
        <w:rPr>
          <w:rFonts w:ascii="宋体" w:hAnsi="宋体"/>
          <w:sz w:val="28"/>
          <w:szCs w:val="28"/>
        </w:rPr>
      </w:pPr>
    </w:p>
    <w:p>
      <w:pPr>
        <w:spacing w:line="300" w:lineRule="auto"/>
        <w:rPr>
          <w:rFonts w:ascii="宋体" w:hAnsi="宋体"/>
          <w:sz w:val="28"/>
          <w:szCs w:val="28"/>
        </w:rPr>
      </w:pPr>
    </w:p>
    <w:p>
      <w:pPr>
        <w:pStyle w:val="39"/>
        <w:numPr>
          <w:ilvl w:val="0"/>
          <w:numId w:val="0"/>
        </w:numPr>
        <w:rPr>
          <w:rFonts w:ascii="宋体" w:hAnsi="宋体"/>
          <w:sz w:val="28"/>
          <w:szCs w:val="28"/>
        </w:rPr>
      </w:pPr>
    </w:p>
    <w:p>
      <w:pPr>
        <w:pStyle w:val="39"/>
        <w:numPr>
          <w:ilvl w:val="0"/>
          <w:numId w:val="0"/>
        </w:numPr>
        <w:rPr>
          <w:rFonts w:ascii="宋体" w:hAnsi="宋体"/>
          <w:sz w:val="28"/>
          <w:szCs w:val="28"/>
        </w:rPr>
      </w:pPr>
    </w:p>
    <w:p>
      <w:pPr>
        <w:pStyle w:val="39"/>
        <w:numPr>
          <w:ilvl w:val="0"/>
          <w:numId w:val="0"/>
        </w:numPr>
        <w:rPr>
          <w:rFonts w:ascii="宋体" w:hAnsi="宋体"/>
          <w:sz w:val="28"/>
          <w:szCs w:val="28"/>
        </w:rPr>
      </w:pPr>
    </w:p>
    <w:p>
      <w:pPr>
        <w:pStyle w:val="39"/>
        <w:numPr>
          <w:ilvl w:val="0"/>
          <w:numId w:val="0"/>
        </w:numPr>
        <w:rPr>
          <w:rFonts w:ascii="宋体" w:hAnsi="宋体"/>
          <w:sz w:val="28"/>
          <w:szCs w:val="28"/>
        </w:rPr>
      </w:pPr>
    </w:p>
    <w:p>
      <w:pPr>
        <w:pStyle w:val="39"/>
        <w:numPr>
          <w:ilvl w:val="0"/>
          <w:numId w:val="0"/>
        </w:numPr>
        <w:rPr>
          <w:rFonts w:ascii="宋体" w:hAnsi="宋体"/>
          <w:sz w:val="28"/>
          <w:szCs w:val="28"/>
        </w:rPr>
      </w:pPr>
    </w:p>
    <w:p>
      <w:pPr>
        <w:pStyle w:val="39"/>
        <w:numPr>
          <w:ilvl w:val="0"/>
          <w:numId w:val="0"/>
        </w:numPr>
        <w:rPr>
          <w:rFonts w:ascii="宋体" w:hAnsi="宋体"/>
          <w:sz w:val="28"/>
          <w:szCs w:val="28"/>
        </w:rPr>
      </w:pPr>
    </w:p>
    <w:p>
      <w:pPr>
        <w:spacing w:line="300" w:lineRule="auto"/>
        <w:rPr>
          <w:rFonts w:ascii="宋体" w:hAnsi="宋体"/>
          <w:sz w:val="28"/>
          <w:szCs w:val="28"/>
        </w:rPr>
      </w:pPr>
    </w:p>
    <w:p>
      <w:pPr>
        <w:spacing w:line="300" w:lineRule="auto"/>
        <w:rPr>
          <w:rFonts w:ascii="宋体" w:hAnsi="宋体"/>
          <w:sz w:val="28"/>
          <w:szCs w:val="28"/>
        </w:rPr>
      </w:pPr>
    </w:p>
    <w:p>
      <w:pPr>
        <w:spacing w:line="300" w:lineRule="auto"/>
        <w:rPr>
          <w:rFonts w:ascii="宋体" w:hAnsi="宋体"/>
          <w:sz w:val="28"/>
          <w:szCs w:val="28"/>
        </w:rPr>
      </w:pPr>
    </w:p>
    <w:p>
      <w:pPr>
        <w:spacing w:line="300" w:lineRule="auto"/>
        <w:rPr>
          <w:rFonts w:ascii="宋体" w:hAnsi="宋体"/>
          <w:sz w:val="28"/>
          <w:szCs w:val="28"/>
        </w:rPr>
      </w:pPr>
    </w:p>
    <w:p>
      <w:pPr>
        <w:spacing w:line="300" w:lineRule="auto"/>
        <w:jc w:val="center"/>
        <w:rPr>
          <w:rFonts w:ascii="宋体" w:hAnsi="宋体"/>
          <w:sz w:val="28"/>
          <w:szCs w:val="28"/>
          <w:u w:val="single"/>
        </w:rPr>
      </w:pPr>
      <w:r>
        <w:rPr>
          <w:rFonts w:hint="eastAsia" w:ascii="宋体" w:hAnsi="宋体"/>
          <w:sz w:val="28"/>
          <w:szCs w:val="28"/>
          <w:lang w:eastAsia="zh-CN"/>
        </w:rPr>
        <w:t>供应商</w:t>
      </w:r>
      <w:r>
        <w:rPr>
          <w:rFonts w:ascii="宋体" w:hAnsi="宋体"/>
          <w:sz w:val="28"/>
          <w:szCs w:val="28"/>
        </w:rPr>
        <w:t>：</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（盖单位章）</w:t>
      </w:r>
    </w:p>
    <w:p>
      <w:pPr>
        <w:spacing w:line="300" w:lineRule="auto"/>
        <w:jc w:val="center"/>
        <w:rPr>
          <w:rFonts w:ascii="宋体" w:hAnsi="宋体"/>
          <w:sz w:val="28"/>
          <w:szCs w:val="28"/>
        </w:rPr>
      </w:pPr>
      <w:r>
        <w:rPr>
          <w:rFonts w:ascii="宋体" w:hAnsi="宋体"/>
          <w:sz w:val="28"/>
          <w:szCs w:val="28"/>
        </w:rPr>
        <w:t>法定代表人或其委托代理人：</w:t>
      </w:r>
      <w:r>
        <w:rPr>
          <w:rFonts w:ascii="宋体" w:hAnsi="宋体"/>
          <w:sz w:val="28"/>
          <w:szCs w:val="28"/>
          <w:u w:val="single"/>
        </w:rPr>
        <w:t xml:space="preserve">                </w:t>
      </w:r>
      <w:r>
        <w:rPr>
          <w:rFonts w:ascii="宋体" w:hAnsi="宋体"/>
          <w:sz w:val="28"/>
          <w:szCs w:val="28"/>
        </w:rPr>
        <w:t>（签字</w:t>
      </w:r>
      <w:r>
        <w:rPr>
          <w:rFonts w:hint="eastAsia" w:ascii="宋体" w:hAnsi="宋体"/>
          <w:sz w:val="28"/>
          <w:szCs w:val="28"/>
        </w:rPr>
        <w:t>或盖章</w:t>
      </w:r>
      <w:r>
        <w:rPr>
          <w:rFonts w:ascii="宋体" w:hAnsi="宋体"/>
          <w:sz w:val="28"/>
          <w:szCs w:val="28"/>
        </w:rPr>
        <w:t>）</w:t>
      </w:r>
    </w:p>
    <w:p>
      <w:pPr>
        <w:spacing w:line="300" w:lineRule="auto"/>
        <w:jc w:val="center"/>
        <w:rPr>
          <w:rFonts w:ascii="宋体" w:hAnsi="宋体"/>
          <w:sz w:val="28"/>
          <w:szCs w:val="28"/>
        </w:rPr>
      </w:pP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pPr>
        <w:spacing w:line="300" w:lineRule="auto"/>
        <w:jc w:val="center"/>
        <w:rPr>
          <w:rFonts w:ascii="宋体" w:hAnsi="宋体"/>
        </w:rPr>
      </w:pPr>
      <w:r>
        <w:rPr>
          <w:rFonts w:ascii="宋体" w:hAnsi="宋体"/>
          <w:sz w:val="20"/>
          <w:szCs w:val="20"/>
        </w:rPr>
        <w:br w:type="page"/>
      </w:r>
      <w:bookmarkStart w:id="103" w:name="_Toc350070692"/>
      <w:bookmarkStart w:id="104" w:name="_Toc351644310"/>
    </w:p>
    <w:p>
      <w:pPr>
        <w:pStyle w:val="3"/>
        <w:spacing w:before="0" w:after="0" w:line="300" w:lineRule="auto"/>
        <w:jc w:val="center"/>
        <w:rPr>
          <w:rFonts w:ascii="宋体" w:hAnsi="宋体" w:eastAsia="宋体"/>
        </w:rPr>
      </w:pPr>
      <w:bookmarkStart w:id="105" w:name="_Toc409424342"/>
      <w:bookmarkStart w:id="106" w:name="_Toc409424403"/>
      <w:bookmarkStart w:id="107" w:name="_Toc468267480"/>
      <w:r>
        <w:rPr>
          <w:rFonts w:hint="eastAsia" w:ascii="宋体" w:hAnsi="宋体" w:eastAsia="宋体"/>
        </w:rPr>
        <w:t>目    录</w:t>
      </w:r>
      <w:bookmarkEnd w:id="103"/>
      <w:bookmarkEnd w:id="104"/>
      <w:bookmarkEnd w:id="105"/>
      <w:bookmarkEnd w:id="106"/>
      <w:bookmarkEnd w:id="107"/>
    </w:p>
    <w:p>
      <w:pPr>
        <w:spacing w:line="300" w:lineRule="auto"/>
        <w:rPr>
          <w:rFonts w:ascii="宋体" w:hAnsi="宋体"/>
        </w:rPr>
      </w:pPr>
    </w:p>
    <w:p>
      <w:pPr>
        <w:snapToGrid w:val="0"/>
        <w:spacing w:line="360" w:lineRule="auto"/>
        <w:rPr>
          <w:rFonts w:ascii="宋体" w:hAnsi="宋体"/>
          <w:szCs w:val="21"/>
        </w:rPr>
      </w:pPr>
      <w:r>
        <w:rPr>
          <w:rFonts w:hint="eastAsia" w:ascii="宋体" w:hAnsi="宋体"/>
          <w:szCs w:val="21"/>
        </w:rPr>
        <w:t>格式自拟</w:t>
      </w:r>
    </w:p>
    <w:p>
      <w:pPr>
        <w:spacing w:line="360" w:lineRule="auto"/>
        <w:rPr>
          <w:rFonts w:ascii="宋体" w:hAnsi="宋体"/>
          <w:sz w:val="20"/>
          <w:szCs w:val="20"/>
        </w:rPr>
      </w:pPr>
      <w:r>
        <w:rPr>
          <w:rFonts w:ascii="宋体" w:hAnsi="宋体"/>
        </w:rPr>
        <w:br w:type="page"/>
      </w:r>
    </w:p>
    <w:p>
      <w:pPr>
        <w:pStyle w:val="3"/>
        <w:spacing w:before="0" w:after="0" w:line="300" w:lineRule="auto"/>
        <w:jc w:val="center"/>
        <w:rPr>
          <w:rFonts w:ascii="宋体" w:hAnsi="宋体" w:eastAsia="宋体"/>
        </w:rPr>
      </w:pPr>
      <w:bookmarkStart w:id="108" w:name="_Toc351644311"/>
      <w:bookmarkStart w:id="109" w:name="_Toc468267481"/>
      <w:bookmarkStart w:id="110" w:name="_Toc409424404"/>
      <w:bookmarkStart w:id="111" w:name="_Toc409424343"/>
      <w:bookmarkStart w:id="112" w:name="_Toc350070693"/>
      <w:r>
        <w:rPr>
          <w:rFonts w:ascii="宋体" w:hAnsi="宋体" w:eastAsia="宋体"/>
        </w:rPr>
        <w:t>一、投标函及投标函附录</w:t>
      </w:r>
      <w:bookmarkEnd w:id="108"/>
      <w:bookmarkEnd w:id="109"/>
      <w:bookmarkEnd w:id="110"/>
      <w:bookmarkEnd w:id="111"/>
      <w:bookmarkEnd w:id="112"/>
    </w:p>
    <w:p>
      <w:pPr>
        <w:pStyle w:val="4"/>
        <w:spacing w:before="0" w:after="0" w:line="300" w:lineRule="auto"/>
        <w:jc w:val="center"/>
        <w:rPr>
          <w:rFonts w:ascii="宋体" w:hAnsi="宋体"/>
        </w:rPr>
      </w:pPr>
      <w:bookmarkStart w:id="113" w:name="_Toc468267482"/>
      <w:bookmarkStart w:id="114" w:name="_Toc409424344"/>
      <w:bookmarkStart w:id="115" w:name="_Toc409424405"/>
      <w:bookmarkStart w:id="116" w:name="_Toc351644312"/>
      <w:bookmarkStart w:id="117" w:name="_Toc350070694"/>
      <w:r>
        <w:rPr>
          <w:rFonts w:ascii="宋体" w:hAnsi="宋体"/>
        </w:rPr>
        <w:t>（一）投标函</w:t>
      </w:r>
      <w:bookmarkEnd w:id="113"/>
      <w:bookmarkEnd w:id="114"/>
      <w:bookmarkEnd w:id="115"/>
      <w:bookmarkEnd w:id="116"/>
      <w:bookmarkEnd w:id="117"/>
    </w:p>
    <w:p>
      <w:pPr>
        <w:spacing w:line="300" w:lineRule="auto"/>
        <w:rPr>
          <w:rFonts w:ascii="宋体" w:hAnsi="宋体"/>
          <w:szCs w:val="21"/>
        </w:rPr>
      </w:pPr>
      <w:r>
        <w:rPr>
          <w:rFonts w:ascii="宋体" w:hAnsi="宋体"/>
          <w:szCs w:val="21"/>
          <w:u w:val="single"/>
        </w:rPr>
        <w:t xml:space="preserve">                        </w:t>
      </w:r>
      <w:r>
        <w:rPr>
          <w:rFonts w:ascii="宋体" w:hAnsi="宋体"/>
          <w:szCs w:val="21"/>
        </w:rPr>
        <w:t>（采购人名称）：</w:t>
      </w:r>
    </w:p>
    <w:p>
      <w:pPr>
        <w:spacing w:line="300" w:lineRule="auto"/>
        <w:rPr>
          <w:rFonts w:ascii="宋体" w:hAnsi="宋体"/>
          <w:szCs w:val="21"/>
        </w:rPr>
      </w:pPr>
    </w:p>
    <w:p>
      <w:pPr>
        <w:spacing w:line="300" w:lineRule="auto"/>
        <w:ind w:firstLine="420" w:firstLineChars="200"/>
        <w:rPr>
          <w:rFonts w:ascii="宋体" w:hAnsi="宋体"/>
          <w:szCs w:val="21"/>
        </w:rPr>
      </w:pPr>
      <w:r>
        <w:rPr>
          <w:rFonts w:ascii="宋体" w:hAnsi="宋体"/>
          <w:szCs w:val="21"/>
        </w:rPr>
        <w:t>1．我方已仔细研究了</w:t>
      </w:r>
      <w:r>
        <w:rPr>
          <w:rFonts w:ascii="宋体" w:hAnsi="宋体"/>
          <w:szCs w:val="21"/>
          <w:u w:val="single"/>
        </w:rPr>
        <w:t xml:space="preserve">    </w:t>
      </w:r>
      <w:r>
        <w:rPr>
          <w:rFonts w:hint="eastAsia" w:ascii="宋体" w:hAnsi="宋体"/>
          <w:szCs w:val="21"/>
          <w:u w:val="single"/>
        </w:rPr>
        <w:t xml:space="preserve">    项目  </w:t>
      </w:r>
      <w:r>
        <w:rPr>
          <w:rFonts w:ascii="宋体" w:hAnsi="宋体"/>
          <w:szCs w:val="21"/>
          <w:u w:val="single"/>
        </w:rPr>
        <w:t xml:space="preserve">     </w:t>
      </w:r>
      <w:r>
        <w:rPr>
          <w:rFonts w:ascii="宋体" w:hAnsi="宋体"/>
          <w:szCs w:val="21"/>
        </w:rPr>
        <w:t>招标文件的全部内容，愿意以人民币（大写）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hint="eastAsia" w:ascii="宋体" w:hAnsi="宋体"/>
          <w:szCs w:val="21"/>
          <w:u w:val="single"/>
        </w:rPr>
        <w:t>元</w:t>
      </w:r>
      <w:r>
        <w:rPr>
          <w:rFonts w:ascii="宋体" w:hAnsi="宋体"/>
          <w:szCs w:val="21"/>
        </w:rPr>
        <w:t>）的</w:t>
      </w:r>
      <w:r>
        <w:rPr>
          <w:rFonts w:hint="eastAsia" w:ascii="宋体" w:hAnsi="宋体"/>
          <w:szCs w:val="21"/>
        </w:rPr>
        <w:t>价格</w:t>
      </w:r>
      <w:r>
        <w:rPr>
          <w:rFonts w:ascii="宋体" w:hAnsi="宋体"/>
          <w:szCs w:val="21"/>
        </w:rPr>
        <w:t>投标，</w:t>
      </w:r>
      <w:r>
        <w:rPr>
          <w:rFonts w:hint="eastAsia" w:ascii="宋体" w:hAnsi="宋体"/>
          <w:szCs w:val="21"/>
        </w:rPr>
        <w:t>供货期</w:t>
      </w:r>
      <w:r>
        <w:rPr>
          <w:rFonts w:hint="eastAsia" w:ascii="宋体" w:hAnsi="宋体"/>
          <w:szCs w:val="21"/>
          <w:u w:val="single"/>
        </w:rPr>
        <w:t xml:space="preserve">          </w:t>
      </w:r>
      <w:r>
        <w:rPr>
          <w:rFonts w:hint="eastAsia" w:ascii="宋体" w:hAnsi="宋体"/>
          <w:szCs w:val="21"/>
        </w:rPr>
        <w:t>，</w:t>
      </w:r>
      <w:r>
        <w:rPr>
          <w:rFonts w:ascii="宋体" w:hAnsi="宋体"/>
          <w:szCs w:val="21"/>
        </w:rPr>
        <w:t>按合同约定实施和完成承包</w:t>
      </w:r>
      <w:r>
        <w:rPr>
          <w:rFonts w:hint="eastAsia" w:ascii="宋体" w:hAnsi="宋体"/>
          <w:szCs w:val="21"/>
        </w:rPr>
        <w:t>项目</w:t>
      </w:r>
      <w:r>
        <w:rPr>
          <w:rFonts w:ascii="宋体" w:hAnsi="宋体"/>
          <w:szCs w:val="21"/>
        </w:rPr>
        <w:t>，质量达到</w:t>
      </w:r>
      <w:r>
        <w:rPr>
          <w:rFonts w:ascii="宋体" w:hAnsi="宋体"/>
          <w:szCs w:val="21"/>
          <w:u w:val="single"/>
        </w:rPr>
        <w:t xml:space="preserve">           </w:t>
      </w:r>
      <w:r>
        <w:rPr>
          <w:rFonts w:hint="eastAsia" w:ascii="宋体" w:hAnsi="宋体"/>
          <w:szCs w:val="21"/>
        </w:rPr>
        <w:t>，质保期：</w:t>
      </w:r>
      <w:r>
        <w:rPr>
          <w:rFonts w:hint="eastAsia" w:ascii="宋体" w:hAnsi="宋体"/>
          <w:szCs w:val="21"/>
          <w:u w:val="single"/>
        </w:rPr>
        <w:t xml:space="preserve">        </w:t>
      </w:r>
      <w:r>
        <w:rPr>
          <w:rFonts w:ascii="宋体" w:hAnsi="宋体"/>
          <w:szCs w:val="21"/>
        </w:rPr>
        <w:t>。</w:t>
      </w:r>
    </w:p>
    <w:p>
      <w:pPr>
        <w:spacing w:line="300" w:lineRule="auto"/>
        <w:ind w:firstLine="420" w:firstLineChars="200"/>
        <w:rPr>
          <w:rFonts w:ascii="宋体" w:hAnsi="宋体"/>
          <w:szCs w:val="21"/>
        </w:rPr>
      </w:pPr>
      <w:r>
        <w:rPr>
          <w:rFonts w:ascii="宋体" w:hAnsi="宋体"/>
          <w:szCs w:val="21"/>
        </w:rPr>
        <w:t>2．我方承诺在</w:t>
      </w:r>
      <w:r>
        <w:rPr>
          <w:rFonts w:hint="eastAsia" w:ascii="宋体" w:hAnsi="宋体"/>
          <w:szCs w:val="21"/>
        </w:rPr>
        <w:t>招标文件规定的</w:t>
      </w:r>
      <w:r>
        <w:rPr>
          <w:rFonts w:ascii="宋体" w:hAnsi="宋体"/>
          <w:szCs w:val="21"/>
        </w:rPr>
        <w:t>投标有效期内不修改、撤销投标文件。</w:t>
      </w:r>
    </w:p>
    <w:p>
      <w:pPr>
        <w:spacing w:line="300" w:lineRule="auto"/>
        <w:ind w:firstLine="420" w:firstLineChars="200"/>
        <w:rPr>
          <w:rFonts w:ascii="宋体" w:hAnsi="宋体"/>
          <w:szCs w:val="21"/>
        </w:rPr>
      </w:pPr>
      <w:r>
        <w:rPr>
          <w:rFonts w:ascii="宋体" w:hAnsi="宋体"/>
          <w:szCs w:val="21"/>
        </w:rPr>
        <w:t>3．随同本投标函提交投标保证金一份，金额为人民币（大写）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p>
    <w:p>
      <w:pPr>
        <w:spacing w:line="300" w:lineRule="auto"/>
        <w:ind w:firstLine="420" w:firstLineChars="200"/>
        <w:rPr>
          <w:rFonts w:ascii="宋体" w:hAnsi="宋体"/>
          <w:szCs w:val="21"/>
        </w:rPr>
      </w:pPr>
      <w:r>
        <w:rPr>
          <w:rFonts w:ascii="宋体" w:hAnsi="宋体"/>
          <w:szCs w:val="21"/>
        </w:rPr>
        <w:t>4．如我方中标：</w:t>
      </w:r>
    </w:p>
    <w:p>
      <w:pPr>
        <w:spacing w:line="300" w:lineRule="auto"/>
        <w:ind w:firstLine="718" w:firstLineChars="342"/>
        <w:rPr>
          <w:rFonts w:ascii="宋体" w:hAnsi="宋体"/>
          <w:szCs w:val="21"/>
        </w:rPr>
      </w:pPr>
      <w:r>
        <w:rPr>
          <w:rFonts w:ascii="宋体" w:hAnsi="宋体"/>
          <w:szCs w:val="21"/>
        </w:rPr>
        <w:t>（1）我方承诺在收到中标通知书后，在中标通知书规定的期限内与你方签订合同。</w:t>
      </w:r>
    </w:p>
    <w:p>
      <w:pPr>
        <w:spacing w:line="300" w:lineRule="auto"/>
        <w:ind w:firstLine="718" w:firstLineChars="342"/>
        <w:rPr>
          <w:rFonts w:ascii="宋体" w:hAnsi="宋体"/>
          <w:szCs w:val="21"/>
        </w:rPr>
      </w:pPr>
      <w:r>
        <w:rPr>
          <w:rFonts w:ascii="宋体" w:hAnsi="宋体"/>
          <w:szCs w:val="21"/>
        </w:rPr>
        <w:t>（2）随同本投标函递交的投标函</w:t>
      </w:r>
      <w:r>
        <w:rPr>
          <w:rFonts w:hint="eastAsia" w:ascii="宋体" w:hAnsi="宋体"/>
          <w:szCs w:val="21"/>
        </w:rPr>
        <w:t xml:space="preserve"> </w:t>
      </w:r>
      <w:r>
        <w:rPr>
          <w:rFonts w:ascii="宋体" w:hAnsi="宋体"/>
          <w:szCs w:val="21"/>
        </w:rPr>
        <w:t>附录属于合同文件的组成部分。</w:t>
      </w:r>
    </w:p>
    <w:p>
      <w:pPr>
        <w:spacing w:line="300" w:lineRule="auto"/>
        <w:ind w:firstLine="718" w:firstLineChars="342"/>
        <w:rPr>
          <w:rFonts w:ascii="宋体" w:hAnsi="宋体"/>
          <w:szCs w:val="21"/>
        </w:rPr>
      </w:pPr>
      <w:r>
        <w:rPr>
          <w:rFonts w:hint="eastAsia" w:ascii="宋体" w:hAnsi="宋体"/>
          <w:szCs w:val="21"/>
        </w:rPr>
        <w:t>（3）</w:t>
      </w:r>
      <w:r>
        <w:rPr>
          <w:rFonts w:ascii="宋体" w:hAnsi="宋体"/>
          <w:szCs w:val="21"/>
        </w:rPr>
        <w:t>我方承诺在合同约定的期限内完成并移交全部合同</w:t>
      </w:r>
      <w:r>
        <w:rPr>
          <w:rFonts w:hint="eastAsia" w:ascii="宋体" w:hAnsi="宋体"/>
          <w:szCs w:val="21"/>
        </w:rPr>
        <w:t>项目</w:t>
      </w:r>
      <w:r>
        <w:rPr>
          <w:rFonts w:ascii="宋体" w:hAnsi="宋体"/>
          <w:szCs w:val="21"/>
        </w:rPr>
        <w:t>。</w:t>
      </w:r>
    </w:p>
    <w:p>
      <w:pPr>
        <w:spacing w:line="300" w:lineRule="auto"/>
        <w:ind w:firstLine="420" w:firstLineChars="200"/>
        <w:rPr>
          <w:rFonts w:ascii="宋体" w:hAnsi="宋体"/>
          <w:szCs w:val="21"/>
        </w:rPr>
      </w:pPr>
      <w:r>
        <w:rPr>
          <w:rFonts w:ascii="宋体" w:hAnsi="宋体"/>
          <w:szCs w:val="21"/>
        </w:rPr>
        <w:t>5．</w:t>
      </w:r>
      <w:r>
        <w:rPr>
          <w:rFonts w:hint="eastAsia" w:ascii="宋体" w:hAnsi="宋体"/>
        </w:rPr>
        <w:t>我方在此声明，所递交的投标文件及有关资料内容完整、真实和准确，且不存在第二章“</w:t>
      </w:r>
      <w:r>
        <w:rPr>
          <w:rFonts w:hint="eastAsia" w:ascii="宋体" w:hAnsi="宋体"/>
          <w:lang w:eastAsia="zh-CN"/>
        </w:rPr>
        <w:t>供应商</w:t>
      </w:r>
      <w:r>
        <w:rPr>
          <w:rFonts w:hint="eastAsia" w:ascii="宋体" w:hAnsi="宋体"/>
        </w:rPr>
        <w:t>须知”第1.4.2项和第1.4.3项规定的任何一种情形。</w:t>
      </w:r>
    </w:p>
    <w:p>
      <w:pPr>
        <w:spacing w:line="300" w:lineRule="auto"/>
        <w:ind w:firstLine="420" w:firstLineChars="200"/>
        <w:rPr>
          <w:rFonts w:ascii="宋体" w:hAnsi="宋体"/>
          <w:szCs w:val="21"/>
        </w:rPr>
      </w:pPr>
      <w:r>
        <w:rPr>
          <w:rFonts w:hint="eastAsia" w:ascii="宋体" w:hAnsi="宋体"/>
          <w:szCs w:val="21"/>
        </w:rPr>
        <w:t>6．</w:t>
      </w:r>
      <w:r>
        <w:rPr>
          <w:rFonts w:ascii="宋体" w:hAnsi="宋体"/>
          <w:szCs w:val="21"/>
          <w:u w:val="single"/>
        </w:rPr>
        <w:t xml:space="preserve">                                       </w:t>
      </w:r>
      <w:r>
        <w:rPr>
          <w:rFonts w:ascii="宋体" w:hAnsi="宋体"/>
          <w:szCs w:val="21"/>
        </w:rPr>
        <w:t>（</w:t>
      </w:r>
      <w:r>
        <w:rPr>
          <w:rFonts w:hint="eastAsia" w:ascii="宋体" w:hAnsi="宋体"/>
          <w:szCs w:val="21"/>
        </w:rPr>
        <w:t>其他</w:t>
      </w:r>
      <w:r>
        <w:rPr>
          <w:rFonts w:ascii="宋体" w:hAnsi="宋体"/>
          <w:szCs w:val="21"/>
        </w:rPr>
        <w:t>补充说明）。</w:t>
      </w:r>
    </w:p>
    <w:p>
      <w:pPr>
        <w:spacing w:line="300" w:lineRule="auto"/>
        <w:rPr>
          <w:rFonts w:ascii="宋体" w:hAnsi="宋体"/>
          <w:szCs w:val="21"/>
        </w:rPr>
      </w:pPr>
    </w:p>
    <w:p>
      <w:pPr>
        <w:spacing w:line="300" w:lineRule="auto"/>
        <w:ind w:firstLine="3675" w:firstLineChars="1750"/>
        <w:rPr>
          <w:rFonts w:ascii="宋体" w:hAnsi="宋体"/>
          <w:szCs w:val="21"/>
        </w:rPr>
      </w:pPr>
      <w:r>
        <w:rPr>
          <w:rFonts w:ascii="宋体" w:hAnsi="宋体"/>
          <w:szCs w:val="21"/>
        </w:rPr>
        <w:t>投 标 人：</w:t>
      </w:r>
      <w:r>
        <w:rPr>
          <w:rFonts w:ascii="宋体" w:hAnsi="宋体"/>
          <w:szCs w:val="21"/>
          <w:u w:val="single"/>
        </w:rPr>
        <w:t xml:space="preserve">                      </w:t>
      </w:r>
      <w:r>
        <w:rPr>
          <w:rFonts w:ascii="宋体" w:hAnsi="宋体"/>
          <w:szCs w:val="21"/>
        </w:rPr>
        <w:t>（盖单位章）</w:t>
      </w:r>
    </w:p>
    <w:p>
      <w:pPr>
        <w:spacing w:line="300" w:lineRule="auto"/>
        <w:ind w:firstLine="3675" w:firstLineChars="1750"/>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（签字）</w:t>
      </w:r>
    </w:p>
    <w:p>
      <w:pPr>
        <w:spacing w:line="300" w:lineRule="auto"/>
        <w:ind w:firstLine="3675" w:firstLineChars="1750"/>
        <w:rPr>
          <w:rFonts w:ascii="宋体" w:hAnsi="宋体"/>
          <w:szCs w:val="21"/>
        </w:rPr>
      </w:pPr>
      <w:r>
        <w:rPr>
          <w:rFonts w:ascii="宋体" w:hAnsi="宋体"/>
          <w:szCs w:val="21"/>
        </w:rPr>
        <w:t>地址：</w:t>
      </w:r>
      <w:r>
        <w:rPr>
          <w:rFonts w:ascii="宋体" w:hAnsi="宋体"/>
          <w:szCs w:val="21"/>
          <w:u w:val="single"/>
        </w:rPr>
        <w:t xml:space="preserve">                                     </w:t>
      </w:r>
    </w:p>
    <w:p>
      <w:pPr>
        <w:spacing w:line="300" w:lineRule="auto"/>
        <w:ind w:firstLine="3675" w:firstLineChars="1750"/>
        <w:rPr>
          <w:rFonts w:ascii="宋体" w:hAnsi="宋体"/>
          <w:szCs w:val="21"/>
        </w:rPr>
      </w:pPr>
      <w:r>
        <w:rPr>
          <w:rFonts w:ascii="宋体" w:hAnsi="宋体"/>
          <w:szCs w:val="21"/>
        </w:rPr>
        <w:t>网址：</w:t>
      </w:r>
      <w:r>
        <w:rPr>
          <w:rFonts w:ascii="宋体" w:hAnsi="宋体"/>
          <w:szCs w:val="21"/>
          <w:u w:val="single"/>
        </w:rPr>
        <w:t xml:space="preserve">                                     </w:t>
      </w:r>
    </w:p>
    <w:p>
      <w:pPr>
        <w:spacing w:line="300" w:lineRule="auto"/>
        <w:ind w:firstLine="3675" w:firstLineChars="1750"/>
        <w:rPr>
          <w:rFonts w:ascii="宋体" w:hAnsi="宋体"/>
          <w:szCs w:val="21"/>
        </w:rPr>
      </w:pPr>
      <w:r>
        <w:rPr>
          <w:rFonts w:ascii="宋体" w:hAnsi="宋体"/>
          <w:szCs w:val="21"/>
        </w:rPr>
        <w:t>电话：</w:t>
      </w:r>
      <w:r>
        <w:rPr>
          <w:rFonts w:ascii="宋体" w:hAnsi="宋体"/>
          <w:szCs w:val="21"/>
          <w:u w:val="single"/>
        </w:rPr>
        <w:t xml:space="preserve">                                     </w:t>
      </w:r>
    </w:p>
    <w:p>
      <w:pPr>
        <w:spacing w:line="300" w:lineRule="auto"/>
        <w:ind w:firstLine="3675" w:firstLineChars="1750"/>
        <w:rPr>
          <w:rFonts w:ascii="宋体" w:hAnsi="宋体"/>
          <w:szCs w:val="21"/>
        </w:rPr>
      </w:pPr>
      <w:r>
        <w:rPr>
          <w:rFonts w:ascii="宋体" w:hAnsi="宋体"/>
          <w:szCs w:val="21"/>
        </w:rPr>
        <w:t>传真：</w:t>
      </w:r>
      <w:r>
        <w:rPr>
          <w:rFonts w:ascii="宋体" w:hAnsi="宋体"/>
          <w:szCs w:val="21"/>
          <w:u w:val="single"/>
        </w:rPr>
        <w:t xml:space="preserve">                                     </w:t>
      </w:r>
    </w:p>
    <w:p>
      <w:pPr>
        <w:spacing w:line="300" w:lineRule="auto"/>
        <w:ind w:firstLine="3675" w:firstLineChars="1750"/>
        <w:rPr>
          <w:rFonts w:ascii="宋体" w:hAnsi="宋体"/>
          <w:szCs w:val="21"/>
        </w:rPr>
      </w:pPr>
      <w:r>
        <w:rPr>
          <w:rFonts w:ascii="宋体" w:hAnsi="宋体"/>
          <w:szCs w:val="21"/>
        </w:rPr>
        <w:t>邮政编码：</w:t>
      </w:r>
      <w:r>
        <w:rPr>
          <w:rFonts w:ascii="宋体" w:hAnsi="宋体"/>
          <w:szCs w:val="21"/>
          <w:u w:val="single"/>
        </w:rPr>
        <w:t xml:space="preserve">                                 </w:t>
      </w:r>
    </w:p>
    <w:p>
      <w:pPr>
        <w:spacing w:line="300" w:lineRule="auto"/>
        <w:ind w:firstLine="5040" w:firstLineChars="2400"/>
        <w:rPr>
          <w:rFonts w:ascii="宋体" w:hAnsi="宋体"/>
          <w:szCs w:val="21"/>
        </w:rPr>
      </w:pPr>
      <w:r>
        <w:rPr>
          <w:rFonts w:hint="eastAsia"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ascii="宋体" w:hAnsi="宋体"/>
          <w:szCs w:val="21"/>
        </w:rPr>
        <w:t>日</w:t>
      </w:r>
    </w:p>
    <w:p>
      <w:pPr>
        <w:spacing w:line="300" w:lineRule="auto"/>
        <w:rPr>
          <w:rFonts w:ascii="宋体" w:hAnsi="宋体"/>
          <w:szCs w:val="21"/>
        </w:rPr>
      </w:pPr>
    </w:p>
    <w:p>
      <w:pPr>
        <w:spacing w:line="300" w:lineRule="auto"/>
        <w:rPr>
          <w:rFonts w:ascii="宋体" w:hAnsi="宋体"/>
          <w:sz w:val="20"/>
          <w:szCs w:val="20"/>
        </w:rPr>
      </w:pPr>
      <w:r>
        <w:rPr>
          <w:rFonts w:ascii="宋体" w:hAnsi="宋体"/>
          <w:sz w:val="20"/>
          <w:szCs w:val="20"/>
        </w:rPr>
        <w:br w:type="page"/>
      </w:r>
    </w:p>
    <w:p>
      <w:pPr>
        <w:pStyle w:val="4"/>
        <w:spacing w:before="0" w:after="0" w:line="300" w:lineRule="auto"/>
        <w:jc w:val="center"/>
        <w:rPr>
          <w:rFonts w:ascii="宋体" w:hAnsi="宋体"/>
        </w:rPr>
      </w:pPr>
      <w:bookmarkStart w:id="118" w:name="_Toc350070695"/>
      <w:bookmarkStart w:id="119" w:name="_Toc468267483"/>
      <w:bookmarkStart w:id="120" w:name="_Toc409424406"/>
      <w:bookmarkStart w:id="121" w:name="_Toc409424345"/>
      <w:bookmarkStart w:id="122" w:name="_Toc351644313"/>
      <w:r>
        <w:rPr>
          <w:rFonts w:ascii="宋体" w:hAnsi="宋体"/>
        </w:rPr>
        <w:t>（二）投标函附录</w:t>
      </w:r>
      <w:bookmarkEnd w:id="118"/>
      <w:bookmarkEnd w:id="119"/>
      <w:bookmarkEnd w:id="120"/>
      <w:bookmarkEnd w:id="121"/>
      <w:bookmarkEnd w:id="122"/>
    </w:p>
    <w:p>
      <w:pPr>
        <w:spacing w:line="300" w:lineRule="auto"/>
        <w:rPr>
          <w:rFonts w:ascii="宋体" w:hAnsi="宋体"/>
          <w:sz w:val="20"/>
          <w:szCs w:val="20"/>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337"/>
        <w:gridCol w:w="468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300" w:lineRule="auto"/>
              <w:jc w:val="center"/>
              <w:rPr>
                <w:rFonts w:ascii="宋体" w:hAnsi="宋体"/>
                <w:b/>
                <w:szCs w:val="21"/>
              </w:rPr>
            </w:pPr>
            <w:r>
              <w:rPr>
                <w:rFonts w:ascii="宋体" w:hAnsi="宋体"/>
                <w:b/>
                <w:szCs w:val="21"/>
              </w:rPr>
              <w:t>序号</w:t>
            </w:r>
          </w:p>
        </w:tc>
        <w:tc>
          <w:tcPr>
            <w:tcW w:w="2337" w:type="dxa"/>
            <w:vAlign w:val="center"/>
          </w:tcPr>
          <w:p>
            <w:pPr>
              <w:spacing w:line="300" w:lineRule="auto"/>
              <w:jc w:val="center"/>
              <w:rPr>
                <w:rFonts w:ascii="宋体" w:hAnsi="宋体"/>
                <w:b/>
                <w:szCs w:val="21"/>
              </w:rPr>
            </w:pPr>
            <w:r>
              <w:rPr>
                <w:rFonts w:hint="eastAsia" w:ascii="宋体" w:hAnsi="宋体"/>
                <w:b/>
                <w:szCs w:val="21"/>
              </w:rPr>
              <w:t>条款名称</w:t>
            </w:r>
          </w:p>
        </w:tc>
        <w:tc>
          <w:tcPr>
            <w:tcW w:w="4681" w:type="dxa"/>
            <w:vAlign w:val="center"/>
          </w:tcPr>
          <w:p>
            <w:pPr>
              <w:spacing w:line="300" w:lineRule="auto"/>
              <w:jc w:val="center"/>
              <w:rPr>
                <w:rFonts w:ascii="宋体" w:hAnsi="宋体"/>
                <w:b/>
                <w:szCs w:val="21"/>
              </w:rPr>
            </w:pPr>
            <w:r>
              <w:rPr>
                <w:rFonts w:hint="eastAsia" w:ascii="宋体" w:hAnsi="宋体"/>
                <w:b/>
                <w:szCs w:val="21"/>
              </w:rPr>
              <w:t>约定</w:t>
            </w:r>
            <w:r>
              <w:rPr>
                <w:rFonts w:ascii="宋体" w:hAnsi="宋体"/>
                <w:b/>
                <w:szCs w:val="21"/>
              </w:rPr>
              <w:t>内容</w:t>
            </w:r>
          </w:p>
        </w:tc>
        <w:tc>
          <w:tcPr>
            <w:tcW w:w="1620" w:type="dxa"/>
            <w:vAlign w:val="center"/>
          </w:tcPr>
          <w:p>
            <w:pPr>
              <w:spacing w:line="300" w:lineRule="auto"/>
              <w:jc w:val="center"/>
              <w:rPr>
                <w:rFonts w:ascii="宋体" w:hAnsi="宋体"/>
                <w:b/>
                <w:szCs w:val="21"/>
              </w:rPr>
            </w:pPr>
            <w:r>
              <w:rPr>
                <w:rFonts w:hint="eastAsia" w:ascii="宋体" w:hAnsi="宋体"/>
                <w:b/>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300" w:lineRule="auto"/>
              <w:jc w:val="center"/>
              <w:rPr>
                <w:rFonts w:ascii="宋体" w:hAnsi="宋体"/>
                <w:szCs w:val="21"/>
              </w:rPr>
            </w:pPr>
            <w:r>
              <w:rPr>
                <w:rFonts w:hint="eastAsia" w:ascii="宋体" w:hAnsi="宋体"/>
                <w:szCs w:val="21"/>
              </w:rPr>
              <w:t>1</w:t>
            </w:r>
          </w:p>
        </w:tc>
        <w:tc>
          <w:tcPr>
            <w:tcW w:w="2337" w:type="dxa"/>
            <w:vAlign w:val="center"/>
          </w:tcPr>
          <w:p>
            <w:pPr>
              <w:spacing w:line="300" w:lineRule="auto"/>
              <w:jc w:val="center"/>
              <w:rPr>
                <w:rFonts w:hint="default" w:ascii="宋体" w:hAnsi="宋体" w:eastAsia="宋体"/>
                <w:szCs w:val="21"/>
                <w:lang w:val="en-US" w:eastAsia="zh-CN"/>
              </w:rPr>
            </w:pPr>
            <w:r>
              <w:rPr>
                <w:rFonts w:hint="eastAsia" w:ascii="宋体" w:hAnsi="宋体"/>
                <w:szCs w:val="21"/>
                <w:lang w:val="en-US" w:eastAsia="zh-CN"/>
              </w:rPr>
              <w:t>合同履行期限</w:t>
            </w:r>
          </w:p>
        </w:tc>
        <w:tc>
          <w:tcPr>
            <w:tcW w:w="4681" w:type="dxa"/>
            <w:vAlign w:val="center"/>
          </w:tcPr>
          <w:p>
            <w:pPr>
              <w:spacing w:line="300" w:lineRule="auto"/>
              <w:rPr>
                <w:rFonts w:ascii="宋体" w:hAnsi="宋体"/>
                <w:szCs w:val="21"/>
                <w:u w:val="single"/>
              </w:rPr>
            </w:pPr>
          </w:p>
        </w:tc>
        <w:tc>
          <w:tcPr>
            <w:tcW w:w="1620"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300" w:lineRule="auto"/>
              <w:jc w:val="center"/>
              <w:rPr>
                <w:rFonts w:ascii="宋体" w:hAnsi="宋体"/>
                <w:szCs w:val="21"/>
              </w:rPr>
            </w:pPr>
            <w:r>
              <w:rPr>
                <w:rFonts w:hint="eastAsia" w:ascii="宋体" w:hAnsi="宋体"/>
                <w:szCs w:val="21"/>
              </w:rPr>
              <w:t>2</w:t>
            </w:r>
          </w:p>
        </w:tc>
        <w:tc>
          <w:tcPr>
            <w:tcW w:w="2337" w:type="dxa"/>
            <w:vAlign w:val="center"/>
          </w:tcPr>
          <w:p>
            <w:pPr>
              <w:autoSpaceDE w:val="0"/>
              <w:autoSpaceDN w:val="0"/>
              <w:adjustRightInd w:val="0"/>
              <w:spacing w:line="300" w:lineRule="auto"/>
              <w:jc w:val="center"/>
              <w:rPr>
                <w:rFonts w:ascii="宋体" w:hAnsi="宋体" w:cs="仿宋_GB2312"/>
                <w:kern w:val="0"/>
                <w:szCs w:val="21"/>
              </w:rPr>
            </w:pPr>
            <w:r>
              <w:rPr>
                <w:rFonts w:hint="eastAsia" w:ascii="宋体" w:hAnsi="宋体" w:cs="仿宋_GB2312"/>
                <w:kern w:val="0"/>
                <w:szCs w:val="21"/>
              </w:rPr>
              <w:t>投标有效期</w:t>
            </w:r>
          </w:p>
        </w:tc>
        <w:tc>
          <w:tcPr>
            <w:tcW w:w="4681" w:type="dxa"/>
            <w:vAlign w:val="center"/>
          </w:tcPr>
          <w:p>
            <w:pPr>
              <w:autoSpaceDE w:val="0"/>
              <w:autoSpaceDN w:val="0"/>
              <w:adjustRightInd w:val="0"/>
              <w:spacing w:line="300" w:lineRule="auto"/>
              <w:rPr>
                <w:rFonts w:ascii="宋体" w:hAnsi="宋体" w:cs="仿宋_GB2312"/>
                <w:kern w:val="0"/>
                <w:szCs w:val="21"/>
              </w:rPr>
            </w:pPr>
            <w:r>
              <w:rPr>
                <w:rFonts w:hint="eastAsia" w:ascii="宋体" w:hAnsi="宋体" w:cs="仿宋_GB2312"/>
                <w:kern w:val="0"/>
                <w:szCs w:val="21"/>
              </w:rPr>
              <w:t>90天</w:t>
            </w:r>
          </w:p>
        </w:tc>
        <w:tc>
          <w:tcPr>
            <w:tcW w:w="1620"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300" w:lineRule="auto"/>
              <w:jc w:val="center"/>
              <w:rPr>
                <w:rFonts w:ascii="宋体" w:hAnsi="宋体"/>
                <w:szCs w:val="21"/>
              </w:rPr>
            </w:pPr>
            <w:r>
              <w:rPr>
                <w:rFonts w:hint="eastAsia" w:ascii="宋体" w:hAnsi="宋体"/>
                <w:szCs w:val="21"/>
              </w:rPr>
              <w:t>3</w:t>
            </w:r>
          </w:p>
        </w:tc>
        <w:tc>
          <w:tcPr>
            <w:tcW w:w="2337" w:type="dxa"/>
            <w:vAlign w:val="center"/>
          </w:tcPr>
          <w:p>
            <w:pPr>
              <w:autoSpaceDE w:val="0"/>
              <w:autoSpaceDN w:val="0"/>
              <w:adjustRightInd w:val="0"/>
              <w:spacing w:line="300" w:lineRule="auto"/>
              <w:jc w:val="center"/>
              <w:rPr>
                <w:rFonts w:ascii="宋体" w:hAnsi="宋体" w:cs="仿宋_GB2312"/>
                <w:kern w:val="0"/>
                <w:szCs w:val="21"/>
              </w:rPr>
            </w:pPr>
            <w:r>
              <w:rPr>
                <w:rFonts w:ascii="宋体" w:hAnsi="宋体"/>
                <w:szCs w:val="21"/>
              </w:rPr>
              <w:t>权利义务</w:t>
            </w:r>
          </w:p>
        </w:tc>
        <w:tc>
          <w:tcPr>
            <w:tcW w:w="4681" w:type="dxa"/>
            <w:vAlign w:val="center"/>
          </w:tcPr>
          <w:p>
            <w:pPr>
              <w:autoSpaceDE w:val="0"/>
              <w:autoSpaceDN w:val="0"/>
              <w:adjustRightInd w:val="0"/>
              <w:spacing w:line="300" w:lineRule="auto"/>
              <w:rPr>
                <w:rFonts w:ascii="宋体" w:hAnsi="宋体" w:cs="仿宋_GB2312"/>
                <w:kern w:val="0"/>
                <w:szCs w:val="21"/>
              </w:rPr>
            </w:pPr>
            <w:r>
              <w:rPr>
                <w:rFonts w:hint="eastAsia" w:ascii="宋体" w:hAnsi="宋体" w:cs="宋体"/>
                <w:bCs/>
                <w:szCs w:val="21"/>
                <w:lang w:val="zh-CN"/>
              </w:rPr>
              <w:t>符合第四章“合同条款”规定</w:t>
            </w:r>
          </w:p>
        </w:tc>
        <w:tc>
          <w:tcPr>
            <w:tcW w:w="1620"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300" w:lineRule="auto"/>
              <w:jc w:val="center"/>
              <w:rPr>
                <w:rFonts w:ascii="宋体" w:hAnsi="宋体"/>
                <w:szCs w:val="21"/>
              </w:rPr>
            </w:pPr>
            <w:r>
              <w:rPr>
                <w:rFonts w:hint="eastAsia" w:ascii="宋体" w:hAnsi="宋体"/>
                <w:szCs w:val="21"/>
              </w:rPr>
              <w:t>4</w:t>
            </w:r>
          </w:p>
        </w:tc>
        <w:tc>
          <w:tcPr>
            <w:tcW w:w="2337" w:type="dxa"/>
            <w:vAlign w:val="center"/>
          </w:tcPr>
          <w:p>
            <w:pPr>
              <w:autoSpaceDE w:val="0"/>
              <w:autoSpaceDN w:val="0"/>
              <w:adjustRightInd w:val="0"/>
              <w:spacing w:line="300" w:lineRule="auto"/>
              <w:jc w:val="center"/>
              <w:rPr>
                <w:rFonts w:ascii="宋体" w:hAnsi="宋体"/>
                <w:szCs w:val="21"/>
              </w:rPr>
            </w:pPr>
            <w:r>
              <w:rPr>
                <w:rFonts w:hint="eastAsia" w:ascii="宋体" w:hAnsi="宋体"/>
                <w:szCs w:val="21"/>
              </w:rPr>
              <w:t>质保期</w:t>
            </w:r>
          </w:p>
        </w:tc>
        <w:tc>
          <w:tcPr>
            <w:tcW w:w="4681" w:type="dxa"/>
            <w:vAlign w:val="center"/>
          </w:tcPr>
          <w:p>
            <w:pPr>
              <w:autoSpaceDE w:val="0"/>
              <w:autoSpaceDN w:val="0"/>
              <w:adjustRightInd w:val="0"/>
              <w:spacing w:line="300" w:lineRule="auto"/>
              <w:rPr>
                <w:rFonts w:ascii="宋体" w:hAnsi="宋体" w:cs="宋体"/>
                <w:bCs/>
                <w:szCs w:val="21"/>
                <w:lang w:val="zh-CN"/>
              </w:rPr>
            </w:pPr>
          </w:p>
        </w:tc>
        <w:tc>
          <w:tcPr>
            <w:tcW w:w="1620"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300" w:lineRule="auto"/>
              <w:jc w:val="center"/>
              <w:rPr>
                <w:rFonts w:ascii="宋体" w:hAnsi="宋体"/>
                <w:szCs w:val="21"/>
              </w:rPr>
            </w:pPr>
            <w:r>
              <w:rPr>
                <w:rFonts w:hint="eastAsia" w:ascii="宋体" w:hAnsi="宋体"/>
                <w:szCs w:val="21"/>
              </w:rPr>
              <w:t>5</w:t>
            </w:r>
          </w:p>
        </w:tc>
        <w:tc>
          <w:tcPr>
            <w:tcW w:w="2337" w:type="dxa"/>
            <w:vAlign w:val="center"/>
          </w:tcPr>
          <w:p>
            <w:pPr>
              <w:autoSpaceDE w:val="0"/>
              <w:autoSpaceDN w:val="0"/>
              <w:adjustRightInd w:val="0"/>
              <w:spacing w:line="300" w:lineRule="auto"/>
              <w:jc w:val="center"/>
              <w:rPr>
                <w:rFonts w:hint="eastAsia" w:ascii="宋体" w:hAnsi="宋体" w:eastAsia="宋体"/>
                <w:szCs w:val="21"/>
                <w:lang w:eastAsia="zh-CN"/>
              </w:rPr>
            </w:pPr>
            <w:r>
              <w:rPr>
                <w:rFonts w:hint="eastAsia" w:ascii="宋体" w:hAnsi="宋体"/>
                <w:szCs w:val="21"/>
                <w:lang w:eastAsia="zh-CN"/>
              </w:rPr>
              <w:t>服务地点</w:t>
            </w:r>
          </w:p>
        </w:tc>
        <w:tc>
          <w:tcPr>
            <w:tcW w:w="4681" w:type="dxa"/>
            <w:vAlign w:val="center"/>
          </w:tcPr>
          <w:p>
            <w:pPr>
              <w:autoSpaceDE w:val="0"/>
              <w:autoSpaceDN w:val="0"/>
              <w:adjustRightInd w:val="0"/>
              <w:spacing w:line="300" w:lineRule="auto"/>
              <w:rPr>
                <w:rFonts w:ascii="宋体" w:hAnsi="宋体" w:cs="宋体"/>
                <w:bCs/>
                <w:szCs w:val="21"/>
                <w:lang w:val="zh-CN"/>
              </w:rPr>
            </w:pPr>
          </w:p>
        </w:tc>
        <w:tc>
          <w:tcPr>
            <w:tcW w:w="1620" w:type="dxa"/>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300" w:lineRule="auto"/>
              <w:jc w:val="center"/>
              <w:rPr>
                <w:rFonts w:ascii="宋体" w:hAnsi="宋体"/>
                <w:szCs w:val="21"/>
              </w:rPr>
            </w:pPr>
            <w:r>
              <w:rPr>
                <w:rFonts w:hint="eastAsia" w:ascii="宋体" w:hAnsi="宋体"/>
                <w:szCs w:val="21"/>
              </w:rPr>
              <w:t>6</w:t>
            </w:r>
          </w:p>
        </w:tc>
        <w:tc>
          <w:tcPr>
            <w:tcW w:w="2337" w:type="dxa"/>
            <w:vAlign w:val="center"/>
          </w:tcPr>
          <w:p>
            <w:pPr>
              <w:autoSpaceDE w:val="0"/>
              <w:autoSpaceDN w:val="0"/>
              <w:adjustRightInd w:val="0"/>
              <w:spacing w:line="300" w:lineRule="auto"/>
              <w:jc w:val="center"/>
              <w:rPr>
                <w:rFonts w:ascii="宋体" w:hAnsi="宋体"/>
                <w:szCs w:val="21"/>
              </w:rPr>
            </w:pPr>
            <w:r>
              <w:rPr>
                <w:rFonts w:hint="eastAsia" w:ascii="宋体" w:hAnsi="宋体"/>
                <w:szCs w:val="21"/>
              </w:rPr>
              <w:t>......</w:t>
            </w:r>
          </w:p>
        </w:tc>
        <w:tc>
          <w:tcPr>
            <w:tcW w:w="4681" w:type="dxa"/>
            <w:vAlign w:val="center"/>
          </w:tcPr>
          <w:p>
            <w:pPr>
              <w:autoSpaceDE w:val="0"/>
              <w:autoSpaceDN w:val="0"/>
              <w:adjustRightInd w:val="0"/>
              <w:spacing w:line="300" w:lineRule="auto"/>
              <w:rPr>
                <w:rFonts w:ascii="宋体" w:hAnsi="宋体" w:cs="宋体"/>
                <w:bCs/>
                <w:szCs w:val="21"/>
              </w:rPr>
            </w:pPr>
            <w:r>
              <w:rPr>
                <w:rFonts w:hint="eastAsia" w:ascii="宋体" w:hAnsi="宋体" w:cs="宋体"/>
                <w:bCs/>
                <w:szCs w:val="21"/>
              </w:rPr>
              <w:t>......</w:t>
            </w:r>
          </w:p>
        </w:tc>
        <w:tc>
          <w:tcPr>
            <w:tcW w:w="1620" w:type="dxa"/>
            <w:vAlign w:val="center"/>
          </w:tcPr>
          <w:p>
            <w:pPr>
              <w:spacing w:line="300" w:lineRule="auto"/>
              <w:jc w:val="center"/>
              <w:rPr>
                <w:rFonts w:ascii="宋体" w:hAnsi="宋体"/>
                <w:szCs w:val="21"/>
              </w:rPr>
            </w:pPr>
          </w:p>
        </w:tc>
      </w:tr>
    </w:tbl>
    <w:p>
      <w:pPr>
        <w:spacing w:line="300" w:lineRule="auto"/>
        <w:ind w:left="840" w:leftChars="400" w:firstLine="2200" w:firstLineChars="1100"/>
        <w:rPr>
          <w:rFonts w:ascii="宋体" w:hAnsi="宋体"/>
          <w:sz w:val="20"/>
          <w:szCs w:val="20"/>
        </w:rPr>
      </w:pPr>
    </w:p>
    <w:p>
      <w:pPr>
        <w:pStyle w:val="3"/>
        <w:spacing w:before="0" w:after="0" w:line="300" w:lineRule="auto"/>
        <w:jc w:val="center"/>
        <w:rPr>
          <w:rFonts w:ascii="宋体" w:hAnsi="宋体" w:eastAsia="宋体"/>
        </w:rPr>
      </w:pPr>
      <w:r>
        <w:rPr>
          <w:rFonts w:ascii="宋体" w:hAnsi="宋体" w:eastAsia="宋体"/>
          <w:sz w:val="20"/>
          <w:szCs w:val="20"/>
        </w:rPr>
        <w:br w:type="page"/>
      </w:r>
      <w:r>
        <w:rPr>
          <w:rFonts w:hint="eastAsia" w:ascii="宋体" w:hAnsi="宋体" w:eastAsia="宋体"/>
        </w:rPr>
        <w:t xml:space="preserve"> </w:t>
      </w:r>
      <w:bookmarkStart w:id="123" w:name="_Toc350070696"/>
      <w:bookmarkStart w:id="124" w:name="_Toc409424346"/>
      <w:bookmarkStart w:id="125" w:name="_Toc468267484"/>
      <w:bookmarkStart w:id="126" w:name="_Toc351644314"/>
      <w:bookmarkStart w:id="127" w:name="_Toc409424407"/>
      <w:r>
        <w:rPr>
          <w:rFonts w:hint="eastAsia" w:ascii="宋体" w:hAnsi="宋体" w:eastAsia="宋体"/>
        </w:rPr>
        <w:t>二</w:t>
      </w:r>
      <w:r>
        <w:rPr>
          <w:rFonts w:ascii="宋体" w:hAnsi="宋体" w:eastAsia="宋体"/>
        </w:rPr>
        <w:t>、</w:t>
      </w:r>
      <w:r>
        <w:rPr>
          <w:rFonts w:hint="eastAsia" w:ascii="宋体" w:hAnsi="宋体" w:eastAsia="宋体"/>
        </w:rPr>
        <w:t>开标一览表</w:t>
      </w:r>
      <w:bookmarkEnd w:id="123"/>
      <w:bookmarkEnd w:id="124"/>
      <w:bookmarkEnd w:id="125"/>
      <w:bookmarkEnd w:id="126"/>
      <w:bookmarkEnd w:id="127"/>
    </w:p>
    <w:p>
      <w:pPr>
        <w:spacing w:line="300" w:lineRule="auto"/>
        <w:ind w:left="-2" w:leftChars="-51" w:hanging="105" w:hangingChars="50"/>
        <w:rPr>
          <w:rFonts w:ascii="宋体" w:hAnsi="宋体"/>
          <w:szCs w:val="21"/>
          <w:u w:val="single"/>
        </w:rPr>
      </w:pPr>
      <w:r>
        <w:rPr>
          <w:rFonts w:hint="eastAsia" w:ascii="宋体" w:hAnsi="宋体"/>
          <w:szCs w:val="21"/>
        </w:rPr>
        <w:t>项</w:t>
      </w:r>
      <w:r>
        <w:rPr>
          <w:rFonts w:ascii="宋体" w:hAnsi="宋体"/>
          <w:szCs w:val="21"/>
        </w:rPr>
        <w:t xml:space="preserve"> </w:t>
      </w:r>
      <w:r>
        <w:rPr>
          <w:rFonts w:hint="eastAsia" w:ascii="宋体" w:hAnsi="宋体"/>
          <w:szCs w:val="21"/>
        </w:rPr>
        <w:t>目</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r>
        <w:rPr>
          <w:rFonts w:ascii="宋体" w:hAnsi="宋体"/>
          <w:szCs w:val="21"/>
        </w:rPr>
        <w:t xml:space="preserve"> </w:t>
      </w:r>
      <w:r>
        <w:rPr>
          <w:rFonts w:hint="eastAsia" w:ascii="宋体" w:hAnsi="宋体"/>
          <w:szCs w:val="21"/>
        </w:rPr>
        <w:t xml:space="preserve">：   </w:t>
      </w:r>
    </w:p>
    <w:p>
      <w:pPr>
        <w:spacing w:line="300" w:lineRule="auto"/>
        <w:ind w:left="-2" w:leftChars="-51" w:hanging="105" w:hangingChars="50"/>
        <w:rPr>
          <w:rFonts w:ascii="宋体" w:hAnsi="宋体"/>
          <w:szCs w:val="21"/>
        </w:rPr>
      </w:pPr>
      <w:r>
        <w:rPr>
          <w:rFonts w:hint="eastAsia" w:ascii="宋体" w:hAnsi="宋体"/>
          <w:szCs w:val="21"/>
        </w:rPr>
        <w:t>招标项目编号：</w:t>
      </w:r>
    </w:p>
    <w:tbl>
      <w:tblPr>
        <w:tblStyle w:val="22"/>
        <w:tblW w:w="965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8"/>
        <w:gridCol w:w="2696"/>
        <w:gridCol w:w="16"/>
        <w:gridCol w:w="1792"/>
        <w:gridCol w:w="8"/>
        <w:gridCol w:w="34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szCs w:val="21"/>
                <w:lang w:eastAsia="zh-CN"/>
              </w:rPr>
            </w:pPr>
            <w:r>
              <w:rPr>
                <w:rFonts w:hint="eastAsia" w:ascii="宋体" w:hAnsi="宋体"/>
                <w:szCs w:val="21"/>
                <w:lang w:eastAsia="zh-CN"/>
              </w:rPr>
              <w:t>供应商</w:t>
            </w:r>
          </w:p>
        </w:tc>
        <w:tc>
          <w:tcPr>
            <w:tcW w:w="7942" w:type="dxa"/>
            <w:gridSpan w:val="5"/>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投标报价</w:t>
            </w:r>
          </w:p>
        </w:tc>
        <w:tc>
          <w:tcPr>
            <w:tcW w:w="7942" w:type="dxa"/>
            <w:gridSpan w:val="5"/>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大写：       元（小写：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投标保证金</w:t>
            </w:r>
          </w:p>
          <w:p>
            <w:pPr>
              <w:spacing w:line="300" w:lineRule="auto"/>
              <w:jc w:val="center"/>
              <w:rPr>
                <w:rFonts w:ascii="宋体" w:hAnsi="宋体"/>
                <w:szCs w:val="21"/>
              </w:rPr>
            </w:pPr>
            <w:r>
              <w:rPr>
                <w:rFonts w:hint="eastAsia" w:ascii="宋体" w:hAnsi="宋体"/>
                <w:szCs w:val="21"/>
              </w:rPr>
              <w:t>（有/无需缴纳）</w:t>
            </w:r>
          </w:p>
        </w:tc>
        <w:tc>
          <w:tcPr>
            <w:tcW w:w="2712"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质量标准</w:t>
            </w:r>
          </w:p>
        </w:tc>
        <w:tc>
          <w:tcPr>
            <w:tcW w:w="3430"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8" w:hRule="atLeast"/>
          <w:jc w:val="center"/>
        </w:trPr>
        <w:tc>
          <w:tcPr>
            <w:tcW w:w="1708" w:type="dxa"/>
            <w:tcBorders>
              <w:top w:val="single" w:color="auto" w:sz="4" w:space="0"/>
              <w:left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合同履行期限</w:t>
            </w:r>
          </w:p>
        </w:tc>
        <w:tc>
          <w:tcPr>
            <w:tcW w:w="7942" w:type="dxa"/>
            <w:gridSpan w:val="5"/>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优惠条件</w:t>
            </w:r>
          </w:p>
        </w:tc>
        <w:tc>
          <w:tcPr>
            <w:tcW w:w="269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p>
        </w:tc>
        <w:tc>
          <w:tcPr>
            <w:tcW w:w="1808"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服务承诺</w:t>
            </w:r>
          </w:p>
        </w:tc>
        <w:tc>
          <w:tcPr>
            <w:tcW w:w="3438"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备注</w:t>
            </w:r>
          </w:p>
        </w:tc>
        <w:tc>
          <w:tcPr>
            <w:tcW w:w="7942" w:type="dxa"/>
            <w:gridSpan w:val="5"/>
            <w:tcBorders>
              <w:top w:val="single" w:color="auto" w:sz="4" w:space="0"/>
              <w:left w:val="single" w:color="auto" w:sz="4" w:space="0"/>
              <w:bottom w:val="single" w:color="auto" w:sz="4" w:space="0"/>
              <w:right w:val="single" w:color="auto" w:sz="4" w:space="0"/>
            </w:tcBorders>
          </w:tcPr>
          <w:p>
            <w:pPr>
              <w:numPr>
                <w:ilvl w:val="0"/>
                <w:numId w:val="7"/>
              </w:numPr>
              <w:spacing w:line="300" w:lineRule="auto"/>
              <w:rPr>
                <w:rFonts w:ascii="宋体" w:hAnsi="宋体"/>
                <w:szCs w:val="21"/>
              </w:rPr>
            </w:pPr>
            <w:r>
              <w:rPr>
                <w:rFonts w:hint="eastAsia" w:ascii="宋体" w:hAnsi="宋体"/>
                <w:szCs w:val="21"/>
              </w:rPr>
              <w:t>本表只做唱标时使用，但本表的一切内容均具有法律效力，不得更改。</w:t>
            </w:r>
          </w:p>
          <w:p>
            <w:pPr>
              <w:numPr>
                <w:ilvl w:val="0"/>
                <w:numId w:val="7"/>
              </w:numPr>
              <w:spacing w:line="300" w:lineRule="auto"/>
              <w:rPr>
                <w:rFonts w:ascii="宋体" w:hAnsi="宋体"/>
                <w:szCs w:val="21"/>
              </w:rPr>
            </w:pPr>
            <w:r>
              <w:rPr>
                <w:rFonts w:hint="eastAsia" w:ascii="宋体" w:hAnsi="宋体"/>
                <w:szCs w:val="21"/>
              </w:rPr>
              <w:t>填报的内容必须和投标文件及投标函中的内容一致。</w:t>
            </w:r>
          </w:p>
          <w:p>
            <w:pPr>
              <w:numPr>
                <w:ilvl w:val="0"/>
                <w:numId w:val="7"/>
              </w:numPr>
              <w:spacing w:line="300" w:lineRule="auto"/>
              <w:rPr>
                <w:rFonts w:ascii="宋体" w:hAnsi="宋体"/>
                <w:szCs w:val="21"/>
              </w:rPr>
            </w:pPr>
            <w:r>
              <w:rPr>
                <w:rFonts w:hint="eastAsia" w:ascii="宋体" w:hAnsi="宋体"/>
                <w:szCs w:val="21"/>
              </w:rPr>
              <w:t>投标报价为采购货物、运输、税金、利润等一切报价的总和。</w:t>
            </w:r>
          </w:p>
          <w:p>
            <w:pPr>
              <w:numPr>
                <w:ilvl w:val="0"/>
                <w:numId w:val="7"/>
              </w:numPr>
              <w:spacing w:line="300" w:lineRule="auto"/>
              <w:rPr>
                <w:rFonts w:ascii="宋体" w:hAnsi="宋体"/>
                <w:szCs w:val="21"/>
              </w:rPr>
            </w:pPr>
            <w:r>
              <w:rPr>
                <w:rFonts w:hint="eastAsia" w:ascii="宋体" w:hAnsi="宋体"/>
                <w:szCs w:val="21"/>
              </w:rPr>
              <w:t>优惠条件、服务承诺，详细内容必须在投标书中载明，如内容较多，本表只填写“有”“无”即可。</w:t>
            </w:r>
          </w:p>
          <w:p>
            <w:pPr>
              <w:numPr>
                <w:ilvl w:val="0"/>
                <w:numId w:val="7"/>
              </w:numPr>
              <w:spacing w:line="300" w:lineRule="auto"/>
              <w:rPr>
                <w:rFonts w:ascii="宋体" w:hAnsi="宋体"/>
                <w:b/>
                <w:szCs w:val="21"/>
              </w:rPr>
            </w:pPr>
            <w:r>
              <w:rPr>
                <w:rFonts w:hint="eastAsia" w:ascii="宋体" w:hAnsi="宋体"/>
                <w:b/>
                <w:szCs w:val="21"/>
              </w:rPr>
              <w:t>投标报价以元为单位，最多保留小数点后两位有效数字。</w:t>
            </w:r>
          </w:p>
          <w:p>
            <w:pPr>
              <w:numPr>
                <w:ilvl w:val="0"/>
                <w:numId w:val="7"/>
              </w:numPr>
              <w:spacing w:line="300" w:lineRule="auto"/>
              <w:rPr>
                <w:rFonts w:ascii="宋体" w:hAnsi="宋体"/>
                <w:b/>
                <w:szCs w:val="21"/>
              </w:rPr>
            </w:pPr>
            <w:r>
              <w:rPr>
                <w:rFonts w:hint="eastAsia" w:ascii="宋体" w:hAnsi="宋体"/>
                <w:b/>
                <w:szCs w:val="21"/>
              </w:rPr>
              <w:t>本表为开标时唱标用，应单独用小信封密封、送达</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7" w:hRule="atLeast"/>
          <w:jc w:val="center"/>
        </w:trPr>
        <w:tc>
          <w:tcPr>
            <w:tcW w:w="965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Cs w:val="21"/>
              </w:rPr>
            </w:pPr>
          </w:p>
          <w:p>
            <w:pPr>
              <w:spacing w:line="300" w:lineRule="auto"/>
              <w:rPr>
                <w:rFonts w:ascii="宋体" w:hAnsi="宋体"/>
                <w:szCs w:val="21"/>
              </w:rPr>
            </w:pPr>
            <w:r>
              <w:rPr>
                <w:rFonts w:hint="eastAsia" w:ascii="宋体" w:hAnsi="宋体"/>
                <w:szCs w:val="21"/>
                <w:lang w:eastAsia="zh-CN"/>
              </w:rPr>
              <w:t>供应商</w:t>
            </w:r>
            <w:r>
              <w:rPr>
                <w:rFonts w:hint="eastAsia" w:ascii="宋体" w:hAnsi="宋体"/>
                <w:szCs w:val="21"/>
              </w:rPr>
              <w:t>：</w:t>
            </w:r>
            <w:r>
              <w:rPr>
                <w:rFonts w:ascii="宋体" w:hAnsi="宋体"/>
                <w:szCs w:val="21"/>
              </w:rPr>
              <w:t xml:space="preserve">        </w:t>
            </w:r>
            <w:r>
              <w:rPr>
                <w:rFonts w:hint="eastAsia" w:ascii="宋体" w:hAnsi="宋体"/>
                <w:szCs w:val="21"/>
              </w:rPr>
              <w:t>（盖章）</w:t>
            </w:r>
            <w:r>
              <w:rPr>
                <w:rFonts w:ascii="宋体" w:hAnsi="宋体"/>
                <w:szCs w:val="21"/>
              </w:rPr>
              <w:t xml:space="preserve">                 </w:t>
            </w:r>
            <w:r>
              <w:rPr>
                <w:rFonts w:hint="eastAsia" w:ascii="宋体" w:hAnsi="宋体"/>
                <w:szCs w:val="21"/>
              </w:rPr>
              <w:t>法定代表人或被授权人：</w:t>
            </w:r>
            <w:r>
              <w:rPr>
                <w:rFonts w:ascii="宋体" w:hAnsi="宋体"/>
                <w:szCs w:val="21"/>
              </w:rPr>
              <w:t xml:space="preserve">          </w:t>
            </w:r>
            <w:r>
              <w:rPr>
                <w:rFonts w:hint="eastAsia" w:ascii="宋体" w:hAnsi="宋体"/>
                <w:szCs w:val="21"/>
              </w:rPr>
              <w:t>（签字或盖章）</w:t>
            </w:r>
          </w:p>
          <w:p>
            <w:pPr>
              <w:spacing w:line="300" w:lineRule="auto"/>
              <w:rPr>
                <w:rFonts w:ascii="宋体" w:hAnsi="宋体"/>
                <w:szCs w:val="21"/>
              </w:rPr>
            </w:pPr>
          </w:p>
        </w:tc>
      </w:tr>
    </w:tbl>
    <w:p>
      <w:pPr>
        <w:spacing w:line="300" w:lineRule="auto"/>
        <w:jc w:val="center"/>
        <w:rPr>
          <w:rFonts w:ascii="宋体" w:hAnsi="宋体"/>
          <w:sz w:val="20"/>
          <w:szCs w:val="20"/>
        </w:rPr>
      </w:pPr>
      <w:r>
        <w:rPr>
          <w:rFonts w:ascii="宋体" w:hAnsi="宋体"/>
          <w:sz w:val="20"/>
          <w:szCs w:val="20"/>
        </w:rPr>
        <w:br w:type="page"/>
      </w:r>
    </w:p>
    <w:p>
      <w:pPr>
        <w:pStyle w:val="3"/>
        <w:spacing w:before="0" w:after="0" w:line="300" w:lineRule="auto"/>
        <w:jc w:val="center"/>
        <w:rPr>
          <w:rFonts w:ascii="宋体" w:hAnsi="宋体" w:eastAsia="宋体"/>
        </w:rPr>
      </w:pPr>
      <w:bookmarkStart w:id="128" w:name="_Toc409424408"/>
      <w:bookmarkStart w:id="129" w:name="_Toc409424347"/>
      <w:bookmarkStart w:id="130" w:name="_Toc468267485"/>
      <w:bookmarkStart w:id="131" w:name="_Toc350070697"/>
      <w:bookmarkStart w:id="132" w:name="_Toc351644315"/>
      <w:r>
        <w:rPr>
          <w:rFonts w:hint="eastAsia" w:ascii="宋体" w:hAnsi="宋体" w:eastAsia="宋体"/>
        </w:rPr>
        <w:t>三</w:t>
      </w:r>
      <w:r>
        <w:rPr>
          <w:rFonts w:ascii="宋体" w:hAnsi="宋体" w:eastAsia="宋体"/>
        </w:rPr>
        <w:t>、</w:t>
      </w:r>
      <w:r>
        <w:rPr>
          <w:rFonts w:hint="eastAsia" w:ascii="宋体" w:hAnsi="宋体" w:eastAsia="宋体"/>
        </w:rPr>
        <w:t>法定代表人身份证明或附有法定代表人身份证明的授权委托书</w:t>
      </w:r>
      <w:bookmarkEnd w:id="128"/>
      <w:bookmarkEnd w:id="129"/>
      <w:bookmarkEnd w:id="130"/>
    </w:p>
    <w:p>
      <w:pPr>
        <w:pStyle w:val="3"/>
        <w:spacing w:before="0" w:after="0" w:line="300" w:lineRule="auto"/>
        <w:jc w:val="center"/>
        <w:rPr>
          <w:rFonts w:ascii="宋体" w:hAnsi="宋体" w:eastAsia="宋体"/>
        </w:rPr>
      </w:pPr>
      <w:bookmarkStart w:id="133" w:name="_Toc468267486"/>
      <w:bookmarkStart w:id="134" w:name="_Toc409424409"/>
      <w:bookmarkStart w:id="135" w:name="_Toc409424348"/>
      <w:r>
        <w:rPr>
          <w:rFonts w:hint="eastAsia" w:ascii="宋体" w:hAnsi="宋体" w:eastAsia="宋体"/>
        </w:rPr>
        <w:t>（一）</w:t>
      </w:r>
      <w:r>
        <w:rPr>
          <w:rFonts w:ascii="宋体" w:hAnsi="宋体" w:eastAsia="宋体"/>
        </w:rPr>
        <w:t>法定代表人身份证明</w:t>
      </w:r>
      <w:bookmarkEnd w:id="131"/>
      <w:bookmarkEnd w:id="132"/>
      <w:bookmarkEnd w:id="133"/>
      <w:bookmarkEnd w:id="134"/>
      <w:bookmarkEnd w:id="135"/>
    </w:p>
    <w:p>
      <w:pPr>
        <w:spacing w:line="300" w:lineRule="auto"/>
        <w:rPr>
          <w:rFonts w:ascii="宋体" w:hAnsi="宋体"/>
          <w:sz w:val="20"/>
          <w:szCs w:val="20"/>
        </w:rPr>
      </w:pP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lang w:eastAsia="zh-CN"/>
        </w:rPr>
        <w:t>供应商</w:t>
      </w:r>
      <w:r>
        <w:rPr>
          <w:rFonts w:ascii="宋体" w:hAnsi="宋体"/>
          <w:szCs w:val="21"/>
        </w:rPr>
        <w:t>名称：</w:t>
      </w:r>
      <w:r>
        <w:rPr>
          <w:rFonts w:ascii="宋体" w:hAnsi="宋体"/>
          <w:szCs w:val="21"/>
          <w:u w:val="single"/>
        </w:rPr>
        <w:t xml:space="preserve">                            </w:t>
      </w:r>
      <w:r>
        <w:rPr>
          <w:rFonts w:ascii="宋体" w:hAnsi="宋体"/>
          <w:szCs w:val="21"/>
        </w:rPr>
        <w:t xml:space="preserve"> </w:t>
      </w:r>
    </w:p>
    <w:p>
      <w:pPr>
        <w:spacing w:line="300" w:lineRule="auto"/>
        <w:rPr>
          <w:rFonts w:ascii="宋体" w:hAnsi="宋体"/>
          <w:szCs w:val="21"/>
        </w:rPr>
      </w:pPr>
      <w:r>
        <w:rPr>
          <w:rFonts w:ascii="宋体" w:hAnsi="宋体"/>
          <w:szCs w:val="21"/>
        </w:rPr>
        <w:t>单位性质：</w:t>
      </w:r>
      <w:r>
        <w:rPr>
          <w:rFonts w:ascii="宋体" w:hAnsi="宋体"/>
          <w:szCs w:val="21"/>
          <w:u w:val="single"/>
        </w:rPr>
        <w:t xml:space="preserve">                               </w:t>
      </w:r>
      <w:r>
        <w:rPr>
          <w:rFonts w:ascii="宋体" w:hAnsi="宋体"/>
          <w:szCs w:val="21"/>
        </w:rPr>
        <w:t xml:space="preserve"> </w:t>
      </w:r>
    </w:p>
    <w:p>
      <w:pPr>
        <w:spacing w:line="300" w:lineRule="auto"/>
        <w:rPr>
          <w:rFonts w:ascii="宋体" w:hAnsi="宋体"/>
          <w:szCs w:val="21"/>
        </w:rPr>
      </w:pPr>
      <w:r>
        <w:rPr>
          <w:rFonts w:ascii="宋体" w:hAnsi="宋体"/>
          <w:szCs w:val="21"/>
        </w:rPr>
        <w:t>地址：</w:t>
      </w:r>
      <w:r>
        <w:rPr>
          <w:rFonts w:ascii="宋体" w:hAnsi="宋体"/>
          <w:szCs w:val="21"/>
          <w:u w:val="single"/>
        </w:rPr>
        <w:t xml:space="preserve">                                   </w:t>
      </w:r>
    </w:p>
    <w:p>
      <w:pPr>
        <w:spacing w:line="300" w:lineRule="auto"/>
        <w:rPr>
          <w:rFonts w:ascii="宋体" w:hAnsi="宋体"/>
          <w:szCs w:val="21"/>
        </w:rPr>
      </w:pPr>
      <w:r>
        <w:rPr>
          <w:rFonts w:ascii="宋体" w:hAnsi="宋体"/>
          <w:szCs w:val="21"/>
        </w:rPr>
        <w:t>成立时间：</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300" w:lineRule="auto"/>
        <w:rPr>
          <w:rFonts w:ascii="宋体" w:hAnsi="宋体"/>
          <w:szCs w:val="21"/>
        </w:rPr>
      </w:pPr>
      <w:r>
        <w:rPr>
          <w:rFonts w:ascii="宋体" w:hAnsi="宋体"/>
          <w:szCs w:val="21"/>
        </w:rPr>
        <w:t>经营期限：</w:t>
      </w:r>
      <w:r>
        <w:rPr>
          <w:rFonts w:ascii="宋体" w:hAnsi="宋体"/>
          <w:szCs w:val="21"/>
          <w:u w:val="single"/>
        </w:rPr>
        <w:t xml:space="preserve">                               </w:t>
      </w:r>
    </w:p>
    <w:p>
      <w:pPr>
        <w:spacing w:line="300" w:lineRule="auto"/>
        <w:rPr>
          <w:rFonts w:ascii="宋体" w:hAnsi="宋体"/>
          <w:szCs w:val="21"/>
        </w:rPr>
      </w:pPr>
      <w:r>
        <w:rPr>
          <w:rFonts w:ascii="宋体" w:hAnsi="宋体"/>
          <w:szCs w:val="21"/>
        </w:rPr>
        <w:t>姓名：</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 xml:space="preserve"> 性别：</w:t>
      </w:r>
      <w:r>
        <w:rPr>
          <w:rFonts w:ascii="宋体" w:hAnsi="宋体"/>
          <w:szCs w:val="21"/>
          <w:u w:val="single"/>
        </w:rPr>
        <w:t xml:space="preserve">         </w:t>
      </w:r>
      <w:r>
        <w:rPr>
          <w:rFonts w:ascii="宋体" w:hAnsi="宋体"/>
          <w:szCs w:val="21"/>
        </w:rPr>
        <w:t>年龄：</w:t>
      </w:r>
      <w:r>
        <w:rPr>
          <w:rFonts w:ascii="宋体" w:hAnsi="宋体"/>
          <w:szCs w:val="21"/>
          <w:u w:val="single"/>
        </w:rPr>
        <w:t xml:space="preserve">        </w:t>
      </w:r>
      <w:r>
        <w:rPr>
          <w:rFonts w:ascii="宋体" w:hAnsi="宋体"/>
          <w:szCs w:val="21"/>
        </w:rPr>
        <w:t>职务：</w:t>
      </w:r>
      <w:r>
        <w:rPr>
          <w:rFonts w:ascii="宋体" w:hAnsi="宋体"/>
          <w:szCs w:val="21"/>
          <w:u w:val="single"/>
        </w:rPr>
        <w:t xml:space="preserve">        </w:t>
      </w:r>
    </w:p>
    <w:p>
      <w:pPr>
        <w:spacing w:line="300" w:lineRule="auto"/>
        <w:rPr>
          <w:rFonts w:ascii="宋体" w:hAnsi="宋体"/>
          <w:szCs w:val="21"/>
        </w:rPr>
      </w:pPr>
      <w:r>
        <w:rPr>
          <w:rFonts w:ascii="宋体" w:hAnsi="宋体"/>
          <w:szCs w:val="21"/>
        </w:rPr>
        <w:t>系</w:t>
      </w:r>
      <w:r>
        <w:rPr>
          <w:rFonts w:ascii="宋体" w:hAnsi="宋体"/>
          <w:szCs w:val="21"/>
          <w:u w:val="single"/>
        </w:rPr>
        <w:t xml:space="preserve">                             </w:t>
      </w:r>
      <w:r>
        <w:rPr>
          <w:rFonts w:ascii="宋体" w:hAnsi="宋体"/>
          <w:szCs w:val="21"/>
        </w:rPr>
        <w:t xml:space="preserve"> </w:t>
      </w:r>
      <w:r>
        <w:rPr>
          <w:rFonts w:hint="eastAsia" w:ascii="宋体" w:hAnsi="宋体"/>
          <w:szCs w:val="21"/>
        </w:rPr>
        <w:t>（</w:t>
      </w:r>
      <w:r>
        <w:rPr>
          <w:rFonts w:hint="eastAsia" w:ascii="宋体" w:hAnsi="宋体"/>
          <w:szCs w:val="21"/>
          <w:lang w:eastAsia="zh-CN"/>
        </w:rPr>
        <w:t>供应商</w:t>
      </w:r>
      <w:r>
        <w:rPr>
          <w:rFonts w:ascii="宋体" w:hAnsi="宋体"/>
          <w:szCs w:val="21"/>
        </w:rPr>
        <w:t>名称</w:t>
      </w:r>
      <w:r>
        <w:rPr>
          <w:rFonts w:hint="eastAsia" w:ascii="宋体" w:hAnsi="宋体"/>
          <w:szCs w:val="21"/>
        </w:rPr>
        <w:t>）</w:t>
      </w:r>
      <w:r>
        <w:rPr>
          <w:rFonts w:ascii="宋体" w:hAnsi="宋体"/>
          <w:szCs w:val="21"/>
        </w:rPr>
        <w:t>的法定代表人。</w:t>
      </w:r>
    </w:p>
    <w:p>
      <w:pPr>
        <w:spacing w:line="300" w:lineRule="auto"/>
        <w:ind w:firstLine="420" w:firstLineChars="200"/>
        <w:rPr>
          <w:rFonts w:ascii="宋体" w:hAnsi="宋体"/>
          <w:szCs w:val="21"/>
        </w:rPr>
      </w:pPr>
      <w:r>
        <w:rPr>
          <w:rFonts w:ascii="宋体" w:hAnsi="宋体"/>
          <w:szCs w:val="21"/>
        </w:rPr>
        <w:t>特此证明。</w:t>
      </w: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r>
        <w:rPr>
          <w:rFonts w:ascii="宋体" w:hAnsi="宋体"/>
          <w:szCs w:val="21"/>
        </w:rPr>
        <w:t xml:space="preserve">                          </w:t>
      </w:r>
      <w:r>
        <w:rPr>
          <w:rFonts w:hint="eastAsia" w:ascii="宋体" w:hAnsi="宋体"/>
          <w:szCs w:val="21"/>
          <w:lang w:eastAsia="zh-CN"/>
        </w:rPr>
        <w:t>供应商</w:t>
      </w:r>
      <w:r>
        <w:rPr>
          <w:rFonts w:ascii="宋体" w:hAnsi="宋体"/>
          <w:szCs w:val="21"/>
        </w:rPr>
        <w:t>：</w:t>
      </w:r>
      <w:r>
        <w:rPr>
          <w:rFonts w:ascii="宋体" w:hAnsi="宋体"/>
          <w:szCs w:val="21"/>
          <w:u w:val="single"/>
        </w:rPr>
        <w:t xml:space="preserve">                 </w:t>
      </w:r>
      <w:r>
        <w:rPr>
          <w:rFonts w:ascii="宋体" w:hAnsi="宋体"/>
          <w:szCs w:val="21"/>
        </w:rPr>
        <w:t>（盖单位章）</w:t>
      </w:r>
    </w:p>
    <w:p>
      <w:pPr>
        <w:spacing w:line="300" w:lineRule="auto"/>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 xml:space="preserve">日           </w:t>
      </w:r>
    </w:p>
    <w:p>
      <w:pPr>
        <w:spacing w:line="300" w:lineRule="auto"/>
        <w:jc w:val="center"/>
        <w:rPr>
          <w:rFonts w:ascii="宋体" w:hAnsi="宋体"/>
          <w:sz w:val="20"/>
          <w:szCs w:val="20"/>
        </w:rPr>
      </w:pPr>
      <w:r>
        <w:rPr>
          <w:rFonts w:ascii="宋体" w:hAnsi="宋体"/>
          <w:sz w:val="20"/>
          <w:szCs w:val="20"/>
        </w:rPr>
        <w:br w:type="page"/>
      </w:r>
    </w:p>
    <w:p>
      <w:pPr>
        <w:pStyle w:val="3"/>
        <w:spacing w:before="0" w:after="0" w:line="300" w:lineRule="auto"/>
        <w:jc w:val="center"/>
        <w:rPr>
          <w:rFonts w:ascii="宋体" w:hAnsi="宋体" w:eastAsia="宋体"/>
        </w:rPr>
      </w:pPr>
      <w:bookmarkStart w:id="136" w:name="_Toc351644316"/>
      <w:bookmarkStart w:id="137" w:name="_Toc350070698"/>
      <w:bookmarkStart w:id="138" w:name="_Toc409424410"/>
      <w:bookmarkStart w:id="139" w:name="_Toc409424349"/>
      <w:bookmarkStart w:id="140" w:name="_Toc468267487"/>
      <w:r>
        <w:rPr>
          <w:rFonts w:hint="eastAsia" w:ascii="宋体" w:hAnsi="宋体" w:eastAsia="宋体"/>
        </w:rPr>
        <w:t>（二）</w:t>
      </w:r>
      <w:r>
        <w:rPr>
          <w:rFonts w:ascii="宋体" w:hAnsi="宋体" w:eastAsia="宋体"/>
        </w:rPr>
        <w:t>授权委托书</w:t>
      </w:r>
      <w:bookmarkEnd w:id="136"/>
      <w:bookmarkEnd w:id="137"/>
      <w:bookmarkEnd w:id="138"/>
      <w:bookmarkEnd w:id="139"/>
      <w:bookmarkEnd w:id="140"/>
    </w:p>
    <w:p>
      <w:pPr>
        <w:spacing w:line="300" w:lineRule="auto"/>
        <w:rPr>
          <w:rFonts w:ascii="宋体" w:hAnsi="宋体"/>
          <w:szCs w:val="21"/>
        </w:rPr>
      </w:pPr>
    </w:p>
    <w:p>
      <w:pPr>
        <w:topLinePunct/>
        <w:spacing w:line="300" w:lineRule="auto"/>
        <w:ind w:firstLine="420" w:firstLineChars="200"/>
        <w:rPr>
          <w:rFonts w:ascii="宋体" w:hAnsi="宋体"/>
          <w:szCs w:val="21"/>
        </w:rPr>
      </w:pPr>
      <w:r>
        <w:rPr>
          <w:rFonts w:ascii="宋体" w:hAnsi="宋体"/>
          <w:szCs w:val="21"/>
        </w:rPr>
        <w:t>本人</w:t>
      </w:r>
      <w:r>
        <w:rPr>
          <w:rFonts w:ascii="宋体" w:hAnsi="宋体"/>
          <w:szCs w:val="21"/>
          <w:u w:val="single"/>
        </w:rPr>
        <w:t xml:space="preserve">       </w:t>
      </w:r>
      <w:r>
        <w:rPr>
          <w:rFonts w:ascii="宋体" w:hAnsi="宋体"/>
          <w:szCs w:val="21"/>
        </w:rPr>
        <w:t>（姓名）系</w:t>
      </w:r>
      <w:r>
        <w:rPr>
          <w:rFonts w:ascii="宋体" w:hAnsi="宋体"/>
          <w:szCs w:val="21"/>
          <w:u w:val="single"/>
        </w:rPr>
        <w:t xml:space="preserve">        </w:t>
      </w:r>
      <w:r>
        <w:rPr>
          <w:rFonts w:ascii="宋体" w:hAnsi="宋体"/>
          <w:szCs w:val="21"/>
        </w:rPr>
        <w:t>（</w:t>
      </w:r>
      <w:r>
        <w:rPr>
          <w:rFonts w:hint="eastAsia" w:ascii="宋体" w:hAnsi="宋体"/>
          <w:szCs w:val="21"/>
          <w:lang w:eastAsia="zh-CN"/>
        </w:rPr>
        <w:t>供应商</w:t>
      </w:r>
      <w:r>
        <w:rPr>
          <w:rFonts w:ascii="宋体" w:hAnsi="宋体"/>
          <w:szCs w:val="21"/>
        </w:rPr>
        <w:t>名称）的法定代表人，现委托</w:t>
      </w:r>
      <w:r>
        <w:rPr>
          <w:rFonts w:ascii="宋体" w:hAnsi="宋体"/>
          <w:szCs w:val="21"/>
          <w:u w:val="single"/>
        </w:rPr>
        <w:t xml:space="preserve">        </w:t>
      </w:r>
      <w:r>
        <w:rPr>
          <w:rFonts w:ascii="宋体" w:hAnsi="宋体"/>
          <w:szCs w:val="21"/>
        </w:rPr>
        <w:t>（姓名）为我方代理人。代理人根据授权，以我方名义签署、澄清</w:t>
      </w:r>
      <w:r>
        <w:rPr>
          <w:rFonts w:hint="eastAsia" w:ascii="宋体" w:hAnsi="宋体"/>
          <w:szCs w:val="21"/>
        </w:rPr>
        <w:t>、说明、补正</w:t>
      </w:r>
      <w:r>
        <w:rPr>
          <w:rFonts w:ascii="宋体" w:hAnsi="宋体"/>
          <w:szCs w:val="21"/>
        </w:rPr>
        <w:t>、递交、撤回、修改</w:t>
      </w:r>
      <w:r>
        <w:rPr>
          <w:rFonts w:ascii="宋体" w:hAnsi="宋体"/>
          <w:szCs w:val="21"/>
          <w:u w:val="single"/>
        </w:rPr>
        <w:t xml:space="preserve">           </w:t>
      </w:r>
      <w:r>
        <w:rPr>
          <w:rFonts w:ascii="宋体" w:hAnsi="宋体"/>
          <w:szCs w:val="21"/>
        </w:rPr>
        <w:t>（项目名称）投标文件、签订合同和处理有关事宜，其法律后果由我方承担。</w:t>
      </w:r>
    </w:p>
    <w:p>
      <w:pPr>
        <w:spacing w:line="300" w:lineRule="auto"/>
        <w:rPr>
          <w:rFonts w:ascii="宋体" w:hAnsi="宋体"/>
          <w:szCs w:val="21"/>
        </w:rPr>
      </w:pPr>
      <w:r>
        <w:rPr>
          <w:rFonts w:ascii="宋体" w:hAnsi="宋体"/>
          <w:szCs w:val="21"/>
        </w:rPr>
        <w:t xml:space="preserve">    委托期限：</w:t>
      </w:r>
      <w:r>
        <w:rPr>
          <w:rFonts w:ascii="宋体" w:hAnsi="宋体"/>
          <w:szCs w:val="21"/>
          <w:u w:val="single"/>
        </w:rPr>
        <w:t xml:space="preserve">             </w:t>
      </w:r>
      <w:r>
        <w:rPr>
          <w:rFonts w:hint="eastAsia" w:ascii="宋体" w:hAnsi="宋体"/>
          <w:szCs w:val="21"/>
        </w:rPr>
        <w:t>。</w:t>
      </w:r>
    </w:p>
    <w:p>
      <w:pPr>
        <w:spacing w:line="300" w:lineRule="auto"/>
        <w:ind w:firstLine="420" w:firstLineChars="200"/>
        <w:rPr>
          <w:rFonts w:ascii="宋体" w:hAnsi="宋体"/>
          <w:szCs w:val="21"/>
        </w:rPr>
      </w:pPr>
      <w:r>
        <w:rPr>
          <w:rFonts w:ascii="宋体" w:hAnsi="宋体"/>
          <w:szCs w:val="21"/>
        </w:rPr>
        <w:t>代理人无转委托权。</w:t>
      </w:r>
    </w:p>
    <w:p>
      <w:pPr>
        <w:spacing w:line="300" w:lineRule="auto"/>
        <w:ind w:firstLine="420" w:firstLineChars="200"/>
        <w:rPr>
          <w:rFonts w:ascii="宋体" w:hAnsi="宋体"/>
          <w:szCs w:val="21"/>
        </w:rPr>
      </w:pPr>
      <w:r>
        <w:rPr>
          <w:rFonts w:hint="eastAsia" w:ascii="宋体" w:hAnsi="宋体"/>
          <w:szCs w:val="21"/>
        </w:rPr>
        <w:t>附：法定代表人及授权代理人身份证复印件</w:t>
      </w: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lang w:eastAsia="zh-CN"/>
        </w:rPr>
        <w:t>供应商</w:t>
      </w:r>
      <w:r>
        <w:rPr>
          <w:rFonts w:ascii="宋体" w:hAnsi="宋体"/>
          <w:szCs w:val="21"/>
        </w:rPr>
        <w:t>：</w:t>
      </w:r>
      <w:r>
        <w:rPr>
          <w:rFonts w:ascii="宋体" w:hAnsi="宋体"/>
          <w:szCs w:val="21"/>
          <w:u w:val="single"/>
        </w:rPr>
        <w:t xml:space="preserve">                               </w:t>
      </w:r>
      <w:r>
        <w:rPr>
          <w:rFonts w:ascii="宋体" w:hAnsi="宋体"/>
          <w:szCs w:val="21"/>
        </w:rPr>
        <w:t>（盖单位章）</w:t>
      </w:r>
    </w:p>
    <w:p>
      <w:pPr>
        <w:spacing w:line="300" w:lineRule="auto"/>
        <w:rPr>
          <w:rFonts w:ascii="宋体" w:hAnsi="宋体"/>
          <w:szCs w:val="21"/>
        </w:rPr>
      </w:pPr>
    </w:p>
    <w:p>
      <w:pPr>
        <w:spacing w:line="300" w:lineRule="auto"/>
        <w:rPr>
          <w:rFonts w:ascii="宋体" w:hAnsi="宋体"/>
          <w:szCs w:val="21"/>
        </w:rPr>
      </w:pPr>
      <w:r>
        <w:rPr>
          <w:rFonts w:ascii="宋体" w:hAnsi="宋体"/>
          <w:szCs w:val="21"/>
        </w:rPr>
        <w:t>法定代表人：</w:t>
      </w:r>
      <w:r>
        <w:rPr>
          <w:rFonts w:ascii="宋体" w:hAnsi="宋体"/>
          <w:szCs w:val="21"/>
          <w:u w:val="single"/>
        </w:rPr>
        <w:t xml:space="preserve">                               </w:t>
      </w:r>
      <w:r>
        <w:rPr>
          <w:rFonts w:ascii="宋体" w:hAnsi="宋体"/>
          <w:color w:val="auto"/>
          <w:szCs w:val="21"/>
        </w:rPr>
        <w:t>（签字</w:t>
      </w:r>
      <w:r>
        <w:rPr>
          <w:rFonts w:hint="eastAsia" w:ascii="宋体" w:hAnsi="宋体"/>
          <w:color w:val="auto"/>
          <w:szCs w:val="21"/>
        </w:rPr>
        <w:t>、</w:t>
      </w:r>
      <w:r>
        <w:rPr>
          <w:rFonts w:ascii="宋体" w:hAnsi="宋体"/>
          <w:color w:val="auto"/>
          <w:szCs w:val="21"/>
        </w:rPr>
        <w:t>盖章）</w:t>
      </w:r>
    </w:p>
    <w:p>
      <w:pPr>
        <w:spacing w:line="300" w:lineRule="auto"/>
        <w:rPr>
          <w:rFonts w:ascii="宋体" w:hAnsi="宋体"/>
          <w:szCs w:val="21"/>
        </w:rPr>
      </w:pPr>
    </w:p>
    <w:p>
      <w:pPr>
        <w:spacing w:line="300" w:lineRule="auto"/>
        <w:rPr>
          <w:rFonts w:ascii="宋体" w:hAnsi="宋体"/>
          <w:szCs w:val="21"/>
        </w:rPr>
      </w:pPr>
      <w:r>
        <w:rPr>
          <w:rFonts w:ascii="宋体" w:hAnsi="宋体"/>
          <w:szCs w:val="21"/>
        </w:rPr>
        <w:t>身份证号码：</w:t>
      </w:r>
      <w:r>
        <w:rPr>
          <w:rFonts w:ascii="宋体" w:hAnsi="宋体"/>
          <w:szCs w:val="21"/>
          <w:u w:val="single"/>
        </w:rPr>
        <w:t xml:space="preserve">                                     </w:t>
      </w:r>
    </w:p>
    <w:p>
      <w:pPr>
        <w:spacing w:line="300" w:lineRule="auto"/>
        <w:rPr>
          <w:rFonts w:ascii="宋体" w:hAnsi="宋体"/>
          <w:szCs w:val="21"/>
        </w:rPr>
      </w:pPr>
    </w:p>
    <w:p>
      <w:pPr>
        <w:spacing w:line="300" w:lineRule="auto"/>
        <w:rPr>
          <w:rFonts w:ascii="宋体" w:hAnsi="宋体"/>
          <w:szCs w:val="21"/>
        </w:rPr>
      </w:pPr>
      <w:r>
        <w:rPr>
          <w:rFonts w:ascii="宋体" w:hAnsi="宋体"/>
          <w:szCs w:val="21"/>
        </w:rPr>
        <w:t>委托代理人：</w:t>
      </w:r>
      <w:r>
        <w:rPr>
          <w:rFonts w:ascii="宋体" w:hAnsi="宋体"/>
          <w:szCs w:val="21"/>
          <w:u w:val="single"/>
        </w:rPr>
        <w:t xml:space="preserve">                                   </w:t>
      </w:r>
      <w:r>
        <w:rPr>
          <w:rFonts w:ascii="宋体" w:hAnsi="宋体"/>
          <w:szCs w:val="21"/>
        </w:rPr>
        <w:t xml:space="preserve">（签字） </w:t>
      </w:r>
    </w:p>
    <w:p>
      <w:pPr>
        <w:spacing w:line="300" w:lineRule="auto"/>
        <w:rPr>
          <w:rFonts w:ascii="宋体" w:hAnsi="宋体"/>
          <w:szCs w:val="21"/>
        </w:rPr>
      </w:pPr>
    </w:p>
    <w:p>
      <w:pPr>
        <w:spacing w:line="300" w:lineRule="auto"/>
        <w:rPr>
          <w:rFonts w:ascii="宋体" w:hAnsi="宋体"/>
          <w:szCs w:val="21"/>
        </w:rPr>
      </w:pPr>
      <w:r>
        <w:rPr>
          <w:rFonts w:ascii="宋体" w:hAnsi="宋体"/>
          <w:szCs w:val="21"/>
        </w:rPr>
        <w:t>身份证号码：</w:t>
      </w:r>
      <w:r>
        <w:rPr>
          <w:rFonts w:ascii="宋体" w:hAnsi="宋体"/>
          <w:szCs w:val="21"/>
          <w:u w:val="single"/>
        </w:rPr>
        <w:t xml:space="preserve">                                      </w:t>
      </w:r>
    </w:p>
    <w:p>
      <w:pPr>
        <w:spacing w:line="300" w:lineRule="auto"/>
        <w:rPr>
          <w:rFonts w:ascii="宋体" w:hAnsi="宋体"/>
          <w:szCs w:val="21"/>
        </w:rPr>
      </w:pPr>
    </w:p>
    <w:p>
      <w:pPr>
        <w:spacing w:line="300" w:lineRule="auto"/>
        <w:rPr>
          <w:rFonts w:ascii="宋体" w:hAnsi="宋体"/>
          <w:szCs w:val="21"/>
        </w:rPr>
      </w:pPr>
    </w:p>
    <w:p>
      <w:pPr>
        <w:spacing w:line="300" w:lineRule="auto"/>
        <w:ind w:firstLine="2310" w:firstLineChars="1100"/>
        <w:rPr>
          <w:rFonts w:ascii="宋体" w:hAnsi="宋体"/>
          <w:szCs w:val="21"/>
        </w:rPr>
      </w:pP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300" w:lineRule="auto"/>
        <w:rPr>
          <w:rFonts w:ascii="宋体" w:hAnsi="宋体"/>
        </w:rPr>
      </w:pPr>
      <w:r>
        <w:rPr>
          <w:rFonts w:ascii="宋体" w:hAnsi="宋体"/>
          <w:sz w:val="20"/>
          <w:szCs w:val="20"/>
        </w:rPr>
        <w:br w:type="page"/>
      </w:r>
    </w:p>
    <w:p>
      <w:pPr>
        <w:pStyle w:val="3"/>
        <w:spacing w:before="0" w:after="0" w:line="300" w:lineRule="auto"/>
        <w:jc w:val="center"/>
        <w:rPr>
          <w:rFonts w:ascii="宋体" w:hAnsi="宋体" w:eastAsia="宋体"/>
        </w:rPr>
      </w:pPr>
      <w:bookmarkStart w:id="141" w:name="_Toc409424350"/>
      <w:bookmarkStart w:id="142" w:name="_Toc409424411"/>
      <w:bookmarkStart w:id="143" w:name="_Toc351644317"/>
      <w:bookmarkStart w:id="144" w:name="_Toc468267488"/>
      <w:bookmarkStart w:id="145" w:name="_Toc350070699"/>
      <w:r>
        <w:rPr>
          <w:rFonts w:hint="eastAsia" w:ascii="宋体" w:hAnsi="宋体" w:eastAsia="宋体"/>
        </w:rPr>
        <w:t>四</w:t>
      </w:r>
      <w:r>
        <w:rPr>
          <w:rFonts w:ascii="宋体" w:hAnsi="宋体" w:eastAsia="宋体"/>
        </w:rPr>
        <w:t>、投标保证金</w:t>
      </w:r>
      <w:bookmarkEnd w:id="141"/>
      <w:bookmarkEnd w:id="142"/>
      <w:bookmarkEnd w:id="143"/>
      <w:bookmarkEnd w:id="144"/>
      <w:bookmarkEnd w:id="145"/>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autoSpaceDE w:val="0"/>
        <w:autoSpaceDN w:val="0"/>
        <w:adjustRightInd w:val="0"/>
        <w:spacing w:line="300" w:lineRule="auto"/>
        <w:jc w:val="center"/>
        <w:rPr>
          <w:rFonts w:ascii="宋体" w:hAnsi="宋体" w:cs="宋体-18030"/>
          <w:szCs w:val="21"/>
          <w:lang w:val="zh-CN"/>
        </w:rPr>
      </w:pPr>
    </w:p>
    <w:p>
      <w:pPr>
        <w:autoSpaceDE w:val="0"/>
        <w:autoSpaceDN w:val="0"/>
        <w:adjustRightInd w:val="0"/>
        <w:spacing w:line="300" w:lineRule="auto"/>
        <w:jc w:val="center"/>
        <w:rPr>
          <w:rFonts w:ascii="宋体" w:hAnsi="宋体" w:cs="宋体-18030"/>
          <w:szCs w:val="21"/>
          <w:lang w:val="zh-CN"/>
        </w:rPr>
      </w:pPr>
    </w:p>
    <w:p>
      <w:pPr>
        <w:autoSpaceDE w:val="0"/>
        <w:autoSpaceDN w:val="0"/>
        <w:adjustRightInd w:val="0"/>
        <w:spacing w:line="300" w:lineRule="auto"/>
        <w:jc w:val="center"/>
        <w:rPr>
          <w:rFonts w:ascii="宋体" w:hAnsi="宋体" w:cs="宋体-18030"/>
          <w:szCs w:val="21"/>
          <w:lang w:val="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3" w:hRule="atLeast"/>
        </w:trPr>
        <w:tc>
          <w:tcPr>
            <w:tcW w:w="9457" w:type="dxa"/>
          </w:tcPr>
          <w:p>
            <w:pPr>
              <w:autoSpaceDE w:val="0"/>
              <w:autoSpaceDN w:val="0"/>
              <w:adjustRightInd w:val="0"/>
              <w:spacing w:line="300" w:lineRule="auto"/>
              <w:rPr>
                <w:rFonts w:ascii="宋体" w:hAnsi="宋体" w:cs="宋体-18030"/>
                <w:szCs w:val="21"/>
                <w:lang w:val="zh-CN"/>
              </w:rPr>
            </w:pPr>
          </w:p>
          <w:p>
            <w:pPr>
              <w:autoSpaceDE w:val="0"/>
              <w:autoSpaceDN w:val="0"/>
              <w:adjustRightInd w:val="0"/>
              <w:spacing w:line="300" w:lineRule="auto"/>
              <w:jc w:val="center"/>
              <w:rPr>
                <w:rFonts w:ascii="宋体" w:hAnsi="宋体" w:cs="宋体-18030"/>
                <w:bCs/>
                <w:szCs w:val="21"/>
              </w:rPr>
            </w:pPr>
            <w:r>
              <w:rPr>
                <w:rFonts w:hint="eastAsia" w:ascii="宋体" w:hAnsi="宋体" w:cs="宋体-18030"/>
                <w:szCs w:val="21"/>
                <w:lang w:val="zh-CN"/>
              </w:rPr>
              <w:t>附：</w:t>
            </w:r>
            <w:bookmarkStart w:id="146" w:name="_Toc345510789"/>
            <w:bookmarkStart w:id="147" w:name="_Toc324439465"/>
            <w:bookmarkStart w:id="148" w:name="_Toc327777595"/>
            <w:bookmarkStart w:id="149" w:name="_Toc326308049"/>
            <w:bookmarkStart w:id="150" w:name="_Toc325566802"/>
            <w:bookmarkStart w:id="151" w:name="_Toc324251628"/>
            <w:bookmarkStart w:id="152" w:name="_Toc324249575"/>
            <w:bookmarkStart w:id="153" w:name="_Toc325613974"/>
            <w:r>
              <w:rPr>
                <w:rFonts w:hint="eastAsia" w:ascii="宋体" w:hAnsi="宋体" w:cs="宋体-18030"/>
                <w:szCs w:val="21"/>
                <w:lang w:val="zh-CN"/>
              </w:rPr>
              <w:t>基本账户开户许可证、</w:t>
            </w:r>
            <w:r>
              <w:rPr>
                <w:rFonts w:hint="eastAsia" w:ascii="宋体" w:hAnsi="宋体" w:cs="宋体-18030"/>
                <w:bCs/>
                <w:szCs w:val="21"/>
              </w:rPr>
              <w:t>投标保证金缴纳凭证</w:t>
            </w:r>
            <w:bookmarkEnd w:id="146"/>
            <w:bookmarkEnd w:id="147"/>
            <w:bookmarkEnd w:id="148"/>
            <w:bookmarkEnd w:id="149"/>
            <w:bookmarkEnd w:id="150"/>
            <w:bookmarkEnd w:id="151"/>
            <w:bookmarkEnd w:id="152"/>
            <w:bookmarkEnd w:id="153"/>
            <w:r>
              <w:rPr>
                <w:rFonts w:hint="eastAsia" w:ascii="宋体" w:hAnsi="宋体" w:cs="宋体-18030"/>
                <w:bCs/>
                <w:szCs w:val="21"/>
              </w:rPr>
              <w:t>粘贴于此。</w:t>
            </w:r>
          </w:p>
          <w:p>
            <w:pPr>
              <w:autoSpaceDE w:val="0"/>
              <w:autoSpaceDN w:val="0"/>
              <w:adjustRightInd w:val="0"/>
              <w:spacing w:line="300" w:lineRule="auto"/>
              <w:jc w:val="center"/>
              <w:rPr>
                <w:rFonts w:ascii="宋体" w:hAnsi="宋体" w:cs="宋体-18030"/>
                <w:szCs w:val="21"/>
                <w:lang w:val="zh-CN"/>
              </w:rPr>
            </w:pPr>
          </w:p>
        </w:tc>
      </w:tr>
    </w:tbl>
    <w:p>
      <w:pPr>
        <w:autoSpaceDE w:val="0"/>
        <w:autoSpaceDN w:val="0"/>
        <w:adjustRightInd w:val="0"/>
        <w:spacing w:line="300" w:lineRule="auto"/>
        <w:jc w:val="center"/>
        <w:rPr>
          <w:rFonts w:ascii="宋体" w:hAnsi="宋体" w:cs="宋体-18030"/>
          <w:szCs w:val="21"/>
          <w:lang w:val="zh-CN"/>
        </w:rPr>
      </w:pPr>
    </w:p>
    <w:p>
      <w:pPr>
        <w:autoSpaceDE w:val="0"/>
        <w:autoSpaceDN w:val="0"/>
        <w:adjustRightInd w:val="0"/>
        <w:spacing w:line="300" w:lineRule="auto"/>
        <w:jc w:val="center"/>
        <w:rPr>
          <w:rFonts w:ascii="宋体" w:hAnsi="宋体" w:cs="宋体-18030"/>
          <w:szCs w:val="21"/>
          <w:lang w:val="zh-CN"/>
        </w:rPr>
      </w:pPr>
    </w:p>
    <w:p>
      <w:pPr>
        <w:autoSpaceDE w:val="0"/>
        <w:autoSpaceDN w:val="0"/>
        <w:adjustRightInd w:val="0"/>
        <w:spacing w:line="300" w:lineRule="auto"/>
        <w:jc w:val="center"/>
        <w:rPr>
          <w:rFonts w:ascii="宋体" w:hAnsi="宋体" w:cs="宋体-18030"/>
          <w:szCs w:val="21"/>
          <w:lang w:val="zh-CN"/>
        </w:rPr>
      </w:pPr>
      <w:r>
        <w:rPr>
          <w:rFonts w:hint="eastAsia" w:ascii="宋体" w:hAnsi="宋体" w:cs="宋体-18030"/>
          <w:szCs w:val="21"/>
          <w:lang w:val="zh-CN"/>
        </w:rPr>
        <w:t>注：如无需缴纳投标保证金，写明无需缴纳即可。</w:t>
      </w:r>
    </w:p>
    <w:p>
      <w:pPr>
        <w:spacing w:line="300" w:lineRule="auto"/>
        <w:rPr>
          <w:rFonts w:ascii="宋体" w:hAnsi="宋体"/>
          <w:szCs w:val="21"/>
        </w:rPr>
      </w:pPr>
    </w:p>
    <w:p>
      <w:pPr>
        <w:spacing w:line="300" w:lineRule="auto"/>
        <w:jc w:val="center"/>
        <w:rPr>
          <w:rFonts w:ascii="宋体" w:hAnsi="宋体"/>
          <w:sz w:val="27"/>
          <w:szCs w:val="27"/>
        </w:rPr>
      </w:pPr>
      <w:r>
        <w:rPr>
          <w:rFonts w:ascii="宋体" w:hAnsi="宋体"/>
          <w:sz w:val="20"/>
          <w:szCs w:val="20"/>
        </w:rPr>
        <w:br w:type="page"/>
      </w:r>
    </w:p>
    <w:p>
      <w:pPr>
        <w:ind w:firstLine="2731" w:firstLineChars="850"/>
        <w:rPr>
          <w:rFonts w:ascii="宋体" w:cs="宋体"/>
          <w:b/>
          <w:color w:val="000000"/>
          <w:sz w:val="32"/>
          <w:szCs w:val="32"/>
        </w:rPr>
      </w:pPr>
      <w:r>
        <w:rPr>
          <w:rFonts w:hint="eastAsia" w:ascii="宋体" w:cs="宋体"/>
          <w:b/>
          <w:color w:val="000000"/>
          <w:sz w:val="32"/>
          <w:szCs w:val="32"/>
          <w:lang w:val="en-US" w:eastAsia="zh-CN"/>
        </w:rPr>
        <w:t>五</w:t>
      </w:r>
      <w:r>
        <w:rPr>
          <w:rFonts w:hint="eastAsia" w:ascii="宋体" w:cs="宋体"/>
          <w:b/>
          <w:color w:val="000000"/>
          <w:sz w:val="32"/>
          <w:szCs w:val="32"/>
        </w:rPr>
        <w:t>、详细报价表</w:t>
      </w:r>
    </w:p>
    <w:p>
      <w:pPr>
        <w:rPr>
          <w:rFonts w:ascii="宋体" w:cs="仿宋_GB2312"/>
          <w:color w:val="000000"/>
          <w:spacing w:val="14"/>
          <w:sz w:val="32"/>
          <w:szCs w:val="32"/>
        </w:rPr>
      </w:pPr>
      <w:r>
        <w:rPr>
          <w:rFonts w:ascii="宋体" w:cs="宋体"/>
          <w:color w:val="000000"/>
          <w:sz w:val="24"/>
        </w:rPr>
        <mc:AlternateContent>
          <mc:Choice Requires="wps">
            <w:drawing>
              <wp:anchor distT="0" distB="0" distL="113665" distR="113665" simplePos="0" relativeHeight="251659264" behindDoc="0" locked="0" layoutInCell="1" allowOverlap="1">
                <wp:simplePos x="0" y="0"/>
                <wp:positionH relativeFrom="column">
                  <wp:posOffset>-28575</wp:posOffset>
                </wp:positionH>
                <wp:positionV relativeFrom="paragraph">
                  <wp:posOffset>252095</wp:posOffset>
                </wp:positionV>
                <wp:extent cx="5524500" cy="2441575"/>
                <wp:effectExtent l="4445" t="4445" r="18415" b="7620"/>
                <wp:wrapNone/>
                <wp:docPr id="4" name="矩形 11"/>
                <wp:cNvGraphicFramePr/>
                <a:graphic xmlns:a="http://schemas.openxmlformats.org/drawingml/2006/main">
                  <a:graphicData uri="http://schemas.microsoft.com/office/word/2010/wordprocessingShape">
                    <wps:wsp>
                      <wps:cNvSpPr/>
                      <wps:spPr>
                        <a:xfrm>
                          <a:off x="0" y="0"/>
                          <a:ext cx="5524500" cy="2441575"/>
                        </a:xfrm>
                        <a:prstGeom prst="rect">
                          <a:avLst/>
                        </a:prstGeom>
                        <a:solidFill>
                          <a:srgbClr val="FFFFFF"/>
                        </a:solidFill>
                        <a:ln w="9525" cap="flat" cmpd="sng">
                          <a:solidFill>
                            <a:srgbClr val="000000"/>
                          </a:solidFill>
                          <a:prstDash val="solid"/>
                          <a:miter/>
                        </a:ln>
                      </wps:spPr>
                      <wps:txbx>
                        <w:txbxContent>
                          <w:p>
                            <w:pPr>
                              <w:jc w:val="center"/>
                              <w:rPr>
                                <w:rFonts w:ascii="仿宋_GB2312" w:eastAsia="仿宋_GB2312"/>
                                <w:sz w:val="30"/>
                                <w:szCs w:val="30"/>
                              </w:rPr>
                            </w:pPr>
                          </w:p>
                          <w:p>
                            <w:pPr>
                              <w:jc w:val="center"/>
                              <w:rPr>
                                <w:rFonts w:ascii="仿宋_GB2312" w:eastAsia="仿宋_GB2312"/>
                                <w:sz w:val="30"/>
                                <w:szCs w:val="30"/>
                              </w:rPr>
                            </w:pPr>
                          </w:p>
                          <w:p>
                            <w:pPr>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格式自拟</w:t>
                            </w: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txbxContent>
                      </wps:txbx>
                      <wps:bodyPr vert="horz" wrap="square" lIns="91440" tIns="45720" rIns="91440" bIns="45720" anchor="t" anchorCtr="0" upright="1">
                        <a:noAutofit/>
                      </wps:bodyPr>
                    </wps:wsp>
                  </a:graphicData>
                </a:graphic>
              </wp:anchor>
            </w:drawing>
          </mc:Choice>
          <mc:Fallback>
            <w:pict>
              <v:rect id="矩形 11" o:spid="_x0000_s1026" o:spt="1" style="position:absolute;left:0pt;margin-left:-2.25pt;margin-top:19.85pt;height:192.25pt;width:435pt;z-index:251659264;mso-width-relative:page;mso-height-relative:page;" fillcolor="#FFFFFF" filled="t" stroked="t" coordsize="21600,21600" o:gfxdata="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F/&#10;np7ZAAAACQEAAA8AAAAAAAAAAQAgAAAAIgAAAGRycy9kb3ducmV2LnhtbFBLAQIUABQAAAAIAIdO&#10;4kAU0SxBIgIAAFgEAAAOAAAAAAAAAAEAIAAAACgBAABkcnMvZTJvRG9jLnhtbFBLBQYAAAAABgAG&#10;AFkBAAC8BQAAAAA=&#10;">
                <v:fill on="t" focussize="0,0"/>
                <v:stroke color="#000000" joinstyle="miter"/>
                <v:imagedata o:title=""/>
                <o:lock v:ext="edit" aspectratio="f"/>
                <v:textbox>
                  <w:txbxContent>
                    <w:p>
                      <w:pPr>
                        <w:jc w:val="center"/>
                        <w:rPr>
                          <w:rFonts w:ascii="仿宋_GB2312" w:eastAsia="仿宋_GB2312"/>
                          <w:sz w:val="30"/>
                          <w:szCs w:val="30"/>
                        </w:rPr>
                      </w:pPr>
                    </w:p>
                    <w:p>
                      <w:pPr>
                        <w:jc w:val="center"/>
                        <w:rPr>
                          <w:rFonts w:ascii="仿宋_GB2312" w:eastAsia="仿宋_GB2312"/>
                          <w:sz w:val="30"/>
                          <w:szCs w:val="30"/>
                        </w:rPr>
                      </w:pPr>
                    </w:p>
                    <w:p>
                      <w:pPr>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格式自拟</w:t>
                      </w: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txbxContent>
                </v:textbox>
              </v:rect>
            </w:pict>
          </mc:Fallback>
        </mc:AlternateContent>
      </w:r>
    </w:p>
    <w:p>
      <w:pPr>
        <w:rPr>
          <w:rFonts w:ascii="宋体" w:cs="仿宋_GB2312"/>
          <w:color w:val="000000"/>
          <w:spacing w:val="14"/>
          <w:sz w:val="32"/>
          <w:szCs w:val="32"/>
        </w:rPr>
      </w:pPr>
    </w:p>
    <w:p>
      <w:pPr>
        <w:rPr>
          <w:rFonts w:ascii="宋体" w:cs="仿宋_GB2312"/>
          <w:color w:val="000000"/>
          <w:spacing w:val="14"/>
          <w:sz w:val="32"/>
          <w:szCs w:val="32"/>
        </w:rPr>
      </w:pPr>
    </w:p>
    <w:p>
      <w:pPr>
        <w:rPr>
          <w:rFonts w:ascii="宋体" w:cs="仿宋_GB2312"/>
          <w:color w:val="000000"/>
          <w:spacing w:val="14"/>
          <w:sz w:val="32"/>
          <w:szCs w:val="32"/>
        </w:rPr>
      </w:pPr>
    </w:p>
    <w:p>
      <w:pPr>
        <w:rPr>
          <w:rFonts w:ascii="宋体" w:cs="仿宋_GB2312"/>
          <w:color w:val="000000"/>
          <w:spacing w:val="14"/>
          <w:sz w:val="32"/>
          <w:szCs w:val="32"/>
        </w:rPr>
      </w:pPr>
    </w:p>
    <w:p>
      <w:pPr>
        <w:rPr>
          <w:rFonts w:ascii="宋体" w:cs="仿宋_GB2312"/>
          <w:color w:val="000000"/>
          <w:spacing w:val="14"/>
          <w:sz w:val="32"/>
          <w:szCs w:val="32"/>
        </w:rPr>
      </w:pPr>
    </w:p>
    <w:p>
      <w:pPr>
        <w:rPr>
          <w:rFonts w:ascii="宋体" w:cs="仿宋_GB2312"/>
          <w:color w:val="000000"/>
          <w:spacing w:val="14"/>
          <w:sz w:val="32"/>
          <w:szCs w:val="32"/>
        </w:rPr>
      </w:pPr>
    </w:p>
    <w:p>
      <w:pPr>
        <w:rPr>
          <w:rFonts w:ascii="宋体" w:cs="仿宋_GB2312"/>
          <w:color w:val="000000"/>
          <w:spacing w:val="14"/>
          <w:sz w:val="32"/>
          <w:szCs w:val="32"/>
        </w:rPr>
      </w:pPr>
    </w:p>
    <w:p>
      <w:pPr>
        <w:rPr>
          <w:rFonts w:ascii="宋体" w:cs="仿宋_GB2312"/>
          <w:color w:val="000000"/>
          <w:spacing w:val="14"/>
          <w:sz w:val="32"/>
          <w:szCs w:val="32"/>
        </w:rPr>
      </w:pPr>
    </w:p>
    <w:p>
      <w:pPr>
        <w:autoSpaceDE w:val="0"/>
        <w:autoSpaceDN w:val="0"/>
        <w:adjustRightInd w:val="0"/>
        <w:snapToGrid w:val="0"/>
        <w:spacing w:line="360" w:lineRule="auto"/>
        <w:ind w:firstLine="630" w:firstLineChars="300"/>
        <w:rPr>
          <w:rFonts w:ascii="宋体" w:cs="宋体"/>
          <w:color w:val="000000"/>
          <w:szCs w:val="21"/>
        </w:rPr>
      </w:pPr>
    </w:p>
    <w:p>
      <w:pPr>
        <w:autoSpaceDE w:val="0"/>
        <w:autoSpaceDN w:val="0"/>
        <w:adjustRightInd w:val="0"/>
        <w:snapToGrid w:val="0"/>
        <w:spacing w:line="360" w:lineRule="auto"/>
        <w:ind w:firstLine="630" w:firstLineChars="300"/>
        <w:rPr>
          <w:rFonts w:ascii="宋体" w:cs="宋体"/>
          <w:color w:val="000000"/>
          <w:szCs w:val="21"/>
        </w:rPr>
      </w:pPr>
    </w:p>
    <w:p>
      <w:pPr>
        <w:spacing w:line="360" w:lineRule="auto"/>
        <w:ind w:firstLine="630" w:firstLineChars="300"/>
        <w:rPr>
          <w:rFonts w:ascii="宋体"/>
          <w:color w:val="000000"/>
          <w:szCs w:val="21"/>
        </w:rPr>
      </w:pPr>
      <w:r>
        <w:rPr>
          <w:rFonts w:hint="eastAsia" w:ascii="宋体"/>
          <w:color w:val="000000"/>
          <w:szCs w:val="21"/>
          <w:lang w:val="en-US" w:eastAsia="zh-CN"/>
        </w:rPr>
        <w:t>供  应  商</w:t>
      </w:r>
      <w:r>
        <w:rPr>
          <w:rFonts w:hint="eastAsia" w:ascii="宋体"/>
          <w:color w:val="000000"/>
          <w:szCs w:val="21"/>
        </w:rPr>
        <w:t>：                （公章）</w:t>
      </w:r>
    </w:p>
    <w:p>
      <w:pPr>
        <w:spacing w:line="360" w:lineRule="auto"/>
        <w:ind w:firstLine="420" w:firstLineChars="200"/>
        <w:rPr>
          <w:rFonts w:ascii="宋体"/>
          <w:color w:val="000000"/>
          <w:szCs w:val="21"/>
        </w:rPr>
      </w:pPr>
    </w:p>
    <w:p>
      <w:pPr>
        <w:spacing w:line="360" w:lineRule="auto"/>
        <w:ind w:firstLine="630" w:firstLineChars="300"/>
        <w:rPr>
          <w:rFonts w:ascii="宋体"/>
          <w:color w:val="000000"/>
          <w:szCs w:val="21"/>
        </w:rPr>
      </w:pPr>
      <w:r>
        <w:rPr>
          <w:rFonts w:hint="eastAsia" w:ascii="宋体"/>
          <w:color w:val="000000"/>
          <w:szCs w:val="21"/>
        </w:rPr>
        <w:t>法定代表人：                （盖章）</w:t>
      </w:r>
    </w:p>
    <w:p>
      <w:pPr>
        <w:spacing w:line="360" w:lineRule="auto"/>
        <w:ind w:firstLine="420" w:firstLineChars="200"/>
        <w:rPr>
          <w:rFonts w:ascii="宋体"/>
          <w:color w:val="000000"/>
          <w:szCs w:val="21"/>
        </w:rPr>
      </w:pPr>
    </w:p>
    <w:p>
      <w:pPr>
        <w:spacing w:line="360" w:lineRule="auto"/>
        <w:ind w:firstLine="630" w:firstLineChars="300"/>
        <w:rPr>
          <w:rFonts w:ascii="宋体"/>
          <w:color w:val="000000"/>
          <w:szCs w:val="21"/>
        </w:rPr>
      </w:pPr>
      <w:r>
        <w:rPr>
          <w:rFonts w:hint="eastAsia" w:ascii="宋体"/>
          <w:color w:val="000000"/>
          <w:szCs w:val="21"/>
        </w:rPr>
        <w:t>委托代理人：                （签字）</w:t>
      </w:r>
    </w:p>
    <w:p>
      <w:pPr>
        <w:spacing w:line="360" w:lineRule="auto"/>
        <w:ind w:firstLine="420" w:firstLineChars="200"/>
        <w:rPr>
          <w:rFonts w:ascii="宋体"/>
          <w:color w:val="000000"/>
          <w:szCs w:val="21"/>
        </w:rPr>
      </w:pPr>
    </w:p>
    <w:p>
      <w:pPr>
        <w:autoSpaceDE w:val="0"/>
        <w:autoSpaceDN w:val="0"/>
        <w:adjustRightInd w:val="0"/>
        <w:snapToGrid w:val="0"/>
        <w:spacing w:after="100" w:afterAutospacing="1"/>
        <w:ind w:firstLine="630" w:firstLineChars="300"/>
        <w:rPr>
          <w:rFonts w:ascii="宋体" w:cs="宋体"/>
          <w:color w:val="000000"/>
          <w:szCs w:val="21"/>
        </w:rPr>
      </w:pPr>
      <w:r>
        <w:rPr>
          <w:rFonts w:hint="eastAsia" w:ascii="宋体"/>
          <w:color w:val="000000"/>
          <w:szCs w:val="21"/>
        </w:rPr>
        <w:t>日      期：      年      月      日</w:t>
      </w:r>
    </w:p>
    <w:p>
      <w:pPr>
        <w:rPr>
          <w:color w:val="000000"/>
          <w:spacing w:val="11"/>
          <w:szCs w:val="21"/>
        </w:rPr>
      </w:pPr>
      <w:r>
        <w:rPr>
          <w:rFonts w:hint="eastAsia"/>
          <w:color w:val="000000"/>
          <w:spacing w:val="11"/>
          <w:szCs w:val="21"/>
        </w:rPr>
        <w:t>附：</w:t>
      </w:r>
    </w:p>
    <w:p>
      <w:pPr>
        <w:ind w:firstLine="464" w:firstLineChars="200"/>
        <w:rPr>
          <w:color w:val="000000"/>
          <w:spacing w:val="11"/>
          <w:szCs w:val="21"/>
        </w:rPr>
      </w:pPr>
      <w:r>
        <w:rPr>
          <w:color w:val="000000"/>
          <w:spacing w:val="11"/>
          <w:szCs w:val="21"/>
        </w:rPr>
        <w:t>1、</w:t>
      </w:r>
      <w:r>
        <w:rPr>
          <w:rFonts w:hint="eastAsia"/>
          <w:color w:val="000000"/>
          <w:spacing w:val="11"/>
          <w:szCs w:val="21"/>
          <w:lang w:eastAsia="zh-CN"/>
        </w:rPr>
        <w:t>供应商</w:t>
      </w:r>
      <w:r>
        <w:rPr>
          <w:color w:val="000000"/>
          <w:spacing w:val="11"/>
          <w:szCs w:val="21"/>
        </w:rPr>
        <w:t>参考本招标文件规定的工作内容和计划工作量，考虑市场因素，依据企业自身情况自行计算费用，自主报价。</w:t>
      </w:r>
    </w:p>
    <w:p>
      <w:pPr>
        <w:ind w:firstLine="464" w:firstLineChars="200"/>
        <w:rPr>
          <w:color w:val="000000"/>
          <w:spacing w:val="11"/>
          <w:szCs w:val="21"/>
        </w:rPr>
      </w:pPr>
      <w:r>
        <w:rPr>
          <w:color w:val="000000"/>
          <w:spacing w:val="11"/>
          <w:szCs w:val="21"/>
        </w:rPr>
        <w:t>2、</w:t>
      </w:r>
      <w:r>
        <w:rPr>
          <w:rFonts w:hint="eastAsia"/>
          <w:color w:val="000000"/>
          <w:spacing w:val="11"/>
          <w:szCs w:val="21"/>
          <w:lang w:eastAsia="zh-CN"/>
        </w:rPr>
        <w:t>供应商</w:t>
      </w:r>
      <w:r>
        <w:rPr>
          <w:color w:val="000000"/>
          <w:spacing w:val="11"/>
          <w:szCs w:val="21"/>
        </w:rPr>
        <w:t>须列出计算依据、标准。考虑的因素及计算过程等。详细报价表格式由</w:t>
      </w:r>
      <w:r>
        <w:rPr>
          <w:rFonts w:hint="eastAsia"/>
          <w:color w:val="000000"/>
          <w:spacing w:val="11"/>
          <w:szCs w:val="21"/>
          <w:lang w:eastAsia="zh-CN"/>
        </w:rPr>
        <w:t>供应商</w:t>
      </w:r>
      <w:r>
        <w:rPr>
          <w:color w:val="000000"/>
          <w:spacing w:val="11"/>
          <w:szCs w:val="21"/>
        </w:rPr>
        <w:t>自行设计。</w:t>
      </w:r>
    </w:p>
    <w:p>
      <w:pPr>
        <w:ind w:firstLine="464" w:firstLineChars="200"/>
        <w:rPr>
          <w:color w:val="000000"/>
          <w:spacing w:val="11"/>
          <w:szCs w:val="21"/>
        </w:rPr>
      </w:pPr>
      <w:r>
        <w:rPr>
          <w:color w:val="000000"/>
          <w:spacing w:val="11"/>
          <w:szCs w:val="21"/>
        </w:rPr>
        <w:t>3、各</w:t>
      </w:r>
      <w:r>
        <w:rPr>
          <w:rFonts w:hint="eastAsia"/>
          <w:color w:val="000000"/>
          <w:spacing w:val="11"/>
          <w:szCs w:val="21"/>
          <w:lang w:eastAsia="zh-CN"/>
        </w:rPr>
        <w:t>供应商</w:t>
      </w:r>
      <w:r>
        <w:rPr>
          <w:color w:val="000000"/>
          <w:spacing w:val="11"/>
          <w:szCs w:val="21"/>
        </w:rPr>
        <w:t>必须提供详细而全面的报价说明、报价的构成及相应的报价表格、</w:t>
      </w:r>
      <w:r>
        <w:rPr>
          <w:rFonts w:hint="eastAsia"/>
          <w:color w:val="000000"/>
          <w:spacing w:val="11"/>
          <w:szCs w:val="21"/>
        </w:rPr>
        <w:t>报价</w:t>
      </w:r>
      <w:r>
        <w:rPr>
          <w:color w:val="000000"/>
          <w:spacing w:val="11"/>
          <w:szCs w:val="21"/>
        </w:rPr>
        <w:t>等。作为签订合同时的参考依据。签订合同时</w:t>
      </w:r>
      <w:r>
        <w:rPr>
          <w:rFonts w:hint="eastAsia"/>
          <w:color w:val="000000"/>
          <w:spacing w:val="11"/>
          <w:szCs w:val="21"/>
        </w:rPr>
        <w:t>报价额</w:t>
      </w:r>
      <w:r>
        <w:rPr>
          <w:color w:val="000000"/>
          <w:spacing w:val="11"/>
          <w:szCs w:val="21"/>
        </w:rPr>
        <w:t>保持不变。</w:t>
      </w:r>
    </w:p>
    <w:p>
      <w:pPr>
        <w:rPr>
          <w:rFonts w:ascii="宋体" w:cs="仿宋_GB2312"/>
          <w:color w:val="000000"/>
          <w:spacing w:val="14"/>
          <w:sz w:val="32"/>
          <w:szCs w:val="32"/>
        </w:rPr>
      </w:pPr>
    </w:p>
    <w:p>
      <w:pPr>
        <w:rPr>
          <w:rFonts w:ascii="宋体" w:hAnsi="宋体"/>
        </w:rPr>
      </w:pPr>
    </w:p>
    <w:p>
      <w:pPr>
        <w:spacing w:line="300" w:lineRule="auto"/>
        <w:rPr>
          <w:rFonts w:ascii="宋体" w:hAnsi="宋体"/>
          <w:sz w:val="20"/>
          <w:szCs w:val="20"/>
        </w:rPr>
      </w:pPr>
      <w:r>
        <w:rPr>
          <w:rFonts w:ascii="宋体" w:hAnsi="宋体"/>
          <w:sz w:val="20"/>
          <w:szCs w:val="20"/>
        </w:rPr>
        <w:t xml:space="preserve"> </w:t>
      </w:r>
    </w:p>
    <w:p>
      <w:pPr>
        <w:ind w:firstLine="435"/>
        <w:rPr>
          <w:rFonts w:ascii="宋体" w:hAnsi="宋体"/>
          <w:b/>
          <w:sz w:val="24"/>
        </w:rPr>
      </w:pPr>
      <w:r>
        <w:rPr>
          <w:rFonts w:ascii="宋体" w:hAnsi="宋体"/>
          <w:sz w:val="20"/>
          <w:szCs w:val="20"/>
        </w:rPr>
        <w:br w:type="page"/>
      </w:r>
    </w:p>
    <w:p>
      <w:pPr>
        <w:pStyle w:val="3"/>
        <w:spacing w:before="0" w:after="0" w:line="300" w:lineRule="auto"/>
        <w:jc w:val="center"/>
        <w:rPr>
          <w:rFonts w:ascii="宋体" w:hAnsi="宋体" w:eastAsia="宋体"/>
        </w:rPr>
      </w:pPr>
      <w:bookmarkStart w:id="154" w:name="_Toc468267490"/>
      <w:r>
        <w:rPr>
          <w:rFonts w:hint="eastAsia" w:ascii="宋体" w:hAnsi="宋体" w:eastAsia="宋体"/>
        </w:rPr>
        <w:t>六</w:t>
      </w:r>
      <w:r>
        <w:rPr>
          <w:rFonts w:ascii="宋体" w:hAnsi="宋体" w:eastAsia="宋体"/>
        </w:rPr>
        <w:t>、</w:t>
      </w:r>
      <w:bookmarkEnd w:id="154"/>
      <w:r>
        <w:rPr>
          <w:rFonts w:hint="eastAsia" w:ascii="宋体" w:hAnsi="宋体" w:eastAsia="宋体"/>
        </w:rPr>
        <w:t>服务承诺</w:t>
      </w:r>
    </w:p>
    <w:p>
      <w:pPr>
        <w:jc w:val="center"/>
        <w:rPr>
          <w:rFonts w:hint="eastAsia" w:ascii="仿宋_GB2312" w:eastAsia="仿宋_GB2312"/>
          <w:sz w:val="30"/>
          <w:szCs w:val="30"/>
        </w:rPr>
      </w:pPr>
    </w:p>
    <w:p>
      <w:pPr>
        <w:jc w:val="both"/>
        <w:rPr>
          <w:rFonts w:ascii="仿宋_GB2312" w:eastAsia="仿宋_GB2312"/>
          <w:sz w:val="30"/>
          <w:szCs w:val="30"/>
        </w:rPr>
      </w:pPr>
      <w:r>
        <w:rPr>
          <w:rFonts w:hint="eastAsia" w:ascii="仿宋_GB2312" w:eastAsia="仿宋_GB2312"/>
          <w:sz w:val="30"/>
          <w:szCs w:val="30"/>
        </w:rPr>
        <w:t>格式自拟</w:t>
      </w:r>
    </w:p>
    <w:p>
      <w:pPr>
        <w:ind w:firstLine="435"/>
        <w:rPr>
          <w:rFonts w:ascii="宋体" w:hAnsi="宋体"/>
          <w:szCs w:val="21"/>
        </w:rPr>
      </w:pPr>
    </w:p>
    <w:p>
      <w:pPr>
        <w:ind w:firstLine="315" w:firstLineChars="150"/>
        <w:rPr>
          <w:rFonts w:ascii="宋体" w:hAnsi="宋体"/>
          <w:szCs w:val="21"/>
        </w:rPr>
      </w:pPr>
      <w:r>
        <w:rPr>
          <w:rFonts w:ascii="宋体" w:hAnsi="宋体"/>
          <w:szCs w:val="21"/>
        </w:rPr>
        <w:t xml:space="preserve">  </w:t>
      </w:r>
    </w:p>
    <w:p>
      <w:pPr>
        <w:pStyle w:val="39"/>
        <w:widowControl w:val="0"/>
        <w:numPr>
          <w:ilvl w:val="0"/>
          <w:numId w:val="0"/>
        </w:numPr>
        <w:spacing w:line="360" w:lineRule="auto"/>
        <w:jc w:val="both"/>
      </w:pPr>
    </w:p>
    <w:p>
      <w:pPr>
        <w:pStyle w:val="39"/>
        <w:widowControl w:val="0"/>
        <w:numPr>
          <w:ilvl w:val="0"/>
          <w:numId w:val="0"/>
        </w:numPr>
        <w:spacing w:line="360" w:lineRule="auto"/>
        <w:jc w:val="both"/>
      </w:pPr>
    </w:p>
    <w:p>
      <w:pPr>
        <w:pStyle w:val="39"/>
        <w:widowControl w:val="0"/>
        <w:numPr>
          <w:ilvl w:val="0"/>
          <w:numId w:val="0"/>
        </w:numPr>
        <w:spacing w:line="360" w:lineRule="auto"/>
        <w:jc w:val="both"/>
      </w:pPr>
    </w:p>
    <w:p>
      <w:pPr>
        <w:pStyle w:val="39"/>
        <w:widowControl w:val="0"/>
        <w:numPr>
          <w:ilvl w:val="0"/>
          <w:numId w:val="0"/>
        </w:numPr>
        <w:spacing w:line="360" w:lineRule="auto"/>
        <w:jc w:val="both"/>
      </w:pPr>
    </w:p>
    <w:p>
      <w:pPr>
        <w:pStyle w:val="39"/>
        <w:widowControl w:val="0"/>
        <w:numPr>
          <w:ilvl w:val="0"/>
          <w:numId w:val="0"/>
        </w:numPr>
        <w:spacing w:line="360" w:lineRule="auto"/>
        <w:jc w:val="both"/>
      </w:pPr>
    </w:p>
    <w:p>
      <w:pPr>
        <w:pStyle w:val="39"/>
        <w:widowControl w:val="0"/>
        <w:numPr>
          <w:ilvl w:val="0"/>
          <w:numId w:val="0"/>
        </w:numPr>
        <w:spacing w:line="360" w:lineRule="auto"/>
        <w:jc w:val="both"/>
      </w:pPr>
    </w:p>
    <w:p>
      <w:pPr>
        <w:pStyle w:val="39"/>
        <w:widowControl w:val="0"/>
        <w:numPr>
          <w:ilvl w:val="0"/>
          <w:numId w:val="0"/>
        </w:numPr>
        <w:spacing w:line="360" w:lineRule="auto"/>
        <w:jc w:val="both"/>
      </w:pPr>
    </w:p>
    <w:p>
      <w:pPr>
        <w:pStyle w:val="39"/>
        <w:widowControl w:val="0"/>
        <w:numPr>
          <w:ilvl w:val="0"/>
          <w:numId w:val="0"/>
        </w:numPr>
        <w:spacing w:line="360" w:lineRule="auto"/>
        <w:jc w:val="both"/>
      </w:pPr>
    </w:p>
    <w:p>
      <w:pPr>
        <w:pStyle w:val="39"/>
        <w:widowControl w:val="0"/>
        <w:numPr>
          <w:ilvl w:val="0"/>
          <w:numId w:val="0"/>
        </w:numPr>
        <w:spacing w:line="360" w:lineRule="auto"/>
        <w:jc w:val="both"/>
      </w:pPr>
    </w:p>
    <w:p>
      <w:pPr>
        <w:pStyle w:val="39"/>
        <w:widowControl w:val="0"/>
        <w:numPr>
          <w:ilvl w:val="0"/>
          <w:numId w:val="0"/>
        </w:numPr>
        <w:spacing w:line="360" w:lineRule="auto"/>
        <w:jc w:val="both"/>
      </w:pPr>
    </w:p>
    <w:p>
      <w:pPr>
        <w:pStyle w:val="39"/>
        <w:widowControl w:val="0"/>
        <w:numPr>
          <w:ilvl w:val="0"/>
          <w:numId w:val="0"/>
        </w:numPr>
        <w:spacing w:line="360" w:lineRule="auto"/>
        <w:jc w:val="both"/>
      </w:pPr>
    </w:p>
    <w:p>
      <w:pPr>
        <w:pStyle w:val="39"/>
        <w:widowControl w:val="0"/>
        <w:numPr>
          <w:ilvl w:val="0"/>
          <w:numId w:val="0"/>
        </w:numPr>
        <w:spacing w:line="360" w:lineRule="auto"/>
        <w:jc w:val="both"/>
      </w:pPr>
    </w:p>
    <w:p>
      <w:pPr>
        <w:pStyle w:val="39"/>
        <w:widowControl w:val="0"/>
        <w:numPr>
          <w:ilvl w:val="0"/>
          <w:numId w:val="0"/>
        </w:numPr>
        <w:spacing w:line="360" w:lineRule="auto"/>
        <w:jc w:val="both"/>
      </w:pPr>
    </w:p>
    <w:p>
      <w:pPr>
        <w:pStyle w:val="39"/>
        <w:widowControl w:val="0"/>
        <w:numPr>
          <w:ilvl w:val="0"/>
          <w:numId w:val="0"/>
        </w:numPr>
        <w:spacing w:line="360" w:lineRule="auto"/>
        <w:jc w:val="both"/>
      </w:pPr>
    </w:p>
    <w:p>
      <w:pPr>
        <w:pStyle w:val="39"/>
        <w:widowControl w:val="0"/>
        <w:numPr>
          <w:ilvl w:val="0"/>
          <w:numId w:val="0"/>
        </w:numPr>
        <w:spacing w:line="360" w:lineRule="auto"/>
        <w:jc w:val="both"/>
      </w:pPr>
    </w:p>
    <w:p>
      <w:pPr>
        <w:ind w:firstLine="435"/>
        <w:rPr>
          <w:rFonts w:ascii="宋体" w:hAnsi="宋体"/>
          <w:szCs w:val="21"/>
          <w:u w:val="single"/>
        </w:rPr>
      </w:pPr>
      <w:r>
        <w:rPr>
          <w:rFonts w:hint="eastAsia" w:ascii="宋体" w:hAnsi="宋体"/>
          <w:szCs w:val="21"/>
          <w:lang w:eastAsia="zh-CN"/>
        </w:rPr>
        <w:t>供应商</w:t>
      </w:r>
      <w:r>
        <w:rPr>
          <w:rFonts w:ascii="宋体" w:hAnsi="宋体"/>
          <w:szCs w:val="21"/>
        </w:rPr>
        <w:t>名称：</w:t>
      </w:r>
      <w:r>
        <w:rPr>
          <w:rFonts w:ascii="宋体" w:hAnsi="宋体"/>
          <w:szCs w:val="21"/>
          <w:u w:val="single"/>
        </w:rPr>
        <w:t xml:space="preserve">    </w:t>
      </w:r>
      <w:r>
        <w:rPr>
          <w:rFonts w:hint="eastAsia" w:ascii="宋体" w:hAnsi="宋体"/>
          <w:u w:val="single"/>
        </w:rPr>
        <w:t>（盖公章）</w:t>
      </w:r>
      <w:r>
        <w:rPr>
          <w:rFonts w:ascii="宋体" w:hAnsi="宋体"/>
          <w:szCs w:val="21"/>
          <w:u w:val="single"/>
        </w:rPr>
        <w:t xml:space="preserve"> </w:t>
      </w:r>
    </w:p>
    <w:p>
      <w:pPr>
        <w:ind w:firstLine="435"/>
        <w:rPr>
          <w:rFonts w:ascii="宋体" w:hAnsi="宋体"/>
          <w:szCs w:val="21"/>
        </w:rPr>
      </w:pPr>
    </w:p>
    <w:p>
      <w:pPr>
        <w:ind w:firstLine="435"/>
        <w:rPr>
          <w:rFonts w:ascii="宋体" w:hAnsi="宋体"/>
          <w:szCs w:val="21"/>
        </w:rPr>
      </w:pPr>
    </w:p>
    <w:p>
      <w:pPr>
        <w:spacing w:line="300" w:lineRule="auto"/>
        <w:ind w:firstLine="300" w:firstLineChars="150"/>
        <w:rPr>
          <w:rFonts w:ascii="宋体" w:hAnsi="宋体"/>
          <w:sz w:val="20"/>
          <w:szCs w:val="20"/>
        </w:rPr>
      </w:pPr>
      <w:r>
        <w:rPr>
          <w:rFonts w:ascii="宋体" w:hAnsi="宋体"/>
          <w:sz w:val="20"/>
          <w:szCs w:val="20"/>
        </w:rPr>
        <w:br w:type="page"/>
      </w:r>
    </w:p>
    <w:p>
      <w:pPr>
        <w:pStyle w:val="3"/>
        <w:spacing w:before="0" w:after="0" w:line="300" w:lineRule="auto"/>
        <w:jc w:val="center"/>
        <w:rPr>
          <w:rFonts w:ascii="宋体" w:hAnsi="宋体" w:eastAsia="宋体"/>
        </w:rPr>
      </w:pPr>
      <w:bookmarkStart w:id="155" w:name="_Toc350070701"/>
      <w:bookmarkStart w:id="156" w:name="_Toc409424413"/>
      <w:bookmarkStart w:id="157" w:name="_Toc351644319"/>
      <w:bookmarkStart w:id="158" w:name="_Toc409424352"/>
      <w:bookmarkStart w:id="159" w:name="_Toc468267491"/>
      <w:r>
        <w:rPr>
          <w:rFonts w:hint="eastAsia" w:ascii="宋体" w:hAnsi="宋体" w:eastAsia="宋体"/>
        </w:rPr>
        <w:t>七</w:t>
      </w:r>
      <w:r>
        <w:rPr>
          <w:rFonts w:ascii="宋体" w:hAnsi="宋体" w:eastAsia="宋体"/>
        </w:rPr>
        <w:t>、</w:t>
      </w:r>
      <w:bookmarkEnd w:id="155"/>
      <w:bookmarkEnd w:id="156"/>
      <w:bookmarkEnd w:id="157"/>
      <w:bookmarkEnd w:id="158"/>
      <w:bookmarkEnd w:id="159"/>
      <w:r>
        <w:rPr>
          <w:rFonts w:hint="eastAsia" w:ascii="宋体" w:hAnsi="宋体" w:eastAsia="宋体"/>
        </w:rPr>
        <w:t>优惠条件</w:t>
      </w:r>
    </w:p>
    <w:p>
      <w:pPr>
        <w:spacing w:line="300" w:lineRule="auto"/>
        <w:rPr>
          <w:rFonts w:ascii="宋体" w:hAnsi="宋体"/>
          <w:sz w:val="20"/>
          <w:szCs w:val="20"/>
        </w:rPr>
      </w:pPr>
    </w:p>
    <w:p>
      <w:pPr>
        <w:jc w:val="both"/>
        <w:rPr>
          <w:rFonts w:ascii="仿宋_GB2312" w:eastAsia="仿宋_GB2312"/>
          <w:sz w:val="30"/>
          <w:szCs w:val="30"/>
        </w:rPr>
      </w:pPr>
      <w:r>
        <w:rPr>
          <w:rFonts w:hint="eastAsia" w:ascii="仿宋_GB2312" w:eastAsia="仿宋_GB2312"/>
          <w:sz w:val="30"/>
          <w:szCs w:val="30"/>
        </w:rPr>
        <w:t>格式自拟</w:t>
      </w:r>
    </w:p>
    <w:p>
      <w:pPr>
        <w:ind w:firstLine="435"/>
        <w:rPr>
          <w:rFonts w:ascii="宋体" w:hAnsi="宋体"/>
          <w:szCs w:val="21"/>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hint="eastAsia" w:ascii="宋体" w:hAnsi="宋体"/>
          <w:szCs w:val="21"/>
          <w:lang w:eastAsia="zh-CN"/>
        </w:rPr>
      </w:pPr>
    </w:p>
    <w:p>
      <w:pPr>
        <w:ind w:firstLine="435"/>
        <w:rPr>
          <w:rFonts w:ascii="宋体" w:hAnsi="宋体"/>
          <w:szCs w:val="21"/>
          <w:u w:val="single"/>
        </w:rPr>
      </w:pPr>
      <w:r>
        <w:rPr>
          <w:rFonts w:hint="eastAsia" w:ascii="宋体" w:hAnsi="宋体"/>
          <w:szCs w:val="21"/>
          <w:lang w:eastAsia="zh-CN"/>
        </w:rPr>
        <w:t>供应商</w:t>
      </w:r>
      <w:r>
        <w:rPr>
          <w:rFonts w:ascii="宋体" w:hAnsi="宋体"/>
          <w:szCs w:val="21"/>
        </w:rPr>
        <w:t>名称：</w:t>
      </w:r>
      <w:r>
        <w:rPr>
          <w:rFonts w:ascii="宋体" w:hAnsi="宋体"/>
          <w:szCs w:val="21"/>
          <w:u w:val="single"/>
        </w:rPr>
        <w:t xml:space="preserve">    </w:t>
      </w:r>
      <w:r>
        <w:rPr>
          <w:rFonts w:hint="eastAsia" w:ascii="宋体" w:hAnsi="宋体"/>
          <w:u w:val="single"/>
        </w:rPr>
        <w:t>（盖公章）</w:t>
      </w:r>
      <w:r>
        <w:rPr>
          <w:rFonts w:ascii="宋体" w:hAnsi="宋体"/>
          <w:szCs w:val="21"/>
          <w:u w:val="single"/>
        </w:rPr>
        <w:t xml:space="preserve"> </w:t>
      </w:r>
    </w:p>
    <w:p>
      <w:pPr>
        <w:ind w:firstLine="435"/>
        <w:rPr>
          <w:rFonts w:ascii="宋体" w:hAnsi="宋体"/>
          <w:szCs w:val="21"/>
          <w:u w:val="single"/>
        </w:rPr>
      </w:pPr>
    </w:p>
    <w:p>
      <w:pPr>
        <w:ind w:firstLine="435"/>
        <w:rPr>
          <w:rFonts w:ascii="宋体" w:hAnsi="宋体"/>
          <w:szCs w:val="21"/>
          <w:u w:val="single"/>
        </w:rPr>
      </w:pPr>
    </w:p>
    <w:p>
      <w:pPr>
        <w:ind w:firstLine="435"/>
        <w:rPr>
          <w:rFonts w:ascii="宋体" w:hAnsi="宋体"/>
          <w:szCs w:val="21"/>
          <w:u w:val="single"/>
        </w:rPr>
      </w:pPr>
    </w:p>
    <w:p>
      <w:pPr>
        <w:ind w:firstLine="435"/>
        <w:rPr>
          <w:rFonts w:ascii="宋体" w:hAnsi="宋体"/>
          <w:szCs w:val="21"/>
          <w:u w:val="single"/>
        </w:rPr>
      </w:pPr>
    </w:p>
    <w:p>
      <w:pPr>
        <w:ind w:firstLine="435"/>
        <w:rPr>
          <w:rFonts w:ascii="宋体" w:hAnsi="宋体"/>
          <w:szCs w:val="21"/>
          <w:u w:val="single"/>
        </w:rPr>
      </w:pPr>
    </w:p>
    <w:p>
      <w:pPr>
        <w:ind w:firstLine="435"/>
        <w:rPr>
          <w:rFonts w:ascii="宋体" w:hAnsi="宋体"/>
          <w:szCs w:val="21"/>
          <w:u w:val="single"/>
        </w:rPr>
      </w:pPr>
    </w:p>
    <w:p>
      <w:pPr>
        <w:ind w:firstLine="435"/>
        <w:rPr>
          <w:rFonts w:ascii="宋体" w:hAnsi="宋体"/>
          <w:szCs w:val="21"/>
          <w:u w:val="single"/>
        </w:rPr>
      </w:pPr>
    </w:p>
    <w:p>
      <w:pPr>
        <w:autoSpaceDN w:val="0"/>
        <w:adjustRightInd w:val="0"/>
        <w:snapToGrid w:val="0"/>
        <w:spacing w:line="360" w:lineRule="auto"/>
        <w:jc w:val="center"/>
        <w:rPr>
          <w:rFonts w:asciiTheme="majorEastAsia" w:hAnsiTheme="majorEastAsia" w:eastAsiaTheme="majorEastAsia"/>
        </w:rPr>
      </w:pPr>
      <w:r>
        <w:rPr>
          <w:rFonts w:ascii="宋体" w:hAnsi="宋体" w:eastAsia="宋体"/>
          <w:szCs w:val="21"/>
          <w:u w:val="single"/>
        </w:rPr>
        <w:br w:type="page"/>
      </w:r>
      <w:r>
        <w:rPr>
          <w:rFonts w:hint="eastAsia" w:cs="Times New Roman" w:asciiTheme="majorEastAsia" w:hAnsiTheme="majorEastAsia" w:eastAsiaTheme="majorEastAsia"/>
          <w:b/>
          <w:bCs/>
          <w:sz w:val="28"/>
          <w:szCs w:val="28"/>
          <w:lang w:val="en-US" w:eastAsia="zh-CN"/>
        </w:rPr>
        <w:t>八、拟派的</w:t>
      </w:r>
      <w:r>
        <w:rPr>
          <w:rFonts w:hint="eastAsia" w:asciiTheme="majorEastAsia" w:hAnsiTheme="majorEastAsia" w:eastAsiaTheme="majorEastAsia"/>
          <w:b/>
          <w:bCs/>
          <w:sz w:val="28"/>
          <w:szCs w:val="28"/>
        </w:rPr>
        <w:t>本项目</w:t>
      </w:r>
      <w:r>
        <w:rPr>
          <w:rFonts w:hint="eastAsia" w:asciiTheme="majorEastAsia" w:hAnsiTheme="majorEastAsia" w:eastAsiaTheme="majorEastAsia"/>
          <w:b/>
          <w:bCs/>
          <w:sz w:val="28"/>
          <w:szCs w:val="28"/>
          <w:lang w:val="en-US" w:eastAsia="zh-CN"/>
        </w:rPr>
        <w:t>负责人</w:t>
      </w:r>
      <w:r>
        <w:rPr>
          <w:rFonts w:hint="eastAsia" w:asciiTheme="majorEastAsia" w:hAnsiTheme="majorEastAsia" w:eastAsiaTheme="majorEastAsia"/>
          <w:b/>
          <w:bCs/>
          <w:sz w:val="28"/>
          <w:szCs w:val="28"/>
        </w:rPr>
        <w:t>简历表</w:t>
      </w:r>
    </w:p>
    <w:p>
      <w:pPr>
        <w:autoSpaceDN w:val="0"/>
        <w:adjustRightInd w:val="0"/>
        <w:snapToGrid w:val="0"/>
        <w:spacing w:line="360" w:lineRule="auto"/>
        <w:rPr>
          <w:rFonts w:cs="宋体" w:asciiTheme="majorEastAsia" w:hAnsiTheme="majorEastAsia" w:eastAsiaTheme="majorEastAsia"/>
          <w:szCs w:val="21"/>
        </w:rPr>
      </w:pPr>
    </w:p>
    <w:tbl>
      <w:tblPr>
        <w:tblStyle w:val="22"/>
        <w:tblW w:w="8990" w:type="dxa"/>
        <w:jc w:val="center"/>
        <w:tblLayout w:type="fixed"/>
        <w:tblCellMar>
          <w:top w:w="0" w:type="dxa"/>
          <w:left w:w="0" w:type="dxa"/>
          <w:bottom w:w="0" w:type="dxa"/>
          <w:right w:w="0" w:type="dxa"/>
        </w:tblCellMar>
      </w:tblPr>
      <w:tblGrid>
        <w:gridCol w:w="1454"/>
        <w:gridCol w:w="643"/>
        <w:gridCol w:w="1047"/>
        <w:gridCol w:w="729"/>
        <w:gridCol w:w="941"/>
        <w:gridCol w:w="1469"/>
        <w:gridCol w:w="211"/>
        <w:gridCol w:w="2496"/>
      </w:tblGrid>
      <w:tr>
        <w:tblPrEx>
          <w:tblCellMar>
            <w:top w:w="0" w:type="dxa"/>
            <w:left w:w="0" w:type="dxa"/>
            <w:bottom w:w="0" w:type="dxa"/>
            <w:right w:w="0" w:type="dxa"/>
          </w:tblCellMar>
        </w:tblPrEx>
        <w:trPr>
          <w:trHeight w:val="600" w:hRule="exact"/>
          <w:jc w:val="center"/>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b/>
                <w:color w:val="000000"/>
                <w:szCs w:val="21"/>
              </w:rPr>
              <w:t xml:space="preserve"> </w:t>
            </w:r>
            <w:r>
              <w:rPr>
                <w:rFonts w:hint="eastAsia" w:ascii="宋体"/>
                <w:color w:val="000000"/>
                <w:szCs w:val="21"/>
              </w:rPr>
              <w:t>姓  名</w:t>
            </w:r>
          </w:p>
        </w:tc>
        <w:tc>
          <w:tcPr>
            <w:tcW w:w="169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72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性</w:t>
            </w:r>
            <w:r>
              <w:rPr>
                <w:rFonts w:hint="eastAsia" w:ascii="宋体" w:cs="宋体"/>
                <w:color w:val="000000"/>
                <w:szCs w:val="21"/>
              </w:rPr>
              <w:t>别</w:t>
            </w:r>
          </w:p>
        </w:tc>
        <w:tc>
          <w:tcPr>
            <w:tcW w:w="94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出生</w:t>
            </w:r>
          </w:p>
          <w:p>
            <w:pPr>
              <w:jc w:val="center"/>
              <w:rPr>
                <w:rFonts w:ascii="宋体"/>
                <w:color w:val="000000"/>
                <w:szCs w:val="21"/>
              </w:rPr>
            </w:pPr>
            <w:r>
              <w:rPr>
                <w:rFonts w:hint="eastAsia" w:ascii="宋体"/>
                <w:color w:val="000000"/>
                <w:szCs w:val="21"/>
              </w:rPr>
              <w:t>日期</w:t>
            </w:r>
          </w:p>
        </w:tc>
        <w:tc>
          <w:tcPr>
            <w:tcW w:w="2496"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年  月  日</w:t>
            </w:r>
          </w:p>
        </w:tc>
      </w:tr>
      <w:tr>
        <w:tblPrEx>
          <w:tblCellMar>
            <w:top w:w="0" w:type="dxa"/>
            <w:left w:w="0" w:type="dxa"/>
            <w:bottom w:w="0" w:type="dxa"/>
            <w:right w:w="0" w:type="dxa"/>
          </w:tblCellMar>
        </w:tblPrEx>
        <w:trPr>
          <w:trHeight w:val="640" w:hRule="exact"/>
          <w:jc w:val="center"/>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s="宋体"/>
                <w:color w:val="000000"/>
                <w:szCs w:val="21"/>
              </w:rPr>
              <w:t>毕业</w:t>
            </w:r>
            <w:r>
              <w:rPr>
                <w:rFonts w:hint="eastAsia" w:ascii="宋体"/>
                <w:color w:val="000000"/>
                <w:szCs w:val="21"/>
              </w:rPr>
              <w:t xml:space="preserve">院校及    </w:t>
            </w:r>
            <w:r>
              <w:rPr>
                <w:rFonts w:hint="eastAsia" w:ascii="宋体" w:cs="宋体"/>
                <w:color w:val="000000"/>
                <w:szCs w:val="21"/>
              </w:rPr>
              <w:t>专业</w:t>
            </w:r>
          </w:p>
          <w:p>
            <w:pPr>
              <w:jc w:val="center"/>
              <w:rPr>
                <w:rFonts w:ascii="宋体"/>
                <w:color w:val="000000"/>
                <w:szCs w:val="21"/>
              </w:rPr>
            </w:pPr>
          </w:p>
        </w:tc>
        <w:tc>
          <w:tcPr>
            <w:tcW w:w="336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s="宋体"/>
                <w:color w:val="000000"/>
                <w:szCs w:val="21"/>
              </w:rPr>
              <w:t>毕业</w:t>
            </w:r>
          </w:p>
          <w:p>
            <w:pPr>
              <w:jc w:val="center"/>
              <w:rPr>
                <w:rFonts w:ascii="宋体"/>
                <w:color w:val="000000"/>
                <w:szCs w:val="21"/>
              </w:rPr>
            </w:pPr>
            <w:r>
              <w:rPr>
                <w:rFonts w:hint="eastAsia" w:ascii="宋体" w:cs="宋体"/>
                <w:color w:val="000000"/>
                <w:szCs w:val="21"/>
              </w:rPr>
              <w:t>时间</w:t>
            </w:r>
          </w:p>
        </w:tc>
        <w:tc>
          <w:tcPr>
            <w:tcW w:w="2496"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年  月  日</w:t>
            </w:r>
          </w:p>
        </w:tc>
      </w:tr>
      <w:tr>
        <w:tblPrEx>
          <w:tblCellMar>
            <w:top w:w="0" w:type="dxa"/>
            <w:left w:w="0" w:type="dxa"/>
            <w:bottom w:w="0" w:type="dxa"/>
            <w:right w:w="0" w:type="dxa"/>
          </w:tblCellMar>
        </w:tblPrEx>
        <w:trPr>
          <w:trHeight w:val="640" w:hRule="exact"/>
          <w:jc w:val="center"/>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参加工作年限</w:t>
            </w:r>
          </w:p>
        </w:tc>
        <w:tc>
          <w:tcPr>
            <w:tcW w:w="336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s="宋体"/>
                <w:color w:val="000000"/>
                <w:szCs w:val="21"/>
              </w:rPr>
              <w:t>为</w:t>
            </w:r>
            <w:r>
              <w:rPr>
                <w:rFonts w:hint="eastAsia" w:ascii="宋体"/>
                <w:color w:val="000000"/>
                <w:szCs w:val="21"/>
              </w:rPr>
              <w:t>本企业服</w:t>
            </w:r>
            <w:r>
              <w:rPr>
                <w:rFonts w:hint="eastAsia" w:ascii="宋体" w:cs="宋体"/>
                <w:color w:val="000000"/>
                <w:szCs w:val="21"/>
              </w:rPr>
              <w:t>务</w:t>
            </w:r>
            <w:r>
              <w:rPr>
                <w:rFonts w:hint="eastAsia" w:ascii="宋体"/>
                <w:color w:val="000000"/>
                <w:szCs w:val="21"/>
              </w:rPr>
              <w:t xml:space="preserve">    </w:t>
            </w:r>
            <w:r>
              <w:rPr>
                <w:rFonts w:hint="eastAsia" w:ascii="宋体" w:cs="宋体"/>
                <w:color w:val="000000"/>
                <w:szCs w:val="21"/>
              </w:rPr>
              <w:t>时间</w:t>
            </w:r>
          </w:p>
          <w:p>
            <w:pPr>
              <w:jc w:val="center"/>
              <w:rPr>
                <w:rFonts w:ascii="宋体"/>
                <w:color w:val="000000"/>
                <w:szCs w:val="21"/>
              </w:rPr>
            </w:pPr>
          </w:p>
        </w:tc>
        <w:tc>
          <w:tcPr>
            <w:tcW w:w="2496"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300" w:hRule="exact"/>
          <w:jc w:val="center"/>
        </w:trPr>
        <w:tc>
          <w:tcPr>
            <w:tcW w:w="1454" w:type="dxa"/>
            <w:vMerge w:val="restart"/>
            <w:tcBorders>
              <w:top w:val="single" w:color="auto" w:sz="8" w:space="0"/>
              <w:left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本</w:t>
            </w:r>
          </w:p>
          <w:p>
            <w:pPr>
              <w:jc w:val="center"/>
              <w:rPr>
                <w:rFonts w:ascii="宋体"/>
                <w:color w:val="000000"/>
                <w:szCs w:val="21"/>
              </w:rPr>
            </w:pPr>
            <w:r>
              <w:rPr>
                <w:rFonts w:hint="eastAsia" w:ascii="宋体"/>
                <w:color w:val="000000"/>
                <w:szCs w:val="21"/>
              </w:rPr>
              <w:t>人</w:t>
            </w:r>
          </w:p>
          <w:p>
            <w:pPr>
              <w:jc w:val="center"/>
              <w:rPr>
                <w:rFonts w:ascii="宋体"/>
                <w:color w:val="000000"/>
                <w:szCs w:val="21"/>
              </w:rPr>
            </w:pPr>
            <w:r>
              <w:rPr>
                <w:rFonts w:hint="eastAsia" w:ascii="宋体"/>
                <w:color w:val="000000"/>
                <w:szCs w:val="21"/>
              </w:rPr>
              <w:t>主</w:t>
            </w:r>
          </w:p>
          <w:p>
            <w:pPr>
              <w:jc w:val="center"/>
              <w:rPr>
                <w:rFonts w:ascii="宋体"/>
                <w:color w:val="000000"/>
                <w:szCs w:val="21"/>
              </w:rPr>
            </w:pPr>
            <w:r>
              <w:rPr>
                <w:rFonts w:hint="eastAsia" w:ascii="宋体"/>
                <w:color w:val="000000"/>
                <w:szCs w:val="21"/>
              </w:rPr>
              <w:t>要</w:t>
            </w:r>
          </w:p>
          <w:p>
            <w:pPr>
              <w:jc w:val="center"/>
              <w:rPr>
                <w:rFonts w:ascii="宋体" w:cs="宋体"/>
                <w:color w:val="000000"/>
                <w:szCs w:val="21"/>
              </w:rPr>
            </w:pPr>
            <w:r>
              <w:rPr>
                <w:rFonts w:hint="eastAsia" w:ascii="宋体" w:cs="宋体"/>
                <w:color w:val="000000"/>
                <w:szCs w:val="21"/>
              </w:rPr>
              <w:t>工</w:t>
            </w:r>
          </w:p>
          <w:p>
            <w:pPr>
              <w:jc w:val="center"/>
              <w:rPr>
                <w:rFonts w:ascii="宋体" w:cs="宋体"/>
                <w:color w:val="000000"/>
                <w:szCs w:val="21"/>
              </w:rPr>
            </w:pPr>
            <w:r>
              <w:rPr>
                <w:rFonts w:hint="eastAsia" w:ascii="宋体" w:cs="宋体"/>
                <w:color w:val="000000"/>
                <w:szCs w:val="21"/>
              </w:rPr>
              <w:t>作</w:t>
            </w:r>
          </w:p>
          <w:p>
            <w:pPr>
              <w:jc w:val="center"/>
              <w:rPr>
                <w:rFonts w:ascii="宋体" w:cs="宋体"/>
                <w:color w:val="000000"/>
                <w:szCs w:val="21"/>
              </w:rPr>
            </w:pPr>
            <w:r>
              <w:rPr>
                <w:rFonts w:hint="eastAsia" w:ascii="宋体" w:cs="宋体"/>
                <w:color w:val="000000"/>
                <w:szCs w:val="21"/>
              </w:rPr>
              <w:t>经</w:t>
            </w:r>
          </w:p>
          <w:p>
            <w:pPr>
              <w:jc w:val="center"/>
              <w:rPr>
                <w:rFonts w:ascii="宋体"/>
                <w:color w:val="000000"/>
                <w:szCs w:val="21"/>
              </w:rPr>
            </w:pPr>
            <w:r>
              <w:rPr>
                <w:rFonts w:hint="eastAsia" w:ascii="宋体" w:cs="宋体"/>
                <w:color w:val="000000"/>
                <w:szCs w:val="21"/>
              </w:rPr>
              <w:t>历</w:t>
            </w:r>
          </w:p>
          <w:p>
            <w:pPr>
              <w:jc w:val="center"/>
              <w:rPr>
                <w:rFonts w:ascii="宋体"/>
                <w:color w:val="000000"/>
                <w:szCs w:val="21"/>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1</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s="宋体"/>
                <w:color w:val="000000"/>
                <w:szCs w:val="21"/>
              </w:rPr>
              <w:t>单位</w:t>
            </w:r>
          </w:p>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年月</w:t>
            </w:r>
          </w:p>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任职</w:t>
            </w:r>
          </w:p>
          <w:p>
            <w:pPr>
              <w:jc w:val="center"/>
              <w:rPr>
                <w:rFonts w:ascii="宋体"/>
                <w:color w:val="000000"/>
                <w:szCs w:val="21"/>
              </w:rPr>
            </w:pPr>
          </w:p>
        </w:tc>
      </w:tr>
      <w:tr>
        <w:tblPrEx>
          <w:tblCellMar>
            <w:top w:w="0" w:type="dxa"/>
            <w:left w:w="0" w:type="dxa"/>
            <w:bottom w:w="0" w:type="dxa"/>
            <w:right w:w="0" w:type="dxa"/>
          </w:tblCellMar>
        </w:tblPrEx>
        <w:trPr>
          <w:trHeight w:val="34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2</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32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3</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32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4</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34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5</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32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6</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cantSplit/>
          <w:trHeight w:val="32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7</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cantSplit/>
          <w:trHeight w:val="320" w:hRule="exact"/>
          <w:jc w:val="center"/>
        </w:trPr>
        <w:tc>
          <w:tcPr>
            <w:tcW w:w="1454" w:type="dxa"/>
            <w:vMerge w:val="continue"/>
            <w:tcBorders>
              <w:left w:val="single" w:color="auto" w:sz="8" w:space="0"/>
              <w:bottom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8</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2206" w:hRule="exact"/>
          <w:jc w:val="center"/>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其它需</w:t>
            </w:r>
          </w:p>
          <w:p>
            <w:pPr>
              <w:jc w:val="center"/>
              <w:rPr>
                <w:rFonts w:ascii="宋体"/>
                <w:color w:val="000000"/>
                <w:szCs w:val="21"/>
              </w:rPr>
            </w:pPr>
            <w:r>
              <w:rPr>
                <w:rFonts w:hint="eastAsia" w:ascii="宋体" w:cs="宋体"/>
                <w:color w:val="000000"/>
                <w:szCs w:val="21"/>
              </w:rPr>
              <w:t>补</w:t>
            </w:r>
            <w:r>
              <w:rPr>
                <w:rFonts w:hint="eastAsia" w:ascii="宋体"/>
                <w:color w:val="000000"/>
                <w:szCs w:val="21"/>
              </w:rPr>
              <w:t>充的情况</w:t>
            </w:r>
          </w:p>
          <w:p>
            <w:pPr>
              <w:jc w:val="center"/>
              <w:rPr>
                <w:rFonts w:ascii="宋体"/>
                <w:color w:val="000000"/>
                <w:szCs w:val="21"/>
              </w:rPr>
            </w:pPr>
          </w:p>
        </w:tc>
        <w:tc>
          <w:tcPr>
            <w:tcW w:w="7536" w:type="dxa"/>
            <w:gridSpan w:val="7"/>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bl>
    <w:p>
      <w:pPr>
        <w:autoSpaceDN w:val="0"/>
        <w:adjustRightInd w:val="0"/>
        <w:snapToGrid w:val="0"/>
        <w:spacing w:line="360" w:lineRule="auto"/>
        <w:rPr>
          <w:rFonts w:cs="宋体" w:asciiTheme="majorEastAsia" w:hAnsiTheme="majorEastAsia" w:eastAsiaTheme="majorEastAsia"/>
          <w:szCs w:val="21"/>
        </w:rPr>
      </w:pPr>
    </w:p>
    <w:p>
      <w:pPr>
        <w:autoSpaceDN w:val="0"/>
        <w:adjustRightInd w:val="0"/>
        <w:snapToGrid w:val="0"/>
        <w:spacing w:line="360" w:lineRule="auto"/>
        <w:rPr>
          <w:rFonts w:cs="宋体" w:asciiTheme="majorEastAsia" w:hAnsiTheme="majorEastAsia" w:eastAsiaTheme="majorEastAsia"/>
          <w:szCs w:val="21"/>
        </w:rPr>
      </w:pPr>
    </w:p>
    <w:p>
      <w:pPr>
        <w:autoSpaceDN w:val="0"/>
        <w:adjustRightInd w:val="0"/>
        <w:snapToGrid w:val="0"/>
        <w:spacing w:line="360" w:lineRule="auto"/>
        <w:rPr>
          <w:rFonts w:cs="宋体" w:asciiTheme="majorEastAsia" w:hAnsiTheme="majorEastAsia" w:eastAsiaTheme="majorEastAsia"/>
          <w:szCs w:val="21"/>
        </w:rPr>
      </w:pPr>
    </w:p>
    <w:p>
      <w:pPr>
        <w:autoSpaceDN w:val="0"/>
        <w:adjustRightInd w:val="0"/>
        <w:snapToGrid w:val="0"/>
        <w:spacing w:line="360" w:lineRule="auto"/>
        <w:rPr>
          <w:rFonts w:cs="宋体" w:asciiTheme="majorEastAsia" w:hAnsiTheme="majorEastAsia" w:eastAsiaTheme="majorEastAsia"/>
          <w:szCs w:val="21"/>
        </w:rPr>
      </w:pPr>
    </w:p>
    <w:p>
      <w:pPr>
        <w:autoSpaceDN w:val="0"/>
        <w:adjustRightInd w:val="0"/>
        <w:snapToGrid w:val="0"/>
        <w:spacing w:line="360" w:lineRule="auto"/>
        <w:rPr>
          <w:rFonts w:cs="宋体" w:asciiTheme="majorEastAsia" w:hAnsiTheme="majorEastAsia" w:eastAsiaTheme="majorEastAsia"/>
          <w:szCs w:val="21"/>
        </w:rPr>
      </w:pPr>
    </w:p>
    <w:p>
      <w:pPr>
        <w:autoSpaceDN w:val="0"/>
        <w:adjustRightInd w:val="0"/>
        <w:snapToGrid w:val="0"/>
        <w:spacing w:line="360" w:lineRule="auto"/>
        <w:rPr>
          <w:rFonts w:cs="宋体" w:asciiTheme="majorEastAsia" w:hAnsiTheme="majorEastAsia" w:eastAsiaTheme="majorEastAsia"/>
          <w:szCs w:val="21"/>
        </w:rPr>
      </w:pPr>
    </w:p>
    <w:p>
      <w:pPr>
        <w:autoSpaceDN w:val="0"/>
        <w:adjustRightInd w:val="0"/>
        <w:snapToGrid w:val="0"/>
        <w:spacing w:line="360" w:lineRule="auto"/>
        <w:rPr>
          <w:rFonts w:cs="宋体" w:asciiTheme="majorEastAsia" w:hAnsiTheme="majorEastAsia" w:eastAsiaTheme="majorEastAsia"/>
          <w:szCs w:val="21"/>
        </w:rPr>
      </w:pPr>
    </w:p>
    <w:p>
      <w:pPr>
        <w:pStyle w:val="3"/>
        <w:spacing w:before="0" w:after="0" w:line="300" w:lineRule="auto"/>
        <w:jc w:val="center"/>
        <w:rPr>
          <w:rFonts w:ascii="宋体" w:hAnsi="宋体" w:eastAsia="宋体"/>
          <w:szCs w:val="21"/>
          <w:u w:val="single"/>
        </w:rPr>
      </w:pPr>
    </w:p>
    <w:p>
      <w:pPr>
        <w:rPr>
          <w:rFonts w:ascii="宋体" w:hAnsi="宋体" w:eastAsia="宋体"/>
          <w:szCs w:val="21"/>
          <w:u w:val="single"/>
        </w:rPr>
      </w:pPr>
    </w:p>
    <w:p>
      <w:pPr>
        <w:pStyle w:val="39"/>
        <w:widowControl w:val="0"/>
        <w:numPr>
          <w:ilvl w:val="0"/>
          <w:numId w:val="0"/>
        </w:numPr>
        <w:spacing w:line="360" w:lineRule="auto"/>
        <w:jc w:val="both"/>
        <w:rPr>
          <w:rFonts w:ascii="宋体" w:hAnsi="宋体" w:eastAsia="宋体"/>
          <w:szCs w:val="21"/>
          <w:u w:val="single"/>
        </w:rPr>
      </w:pPr>
    </w:p>
    <w:p>
      <w:pPr>
        <w:pStyle w:val="39"/>
        <w:widowControl w:val="0"/>
        <w:numPr>
          <w:ilvl w:val="0"/>
          <w:numId w:val="0"/>
        </w:numPr>
        <w:spacing w:line="360" w:lineRule="auto"/>
        <w:jc w:val="both"/>
        <w:rPr>
          <w:rFonts w:ascii="宋体" w:hAnsi="宋体" w:eastAsia="宋体"/>
          <w:szCs w:val="21"/>
          <w:u w:val="single"/>
        </w:rPr>
      </w:pPr>
    </w:p>
    <w:p>
      <w:pPr>
        <w:pStyle w:val="39"/>
        <w:widowControl w:val="0"/>
        <w:numPr>
          <w:ilvl w:val="0"/>
          <w:numId w:val="0"/>
        </w:numPr>
        <w:spacing w:line="360" w:lineRule="auto"/>
        <w:jc w:val="both"/>
        <w:rPr>
          <w:rFonts w:ascii="宋体" w:hAnsi="宋体" w:eastAsia="宋体"/>
          <w:szCs w:val="21"/>
          <w:u w:val="single"/>
        </w:rPr>
      </w:pPr>
    </w:p>
    <w:p>
      <w:pPr>
        <w:pStyle w:val="39"/>
        <w:widowControl w:val="0"/>
        <w:numPr>
          <w:ilvl w:val="0"/>
          <w:numId w:val="0"/>
        </w:numPr>
        <w:spacing w:line="360" w:lineRule="auto"/>
        <w:jc w:val="both"/>
        <w:rPr>
          <w:rFonts w:ascii="宋体" w:hAnsi="宋体" w:eastAsia="宋体"/>
          <w:szCs w:val="21"/>
          <w:u w:val="single"/>
        </w:rPr>
      </w:pPr>
    </w:p>
    <w:p>
      <w:pPr>
        <w:pStyle w:val="39"/>
        <w:widowControl w:val="0"/>
        <w:numPr>
          <w:ilvl w:val="0"/>
          <w:numId w:val="0"/>
        </w:numPr>
        <w:spacing w:line="360" w:lineRule="auto"/>
        <w:jc w:val="both"/>
        <w:rPr>
          <w:rFonts w:ascii="宋体" w:hAnsi="宋体" w:eastAsia="宋体"/>
          <w:szCs w:val="21"/>
          <w:u w:val="single"/>
        </w:rPr>
      </w:pPr>
    </w:p>
    <w:p>
      <w:pPr>
        <w:pStyle w:val="39"/>
        <w:widowControl w:val="0"/>
        <w:numPr>
          <w:ilvl w:val="0"/>
          <w:numId w:val="0"/>
        </w:numPr>
        <w:spacing w:line="360" w:lineRule="auto"/>
        <w:jc w:val="both"/>
        <w:rPr>
          <w:rFonts w:ascii="宋体" w:hAnsi="宋体" w:eastAsia="宋体"/>
          <w:szCs w:val="21"/>
          <w:u w:val="single"/>
        </w:rPr>
      </w:pPr>
    </w:p>
    <w:p>
      <w:pPr>
        <w:pStyle w:val="39"/>
        <w:widowControl w:val="0"/>
        <w:numPr>
          <w:ilvl w:val="0"/>
          <w:numId w:val="0"/>
        </w:numPr>
        <w:spacing w:line="360" w:lineRule="auto"/>
        <w:jc w:val="both"/>
        <w:rPr>
          <w:rFonts w:ascii="宋体" w:hAnsi="宋体" w:eastAsia="宋体"/>
          <w:szCs w:val="21"/>
          <w:u w:val="single"/>
        </w:rPr>
      </w:pPr>
    </w:p>
    <w:p>
      <w:pPr>
        <w:spacing w:after="100" w:afterAutospacing="1" w:line="480" w:lineRule="auto"/>
        <w:jc w:val="center"/>
        <w:rPr>
          <w:rFonts w:ascii="宋体" w:cs="宋体"/>
          <w:b/>
          <w:color w:val="000000"/>
          <w:sz w:val="32"/>
          <w:szCs w:val="32"/>
        </w:rPr>
      </w:pPr>
      <w:r>
        <w:rPr>
          <w:rFonts w:hint="eastAsia" w:ascii="宋体" w:cs="宋体"/>
          <w:b/>
          <w:color w:val="000000"/>
          <w:sz w:val="32"/>
          <w:szCs w:val="32"/>
        </w:rPr>
        <w:t>拟投入项目管理团队配置表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900"/>
        <w:gridCol w:w="720"/>
        <w:gridCol w:w="1260"/>
        <w:gridCol w:w="720"/>
        <w:gridCol w:w="4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68" w:type="dxa"/>
            <w:vAlign w:val="center"/>
          </w:tcPr>
          <w:p>
            <w:pPr>
              <w:jc w:val="center"/>
              <w:rPr>
                <w:rFonts w:ascii="宋体"/>
                <w:color w:val="000000"/>
                <w:szCs w:val="21"/>
              </w:rPr>
            </w:pPr>
            <w:r>
              <w:rPr>
                <w:rFonts w:hint="eastAsia" w:ascii="宋体"/>
                <w:color w:val="000000"/>
                <w:szCs w:val="21"/>
              </w:rPr>
              <w:t>序号</w:t>
            </w:r>
          </w:p>
        </w:tc>
        <w:tc>
          <w:tcPr>
            <w:tcW w:w="900" w:type="dxa"/>
            <w:vAlign w:val="center"/>
          </w:tcPr>
          <w:p>
            <w:pPr>
              <w:jc w:val="center"/>
              <w:rPr>
                <w:rFonts w:ascii="宋体"/>
                <w:color w:val="000000"/>
                <w:szCs w:val="21"/>
              </w:rPr>
            </w:pPr>
            <w:r>
              <w:rPr>
                <w:rFonts w:hint="eastAsia" w:ascii="宋体"/>
                <w:color w:val="000000"/>
                <w:szCs w:val="21"/>
              </w:rPr>
              <w:t>姓名</w:t>
            </w:r>
          </w:p>
        </w:tc>
        <w:tc>
          <w:tcPr>
            <w:tcW w:w="720" w:type="dxa"/>
            <w:vAlign w:val="center"/>
          </w:tcPr>
          <w:p>
            <w:pPr>
              <w:jc w:val="center"/>
              <w:rPr>
                <w:rFonts w:ascii="宋体"/>
                <w:color w:val="000000"/>
                <w:szCs w:val="21"/>
              </w:rPr>
            </w:pPr>
            <w:r>
              <w:rPr>
                <w:rFonts w:hint="eastAsia" w:ascii="宋体"/>
                <w:color w:val="000000"/>
                <w:szCs w:val="21"/>
              </w:rPr>
              <w:t>性别</w:t>
            </w:r>
          </w:p>
        </w:tc>
        <w:tc>
          <w:tcPr>
            <w:tcW w:w="1260" w:type="dxa"/>
            <w:vAlign w:val="center"/>
          </w:tcPr>
          <w:p>
            <w:pPr>
              <w:jc w:val="center"/>
              <w:rPr>
                <w:rFonts w:ascii="宋体"/>
                <w:color w:val="000000"/>
                <w:szCs w:val="21"/>
              </w:rPr>
            </w:pPr>
            <w:r>
              <w:rPr>
                <w:rFonts w:hint="eastAsia" w:ascii="宋体"/>
                <w:color w:val="000000"/>
                <w:szCs w:val="21"/>
              </w:rPr>
              <w:t>出生日期</w:t>
            </w:r>
          </w:p>
        </w:tc>
        <w:tc>
          <w:tcPr>
            <w:tcW w:w="720" w:type="dxa"/>
            <w:vAlign w:val="center"/>
          </w:tcPr>
          <w:p>
            <w:pPr>
              <w:jc w:val="center"/>
              <w:rPr>
                <w:rFonts w:ascii="宋体"/>
                <w:color w:val="000000"/>
                <w:szCs w:val="21"/>
              </w:rPr>
            </w:pPr>
            <w:r>
              <w:rPr>
                <w:rFonts w:hint="eastAsia" w:ascii="宋体"/>
                <w:color w:val="000000"/>
                <w:szCs w:val="21"/>
              </w:rPr>
              <w:t>岗位</w:t>
            </w:r>
          </w:p>
        </w:tc>
        <w:tc>
          <w:tcPr>
            <w:tcW w:w="4454" w:type="dxa"/>
            <w:vAlign w:val="center"/>
          </w:tcPr>
          <w:p>
            <w:pPr>
              <w:jc w:val="center"/>
              <w:rPr>
                <w:rFonts w:ascii="宋体"/>
                <w:color w:val="000000"/>
                <w:szCs w:val="21"/>
              </w:rPr>
            </w:pPr>
            <w:r>
              <w:rPr>
                <w:rFonts w:hint="eastAsia" w:ascii="宋体"/>
                <w:color w:val="000000"/>
                <w:szCs w:val="21"/>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68" w:type="dxa"/>
            <w:vAlign w:val="center"/>
          </w:tcPr>
          <w:p>
            <w:pPr>
              <w:jc w:val="center"/>
              <w:rPr>
                <w:rFonts w:ascii="宋体"/>
                <w:color w:val="000000"/>
                <w:szCs w:val="21"/>
              </w:rPr>
            </w:pPr>
          </w:p>
        </w:tc>
        <w:tc>
          <w:tcPr>
            <w:tcW w:w="90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126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4454" w:type="dxa"/>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68" w:type="dxa"/>
            <w:vAlign w:val="center"/>
          </w:tcPr>
          <w:p>
            <w:pPr>
              <w:jc w:val="center"/>
              <w:rPr>
                <w:rFonts w:ascii="宋体"/>
                <w:color w:val="000000"/>
                <w:szCs w:val="21"/>
              </w:rPr>
            </w:pPr>
          </w:p>
        </w:tc>
        <w:tc>
          <w:tcPr>
            <w:tcW w:w="90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126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4454" w:type="dxa"/>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68" w:type="dxa"/>
            <w:vAlign w:val="center"/>
          </w:tcPr>
          <w:p>
            <w:pPr>
              <w:jc w:val="center"/>
              <w:rPr>
                <w:rFonts w:ascii="宋体"/>
                <w:color w:val="000000"/>
                <w:szCs w:val="21"/>
              </w:rPr>
            </w:pPr>
          </w:p>
        </w:tc>
        <w:tc>
          <w:tcPr>
            <w:tcW w:w="90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126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4454" w:type="dxa"/>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68" w:type="dxa"/>
            <w:vAlign w:val="center"/>
          </w:tcPr>
          <w:p>
            <w:pPr>
              <w:jc w:val="center"/>
              <w:rPr>
                <w:rFonts w:ascii="宋体"/>
                <w:color w:val="000000"/>
                <w:szCs w:val="21"/>
              </w:rPr>
            </w:pPr>
          </w:p>
        </w:tc>
        <w:tc>
          <w:tcPr>
            <w:tcW w:w="90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126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4454" w:type="dxa"/>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68" w:type="dxa"/>
            <w:vAlign w:val="center"/>
          </w:tcPr>
          <w:p>
            <w:pPr>
              <w:jc w:val="center"/>
              <w:rPr>
                <w:rFonts w:ascii="宋体"/>
                <w:color w:val="000000"/>
                <w:szCs w:val="21"/>
              </w:rPr>
            </w:pPr>
          </w:p>
        </w:tc>
        <w:tc>
          <w:tcPr>
            <w:tcW w:w="90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126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4454" w:type="dxa"/>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68" w:type="dxa"/>
            <w:vAlign w:val="center"/>
          </w:tcPr>
          <w:p>
            <w:pPr>
              <w:jc w:val="center"/>
              <w:rPr>
                <w:rFonts w:ascii="宋体"/>
                <w:color w:val="000000"/>
                <w:szCs w:val="21"/>
              </w:rPr>
            </w:pPr>
          </w:p>
        </w:tc>
        <w:tc>
          <w:tcPr>
            <w:tcW w:w="90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126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4454" w:type="dxa"/>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68" w:type="dxa"/>
            <w:vAlign w:val="center"/>
          </w:tcPr>
          <w:p>
            <w:pPr>
              <w:jc w:val="center"/>
              <w:rPr>
                <w:rFonts w:ascii="宋体"/>
                <w:color w:val="000000"/>
                <w:szCs w:val="21"/>
              </w:rPr>
            </w:pPr>
          </w:p>
        </w:tc>
        <w:tc>
          <w:tcPr>
            <w:tcW w:w="90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126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4454" w:type="dxa"/>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68" w:type="dxa"/>
            <w:vAlign w:val="center"/>
          </w:tcPr>
          <w:p>
            <w:pPr>
              <w:jc w:val="center"/>
              <w:rPr>
                <w:rFonts w:ascii="宋体"/>
                <w:color w:val="000000"/>
                <w:szCs w:val="21"/>
              </w:rPr>
            </w:pPr>
          </w:p>
        </w:tc>
        <w:tc>
          <w:tcPr>
            <w:tcW w:w="90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126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4454" w:type="dxa"/>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68" w:type="dxa"/>
            <w:vAlign w:val="center"/>
          </w:tcPr>
          <w:p>
            <w:pPr>
              <w:jc w:val="center"/>
              <w:rPr>
                <w:rFonts w:ascii="宋体"/>
                <w:color w:val="000000"/>
                <w:szCs w:val="21"/>
              </w:rPr>
            </w:pPr>
          </w:p>
        </w:tc>
        <w:tc>
          <w:tcPr>
            <w:tcW w:w="90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1260" w:type="dxa"/>
            <w:vAlign w:val="center"/>
          </w:tcPr>
          <w:p>
            <w:pPr>
              <w:jc w:val="center"/>
              <w:rPr>
                <w:rFonts w:ascii="宋体"/>
                <w:color w:val="000000"/>
                <w:szCs w:val="21"/>
              </w:rPr>
            </w:pPr>
          </w:p>
        </w:tc>
        <w:tc>
          <w:tcPr>
            <w:tcW w:w="720" w:type="dxa"/>
            <w:vAlign w:val="center"/>
          </w:tcPr>
          <w:p>
            <w:pPr>
              <w:jc w:val="center"/>
              <w:rPr>
                <w:rFonts w:ascii="宋体"/>
                <w:color w:val="000000"/>
                <w:szCs w:val="21"/>
              </w:rPr>
            </w:pPr>
          </w:p>
        </w:tc>
        <w:tc>
          <w:tcPr>
            <w:tcW w:w="4454" w:type="dxa"/>
            <w:vAlign w:val="center"/>
          </w:tcPr>
          <w:p>
            <w:pPr>
              <w:jc w:val="center"/>
              <w:rPr>
                <w:rFonts w:ascii="宋体"/>
                <w:color w:val="000000"/>
                <w:szCs w:val="21"/>
              </w:rPr>
            </w:pPr>
          </w:p>
        </w:tc>
      </w:tr>
    </w:tbl>
    <w:p>
      <w:pPr>
        <w:pStyle w:val="3"/>
        <w:spacing w:before="0" w:after="0" w:line="300" w:lineRule="auto"/>
        <w:jc w:val="center"/>
        <w:rPr>
          <w:rFonts w:ascii="宋体" w:hAnsi="宋体" w:eastAsia="宋体"/>
          <w:szCs w:val="21"/>
          <w:u w:val="single"/>
        </w:rPr>
      </w:pPr>
      <w:r>
        <w:rPr>
          <w:rFonts w:ascii="宋体" w:hAnsi="宋体" w:eastAsia="宋体"/>
          <w:szCs w:val="21"/>
          <w:u w:val="single"/>
        </w:rPr>
        <w:br w:type="page"/>
      </w:r>
      <w:bookmarkStart w:id="160" w:name="_Toc409424360"/>
      <w:bookmarkStart w:id="161" w:name="_Toc350070708"/>
      <w:bookmarkStart w:id="162" w:name="_Toc409424421"/>
      <w:bookmarkStart w:id="163" w:name="_Toc351644326"/>
      <w:bookmarkStart w:id="164" w:name="_Toc468267493"/>
    </w:p>
    <w:p>
      <w:pPr>
        <w:spacing w:after="100" w:afterAutospacing="1" w:line="480" w:lineRule="auto"/>
        <w:jc w:val="center"/>
        <w:rPr>
          <w:rFonts w:ascii="宋体" w:cs="宋体"/>
          <w:b/>
          <w:color w:val="000000"/>
          <w:sz w:val="32"/>
          <w:szCs w:val="32"/>
        </w:rPr>
      </w:pPr>
      <w:r>
        <w:rPr>
          <w:rFonts w:hint="eastAsia" w:ascii="宋体" w:cs="宋体"/>
          <w:b/>
          <w:color w:val="000000"/>
          <w:sz w:val="32"/>
          <w:szCs w:val="32"/>
        </w:rPr>
        <w:t>拟投入项目团队人员简历表</w:t>
      </w:r>
    </w:p>
    <w:tbl>
      <w:tblPr>
        <w:tblStyle w:val="22"/>
        <w:tblW w:w="8990" w:type="dxa"/>
        <w:jc w:val="center"/>
        <w:tblLayout w:type="fixed"/>
        <w:tblCellMar>
          <w:top w:w="0" w:type="dxa"/>
          <w:left w:w="0" w:type="dxa"/>
          <w:bottom w:w="0" w:type="dxa"/>
          <w:right w:w="0" w:type="dxa"/>
        </w:tblCellMar>
      </w:tblPr>
      <w:tblGrid>
        <w:gridCol w:w="1454"/>
        <w:gridCol w:w="643"/>
        <w:gridCol w:w="1047"/>
        <w:gridCol w:w="729"/>
        <w:gridCol w:w="941"/>
        <w:gridCol w:w="1469"/>
        <w:gridCol w:w="211"/>
        <w:gridCol w:w="2496"/>
      </w:tblGrid>
      <w:tr>
        <w:tblPrEx>
          <w:tblCellMar>
            <w:top w:w="0" w:type="dxa"/>
            <w:left w:w="0" w:type="dxa"/>
            <w:bottom w:w="0" w:type="dxa"/>
            <w:right w:w="0" w:type="dxa"/>
          </w:tblCellMar>
        </w:tblPrEx>
        <w:trPr>
          <w:trHeight w:val="600" w:hRule="exact"/>
          <w:jc w:val="center"/>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姓  名</w:t>
            </w:r>
          </w:p>
        </w:tc>
        <w:tc>
          <w:tcPr>
            <w:tcW w:w="169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72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性</w:t>
            </w:r>
            <w:r>
              <w:rPr>
                <w:rFonts w:hint="eastAsia" w:ascii="宋体" w:cs="宋体"/>
                <w:color w:val="000000"/>
                <w:szCs w:val="21"/>
              </w:rPr>
              <w:t>别</w:t>
            </w:r>
          </w:p>
        </w:tc>
        <w:tc>
          <w:tcPr>
            <w:tcW w:w="941"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出生</w:t>
            </w:r>
          </w:p>
          <w:p>
            <w:pPr>
              <w:jc w:val="center"/>
              <w:rPr>
                <w:rFonts w:ascii="宋体"/>
                <w:color w:val="000000"/>
                <w:szCs w:val="21"/>
              </w:rPr>
            </w:pPr>
            <w:r>
              <w:rPr>
                <w:rFonts w:hint="eastAsia" w:ascii="宋体"/>
                <w:color w:val="000000"/>
                <w:szCs w:val="21"/>
              </w:rPr>
              <w:t>日期</w:t>
            </w:r>
          </w:p>
        </w:tc>
        <w:tc>
          <w:tcPr>
            <w:tcW w:w="2496"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年  月  日</w:t>
            </w:r>
          </w:p>
        </w:tc>
      </w:tr>
      <w:tr>
        <w:tblPrEx>
          <w:tblCellMar>
            <w:top w:w="0" w:type="dxa"/>
            <w:left w:w="0" w:type="dxa"/>
            <w:bottom w:w="0" w:type="dxa"/>
            <w:right w:w="0" w:type="dxa"/>
          </w:tblCellMar>
        </w:tblPrEx>
        <w:trPr>
          <w:trHeight w:val="640" w:hRule="exact"/>
          <w:jc w:val="center"/>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s="宋体"/>
                <w:color w:val="000000"/>
                <w:szCs w:val="21"/>
              </w:rPr>
              <w:t>毕业</w:t>
            </w:r>
            <w:r>
              <w:rPr>
                <w:rFonts w:hint="eastAsia" w:ascii="宋体"/>
                <w:color w:val="000000"/>
                <w:szCs w:val="21"/>
              </w:rPr>
              <w:t xml:space="preserve">院校及    </w:t>
            </w:r>
            <w:r>
              <w:rPr>
                <w:rFonts w:hint="eastAsia" w:ascii="宋体" w:cs="宋体"/>
                <w:color w:val="000000"/>
                <w:szCs w:val="21"/>
              </w:rPr>
              <w:t>专业</w:t>
            </w:r>
          </w:p>
          <w:p>
            <w:pPr>
              <w:jc w:val="center"/>
              <w:rPr>
                <w:rFonts w:ascii="宋体"/>
                <w:color w:val="000000"/>
                <w:szCs w:val="21"/>
              </w:rPr>
            </w:pPr>
          </w:p>
        </w:tc>
        <w:tc>
          <w:tcPr>
            <w:tcW w:w="336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s="宋体"/>
                <w:color w:val="000000"/>
                <w:szCs w:val="21"/>
              </w:rPr>
              <w:t>毕业</w:t>
            </w:r>
          </w:p>
          <w:p>
            <w:pPr>
              <w:jc w:val="center"/>
              <w:rPr>
                <w:rFonts w:ascii="宋体"/>
                <w:color w:val="000000"/>
                <w:szCs w:val="21"/>
              </w:rPr>
            </w:pPr>
            <w:r>
              <w:rPr>
                <w:rFonts w:hint="eastAsia" w:ascii="宋体" w:cs="宋体"/>
                <w:color w:val="000000"/>
                <w:szCs w:val="21"/>
              </w:rPr>
              <w:t>时间</w:t>
            </w:r>
          </w:p>
        </w:tc>
        <w:tc>
          <w:tcPr>
            <w:tcW w:w="2496"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年  月  日</w:t>
            </w:r>
          </w:p>
        </w:tc>
      </w:tr>
      <w:tr>
        <w:tblPrEx>
          <w:tblCellMar>
            <w:top w:w="0" w:type="dxa"/>
            <w:left w:w="0" w:type="dxa"/>
            <w:bottom w:w="0" w:type="dxa"/>
            <w:right w:w="0" w:type="dxa"/>
          </w:tblCellMar>
        </w:tblPrEx>
        <w:trPr>
          <w:trHeight w:val="640" w:hRule="exact"/>
          <w:jc w:val="center"/>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参加工作年限</w:t>
            </w:r>
          </w:p>
        </w:tc>
        <w:tc>
          <w:tcPr>
            <w:tcW w:w="336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6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s="宋体"/>
                <w:color w:val="000000"/>
                <w:szCs w:val="21"/>
              </w:rPr>
              <w:t>为</w:t>
            </w:r>
            <w:r>
              <w:rPr>
                <w:rFonts w:hint="eastAsia" w:ascii="宋体"/>
                <w:color w:val="000000"/>
                <w:szCs w:val="21"/>
              </w:rPr>
              <w:t>本企业服</w:t>
            </w:r>
            <w:r>
              <w:rPr>
                <w:rFonts w:hint="eastAsia" w:ascii="宋体" w:cs="宋体"/>
                <w:color w:val="000000"/>
                <w:szCs w:val="21"/>
              </w:rPr>
              <w:t>务</w:t>
            </w:r>
            <w:r>
              <w:rPr>
                <w:rFonts w:hint="eastAsia" w:ascii="宋体"/>
                <w:color w:val="000000"/>
                <w:szCs w:val="21"/>
              </w:rPr>
              <w:t xml:space="preserve">    </w:t>
            </w:r>
            <w:r>
              <w:rPr>
                <w:rFonts w:hint="eastAsia" w:ascii="宋体" w:cs="宋体"/>
                <w:color w:val="000000"/>
                <w:szCs w:val="21"/>
              </w:rPr>
              <w:t>时间</w:t>
            </w:r>
          </w:p>
          <w:p>
            <w:pPr>
              <w:jc w:val="center"/>
              <w:rPr>
                <w:rFonts w:ascii="宋体"/>
                <w:color w:val="000000"/>
                <w:szCs w:val="21"/>
              </w:rPr>
            </w:pPr>
          </w:p>
        </w:tc>
        <w:tc>
          <w:tcPr>
            <w:tcW w:w="2496"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300" w:hRule="exact"/>
          <w:jc w:val="center"/>
        </w:trPr>
        <w:tc>
          <w:tcPr>
            <w:tcW w:w="1454" w:type="dxa"/>
            <w:vMerge w:val="restart"/>
            <w:tcBorders>
              <w:top w:val="single" w:color="auto" w:sz="8" w:space="0"/>
              <w:left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本</w:t>
            </w:r>
          </w:p>
          <w:p>
            <w:pPr>
              <w:jc w:val="center"/>
              <w:rPr>
                <w:rFonts w:ascii="宋体"/>
                <w:color w:val="000000"/>
                <w:szCs w:val="21"/>
              </w:rPr>
            </w:pPr>
            <w:r>
              <w:rPr>
                <w:rFonts w:hint="eastAsia" w:ascii="宋体"/>
                <w:color w:val="000000"/>
                <w:szCs w:val="21"/>
              </w:rPr>
              <w:t>人</w:t>
            </w:r>
          </w:p>
          <w:p>
            <w:pPr>
              <w:jc w:val="center"/>
              <w:rPr>
                <w:rFonts w:ascii="宋体"/>
                <w:color w:val="000000"/>
                <w:szCs w:val="21"/>
              </w:rPr>
            </w:pPr>
            <w:r>
              <w:rPr>
                <w:rFonts w:hint="eastAsia" w:ascii="宋体"/>
                <w:color w:val="000000"/>
                <w:szCs w:val="21"/>
              </w:rPr>
              <w:t>主</w:t>
            </w:r>
          </w:p>
          <w:p>
            <w:pPr>
              <w:jc w:val="center"/>
              <w:rPr>
                <w:rFonts w:ascii="宋体"/>
                <w:color w:val="000000"/>
                <w:szCs w:val="21"/>
              </w:rPr>
            </w:pPr>
            <w:r>
              <w:rPr>
                <w:rFonts w:hint="eastAsia" w:ascii="宋体"/>
                <w:color w:val="000000"/>
                <w:szCs w:val="21"/>
              </w:rPr>
              <w:t>要</w:t>
            </w:r>
          </w:p>
          <w:p>
            <w:pPr>
              <w:jc w:val="center"/>
              <w:rPr>
                <w:rFonts w:ascii="宋体" w:cs="宋体"/>
                <w:color w:val="000000"/>
                <w:szCs w:val="21"/>
              </w:rPr>
            </w:pPr>
            <w:r>
              <w:rPr>
                <w:rFonts w:hint="eastAsia" w:ascii="宋体" w:cs="宋体"/>
                <w:color w:val="000000"/>
                <w:szCs w:val="21"/>
              </w:rPr>
              <w:t>工</w:t>
            </w:r>
          </w:p>
          <w:p>
            <w:pPr>
              <w:jc w:val="center"/>
              <w:rPr>
                <w:rFonts w:ascii="宋体" w:cs="宋体"/>
                <w:color w:val="000000"/>
                <w:szCs w:val="21"/>
              </w:rPr>
            </w:pPr>
            <w:r>
              <w:rPr>
                <w:rFonts w:hint="eastAsia" w:ascii="宋体" w:cs="宋体"/>
                <w:color w:val="000000"/>
                <w:szCs w:val="21"/>
              </w:rPr>
              <w:t>作</w:t>
            </w:r>
          </w:p>
          <w:p>
            <w:pPr>
              <w:jc w:val="center"/>
              <w:rPr>
                <w:rFonts w:ascii="宋体" w:cs="宋体"/>
                <w:color w:val="000000"/>
                <w:szCs w:val="21"/>
              </w:rPr>
            </w:pPr>
            <w:r>
              <w:rPr>
                <w:rFonts w:hint="eastAsia" w:ascii="宋体" w:cs="宋体"/>
                <w:color w:val="000000"/>
                <w:szCs w:val="21"/>
              </w:rPr>
              <w:t>经</w:t>
            </w:r>
          </w:p>
          <w:p>
            <w:pPr>
              <w:jc w:val="center"/>
              <w:rPr>
                <w:rFonts w:ascii="宋体"/>
                <w:color w:val="000000"/>
                <w:szCs w:val="21"/>
              </w:rPr>
            </w:pPr>
            <w:r>
              <w:rPr>
                <w:rFonts w:hint="eastAsia" w:ascii="宋体" w:cs="宋体"/>
                <w:color w:val="000000"/>
                <w:szCs w:val="21"/>
              </w:rPr>
              <w:t>历</w:t>
            </w:r>
          </w:p>
          <w:p>
            <w:pPr>
              <w:jc w:val="center"/>
              <w:rPr>
                <w:rFonts w:ascii="宋体"/>
                <w:color w:val="000000"/>
                <w:szCs w:val="21"/>
              </w:rPr>
            </w:p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1</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s="宋体"/>
                <w:color w:val="000000"/>
                <w:szCs w:val="21"/>
              </w:rPr>
              <w:t>单位</w:t>
            </w:r>
          </w:p>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年月</w:t>
            </w:r>
          </w:p>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任职</w:t>
            </w:r>
          </w:p>
          <w:p>
            <w:pPr>
              <w:jc w:val="center"/>
              <w:rPr>
                <w:rFonts w:ascii="宋体"/>
                <w:color w:val="000000"/>
                <w:szCs w:val="21"/>
              </w:rPr>
            </w:pPr>
          </w:p>
        </w:tc>
      </w:tr>
      <w:tr>
        <w:tblPrEx>
          <w:tblCellMar>
            <w:top w:w="0" w:type="dxa"/>
            <w:left w:w="0" w:type="dxa"/>
            <w:bottom w:w="0" w:type="dxa"/>
            <w:right w:w="0" w:type="dxa"/>
          </w:tblCellMar>
        </w:tblPrEx>
        <w:trPr>
          <w:trHeight w:val="34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2</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32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3</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32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4</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34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5</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32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6</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cantSplit/>
          <w:trHeight w:val="320" w:hRule="exact"/>
          <w:jc w:val="center"/>
        </w:trPr>
        <w:tc>
          <w:tcPr>
            <w:tcW w:w="1454" w:type="dxa"/>
            <w:vMerge w:val="continue"/>
            <w:tcBorders>
              <w:left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7</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cantSplit/>
          <w:trHeight w:val="320" w:hRule="exact"/>
          <w:jc w:val="center"/>
        </w:trPr>
        <w:tc>
          <w:tcPr>
            <w:tcW w:w="1454" w:type="dxa"/>
            <w:vMerge w:val="continue"/>
            <w:tcBorders>
              <w:left w:val="single" w:color="auto" w:sz="8" w:space="0"/>
              <w:bottom w:val="single" w:color="auto" w:sz="8" w:space="0"/>
              <w:right w:val="single" w:color="auto" w:sz="8" w:space="0"/>
            </w:tcBorders>
            <w:vAlign w:val="center"/>
          </w:tcPr>
          <w:p/>
        </w:tc>
        <w:tc>
          <w:tcPr>
            <w:tcW w:w="643"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8</w:t>
            </w:r>
          </w:p>
          <w:p>
            <w:pPr>
              <w:jc w:val="center"/>
              <w:rPr>
                <w:rFonts w:ascii="宋体"/>
                <w:color w:val="000000"/>
                <w:szCs w:val="21"/>
              </w:rPr>
            </w:pPr>
          </w:p>
        </w:tc>
        <w:tc>
          <w:tcPr>
            <w:tcW w:w="27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1469"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c>
          <w:tcPr>
            <w:tcW w:w="270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r>
        <w:tblPrEx>
          <w:tblCellMar>
            <w:top w:w="0" w:type="dxa"/>
            <w:left w:w="0" w:type="dxa"/>
            <w:bottom w:w="0" w:type="dxa"/>
            <w:right w:w="0" w:type="dxa"/>
          </w:tblCellMar>
        </w:tblPrEx>
        <w:trPr>
          <w:trHeight w:val="2206" w:hRule="exact"/>
          <w:jc w:val="center"/>
        </w:trPr>
        <w:tc>
          <w:tcPr>
            <w:tcW w:w="1454" w:type="dxa"/>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r>
              <w:rPr>
                <w:rFonts w:hint="eastAsia" w:ascii="宋体"/>
                <w:color w:val="000000"/>
                <w:szCs w:val="21"/>
              </w:rPr>
              <w:t>其它需</w:t>
            </w:r>
          </w:p>
          <w:p>
            <w:pPr>
              <w:jc w:val="center"/>
              <w:rPr>
                <w:rFonts w:ascii="宋体"/>
                <w:color w:val="000000"/>
                <w:szCs w:val="21"/>
              </w:rPr>
            </w:pPr>
            <w:r>
              <w:rPr>
                <w:rFonts w:hint="eastAsia" w:ascii="宋体" w:cs="宋体"/>
                <w:color w:val="000000"/>
                <w:szCs w:val="21"/>
              </w:rPr>
              <w:t>补</w:t>
            </w:r>
            <w:r>
              <w:rPr>
                <w:rFonts w:hint="eastAsia" w:ascii="宋体"/>
                <w:color w:val="000000"/>
                <w:szCs w:val="21"/>
              </w:rPr>
              <w:t>充的情况</w:t>
            </w:r>
          </w:p>
          <w:p>
            <w:pPr>
              <w:jc w:val="center"/>
              <w:rPr>
                <w:rFonts w:ascii="宋体"/>
                <w:color w:val="000000"/>
                <w:szCs w:val="21"/>
              </w:rPr>
            </w:pPr>
          </w:p>
        </w:tc>
        <w:tc>
          <w:tcPr>
            <w:tcW w:w="7536" w:type="dxa"/>
            <w:gridSpan w:val="7"/>
            <w:tcBorders>
              <w:top w:val="single" w:color="auto" w:sz="8" w:space="0"/>
              <w:left w:val="single" w:color="auto" w:sz="8" w:space="0"/>
              <w:bottom w:val="single" w:color="auto" w:sz="8" w:space="0"/>
              <w:right w:val="single" w:color="auto" w:sz="8" w:space="0"/>
            </w:tcBorders>
            <w:vAlign w:val="center"/>
          </w:tcPr>
          <w:p>
            <w:pPr>
              <w:jc w:val="center"/>
              <w:rPr>
                <w:rFonts w:ascii="宋体"/>
                <w:color w:val="000000"/>
                <w:szCs w:val="21"/>
              </w:rPr>
            </w:pPr>
          </w:p>
        </w:tc>
      </w:tr>
    </w:tbl>
    <w:p>
      <w:pPr>
        <w:rPr>
          <w:rFonts w:ascii="宋体" w:hAnsi="宋体" w:eastAsia="宋体"/>
          <w:szCs w:val="21"/>
          <w:u w:val="single"/>
        </w:rPr>
      </w:pPr>
      <w:r>
        <w:rPr>
          <w:rFonts w:ascii="宋体" w:cs="宋体"/>
          <w:b/>
          <w:color w:val="000000"/>
          <w:sz w:val="32"/>
          <w:szCs w:val="32"/>
        </w:rPr>
        <w:br w:type="page"/>
      </w:r>
    </w:p>
    <w:p>
      <w:pPr>
        <w:pStyle w:val="3"/>
        <w:spacing w:before="0" w:after="0" w:line="300" w:lineRule="auto"/>
        <w:jc w:val="center"/>
        <w:rPr>
          <w:rFonts w:ascii="宋体" w:hAnsi="宋体" w:eastAsia="宋体"/>
          <w:szCs w:val="21"/>
          <w:u w:val="single"/>
        </w:rPr>
      </w:pPr>
      <w:r>
        <w:rPr>
          <w:rFonts w:hint="eastAsia" w:ascii="宋体" w:hAnsi="宋体" w:eastAsia="宋体"/>
          <w:lang w:val="en-US" w:eastAsia="zh-CN"/>
        </w:rPr>
        <w:t>九</w:t>
      </w:r>
      <w:r>
        <w:rPr>
          <w:rFonts w:ascii="宋体" w:hAnsi="宋体" w:eastAsia="宋体"/>
        </w:rPr>
        <w:t>、资格审查资料</w:t>
      </w:r>
      <w:bookmarkEnd w:id="160"/>
      <w:bookmarkEnd w:id="161"/>
      <w:bookmarkEnd w:id="162"/>
      <w:bookmarkEnd w:id="163"/>
      <w:bookmarkEnd w:id="164"/>
    </w:p>
    <w:p>
      <w:pPr>
        <w:pStyle w:val="4"/>
        <w:spacing w:before="0" w:after="0" w:line="300" w:lineRule="auto"/>
        <w:jc w:val="center"/>
        <w:rPr>
          <w:rFonts w:ascii="宋体" w:hAnsi="宋体"/>
        </w:rPr>
      </w:pPr>
      <w:bookmarkStart w:id="165" w:name="_Toc468267494"/>
      <w:bookmarkStart w:id="166" w:name="_Toc409424422"/>
      <w:bookmarkStart w:id="167" w:name="_Toc409424361"/>
      <w:r>
        <w:rPr>
          <w:rFonts w:hint="eastAsia" w:ascii="宋体" w:hAnsi="宋体"/>
        </w:rPr>
        <w:t>（一）</w:t>
      </w:r>
      <w:bookmarkEnd w:id="165"/>
      <w:r>
        <w:rPr>
          <w:rFonts w:hint="eastAsia" w:ascii="宋体" w:hAnsi="宋体"/>
          <w:lang w:eastAsia="zh-CN"/>
        </w:rPr>
        <w:t>供应商</w:t>
      </w:r>
      <w:r>
        <w:rPr>
          <w:rFonts w:hint="eastAsia"/>
        </w:rPr>
        <w:t>基本情况表</w:t>
      </w:r>
    </w:p>
    <w:bookmarkEnd w:id="166"/>
    <w:bookmarkEnd w:id="167"/>
    <w:tbl>
      <w:tblPr>
        <w:tblStyle w:val="22"/>
        <w:tblW w:w="8925"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73"/>
        <w:gridCol w:w="943"/>
        <w:gridCol w:w="2408"/>
        <w:gridCol w:w="1134"/>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174" w:type="dxa"/>
            <w:tcBorders>
              <w:top w:val="single" w:color="000000" w:sz="4" w:space="0"/>
              <w:left w:val="single" w:color="000000" w:sz="4" w:space="0"/>
              <w:bottom w:val="single" w:color="000000" w:sz="4" w:space="0"/>
              <w:right w:val="single" w:color="000000" w:sz="4" w:space="0"/>
            </w:tcBorders>
          </w:tcPr>
          <w:p>
            <w:pPr>
              <w:pStyle w:val="61"/>
              <w:spacing w:before="107"/>
              <w:ind w:left="118" w:right="116"/>
              <w:jc w:val="center"/>
              <w:rPr>
                <w:lang w:eastAsia="en-US"/>
              </w:rPr>
            </w:pPr>
            <w:r>
              <w:rPr>
                <w:rFonts w:hint="eastAsia"/>
                <w:lang w:eastAsia="zh-CN"/>
              </w:rPr>
              <w:t>供应商</w:t>
            </w:r>
            <w:r>
              <w:rPr>
                <w:rFonts w:hint="eastAsia"/>
              </w:rPr>
              <w:t>名称</w:t>
            </w:r>
          </w:p>
        </w:tc>
        <w:tc>
          <w:tcPr>
            <w:tcW w:w="6758" w:type="dxa"/>
            <w:gridSpan w:val="4"/>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174" w:type="dxa"/>
            <w:tcBorders>
              <w:top w:val="single" w:color="000000" w:sz="4" w:space="0"/>
              <w:left w:val="single" w:color="000000" w:sz="4" w:space="0"/>
              <w:bottom w:val="single" w:color="000000" w:sz="4" w:space="0"/>
              <w:right w:val="single" w:color="000000" w:sz="4" w:space="0"/>
            </w:tcBorders>
          </w:tcPr>
          <w:p>
            <w:pPr>
              <w:pStyle w:val="61"/>
              <w:spacing w:before="107"/>
              <w:ind w:left="116" w:right="116"/>
              <w:jc w:val="center"/>
              <w:rPr>
                <w:lang w:eastAsia="en-US"/>
              </w:rPr>
            </w:pPr>
            <w:r>
              <w:rPr>
                <w:rFonts w:hint="eastAsia"/>
              </w:rPr>
              <w:t>注册资金</w:t>
            </w:r>
          </w:p>
        </w:tc>
        <w:tc>
          <w:tcPr>
            <w:tcW w:w="3354" w:type="dxa"/>
            <w:gridSpan w:val="2"/>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c>
          <w:tcPr>
            <w:tcW w:w="1135" w:type="dxa"/>
            <w:tcBorders>
              <w:top w:val="single" w:color="000000" w:sz="4" w:space="0"/>
              <w:left w:val="single" w:color="000000" w:sz="4" w:space="0"/>
              <w:bottom w:val="single" w:color="000000" w:sz="4" w:space="0"/>
              <w:right w:val="single" w:color="000000" w:sz="4" w:space="0"/>
            </w:tcBorders>
          </w:tcPr>
          <w:p>
            <w:pPr>
              <w:pStyle w:val="61"/>
              <w:spacing w:before="107"/>
              <w:ind w:left="122" w:right="122"/>
              <w:jc w:val="center"/>
              <w:rPr>
                <w:lang w:eastAsia="en-US"/>
              </w:rPr>
            </w:pPr>
            <w:r>
              <w:rPr>
                <w:rFonts w:hint="eastAsia"/>
              </w:rPr>
              <w:t>成立时间</w:t>
            </w:r>
          </w:p>
        </w:tc>
        <w:tc>
          <w:tcPr>
            <w:tcW w:w="2269" w:type="dxa"/>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174" w:type="dxa"/>
            <w:tcBorders>
              <w:top w:val="single" w:color="000000" w:sz="4" w:space="0"/>
              <w:left w:val="single" w:color="000000" w:sz="4" w:space="0"/>
              <w:bottom w:val="single" w:color="000000" w:sz="4" w:space="0"/>
              <w:right w:val="single" w:color="000000" w:sz="4" w:space="0"/>
            </w:tcBorders>
          </w:tcPr>
          <w:p>
            <w:pPr>
              <w:pStyle w:val="61"/>
              <w:spacing w:before="107"/>
              <w:ind w:left="118" w:right="116"/>
              <w:jc w:val="center"/>
              <w:rPr>
                <w:lang w:eastAsia="en-US"/>
              </w:rPr>
            </w:pPr>
            <w:r>
              <w:rPr>
                <w:rFonts w:hint="eastAsia"/>
              </w:rPr>
              <w:t>注册地址</w:t>
            </w:r>
          </w:p>
        </w:tc>
        <w:tc>
          <w:tcPr>
            <w:tcW w:w="6758" w:type="dxa"/>
            <w:gridSpan w:val="4"/>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174" w:type="dxa"/>
            <w:tcBorders>
              <w:top w:val="single" w:color="000000" w:sz="4" w:space="0"/>
              <w:left w:val="single" w:color="000000" w:sz="4" w:space="0"/>
              <w:bottom w:val="single" w:color="000000" w:sz="4" w:space="0"/>
              <w:right w:val="single" w:color="000000" w:sz="4" w:space="0"/>
            </w:tcBorders>
          </w:tcPr>
          <w:p>
            <w:pPr>
              <w:pStyle w:val="61"/>
              <w:spacing w:before="108"/>
              <w:ind w:left="118" w:right="116"/>
              <w:jc w:val="center"/>
              <w:rPr>
                <w:lang w:eastAsia="en-US"/>
              </w:rPr>
            </w:pPr>
            <w:r>
              <w:rPr>
                <w:rFonts w:hint="eastAsia"/>
              </w:rPr>
              <w:t>邮政编码</w:t>
            </w:r>
          </w:p>
        </w:tc>
        <w:tc>
          <w:tcPr>
            <w:tcW w:w="3354" w:type="dxa"/>
            <w:gridSpan w:val="2"/>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c>
          <w:tcPr>
            <w:tcW w:w="1135" w:type="dxa"/>
            <w:tcBorders>
              <w:top w:val="single" w:color="000000" w:sz="4" w:space="0"/>
              <w:left w:val="single" w:color="000000" w:sz="4" w:space="0"/>
              <w:bottom w:val="single" w:color="000000" w:sz="4" w:space="0"/>
              <w:right w:val="single" w:color="000000" w:sz="4" w:space="0"/>
            </w:tcBorders>
          </w:tcPr>
          <w:p>
            <w:pPr>
              <w:pStyle w:val="61"/>
              <w:spacing w:before="108"/>
              <w:ind w:left="122" w:right="122"/>
              <w:jc w:val="center"/>
              <w:rPr>
                <w:lang w:eastAsia="en-US"/>
              </w:rPr>
            </w:pPr>
            <w:r>
              <w:rPr>
                <w:rFonts w:hint="eastAsia"/>
              </w:rPr>
              <w:t>员工总数</w:t>
            </w:r>
          </w:p>
        </w:tc>
        <w:tc>
          <w:tcPr>
            <w:tcW w:w="2269" w:type="dxa"/>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174" w:type="dxa"/>
            <w:vMerge w:val="restart"/>
            <w:tcBorders>
              <w:top w:val="single" w:color="000000" w:sz="4" w:space="0"/>
              <w:left w:val="single" w:color="000000" w:sz="4" w:space="0"/>
              <w:bottom w:val="single" w:color="000000" w:sz="4" w:space="0"/>
              <w:right w:val="single" w:color="000000" w:sz="4" w:space="0"/>
            </w:tcBorders>
          </w:tcPr>
          <w:p>
            <w:pPr>
              <w:pStyle w:val="61"/>
              <w:spacing w:before="5"/>
              <w:rPr>
                <w:sz w:val="25"/>
                <w:szCs w:val="22"/>
                <w:lang w:eastAsia="en-US"/>
              </w:rPr>
            </w:pPr>
          </w:p>
          <w:p>
            <w:pPr>
              <w:pStyle w:val="61"/>
              <w:spacing w:before="1"/>
              <w:ind w:left="662"/>
              <w:rPr>
                <w:lang w:eastAsia="en-US"/>
              </w:rPr>
            </w:pPr>
            <w:r>
              <w:rPr>
                <w:rFonts w:hint="eastAsia"/>
              </w:rPr>
              <w:t>联系方式</w:t>
            </w:r>
          </w:p>
        </w:tc>
        <w:tc>
          <w:tcPr>
            <w:tcW w:w="944" w:type="dxa"/>
            <w:tcBorders>
              <w:top w:val="single" w:color="000000" w:sz="4" w:space="0"/>
              <w:left w:val="single" w:color="000000" w:sz="4" w:space="0"/>
              <w:bottom w:val="single" w:color="000000" w:sz="4" w:space="0"/>
              <w:right w:val="single" w:color="000000" w:sz="4" w:space="0"/>
            </w:tcBorders>
          </w:tcPr>
          <w:p>
            <w:pPr>
              <w:pStyle w:val="61"/>
              <w:spacing w:before="107"/>
              <w:ind w:left="131" w:right="132"/>
              <w:jc w:val="center"/>
              <w:rPr>
                <w:lang w:eastAsia="en-US"/>
              </w:rPr>
            </w:pPr>
            <w:r>
              <w:rPr>
                <w:rFonts w:hint="eastAsia"/>
              </w:rPr>
              <w:t>联系人</w:t>
            </w:r>
          </w:p>
        </w:tc>
        <w:tc>
          <w:tcPr>
            <w:tcW w:w="2410" w:type="dxa"/>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c>
          <w:tcPr>
            <w:tcW w:w="1135" w:type="dxa"/>
            <w:tcBorders>
              <w:top w:val="single" w:color="000000" w:sz="4" w:space="0"/>
              <w:left w:val="single" w:color="000000" w:sz="4" w:space="0"/>
              <w:bottom w:val="single" w:color="000000" w:sz="4" w:space="0"/>
              <w:right w:val="single" w:color="000000" w:sz="4" w:space="0"/>
            </w:tcBorders>
          </w:tcPr>
          <w:p>
            <w:pPr>
              <w:pStyle w:val="61"/>
              <w:spacing w:before="107"/>
              <w:ind w:left="122" w:right="120"/>
              <w:jc w:val="center"/>
              <w:rPr>
                <w:lang w:eastAsia="en-US"/>
              </w:rPr>
            </w:pPr>
            <w:r>
              <w:rPr>
                <w:rFonts w:hint="eastAsia"/>
              </w:rPr>
              <w:t>电话</w:t>
            </w:r>
          </w:p>
        </w:tc>
        <w:tc>
          <w:tcPr>
            <w:tcW w:w="2269" w:type="dxa"/>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szCs w:val="22"/>
                <w:lang w:eastAsia="en-US"/>
              </w:rPr>
            </w:pPr>
          </w:p>
        </w:tc>
        <w:tc>
          <w:tcPr>
            <w:tcW w:w="944" w:type="dxa"/>
            <w:tcBorders>
              <w:top w:val="single" w:color="000000" w:sz="4" w:space="0"/>
              <w:left w:val="single" w:color="000000" w:sz="4" w:space="0"/>
              <w:bottom w:val="single" w:color="000000" w:sz="4" w:space="0"/>
              <w:right w:val="single" w:color="000000" w:sz="4" w:space="0"/>
            </w:tcBorders>
          </w:tcPr>
          <w:p>
            <w:pPr>
              <w:pStyle w:val="61"/>
              <w:spacing w:before="107"/>
              <w:ind w:left="131" w:right="132"/>
              <w:jc w:val="center"/>
              <w:rPr>
                <w:lang w:eastAsia="en-US"/>
              </w:rPr>
            </w:pPr>
            <w:r>
              <w:rPr>
                <w:rFonts w:hint="eastAsia"/>
              </w:rPr>
              <w:t>网址</w:t>
            </w:r>
          </w:p>
        </w:tc>
        <w:tc>
          <w:tcPr>
            <w:tcW w:w="2410" w:type="dxa"/>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c>
          <w:tcPr>
            <w:tcW w:w="1135" w:type="dxa"/>
            <w:tcBorders>
              <w:top w:val="single" w:color="000000" w:sz="4" w:space="0"/>
              <w:left w:val="single" w:color="000000" w:sz="4" w:space="0"/>
              <w:bottom w:val="single" w:color="000000" w:sz="4" w:space="0"/>
              <w:right w:val="single" w:color="000000" w:sz="4" w:space="0"/>
            </w:tcBorders>
          </w:tcPr>
          <w:p>
            <w:pPr>
              <w:pStyle w:val="61"/>
              <w:spacing w:before="107"/>
              <w:ind w:left="122" w:right="120"/>
              <w:jc w:val="center"/>
              <w:rPr>
                <w:lang w:eastAsia="en-US"/>
              </w:rPr>
            </w:pPr>
            <w:r>
              <w:rPr>
                <w:rFonts w:hint="eastAsia"/>
              </w:rPr>
              <w:t>传真</w:t>
            </w:r>
          </w:p>
        </w:tc>
        <w:tc>
          <w:tcPr>
            <w:tcW w:w="2269" w:type="dxa"/>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exact"/>
        </w:trPr>
        <w:tc>
          <w:tcPr>
            <w:tcW w:w="2174" w:type="dxa"/>
            <w:tcBorders>
              <w:top w:val="single" w:color="000000" w:sz="4" w:space="0"/>
              <w:left w:val="single" w:color="000000" w:sz="4" w:space="0"/>
              <w:bottom w:val="single" w:color="000000" w:sz="4" w:space="0"/>
              <w:right w:val="single" w:color="000000" w:sz="4" w:space="0"/>
            </w:tcBorders>
          </w:tcPr>
          <w:p>
            <w:pPr>
              <w:pStyle w:val="61"/>
              <w:spacing w:before="107"/>
              <w:ind w:left="118" w:right="116"/>
              <w:jc w:val="center"/>
              <w:rPr>
                <w:szCs w:val="22"/>
              </w:rPr>
            </w:pPr>
            <w:r>
              <w:rPr>
                <w:rFonts w:hint="eastAsia"/>
              </w:rPr>
              <w:t>法定代表人</w:t>
            </w:r>
          </w:p>
          <w:p>
            <w:pPr>
              <w:pStyle w:val="61"/>
              <w:spacing w:before="166"/>
              <w:ind w:left="13" w:right="116"/>
              <w:jc w:val="center"/>
            </w:pPr>
            <w:r>
              <w:rPr>
                <w:rFonts w:hint="eastAsia"/>
              </w:rPr>
              <w:t>（单位负责人）</w:t>
            </w:r>
          </w:p>
        </w:tc>
        <w:tc>
          <w:tcPr>
            <w:tcW w:w="944" w:type="dxa"/>
            <w:tcBorders>
              <w:top w:val="single" w:color="000000" w:sz="4" w:space="0"/>
              <w:left w:val="single" w:color="000000" w:sz="4" w:space="0"/>
              <w:bottom w:val="single" w:color="000000" w:sz="4" w:space="0"/>
              <w:right w:val="single" w:color="000000" w:sz="4" w:space="0"/>
            </w:tcBorders>
          </w:tcPr>
          <w:p>
            <w:pPr>
              <w:pStyle w:val="61"/>
              <w:spacing w:before="1"/>
              <w:rPr>
                <w:sz w:val="25"/>
                <w:szCs w:val="22"/>
              </w:rPr>
            </w:pPr>
          </w:p>
          <w:p>
            <w:pPr>
              <w:pStyle w:val="61"/>
              <w:ind w:left="131" w:right="132"/>
              <w:jc w:val="center"/>
              <w:rPr>
                <w:lang w:eastAsia="en-US"/>
              </w:rPr>
            </w:pPr>
            <w:r>
              <w:rPr>
                <w:rFonts w:hint="eastAsia"/>
              </w:rPr>
              <w:t>姓名</w:t>
            </w:r>
          </w:p>
        </w:tc>
        <w:tc>
          <w:tcPr>
            <w:tcW w:w="2410" w:type="dxa"/>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c>
          <w:tcPr>
            <w:tcW w:w="1135" w:type="dxa"/>
            <w:tcBorders>
              <w:top w:val="single" w:color="000000" w:sz="4" w:space="0"/>
              <w:left w:val="single" w:color="000000" w:sz="4" w:space="0"/>
              <w:bottom w:val="single" w:color="000000" w:sz="4" w:space="0"/>
              <w:right w:val="single" w:color="000000" w:sz="4" w:space="0"/>
            </w:tcBorders>
          </w:tcPr>
          <w:p>
            <w:pPr>
              <w:pStyle w:val="61"/>
              <w:spacing w:before="1"/>
              <w:rPr>
                <w:sz w:val="25"/>
                <w:szCs w:val="22"/>
                <w:lang w:eastAsia="en-US"/>
              </w:rPr>
            </w:pPr>
          </w:p>
          <w:p>
            <w:pPr>
              <w:pStyle w:val="61"/>
              <w:ind w:left="122" w:right="120"/>
              <w:jc w:val="center"/>
              <w:rPr>
                <w:lang w:eastAsia="en-US"/>
              </w:rPr>
            </w:pPr>
            <w:r>
              <w:rPr>
                <w:rFonts w:hint="eastAsia"/>
              </w:rPr>
              <w:t>电话</w:t>
            </w:r>
          </w:p>
        </w:tc>
        <w:tc>
          <w:tcPr>
            <w:tcW w:w="2269" w:type="dxa"/>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174" w:type="dxa"/>
            <w:tcBorders>
              <w:top w:val="single" w:color="000000" w:sz="4" w:space="0"/>
              <w:left w:val="single" w:color="000000" w:sz="4" w:space="0"/>
              <w:bottom w:val="single" w:color="000000" w:sz="4" w:space="0"/>
              <w:right w:val="single" w:color="000000" w:sz="4" w:space="0"/>
            </w:tcBorders>
          </w:tcPr>
          <w:p>
            <w:pPr>
              <w:pStyle w:val="61"/>
              <w:spacing w:before="107"/>
              <w:ind w:left="118" w:right="116"/>
              <w:jc w:val="center"/>
              <w:rPr>
                <w:lang w:eastAsia="en-US"/>
              </w:rPr>
            </w:pPr>
            <w:r>
              <w:rPr>
                <w:rFonts w:hint="eastAsia"/>
              </w:rPr>
              <w:t>基本账户开户银行</w:t>
            </w:r>
          </w:p>
        </w:tc>
        <w:tc>
          <w:tcPr>
            <w:tcW w:w="6758" w:type="dxa"/>
            <w:gridSpan w:val="4"/>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174" w:type="dxa"/>
            <w:tcBorders>
              <w:top w:val="single" w:color="000000" w:sz="4" w:space="0"/>
              <w:left w:val="single" w:color="000000" w:sz="4" w:space="0"/>
              <w:bottom w:val="single" w:color="000000" w:sz="4" w:space="0"/>
              <w:right w:val="single" w:color="000000" w:sz="4" w:space="0"/>
            </w:tcBorders>
          </w:tcPr>
          <w:p>
            <w:pPr>
              <w:pStyle w:val="61"/>
              <w:spacing w:before="107"/>
              <w:ind w:left="118" w:right="116"/>
              <w:jc w:val="center"/>
              <w:rPr>
                <w:lang w:eastAsia="en-US"/>
              </w:rPr>
            </w:pPr>
            <w:r>
              <w:rPr>
                <w:rFonts w:hint="eastAsia"/>
              </w:rPr>
              <w:t>基本账户银行账号</w:t>
            </w:r>
          </w:p>
        </w:tc>
        <w:tc>
          <w:tcPr>
            <w:tcW w:w="6758" w:type="dxa"/>
            <w:gridSpan w:val="4"/>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9" w:hRule="exact"/>
        </w:trPr>
        <w:tc>
          <w:tcPr>
            <w:tcW w:w="2174" w:type="dxa"/>
            <w:tcBorders>
              <w:top w:val="single" w:color="000000" w:sz="4" w:space="0"/>
              <w:left w:val="single" w:color="000000" w:sz="4" w:space="0"/>
              <w:bottom w:val="single" w:color="000000" w:sz="4" w:space="0"/>
              <w:right w:val="single" w:color="000000" w:sz="4" w:space="0"/>
            </w:tcBorders>
            <w:vAlign w:val="center"/>
          </w:tcPr>
          <w:p>
            <w:pPr>
              <w:pStyle w:val="61"/>
              <w:spacing w:before="38"/>
              <w:ind w:left="116" w:right="116"/>
              <w:jc w:val="center"/>
              <w:rPr>
                <w:lang w:eastAsia="en-US"/>
              </w:rPr>
            </w:pPr>
            <w:r>
              <w:rPr>
                <w:rFonts w:hint="eastAsia"/>
              </w:rPr>
              <w:t>经营范围</w:t>
            </w:r>
          </w:p>
        </w:tc>
        <w:tc>
          <w:tcPr>
            <w:tcW w:w="6758" w:type="dxa"/>
            <w:gridSpan w:val="4"/>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exact"/>
        </w:trPr>
        <w:tc>
          <w:tcPr>
            <w:tcW w:w="2174" w:type="dxa"/>
            <w:tcBorders>
              <w:top w:val="single" w:color="000000" w:sz="4" w:space="0"/>
              <w:left w:val="single" w:color="000000" w:sz="4" w:space="0"/>
              <w:bottom w:val="single" w:color="000000" w:sz="4" w:space="0"/>
              <w:right w:val="single" w:color="000000" w:sz="4" w:space="0"/>
            </w:tcBorders>
            <w:vAlign w:val="center"/>
          </w:tcPr>
          <w:p>
            <w:pPr>
              <w:pStyle w:val="61"/>
              <w:spacing w:before="107"/>
              <w:ind w:left="116" w:right="116"/>
              <w:jc w:val="center"/>
              <w:rPr>
                <w:lang w:eastAsia="en-US"/>
              </w:rPr>
            </w:pPr>
            <w:r>
              <w:rPr>
                <w:rFonts w:hint="eastAsia"/>
              </w:rPr>
              <w:t>备注</w:t>
            </w:r>
          </w:p>
        </w:tc>
        <w:tc>
          <w:tcPr>
            <w:tcW w:w="6758" w:type="dxa"/>
            <w:gridSpan w:val="4"/>
            <w:tcBorders>
              <w:top w:val="single" w:color="000000" w:sz="4" w:space="0"/>
              <w:left w:val="single" w:color="000000" w:sz="4" w:space="0"/>
              <w:bottom w:val="single" w:color="000000" w:sz="4" w:space="0"/>
              <w:right w:val="single" w:color="000000" w:sz="4" w:space="0"/>
            </w:tcBorders>
          </w:tcPr>
          <w:p>
            <w:pPr>
              <w:rPr>
                <w:rFonts w:ascii="宋体" w:hAnsi="宋体" w:cs="宋体"/>
                <w:sz w:val="22"/>
                <w:szCs w:val="22"/>
                <w:lang w:eastAsia="en-US"/>
              </w:rPr>
            </w:pPr>
          </w:p>
        </w:tc>
      </w:tr>
    </w:tbl>
    <w:p>
      <w:pPr>
        <w:rPr>
          <w:rFonts w:ascii="宋体" w:cs="宋体"/>
          <w:b/>
          <w:color w:val="000000"/>
          <w:szCs w:val="21"/>
        </w:rPr>
      </w:pPr>
      <w:r>
        <w:rPr>
          <w:rFonts w:hint="eastAsia" w:ascii="宋体"/>
          <w:b/>
          <w:color w:val="000000"/>
          <w:szCs w:val="21"/>
        </w:rPr>
        <w:t>注：</w:t>
      </w:r>
      <w:r>
        <w:rPr>
          <w:rFonts w:hint="eastAsia" w:ascii="宋体"/>
          <w:b/>
          <w:color w:val="000000"/>
          <w:szCs w:val="21"/>
          <w:lang w:eastAsia="zh-CN"/>
        </w:rPr>
        <w:t>供应商</w:t>
      </w:r>
      <w:r>
        <w:rPr>
          <w:rFonts w:hint="eastAsia" w:ascii="宋体"/>
          <w:b/>
          <w:color w:val="000000"/>
          <w:szCs w:val="21"/>
        </w:rPr>
        <w:t>需随此表附上</w:t>
      </w:r>
      <w:r>
        <w:rPr>
          <w:rFonts w:hint="eastAsia" w:ascii="宋体" w:cs="宋体"/>
          <w:b/>
          <w:color w:val="000000"/>
          <w:szCs w:val="21"/>
        </w:rPr>
        <w:t>资格审查资料：</w:t>
      </w:r>
    </w:p>
    <w:p>
      <w:pPr>
        <w:ind w:firstLine="422" w:firstLineChars="200"/>
        <w:rPr>
          <w:rFonts w:ascii="宋体" w:cs="宋体"/>
          <w:b/>
          <w:color w:val="000000"/>
          <w:szCs w:val="21"/>
        </w:rPr>
      </w:pPr>
      <w:r>
        <w:rPr>
          <w:rFonts w:hint="eastAsia" w:ascii="宋体" w:cs="宋体"/>
          <w:b/>
          <w:color w:val="000000"/>
          <w:szCs w:val="21"/>
        </w:rPr>
        <w:t>1.营业执照副本复印件；</w:t>
      </w:r>
    </w:p>
    <w:p>
      <w:pPr>
        <w:ind w:firstLine="422" w:firstLineChars="200"/>
        <w:rPr>
          <w:rFonts w:ascii="宋体" w:cs="宋体"/>
          <w:b/>
          <w:color w:val="000000"/>
          <w:szCs w:val="21"/>
        </w:rPr>
      </w:pPr>
      <w:r>
        <w:rPr>
          <w:rFonts w:hint="eastAsia" w:ascii="宋体" w:cs="宋体"/>
          <w:b/>
          <w:color w:val="000000"/>
          <w:szCs w:val="21"/>
        </w:rPr>
        <w:t>2.开户证明复印件；</w:t>
      </w:r>
    </w:p>
    <w:p>
      <w:pPr>
        <w:ind w:firstLine="422" w:firstLineChars="200"/>
        <w:rPr>
          <w:rFonts w:ascii="宋体" w:cs="宋体"/>
          <w:b/>
          <w:color w:val="000000"/>
          <w:szCs w:val="21"/>
        </w:rPr>
      </w:pPr>
      <w:r>
        <w:rPr>
          <w:rFonts w:hint="eastAsia" w:ascii="宋体" w:cs="宋体"/>
          <w:b/>
          <w:color w:val="000000"/>
          <w:szCs w:val="21"/>
        </w:rPr>
        <w:t>3.财务审计报告复印件；</w:t>
      </w:r>
    </w:p>
    <w:p>
      <w:pPr>
        <w:ind w:firstLine="422" w:firstLineChars="200"/>
        <w:rPr>
          <w:rFonts w:ascii="宋体" w:cs="宋体"/>
          <w:b/>
          <w:color w:val="000000"/>
          <w:szCs w:val="21"/>
        </w:rPr>
      </w:pPr>
      <w:r>
        <w:rPr>
          <w:rFonts w:hint="eastAsia" w:ascii="宋体" w:cs="宋体"/>
          <w:b/>
          <w:color w:val="000000"/>
          <w:szCs w:val="21"/>
        </w:rPr>
        <w:t>4.依法纳税证明和社会保障资金缴纳证明复印件；</w:t>
      </w:r>
    </w:p>
    <w:p>
      <w:pPr>
        <w:ind w:firstLine="422" w:firstLineChars="200"/>
        <w:rPr>
          <w:rFonts w:ascii="宋体" w:cs="宋体"/>
          <w:b/>
          <w:color w:val="000000"/>
          <w:szCs w:val="21"/>
        </w:rPr>
      </w:pPr>
      <w:r>
        <w:rPr>
          <w:rFonts w:ascii="宋体" w:cs="宋体"/>
          <w:b/>
          <w:color w:val="000000"/>
          <w:szCs w:val="21"/>
        </w:rPr>
        <w:t>5</w:t>
      </w:r>
      <w:r>
        <w:rPr>
          <w:rFonts w:hint="eastAsia" w:ascii="宋体" w:cs="宋体"/>
          <w:b/>
          <w:color w:val="000000"/>
          <w:szCs w:val="21"/>
        </w:rPr>
        <w:t>.参加政府采购活动前3年内在经营活动中没有重大违法记录承诺书</w:t>
      </w:r>
      <w:r>
        <w:rPr>
          <w:rFonts w:hint="eastAsia" w:ascii="宋体" w:cs="宋体"/>
          <w:b/>
          <w:color w:val="000000"/>
          <w:szCs w:val="21"/>
          <w:lang w:eastAsia="zh-CN"/>
        </w:rPr>
        <w:t>及网页截图</w:t>
      </w:r>
      <w:r>
        <w:rPr>
          <w:rFonts w:hint="eastAsia" w:ascii="宋体" w:cs="宋体"/>
          <w:b/>
          <w:color w:val="000000"/>
          <w:szCs w:val="21"/>
        </w:rPr>
        <w:t>；</w:t>
      </w:r>
    </w:p>
    <w:p>
      <w:pPr>
        <w:ind w:firstLine="422" w:firstLineChars="200"/>
        <w:rPr>
          <w:rFonts w:ascii="宋体" w:cs="宋体"/>
          <w:b/>
          <w:color w:val="000000"/>
          <w:szCs w:val="21"/>
        </w:rPr>
      </w:pPr>
      <w:r>
        <w:rPr>
          <w:rFonts w:ascii="宋体" w:cs="宋体"/>
          <w:b/>
          <w:color w:val="000000"/>
          <w:szCs w:val="21"/>
        </w:rPr>
        <w:t>6</w:t>
      </w:r>
      <w:r>
        <w:rPr>
          <w:rFonts w:hint="eastAsia" w:ascii="宋体" w:cs="宋体"/>
          <w:b/>
          <w:color w:val="000000"/>
          <w:szCs w:val="21"/>
        </w:rPr>
        <w:t>.利害关系声明。</w:t>
      </w:r>
    </w:p>
    <w:p>
      <w:pPr>
        <w:spacing w:line="300" w:lineRule="auto"/>
        <w:rPr>
          <w:rFonts w:ascii="宋体" w:hAnsi="宋体"/>
          <w:sz w:val="20"/>
          <w:szCs w:val="20"/>
        </w:rPr>
      </w:pPr>
    </w:p>
    <w:p>
      <w:pPr>
        <w:rPr>
          <w:rFonts w:ascii="宋体" w:hAnsi="宋体"/>
        </w:rPr>
      </w:pPr>
      <w:bookmarkStart w:id="168" w:name="_Toc409424362"/>
      <w:bookmarkStart w:id="169" w:name="_Toc409424423"/>
      <w:bookmarkStart w:id="170" w:name="_Toc350070710"/>
      <w:bookmarkStart w:id="171" w:name="_Toc468267496"/>
      <w:bookmarkStart w:id="172" w:name="_Toc351644328"/>
      <w:r>
        <w:rPr>
          <w:rFonts w:ascii="宋体" w:hAnsi="宋体"/>
        </w:rPr>
        <w:br w:type="page"/>
      </w:r>
    </w:p>
    <w:p>
      <w:pPr>
        <w:pStyle w:val="4"/>
        <w:spacing w:before="0" w:after="0" w:line="300" w:lineRule="auto"/>
        <w:jc w:val="center"/>
        <w:rPr>
          <w:rFonts w:ascii="宋体" w:hAnsi="宋体"/>
        </w:rPr>
      </w:pPr>
      <w:r>
        <w:rPr>
          <w:rFonts w:ascii="宋体" w:hAnsi="宋体"/>
        </w:rPr>
        <w:t>（</w:t>
      </w:r>
      <w:r>
        <w:rPr>
          <w:rFonts w:hint="eastAsia" w:ascii="宋体" w:hAnsi="宋体"/>
        </w:rPr>
        <w:t>二</w:t>
      </w:r>
      <w:r>
        <w:rPr>
          <w:rFonts w:ascii="宋体" w:hAnsi="宋体"/>
        </w:rPr>
        <w:t>）近年财务状况</w:t>
      </w:r>
      <w:bookmarkEnd w:id="168"/>
      <w:bookmarkEnd w:id="169"/>
      <w:bookmarkEnd w:id="170"/>
      <w:bookmarkEnd w:id="171"/>
      <w:bookmarkEnd w:id="172"/>
    </w:p>
    <w:p>
      <w:pPr>
        <w:spacing w:line="300" w:lineRule="auto"/>
        <w:rPr>
          <w:rFonts w:ascii="宋体" w:hAnsi="宋体"/>
          <w:b/>
          <w:szCs w:val="21"/>
        </w:rPr>
      </w:pPr>
      <w:r>
        <w:rPr>
          <w:rFonts w:ascii="宋体" w:hAnsi="宋体"/>
          <w:b/>
          <w:szCs w:val="21"/>
        </w:rPr>
        <w:br w:type="page"/>
      </w:r>
    </w:p>
    <w:p>
      <w:pPr>
        <w:pStyle w:val="4"/>
        <w:spacing w:before="0" w:after="0" w:line="300" w:lineRule="auto"/>
        <w:jc w:val="center"/>
        <w:rPr>
          <w:rFonts w:ascii="宋体" w:hAnsi="宋体"/>
        </w:rPr>
      </w:pPr>
      <w:bookmarkStart w:id="173" w:name="_Toc409424363"/>
      <w:bookmarkStart w:id="174" w:name="_Toc468267497"/>
      <w:bookmarkStart w:id="175" w:name="_Toc409424424"/>
      <w:bookmarkStart w:id="176" w:name="_Toc351644329"/>
      <w:bookmarkStart w:id="177" w:name="_Toc350070711"/>
      <w:r>
        <w:rPr>
          <w:rFonts w:ascii="宋体" w:hAnsi="宋体"/>
        </w:rPr>
        <w:t>（</w:t>
      </w:r>
      <w:r>
        <w:rPr>
          <w:rFonts w:hint="eastAsia" w:ascii="宋体" w:hAnsi="宋体"/>
        </w:rPr>
        <w:t>三</w:t>
      </w:r>
      <w:r>
        <w:rPr>
          <w:rFonts w:ascii="宋体" w:hAnsi="宋体"/>
        </w:rPr>
        <w:t>）近年完成的类似项目情况表</w:t>
      </w:r>
      <w:bookmarkEnd w:id="173"/>
      <w:bookmarkEnd w:id="174"/>
      <w:bookmarkEnd w:id="175"/>
      <w:bookmarkEnd w:id="176"/>
      <w:bookmarkEnd w:id="177"/>
    </w:p>
    <w:p>
      <w:pPr>
        <w:spacing w:line="300" w:lineRule="auto"/>
        <w:jc w:val="center"/>
        <w:rPr>
          <w:rFonts w:ascii="宋体" w:hAnsi="宋体"/>
          <w:sz w:val="23"/>
          <w:szCs w:val="23"/>
        </w:rPr>
      </w:pPr>
    </w:p>
    <w:tbl>
      <w:tblPr>
        <w:tblStyle w:val="22"/>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2224"/>
        <w:gridCol w:w="1492"/>
        <w:gridCol w:w="1470"/>
        <w:gridCol w:w="1095"/>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0" w:type="dxa"/>
            <w:vAlign w:val="center"/>
          </w:tcPr>
          <w:p>
            <w:pPr>
              <w:jc w:val="center"/>
              <w:rPr>
                <w:rFonts w:ascii="宋体" w:hAnsi="宋体" w:cs="宋体"/>
                <w:kern w:val="0"/>
                <w:szCs w:val="21"/>
              </w:rPr>
            </w:pPr>
            <w:r>
              <w:rPr>
                <w:rFonts w:hint="eastAsia" w:ascii="宋体" w:hAnsi="宋体" w:cs="宋体"/>
                <w:kern w:val="0"/>
                <w:szCs w:val="21"/>
              </w:rPr>
              <w:t>序号</w:t>
            </w:r>
          </w:p>
        </w:tc>
        <w:tc>
          <w:tcPr>
            <w:tcW w:w="1620" w:type="dxa"/>
            <w:vAlign w:val="center"/>
          </w:tcPr>
          <w:p>
            <w:pPr>
              <w:jc w:val="center"/>
              <w:rPr>
                <w:rFonts w:ascii="宋体" w:hAnsi="宋体" w:cs="宋体"/>
                <w:kern w:val="0"/>
                <w:szCs w:val="21"/>
              </w:rPr>
            </w:pPr>
            <w:r>
              <w:rPr>
                <w:rFonts w:hint="eastAsia" w:ascii="宋体" w:hAnsi="宋体" w:cs="宋体"/>
                <w:kern w:val="0"/>
                <w:szCs w:val="21"/>
              </w:rPr>
              <w:t>起止时间</w:t>
            </w:r>
          </w:p>
        </w:tc>
        <w:tc>
          <w:tcPr>
            <w:tcW w:w="2224" w:type="dxa"/>
            <w:vAlign w:val="center"/>
          </w:tcPr>
          <w:p>
            <w:pPr>
              <w:jc w:val="center"/>
              <w:rPr>
                <w:rFonts w:ascii="宋体" w:hAnsi="宋体" w:cs="宋体"/>
                <w:kern w:val="0"/>
                <w:szCs w:val="21"/>
              </w:rPr>
            </w:pPr>
            <w:r>
              <w:rPr>
                <w:rFonts w:hint="eastAsia" w:ascii="宋体" w:hAnsi="宋体" w:cs="宋体"/>
                <w:kern w:val="0"/>
                <w:szCs w:val="21"/>
              </w:rPr>
              <w:t>项目名称/概况</w:t>
            </w:r>
          </w:p>
        </w:tc>
        <w:tc>
          <w:tcPr>
            <w:tcW w:w="1492" w:type="dxa"/>
            <w:vAlign w:val="center"/>
          </w:tcPr>
          <w:p>
            <w:pPr>
              <w:jc w:val="center"/>
              <w:rPr>
                <w:rFonts w:ascii="宋体" w:hAnsi="宋体" w:cs="宋体"/>
                <w:kern w:val="0"/>
                <w:szCs w:val="21"/>
              </w:rPr>
            </w:pPr>
            <w:r>
              <w:rPr>
                <w:rFonts w:hint="eastAsia" w:ascii="宋体" w:hAnsi="宋体" w:cs="宋体"/>
                <w:kern w:val="0"/>
                <w:szCs w:val="21"/>
              </w:rPr>
              <w:t>项目金额</w:t>
            </w:r>
          </w:p>
        </w:tc>
        <w:tc>
          <w:tcPr>
            <w:tcW w:w="1470" w:type="dxa"/>
            <w:vAlign w:val="center"/>
          </w:tcPr>
          <w:p>
            <w:pPr>
              <w:jc w:val="center"/>
              <w:rPr>
                <w:rFonts w:ascii="宋体" w:hAnsi="宋体" w:cs="宋体"/>
                <w:kern w:val="0"/>
                <w:szCs w:val="21"/>
              </w:rPr>
            </w:pPr>
            <w:r>
              <w:rPr>
                <w:rFonts w:hint="eastAsia" w:ascii="宋体" w:hAnsi="宋体" w:cs="宋体"/>
                <w:kern w:val="0"/>
                <w:szCs w:val="21"/>
              </w:rPr>
              <w:t>业主单位</w:t>
            </w:r>
          </w:p>
        </w:tc>
        <w:tc>
          <w:tcPr>
            <w:tcW w:w="1095" w:type="dxa"/>
            <w:vAlign w:val="center"/>
          </w:tcPr>
          <w:p>
            <w:pPr>
              <w:jc w:val="center"/>
              <w:rPr>
                <w:rFonts w:ascii="宋体" w:hAnsi="宋体" w:cs="宋体"/>
                <w:kern w:val="0"/>
                <w:szCs w:val="21"/>
              </w:rPr>
            </w:pPr>
            <w:r>
              <w:rPr>
                <w:rFonts w:hint="eastAsia" w:ascii="宋体" w:hAnsi="宋体" w:cs="宋体"/>
                <w:kern w:val="0"/>
                <w:szCs w:val="21"/>
              </w:rPr>
              <w:t>完成情况</w:t>
            </w:r>
          </w:p>
        </w:tc>
        <w:tc>
          <w:tcPr>
            <w:tcW w:w="777" w:type="dxa"/>
            <w:vAlign w:val="center"/>
          </w:tcPr>
          <w:p>
            <w:pPr>
              <w:jc w:val="center"/>
              <w:rPr>
                <w:rFonts w:ascii="宋体" w:hAnsi="宋体" w:cs="宋体"/>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vAlign w:val="center"/>
          </w:tcPr>
          <w:p>
            <w:pPr>
              <w:jc w:val="center"/>
              <w:rPr>
                <w:rFonts w:ascii="宋体" w:hAnsi="宋体" w:cs="宋体"/>
                <w:szCs w:val="21"/>
              </w:rPr>
            </w:pPr>
          </w:p>
        </w:tc>
        <w:tc>
          <w:tcPr>
            <w:tcW w:w="1620" w:type="dxa"/>
            <w:vAlign w:val="center"/>
          </w:tcPr>
          <w:p>
            <w:pPr>
              <w:jc w:val="center"/>
              <w:rPr>
                <w:rFonts w:ascii="宋体" w:hAnsi="宋体" w:cs="宋体"/>
                <w:szCs w:val="21"/>
              </w:rPr>
            </w:pPr>
          </w:p>
        </w:tc>
        <w:tc>
          <w:tcPr>
            <w:tcW w:w="2224" w:type="dxa"/>
            <w:vAlign w:val="center"/>
          </w:tcPr>
          <w:p>
            <w:pPr>
              <w:jc w:val="center"/>
              <w:rPr>
                <w:rFonts w:ascii="宋体" w:hAnsi="宋体" w:cs="宋体"/>
                <w:szCs w:val="21"/>
              </w:rPr>
            </w:pPr>
          </w:p>
        </w:tc>
        <w:tc>
          <w:tcPr>
            <w:tcW w:w="1492" w:type="dxa"/>
            <w:vAlign w:val="center"/>
          </w:tcPr>
          <w:p>
            <w:pPr>
              <w:jc w:val="center"/>
              <w:rPr>
                <w:rFonts w:ascii="宋体" w:hAnsi="宋体" w:cs="宋体"/>
                <w:szCs w:val="21"/>
              </w:rPr>
            </w:pPr>
          </w:p>
        </w:tc>
        <w:tc>
          <w:tcPr>
            <w:tcW w:w="1470" w:type="dxa"/>
            <w:vAlign w:val="center"/>
          </w:tcPr>
          <w:p>
            <w:pPr>
              <w:jc w:val="center"/>
              <w:rPr>
                <w:rFonts w:ascii="宋体" w:hAnsi="宋体" w:cs="宋体"/>
                <w:szCs w:val="21"/>
              </w:rPr>
            </w:pPr>
          </w:p>
        </w:tc>
        <w:tc>
          <w:tcPr>
            <w:tcW w:w="1095" w:type="dxa"/>
            <w:vAlign w:val="center"/>
          </w:tcPr>
          <w:p>
            <w:pPr>
              <w:jc w:val="center"/>
              <w:rPr>
                <w:rFonts w:ascii="宋体" w:hAnsi="宋体" w:cs="宋体"/>
                <w:szCs w:val="21"/>
              </w:rPr>
            </w:pPr>
          </w:p>
        </w:tc>
        <w:tc>
          <w:tcPr>
            <w:tcW w:w="777"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2224" w:type="dxa"/>
            <w:vAlign w:val="center"/>
          </w:tcPr>
          <w:p>
            <w:pPr>
              <w:jc w:val="center"/>
              <w:rPr>
                <w:rFonts w:ascii="宋体" w:hAnsi="宋体" w:cs="宋体"/>
                <w:sz w:val="24"/>
              </w:rPr>
            </w:pPr>
          </w:p>
        </w:tc>
        <w:tc>
          <w:tcPr>
            <w:tcW w:w="1492" w:type="dxa"/>
            <w:vAlign w:val="center"/>
          </w:tcPr>
          <w:p>
            <w:pPr>
              <w:jc w:val="center"/>
              <w:rPr>
                <w:rFonts w:ascii="宋体" w:hAnsi="宋体" w:cs="宋体"/>
                <w:sz w:val="24"/>
              </w:rPr>
            </w:pPr>
          </w:p>
        </w:tc>
        <w:tc>
          <w:tcPr>
            <w:tcW w:w="1470" w:type="dxa"/>
            <w:vAlign w:val="center"/>
          </w:tcPr>
          <w:p>
            <w:pPr>
              <w:jc w:val="center"/>
              <w:rPr>
                <w:rFonts w:ascii="宋体" w:hAnsi="宋体" w:cs="宋体"/>
                <w:sz w:val="24"/>
              </w:rPr>
            </w:pPr>
          </w:p>
        </w:tc>
        <w:tc>
          <w:tcPr>
            <w:tcW w:w="1095" w:type="dxa"/>
            <w:vAlign w:val="center"/>
          </w:tcPr>
          <w:p>
            <w:pPr>
              <w:jc w:val="center"/>
              <w:rPr>
                <w:rFonts w:ascii="宋体" w:hAnsi="宋体" w:cs="宋体"/>
                <w:sz w:val="24"/>
              </w:rPr>
            </w:pPr>
          </w:p>
        </w:tc>
        <w:tc>
          <w:tcPr>
            <w:tcW w:w="7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2224" w:type="dxa"/>
            <w:vAlign w:val="center"/>
          </w:tcPr>
          <w:p>
            <w:pPr>
              <w:jc w:val="center"/>
              <w:rPr>
                <w:rFonts w:ascii="宋体" w:hAnsi="宋体" w:cs="宋体"/>
                <w:sz w:val="24"/>
              </w:rPr>
            </w:pPr>
          </w:p>
        </w:tc>
        <w:tc>
          <w:tcPr>
            <w:tcW w:w="1492" w:type="dxa"/>
            <w:vAlign w:val="center"/>
          </w:tcPr>
          <w:p>
            <w:pPr>
              <w:jc w:val="center"/>
              <w:rPr>
                <w:rFonts w:ascii="宋体" w:hAnsi="宋体" w:cs="宋体"/>
                <w:sz w:val="24"/>
              </w:rPr>
            </w:pPr>
          </w:p>
        </w:tc>
        <w:tc>
          <w:tcPr>
            <w:tcW w:w="1470" w:type="dxa"/>
            <w:vAlign w:val="center"/>
          </w:tcPr>
          <w:p>
            <w:pPr>
              <w:jc w:val="center"/>
              <w:rPr>
                <w:rFonts w:ascii="宋体" w:hAnsi="宋体" w:cs="宋体"/>
                <w:sz w:val="24"/>
              </w:rPr>
            </w:pPr>
          </w:p>
        </w:tc>
        <w:tc>
          <w:tcPr>
            <w:tcW w:w="1095" w:type="dxa"/>
            <w:vAlign w:val="center"/>
          </w:tcPr>
          <w:p>
            <w:pPr>
              <w:jc w:val="center"/>
              <w:rPr>
                <w:rFonts w:ascii="宋体" w:hAnsi="宋体" w:cs="宋体"/>
                <w:sz w:val="24"/>
              </w:rPr>
            </w:pPr>
          </w:p>
        </w:tc>
        <w:tc>
          <w:tcPr>
            <w:tcW w:w="7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2224" w:type="dxa"/>
            <w:vAlign w:val="center"/>
          </w:tcPr>
          <w:p>
            <w:pPr>
              <w:jc w:val="center"/>
              <w:rPr>
                <w:rFonts w:ascii="宋体" w:hAnsi="宋体" w:cs="宋体"/>
                <w:sz w:val="24"/>
              </w:rPr>
            </w:pPr>
          </w:p>
        </w:tc>
        <w:tc>
          <w:tcPr>
            <w:tcW w:w="1492" w:type="dxa"/>
            <w:vAlign w:val="center"/>
          </w:tcPr>
          <w:p>
            <w:pPr>
              <w:jc w:val="center"/>
              <w:rPr>
                <w:rFonts w:ascii="宋体" w:hAnsi="宋体" w:cs="宋体"/>
                <w:sz w:val="24"/>
              </w:rPr>
            </w:pPr>
          </w:p>
        </w:tc>
        <w:tc>
          <w:tcPr>
            <w:tcW w:w="1470" w:type="dxa"/>
            <w:vAlign w:val="center"/>
          </w:tcPr>
          <w:p>
            <w:pPr>
              <w:jc w:val="center"/>
              <w:rPr>
                <w:rFonts w:ascii="宋体" w:hAnsi="宋体" w:cs="宋体"/>
                <w:sz w:val="24"/>
              </w:rPr>
            </w:pPr>
          </w:p>
        </w:tc>
        <w:tc>
          <w:tcPr>
            <w:tcW w:w="1095" w:type="dxa"/>
            <w:vAlign w:val="center"/>
          </w:tcPr>
          <w:p>
            <w:pPr>
              <w:jc w:val="center"/>
              <w:rPr>
                <w:rFonts w:ascii="宋体" w:hAnsi="宋体" w:cs="宋体"/>
                <w:sz w:val="24"/>
              </w:rPr>
            </w:pPr>
          </w:p>
        </w:tc>
        <w:tc>
          <w:tcPr>
            <w:tcW w:w="7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2224" w:type="dxa"/>
            <w:vAlign w:val="center"/>
          </w:tcPr>
          <w:p>
            <w:pPr>
              <w:jc w:val="center"/>
              <w:rPr>
                <w:rFonts w:ascii="宋体" w:hAnsi="宋体" w:cs="宋体"/>
                <w:sz w:val="24"/>
              </w:rPr>
            </w:pPr>
          </w:p>
        </w:tc>
        <w:tc>
          <w:tcPr>
            <w:tcW w:w="1492" w:type="dxa"/>
            <w:vAlign w:val="center"/>
          </w:tcPr>
          <w:p>
            <w:pPr>
              <w:jc w:val="center"/>
              <w:rPr>
                <w:rFonts w:ascii="宋体" w:hAnsi="宋体" w:cs="宋体"/>
                <w:sz w:val="24"/>
              </w:rPr>
            </w:pPr>
          </w:p>
        </w:tc>
        <w:tc>
          <w:tcPr>
            <w:tcW w:w="1470" w:type="dxa"/>
            <w:vAlign w:val="center"/>
          </w:tcPr>
          <w:p>
            <w:pPr>
              <w:jc w:val="center"/>
              <w:rPr>
                <w:rFonts w:ascii="宋体" w:hAnsi="宋体" w:cs="宋体"/>
                <w:sz w:val="24"/>
              </w:rPr>
            </w:pPr>
          </w:p>
        </w:tc>
        <w:tc>
          <w:tcPr>
            <w:tcW w:w="1095" w:type="dxa"/>
            <w:vAlign w:val="center"/>
          </w:tcPr>
          <w:p>
            <w:pPr>
              <w:jc w:val="center"/>
              <w:rPr>
                <w:rFonts w:ascii="宋体" w:hAnsi="宋体" w:cs="宋体"/>
                <w:sz w:val="24"/>
              </w:rPr>
            </w:pPr>
          </w:p>
        </w:tc>
        <w:tc>
          <w:tcPr>
            <w:tcW w:w="7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2224" w:type="dxa"/>
            <w:vAlign w:val="center"/>
          </w:tcPr>
          <w:p>
            <w:pPr>
              <w:jc w:val="center"/>
              <w:rPr>
                <w:rFonts w:ascii="宋体" w:hAnsi="宋体" w:cs="宋体"/>
                <w:sz w:val="24"/>
              </w:rPr>
            </w:pPr>
          </w:p>
        </w:tc>
        <w:tc>
          <w:tcPr>
            <w:tcW w:w="1492" w:type="dxa"/>
            <w:vAlign w:val="center"/>
          </w:tcPr>
          <w:p>
            <w:pPr>
              <w:jc w:val="center"/>
              <w:rPr>
                <w:rFonts w:ascii="宋体" w:hAnsi="宋体" w:cs="宋体"/>
                <w:sz w:val="24"/>
              </w:rPr>
            </w:pPr>
          </w:p>
        </w:tc>
        <w:tc>
          <w:tcPr>
            <w:tcW w:w="1470" w:type="dxa"/>
            <w:vAlign w:val="center"/>
          </w:tcPr>
          <w:p>
            <w:pPr>
              <w:jc w:val="center"/>
              <w:rPr>
                <w:rFonts w:ascii="宋体" w:hAnsi="宋体" w:cs="宋体"/>
                <w:sz w:val="24"/>
              </w:rPr>
            </w:pPr>
          </w:p>
        </w:tc>
        <w:tc>
          <w:tcPr>
            <w:tcW w:w="1095" w:type="dxa"/>
            <w:vAlign w:val="center"/>
          </w:tcPr>
          <w:p>
            <w:pPr>
              <w:jc w:val="center"/>
              <w:rPr>
                <w:rFonts w:ascii="宋体" w:hAnsi="宋体" w:cs="宋体"/>
                <w:sz w:val="24"/>
              </w:rPr>
            </w:pPr>
          </w:p>
        </w:tc>
        <w:tc>
          <w:tcPr>
            <w:tcW w:w="7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2224" w:type="dxa"/>
            <w:vAlign w:val="center"/>
          </w:tcPr>
          <w:p>
            <w:pPr>
              <w:jc w:val="center"/>
              <w:rPr>
                <w:rFonts w:ascii="宋体" w:hAnsi="宋体" w:cs="宋体"/>
                <w:sz w:val="24"/>
              </w:rPr>
            </w:pPr>
          </w:p>
        </w:tc>
        <w:tc>
          <w:tcPr>
            <w:tcW w:w="1492" w:type="dxa"/>
            <w:vAlign w:val="center"/>
          </w:tcPr>
          <w:p>
            <w:pPr>
              <w:jc w:val="center"/>
              <w:rPr>
                <w:rFonts w:ascii="宋体" w:hAnsi="宋体" w:cs="宋体"/>
                <w:sz w:val="24"/>
              </w:rPr>
            </w:pPr>
          </w:p>
        </w:tc>
        <w:tc>
          <w:tcPr>
            <w:tcW w:w="1470" w:type="dxa"/>
            <w:vAlign w:val="center"/>
          </w:tcPr>
          <w:p>
            <w:pPr>
              <w:jc w:val="center"/>
              <w:rPr>
                <w:rFonts w:ascii="宋体" w:hAnsi="宋体" w:cs="宋体"/>
                <w:sz w:val="24"/>
              </w:rPr>
            </w:pPr>
          </w:p>
        </w:tc>
        <w:tc>
          <w:tcPr>
            <w:tcW w:w="1095" w:type="dxa"/>
            <w:vAlign w:val="center"/>
          </w:tcPr>
          <w:p>
            <w:pPr>
              <w:jc w:val="center"/>
              <w:rPr>
                <w:rFonts w:ascii="宋体" w:hAnsi="宋体" w:cs="宋体"/>
                <w:sz w:val="24"/>
              </w:rPr>
            </w:pPr>
          </w:p>
        </w:tc>
        <w:tc>
          <w:tcPr>
            <w:tcW w:w="7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20" w:type="dxa"/>
            <w:vAlign w:val="center"/>
          </w:tcPr>
          <w:p>
            <w:pPr>
              <w:jc w:val="center"/>
              <w:rPr>
                <w:rFonts w:ascii="宋体" w:hAnsi="宋体" w:cs="宋体"/>
                <w:sz w:val="24"/>
              </w:rPr>
            </w:pPr>
          </w:p>
        </w:tc>
        <w:tc>
          <w:tcPr>
            <w:tcW w:w="1620" w:type="dxa"/>
            <w:vAlign w:val="center"/>
          </w:tcPr>
          <w:p>
            <w:pPr>
              <w:jc w:val="center"/>
              <w:rPr>
                <w:rFonts w:ascii="宋体" w:hAnsi="宋体" w:cs="宋体"/>
                <w:sz w:val="24"/>
              </w:rPr>
            </w:pPr>
          </w:p>
        </w:tc>
        <w:tc>
          <w:tcPr>
            <w:tcW w:w="2224" w:type="dxa"/>
            <w:vAlign w:val="center"/>
          </w:tcPr>
          <w:p>
            <w:pPr>
              <w:jc w:val="center"/>
              <w:rPr>
                <w:rFonts w:ascii="宋体" w:hAnsi="宋体" w:cs="宋体"/>
                <w:sz w:val="24"/>
              </w:rPr>
            </w:pPr>
          </w:p>
        </w:tc>
        <w:tc>
          <w:tcPr>
            <w:tcW w:w="1492" w:type="dxa"/>
            <w:vAlign w:val="center"/>
          </w:tcPr>
          <w:p>
            <w:pPr>
              <w:jc w:val="center"/>
              <w:rPr>
                <w:rFonts w:ascii="宋体" w:hAnsi="宋体" w:cs="宋体"/>
                <w:sz w:val="24"/>
              </w:rPr>
            </w:pPr>
          </w:p>
        </w:tc>
        <w:tc>
          <w:tcPr>
            <w:tcW w:w="1470" w:type="dxa"/>
            <w:vAlign w:val="center"/>
          </w:tcPr>
          <w:p>
            <w:pPr>
              <w:jc w:val="center"/>
              <w:rPr>
                <w:rFonts w:ascii="宋体" w:hAnsi="宋体" w:cs="宋体"/>
                <w:sz w:val="24"/>
              </w:rPr>
            </w:pPr>
          </w:p>
        </w:tc>
        <w:tc>
          <w:tcPr>
            <w:tcW w:w="1095" w:type="dxa"/>
            <w:vAlign w:val="center"/>
          </w:tcPr>
          <w:p>
            <w:pPr>
              <w:jc w:val="center"/>
              <w:rPr>
                <w:rFonts w:ascii="宋体" w:hAnsi="宋体" w:cs="宋体"/>
                <w:sz w:val="24"/>
              </w:rPr>
            </w:pPr>
          </w:p>
        </w:tc>
        <w:tc>
          <w:tcPr>
            <w:tcW w:w="777" w:type="dxa"/>
            <w:vAlign w:val="center"/>
          </w:tcPr>
          <w:p>
            <w:pPr>
              <w:jc w:val="center"/>
              <w:rPr>
                <w:rFonts w:ascii="宋体" w:hAnsi="宋体" w:cs="宋体"/>
                <w:sz w:val="24"/>
              </w:rPr>
            </w:pPr>
          </w:p>
        </w:tc>
      </w:tr>
    </w:tbl>
    <w:p>
      <w:pPr>
        <w:spacing w:line="300" w:lineRule="auto"/>
        <w:rPr>
          <w:rFonts w:ascii="宋体" w:hAnsi="宋体"/>
          <w:b/>
          <w:szCs w:val="21"/>
        </w:rPr>
      </w:pPr>
    </w:p>
    <w:p>
      <w:pPr>
        <w:spacing w:line="300" w:lineRule="auto"/>
        <w:rPr>
          <w:rFonts w:ascii="宋体" w:hAnsi="宋体"/>
          <w:b/>
          <w:szCs w:val="21"/>
        </w:rPr>
      </w:pPr>
    </w:p>
    <w:p>
      <w:pPr>
        <w:spacing w:line="300" w:lineRule="auto"/>
        <w:rPr>
          <w:rFonts w:ascii="宋体" w:hAnsi="宋体"/>
          <w:b/>
          <w:szCs w:val="21"/>
        </w:rPr>
      </w:pPr>
      <w:r>
        <w:rPr>
          <w:rFonts w:hint="eastAsia" w:ascii="宋体" w:hAnsi="宋体"/>
          <w:b/>
          <w:szCs w:val="21"/>
        </w:rPr>
        <w:t>附近三年业绩中标通知书或合同复印件。</w:t>
      </w:r>
    </w:p>
    <w:p>
      <w:pPr>
        <w:spacing w:line="300" w:lineRule="auto"/>
        <w:rPr>
          <w:rFonts w:ascii="宋体" w:hAnsi="宋体"/>
          <w:sz w:val="20"/>
          <w:szCs w:val="20"/>
        </w:rPr>
      </w:pPr>
      <w:r>
        <w:rPr>
          <w:rFonts w:ascii="宋体" w:hAnsi="宋体"/>
          <w:sz w:val="23"/>
          <w:szCs w:val="23"/>
        </w:rPr>
        <w:br w:type="page"/>
      </w:r>
    </w:p>
    <w:p>
      <w:pPr>
        <w:pStyle w:val="4"/>
        <w:spacing w:before="0" w:after="0" w:line="300" w:lineRule="auto"/>
        <w:rPr>
          <w:rFonts w:ascii="宋体" w:hAnsi="宋体"/>
          <w:szCs w:val="21"/>
        </w:rPr>
      </w:pPr>
      <w:bookmarkStart w:id="178" w:name="_Toc409424365"/>
      <w:bookmarkStart w:id="179" w:name="_Toc363491233"/>
      <w:bookmarkStart w:id="180" w:name="_Toc300659776"/>
      <w:bookmarkStart w:id="181" w:name="_Toc409424426"/>
      <w:bookmarkStart w:id="182" w:name="_Toc356393085"/>
      <w:bookmarkStart w:id="183" w:name="_Toc327777607"/>
      <w:bookmarkStart w:id="184" w:name="_Toc468267498"/>
      <w:r>
        <w:rPr>
          <w:rFonts w:hint="eastAsia" w:ascii="宋体" w:hAnsi="宋体"/>
          <w:sz w:val="28"/>
          <w:szCs w:val="28"/>
        </w:rPr>
        <w:t>（四）</w:t>
      </w:r>
      <w:r>
        <w:rPr>
          <w:rFonts w:ascii="宋体" w:hAnsi="宋体"/>
          <w:sz w:val="28"/>
          <w:szCs w:val="28"/>
        </w:rPr>
        <w:t>其他</w:t>
      </w:r>
      <w:r>
        <w:rPr>
          <w:rFonts w:hint="eastAsia" w:ascii="宋体" w:hAnsi="宋体"/>
          <w:sz w:val="28"/>
          <w:szCs w:val="28"/>
        </w:rPr>
        <w:t>资格审查资</w:t>
      </w:r>
      <w:r>
        <w:rPr>
          <w:rFonts w:ascii="宋体" w:hAnsi="宋体"/>
          <w:sz w:val="28"/>
          <w:szCs w:val="28"/>
        </w:rPr>
        <w:t>料</w:t>
      </w:r>
      <w:bookmarkEnd w:id="178"/>
      <w:bookmarkEnd w:id="179"/>
      <w:bookmarkEnd w:id="180"/>
      <w:bookmarkEnd w:id="181"/>
      <w:bookmarkEnd w:id="182"/>
      <w:bookmarkEnd w:id="183"/>
      <w:bookmarkEnd w:id="184"/>
    </w:p>
    <w:p>
      <w:pPr>
        <w:autoSpaceDE w:val="0"/>
        <w:autoSpaceDN w:val="0"/>
        <w:adjustRightInd w:val="0"/>
        <w:spacing w:line="300" w:lineRule="auto"/>
        <w:jc w:val="left"/>
        <w:rPr>
          <w:rFonts w:ascii="宋体" w:hAnsi="宋体"/>
          <w:szCs w:val="21"/>
        </w:rPr>
      </w:pPr>
    </w:p>
    <w:p>
      <w:pPr>
        <w:spacing w:line="300" w:lineRule="auto"/>
        <w:jc w:val="center"/>
        <w:rPr>
          <w:rFonts w:ascii="宋体" w:hAnsi="宋体"/>
          <w:b/>
          <w:bCs/>
          <w:sz w:val="28"/>
          <w:szCs w:val="28"/>
        </w:rPr>
      </w:pPr>
      <w:r>
        <w:rPr>
          <w:rFonts w:hint="eastAsia" w:ascii="宋体" w:hAnsi="宋体"/>
          <w:szCs w:val="21"/>
        </w:rPr>
        <w:t>格式自拟</w:t>
      </w:r>
      <w:r>
        <w:rPr>
          <w:rFonts w:ascii="宋体" w:hAnsi="宋体"/>
          <w:szCs w:val="21"/>
        </w:rPr>
        <w:br w:type="page"/>
      </w:r>
      <w:r>
        <w:rPr>
          <w:rFonts w:hint="eastAsia" w:ascii="宋体" w:hAnsi="宋体"/>
          <w:b/>
          <w:bCs/>
          <w:sz w:val="28"/>
          <w:szCs w:val="28"/>
        </w:rPr>
        <w:t>十、</w:t>
      </w:r>
      <w:r>
        <w:rPr>
          <w:rFonts w:hint="eastAsia" w:ascii="宋体" w:hAnsi="宋体"/>
          <w:b/>
          <w:bCs/>
          <w:sz w:val="28"/>
          <w:szCs w:val="28"/>
          <w:lang w:val="en-US" w:eastAsia="zh-CN"/>
        </w:rPr>
        <w:t>项目实施</w:t>
      </w:r>
      <w:r>
        <w:rPr>
          <w:rFonts w:hint="eastAsia" w:ascii="宋体" w:hAnsi="宋体"/>
          <w:b/>
          <w:bCs/>
          <w:sz w:val="28"/>
          <w:szCs w:val="28"/>
        </w:rPr>
        <w:t>方案</w:t>
      </w:r>
    </w:p>
    <w:p>
      <w:pPr>
        <w:spacing w:line="300" w:lineRule="auto"/>
        <w:jc w:val="both"/>
        <w:rPr>
          <w:rFonts w:hint="eastAsia" w:ascii="宋体" w:hAnsi="宋体" w:eastAsia="宋体" w:cs="Times New Roman"/>
          <w:sz w:val="28"/>
          <w:szCs w:val="28"/>
        </w:rPr>
      </w:pPr>
      <w:r>
        <w:rPr>
          <w:rFonts w:hint="eastAsia" w:ascii="宋体" w:hAnsi="宋体" w:eastAsia="宋体" w:cs="Times New Roman"/>
          <w:sz w:val="28"/>
          <w:szCs w:val="28"/>
        </w:rPr>
        <w:t xml:space="preserve"> </w:t>
      </w:r>
    </w:p>
    <w:p>
      <w:pPr>
        <w:spacing w:line="300" w:lineRule="auto"/>
        <w:jc w:val="both"/>
        <w:rPr>
          <w:rFonts w:hint="eastAsia" w:ascii="宋体" w:hAnsi="宋体" w:eastAsia="宋体" w:cs="Times New Roman"/>
          <w:sz w:val="28"/>
          <w:szCs w:val="28"/>
          <w:lang w:val="en-US" w:eastAsia="zh-CN"/>
        </w:rPr>
      </w:pPr>
      <w:r>
        <w:rPr>
          <w:rFonts w:hint="eastAsia" w:ascii="宋体" w:hAnsi="宋体" w:eastAsia="宋体" w:cs="Times New Roman"/>
          <w:sz w:val="28"/>
          <w:szCs w:val="28"/>
        </w:rPr>
        <w:t>格式自拟</w:t>
      </w:r>
      <w:r>
        <w:rPr>
          <w:rFonts w:hint="eastAsia" w:ascii="宋体" w:hAnsi="宋体" w:eastAsia="宋体" w:cs="Times New Roman"/>
          <w:sz w:val="28"/>
          <w:szCs w:val="28"/>
          <w:lang w:eastAsia="zh-CN"/>
        </w:rPr>
        <w:t>，</w:t>
      </w:r>
      <w:r>
        <w:rPr>
          <w:rFonts w:hint="eastAsia" w:ascii="宋体" w:hAnsi="宋体" w:eastAsia="宋体" w:cs="Times New Roman"/>
          <w:sz w:val="28"/>
          <w:szCs w:val="28"/>
          <w:lang w:val="en-US" w:eastAsia="zh-CN"/>
        </w:rPr>
        <w:t>包括但不限于以下内容：</w:t>
      </w:r>
    </w:p>
    <w:p>
      <w:pPr>
        <w:spacing w:line="300" w:lineRule="auto"/>
        <w:jc w:val="both"/>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1</w:t>
      </w:r>
      <w:r>
        <w:rPr>
          <w:rFonts w:hint="default" w:ascii="宋体" w:hAnsi="宋体" w:eastAsia="宋体" w:cs="Times New Roman"/>
          <w:sz w:val="28"/>
          <w:szCs w:val="28"/>
          <w:lang w:val="en-US" w:eastAsia="zh-CN"/>
        </w:rPr>
        <w:t>、项目组织管理方案、管理制度</w:t>
      </w:r>
    </w:p>
    <w:p>
      <w:pPr>
        <w:spacing w:line="300" w:lineRule="auto"/>
        <w:jc w:val="both"/>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2</w:t>
      </w:r>
      <w:r>
        <w:rPr>
          <w:rFonts w:hint="default" w:ascii="宋体" w:hAnsi="宋体" w:eastAsia="宋体" w:cs="Times New Roman"/>
          <w:sz w:val="28"/>
          <w:szCs w:val="28"/>
          <w:lang w:val="en-US" w:eastAsia="zh-CN"/>
        </w:rPr>
        <w:t>、培训方案</w:t>
      </w:r>
    </w:p>
    <w:p>
      <w:pPr>
        <w:spacing w:line="300" w:lineRule="auto"/>
        <w:jc w:val="both"/>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3</w:t>
      </w:r>
      <w:r>
        <w:rPr>
          <w:rFonts w:hint="default" w:ascii="宋体" w:hAnsi="宋体" w:eastAsia="宋体" w:cs="Times New Roman"/>
          <w:sz w:val="28"/>
          <w:szCs w:val="28"/>
          <w:lang w:val="en-US" w:eastAsia="zh-CN"/>
        </w:rPr>
        <w:t>、质量保证措施</w:t>
      </w:r>
    </w:p>
    <w:p>
      <w:pPr>
        <w:spacing w:line="300" w:lineRule="auto"/>
        <w:jc w:val="both"/>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4</w:t>
      </w:r>
      <w:r>
        <w:rPr>
          <w:rFonts w:hint="default" w:ascii="宋体" w:hAnsi="宋体" w:eastAsia="宋体" w:cs="Times New Roman"/>
          <w:sz w:val="28"/>
          <w:szCs w:val="28"/>
          <w:lang w:val="en-US" w:eastAsia="zh-CN"/>
        </w:rPr>
        <w:t>、应急响应方案</w:t>
      </w:r>
    </w:p>
    <w:p>
      <w:pPr>
        <w:spacing w:line="300" w:lineRule="auto"/>
        <w:jc w:val="both"/>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5</w:t>
      </w:r>
      <w:r>
        <w:rPr>
          <w:rFonts w:hint="default" w:ascii="宋体" w:hAnsi="宋体" w:eastAsia="宋体" w:cs="Times New Roman"/>
          <w:sz w:val="28"/>
          <w:szCs w:val="28"/>
          <w:lang w:val="en-US" w:eastAsia="zh-CN"/>
        </w:rPr>
        <w:t>、人员稳定方案</w:t>
      </w:r>
    </w:p>
    <w:p>
      <w:pPr>
        <w:pStyle w:val="39"/>
        <w:numPr>
          <w:ilvl w:val="0"/>
          <w:numId w:val="0"/>
        </w:numPr>
        <w:ind w:left="540" w:leftChars="0"/>
        <w:rPr>
          <w:rFonts w:hint="default"/>
          <w:lang w:val="en-US" w:eastAsia="zh-CN"/>
        </w:rPr>
      </w:pPr>
    </w:p>
    <w:p>
      <w:pPr>
        <w:rPr>
          <w:rFonts w:cs="宋体" w:asciiTheme="majorEastAsia" w:hAnsiTheme="majorEastAsia" w:eastAsiaTheme="majorEastAsia"/>
          <w:b/>
          <w:bCs/>
          <w:kern w:val="44"/>
          <w:sz w:val="44"/>
          <w:szCs w:val="44"/>
        </w:rPr>
      </w:pPr>
      <w:r>
        <w:rPr>
          <w:rFonts w:cs="宋体" w:asciiTheme="majorEastAsia" w:hAnsiTheme="majorEastAsia" w:eastAsiaTheme="majorEastAsia"/>
          <w:b/>
          <w:bCs/>
          <w:kern w:val="44"/>
          <w:sz w:val="44"/>
          <w:szCs w:val="44"/>
        </w:rPr>
        <w:br w:type="page"/>
      </w:r>
    </w:p>
    <w:p>
      <w:pPr>
        <w:spacing w:line="300" w:lineRule="auto"/>
        <w:jc w:val="center"/>
        <w:rPr>
          <w:rFonts w:ascii="宋体" w:hAnsi="宋体"/>
          <w:b/>
          <w:bCs/>
          <w:sz w:val="28"/>
          <w:szCs w:val="28"/>
        </w:rPr>
      </w:pPr>
      <w:r>
        <w:rPr>
          <w:rFonts w:hint="eastAsia" w:ascii="宋体" w:hAnsi="宋体"/>
          <w:b/>
          <w:bCs/>
          <w:sz w:val="28"/>
          <w:szCs w:val="28"/>
        </w:rPr>
        <w:t>十</w:t>
      </w:r>
      <w:r>
        <w:rPr>
          <w:rFonts w:hint="eastAsia" w:ascii="宋体" w:hAnsi="宋体"/>
          <w:b/>
          <w:bCs/>
          <w:sz w:val="28"/>
          <w:szCs w:val="28"/>
          <w:lang w:val="en-US" w:eastAsia="zh-CN"/>
        </w:rPr>
        <w:t>一</w:t>
      </w:r>
      <w:r>
        <w:rPr>
          <w:rFonts w:hint="eastAsia" w:ascii="宋体" w:hAnsi="宋体"/>
          <w:b/>
          <w:bCs/>
          <w:sz w:val="28"/>
          <w:szCs w:val="28"/>
        </w:rPr>
        <w:t>、其他材料</w:t>
      </w:r>
    </w:p>
    <w:p>
      <w:pPr>
        <w:jc w:val="left"/>
        <w:rPr>
          <w:rFonts w:ascii="宋体" w:hAnsi="宋体"/>
        </w:rPr>
      </w:pPr>
      <w:r>
        <w:rPr>
          <w:rFonts w:ascii="宋体" w:hAnsi="宋体"/>
        </w:rPr>
        <w:t xml:space="preserve"> </w:t>
      </w:r>
    </w:p>
    <w:p>
      <w:pPr>
        <w:pStyle w:val="20"/>
        <w:numPr>
          <w:ilvl w:val="0"/>
          <w:numId w:val="8"/>
        </w:numPr>
        <w:ind w:left="-210" w:leftChars="0" w:firstLineChars="0"/>
      </w:pPr>
      <w:r>
        <w:rPr>
          <w:rFonts w:hint="eastAsia"/>
          <w:lang w:eastAsia="zh-CN"/>
        </w:rPr>
        <w:t>供应商</w:t>
      </w:r>
      <w:r>
        <w:rPr>
          <w:rFonts w:hint="eastAsia"/>
        </w:rPr>
        <w:t>认为所必要提供的其他材料。</w:t>
      </w:r>
    </w:p>
    <w:p>
      <w:pPr>
        <w:pStyle w:val="20"/>
        <w:ind w:left="420" w:firstLine="0"/>
        <w:rPr>
          <w:color w:val="FF0000"/>
        </w:rPr>
      </w:pPr>
    </w:p>
    <w:bookmarkEnd w:id="96"/>
    <w:bookmarkEnd w:id="97"/>
    <w:bookmarkEnd w:id="98"/>
    <w:bookmarkEnd w:id="99"/>
    <w:bookmarkEnd w:id="100"/>
    <w:bookmarkEnd w:id="101"/>
    <w:bookmarkEnd w:id="102"/>
    <w:p>
      <w:pPr>
        <w:pStyle w:val="20"/>
        <w:autoSpaceDN w:val="0"/>
        <w:adjustRightInd w:val="0"/>
        <w:snapToGrid w:val="0"/>
        <w:spacing w:line="360" w:lineRule="auto"/>
        <w:ind w:firstLine="0"/>
        <w:rPr>
          <w:rFonts w:cs="宋体" w:asciiTheme="majorEastAsia" w:hAnsiTheme="majorEastAsia" w:eastAsiaTheme="majorEastAsia"/>
          <w:szCs w:val="21"/>
        </w:rPr>
      </w:pPr>
    </w:p>
    <w:p>
      <w:pPr>
        <w:pStyle w:val="20"/>
        <w:autoSpaceDN w:val="0"/>
        <w:adjustRightInd w:val="0"/>
        <w:snapToGrid w:val="0"/>
        <w:spacing w:line="360" w:lineRule="auto"/>
        <w:rPr>
          <w:rFonts w:cs="宋体" w:asciiTheme="majorEastAsia" w:hAnsiTheme="majorEastAsia" w:eastAsiaTheme="majorEastAsia"/>
          <w:szCs w:val="21"/>
        </w:rPr>
      </w:pPr>
    </w:p>
    <w:p>
      <w:pPr>
        <w:pStyle w:val="20"/>
        <w:autoSpaceDN w:val="0"/>
        <w:adjustRightInd w:val="0"/>
        <w:snapToGrid w:val="0"/>
        <w:spacing w:line="360" w:lineRule="auto"/>
        <w:rPr>
          <w:rFonts w:cs="宋体" w:asciiTheme="majorEastAsia" w:hAnsiTheme="majorEastAsia" w:eastAsiaTheme="majorEastAsia"/>
          <w:szCs w:val="21"/>
        </w:rPr>
      </w:pPr>
    </w:p>
    <w:p>
      <w:pPr>
        <w:pStyle w:val="20"/>
        <w:autoSpaceDN w:val="0"/>
        <w:adjustRightInd w:val="0"/>
        <w:snapToGrid w:val="0"/>
        <w:spacing w:line="360" w:lineRule="auto"/>
        <w:rPr>
          <w:rFonts w:cs="宋体" w:asciiTheme="majorEastAsia" w:hAnsiTheme="majorEastAsia" w:eastAsiaTheme="majorEastAsia"/>
          <w:szCs w:val="21"/>
        </w:rPr>
      </w:pPr>
    </w:p>
    <w:p>
      <w:pPr>
        <w:pStyle w:val="20"/>
        <w:autoSpaceDN w:val="0"/>
        <w:adjustRightInd w:val="0"/>
        <w:snapToGrid w:val="0"/>
        <w:spacing w:line="360" w:lineRule="auto"/>
        <w:rPr>
          <w:rFonts w:cs="宋体" w:asciiTheme="majorEastAsia" w:hAnsiTheme="majorEastAsia" w:eastAsiaTheme="majorEastAsia"/>
          <w:szCs w:val="21"/>
        </w:rPr>
      </w:pPr>
    </w:p>
    <w:p>
      <w:pPr>
        <w:pStyle w:val="20"/>
        <w:autoSpaceDN w:val="0"/>
        <w:adjustRightInd w:val="0"/>
        <w:snapToGrid w:val="0"/>
        <w:spacing w:line="360" w:lineRule="auto"/>
        <w:rPr>
          <w:rFonts w:cs="宋体" w:asciiTheme="majorEastAsia" w:hAnsiTheme="majorEastAsia" w:eastAsiaTheme="majorEastAsia"/>
          <w:szCs w:val="21"/>
        </w:rPr>
      </w:pPr>
    </w:p>
    <w:p>
      <w:pPr>
        <w:pStyle w:val="20"/>
        <w:autoSpaceDN w:val="0"/>
        <w:adjustRightInd w:val="0"/>
        <w:snapToGrid w:val="0"/>
        <w:spacing w:line="360" w:lineRule="auto"/>
        <w:rPr>
          <w:rFonts w:cs="宋体" w:asciiTheme="majorEastAsia" w:hAnsiTheme="majorEastAsia" w:eastAsiaTheme="majorEastAsia"/>
          <w:szCs w:val="21"/>
        </w:rPr>
      </w:pPr>
    </w:p>
    <w:p>
      <w:pPr>
        <w:pStyle w:val="9"/>
        <w:tabs>
          <w:tab w:val="left" w:pos="2231"/>
          <w:tab w:val="left" w:pos="3068"/>
          <w:tab w:val="left" w:pos="3908"/>
          <w:tab w:val="left" w:pos="4628"/>
        </w:tabs>
        <w:autoSpaceDN w:val="0"/>
        <w:adjustRightInd w:val="0"/>
        <w:snapToGrid w:val="0"/>
        <w:spacing w:after="0" w:line="360" w:lineRule="auto"/>
        <w:rPr>
          <w:rFonts w:cs="宋体" w:asciiTheme="majorEastAsia" w:hAnsiTheme="majorEastAsia" w:eastAsiaTheme="majorEastAsia"/>
          <w:szCs w:val="21"/>
        </w:rPr>
      </w:pPr>
    </w:p>
    <w:p>
      <w:pPr>
        <w:spacing w:line="360" w:lineRule="auto"/>
        <w:rPr>
          <w:rFonts w:asciiTheme="majorEastAsia" w:hAnsiTheme="majorEastAsia" w:eastAsiaTheme="majorEastAsia"/>
        </w:rPr>
      </w:pPr>
    </w:p>
    <w:sectPr>
      <w:pgSz w:w="11906" w:h="16838"/>
      <w:pgMar w:top="1418" w:right="1418" w:bottom="1418" w:left="170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Segoe Print"/>
    <w:panose1 w:val="00000000000000000000"/>
    <w:charset w:val="00"/>
    <w:family w:val="roman"/>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宋体-18030">
    <w:altName w:val="微软雅黑"/>
    <w:panose1 w:val="00000000000000000000"/>
    <w:charset w:val="00"/>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219231"/>
    </w:sdtPr>
    <w:sdtContent>
      <w:p>
        <w:pPr>
          <w:pStyle w:val="13"/>
          <w:jc w:val="center"/>
        </w:pPr>
        <w:r>
          <w:fldChar w:fldCharType="begin"/>
        </w:r>
        <w:r>
          <w:instrText xml:space="preserve">PAGE   \* MERGEFORMAT</w:instrText>
        </w:r>
        <w:r>
          <w:fldChar w:fldCharType="separate"/>
        </w:r>
        <w:r>
          <w:rPr>
            <w:lang w:val="zh-CN"/>
          </w:rPr>
          <w:t>20</w:t>
        </w:r>
        <w: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9BF32D"/>
    <w:multiLevelType w:val="singleLevel"/>
    <w:tmpl w:val="DF9BF32D"/>
    <w:lvl w:ilvl="0" w:tentative="0">
      <w:start w:val="1"/>
      <w:numFmt w:val="decimal"/>
      <w:suff w:val="nothing"/>
      <w:lvlText w:val="%1、"/>
      <w:lvlJc w:val="left"/>
      <w:pPr>
        <w:ind w:left="-210"/>
      </w:pPr>
    </w:lvl>
  </w:abstractNum>
  <w:abstractNum w:abstractNumId="1">
    <w:nsid w:val="E2225E4B"/>
    <w:multiLevelType w:val="multilevel"/>
    <w:tmpl w:val="E2225E4B"/>
    <w:lvl w:ilvl="0" w:tentative="0">
      <w:start w:val="19"/>
      <w:numFmt w:val="decimal"/>
      <w:lvlText w:val="%1."/>
      <w:lvlJc w:val="left"/>
      <w:pPr>
        <w:tabs>
          <w:tab w:val="left" w:pos="312"/>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FE9036A8"/>
    <w:multiLevelType w:val="singleLevel"/>
    <w:tmpl w:val="FE9036A8"/>
    <w:lvl w:ilvl="0" w:tentative="0">
      <w:start w:val="5"/>
      <w:numFmt w:val="decimal"/>
      <w:lvlText w:val="%1."/>
      <w:lvlJc w:val="left"/>
      <w:pPr>
        <w:tabs>
          <w:tab w:val="left" w:pos="312"/>
        </w:tabs>
      </w:pPr>
    </w:lvl>
  </w:abstractNum>
  <w:abstractNum w:abstractNumId="3">
    <w:nsid w:val="00000007"/>
    <w:multiLevelType w:val="multilevel"/>
    <w:tmpl w:val="00000007"/>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0E"/>
    <w:multiLevelType w:val="multilevel"/>
    <w:tmpl w:val="0000000E"/>
    <w:lvl w:ilvl="0" w:tentative="0">
      <w:start w:val="1"/>
      <w:numFmt w:val="bullet"/>
      <w:pStyle w:val="39"/>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33092639"/>
    <w:multiLevelType w:val="multilevel"/>
    <w:tmpl w:val="33092639"/>
    <w:lvl w:ilvl="0" w:tentative="0">
      <w:start w:val="1"/>
      <w:numFmt w:val="decimal"/>
      <w:lvlText w:val="（%1）"/>
      <w:lvlJc w:val="left"/>
      <w:pPr>
        <w:tabs>
          <w:tab w:val="left" w:pos="1080"/>
        </w:tabs>
        <w:ind w:left="1080" w:hanging="600"/>
      </w:pPr>
      <w:rPr>
        <w:caps w:val="0"/>
        <w:smallCaps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9513FA7"/>
    <w:multiLevelType w:val="multilevel"/>
    <w:tmpl w:val="59513FA7"/>
    <w:lvl w:ilvl="0" w:tentative="0">
      <w:start w:val="1"/>
      <w:numFmt w:val="decimal"/>
      <w:lvlText w:val="（%1）"/>
      <w:lvlJc w:val="left"/>
      <w:pPr>
        <w:ind w:left="1295" w:hanging="735"/>
      </w:pPr>
      <w:rPr>
        <w:rFonts w:hint="default"/>
        <w:snapToGrid/>
        <w:spacing w:val="0"/>
        <w:w w:val="100"/>
        <w:kern w:val="2"/>
        <w:position w:val="0"/>
        <w:sz w:val="27"/>
      </w:rPr>
    </w:lvl>
    <w:lvl w:ilvl="1" w:tentative="0">
      <w:start w:val="1"/>
      <w:numFmt w:val="lowerLetter"/>
      <w:lvlText w:val="%2)"/>
      <w:lvlJc w:val="left"/>
      <w:pPr>
        <w:ind w:left="1400" w:hanging="420"/>
      </w:pPr>
      <w:rPr>
        <w:snapToGrid/>
        <w:spacing w:val="0"/>
        <w:w w:val="100"/>
        <w:kern w:val="2"/>
        <w:position w:val="0"/>
        <w:sz w:val="27"/>
      </w:rPr>
    </w:lvl>
    <w:lvl w:ilvl="2" w:tentative="0">
      <w:start w:val="1"/>
      <w:numFmt w:val="lowerRoman"/>
      <w:lvlText w:val="%3."/>
      <w:lvlJc w:val="right"/>
      <w:pPr>
        <w:ind w:left="1820" w:hanging="420"/>
      </w:pPr>
      <w:rPr>
        <w:snapToGrid/>
        <w:spacing w:val="0"/>
        <w:w w:val="100"/>
        <w:kern w:val="2"/>
        <w:position w:val="0"/>
        <w:sz w:val="27"/>
      </w:rPr>
    </w:lvl>
    <w:lvl w:ilvl="3" w:tentative="0">
      <w:start w:val="1"/>
      <w:numFmt w:val="decimal"/>
      <w:lvlText w:val="%4."/>
      <w:lvlJc w:val="left"/>
      <w:pPr>
        <w:ind w:left="2240" w:hanging="420"/>
      </w:pPr>
      <w:rPr>
        <w:snapToGrid/>
        <w:spacing w:val="0"/>
        <w:w w:val="100"/>
        <w:kern w:val="2"/>
        <w:position w:val="0"/>
        <w:sz w:val="27"/>
      </w:rPr>
    </w:lvl>
    <w:lvl w:ilvl="4" w:tentative="0">
      <w:start w:val="1"/>
      <w:numFmt w:val="lowerLetter"/>
      <w:lvlText w:val="%5)"/>
      <w:lvlJc w:val="left"/>
      <w:pPr>
        <w:ind w:left="2660" w:hanging="420"/>
      </w:pPr>
      <w:rPr>
        <w:snapToGrid/>
        <w:spacing w:val="0"/>
        <w:w w:val="100"/>
        <w:kern w:val="2"/>
        <w:position w:val="0"/>
        <w:sz w:val="27"/>
      </w:rPr>
    </w:lvl>
    <w:lvl w:ilvl="5" w:tentative="0">
      <w:start w:val="1"/>
      <w:numFmt w:val="lowerRoman"/>
      <w:lvlText w:val="%6."/>
      <w:lvlJc w:val="right"/>
      <w:pPr>
        <w:ind w:left="3080" w:hanging="420"/>
      </w:pPr>
      <w:rPr>
        <w:snapToGrid/>
        <w:spacing w:val="0"/>
        <w:w w:val="100"/>
        <w:kern w:val="2"/>
        <w:position w:val="0"/>
        <w:sz w:val="27"/>
      </w:rPr>
    </w:lvl>
    <w:lvl w:ilvl="6" w:tentative="0">
      <w:start w:val="1"/>
      <w:numFmt w:val="decimal"/>
      <w:lvlText w:val="%7."/>
      <w:lvlJc w:val="left"/>
      <w:pPr>
        <w:ind w:left="3500" w:hanging="420"/>
      </w:pPr>
      <w:rPr>
        <w:snapToGrid/>
        <w:spacing w:val="0"/>
        <w:w w:val="100"/>
        <w:kern w:val="2"/>
        <w:position w:val="0"/>
        <w:sz w:val="27"/>
      </w:rPr>
    </w:lvl>
    <w:lvl w:ilvl="7" w:tentative="0">
      <w:start w:val="1"/>
      <w:numFmt w:val="lowerLetter"/>
      <w:lvlText w:val="%8)"/>
      <w:lvlJc w:val="left"/>
      <w:pPr>
        <w:ind w:left="3920" w:hanging="420"/>
      </w:pPr>
      <w:rPr>
        <w:snapToGrid/>
        <w:spacing w:val="0"/>
        <w:w w:val="100"/>
        <w:kern w:val="2"/>
        <w:position w:val="0"/>
        <w:sz w:val="27"/>
      </w:rPr>
    </w:lvl>
    <w:lvl w:ilvl="8" w:tentative="0">
      <w:start w:val="1"/>
      <w:numFmt w:val="lowerRoman"/>
      <w:lvlText w:val="%9."/>
      <w:lvlJc w:val="right"/>
      <w:pPr>
        <w:ind w:left="4340" w:hanging="420"/>
      </w:pPr>
      <w:rPr>
        <w:snapToGrid/>
        <w:spacing w:val="0"/>
        <w:w w:val="100"/>
        <w:kern w:val="2"/>
        <w:position w:val="0"/>
        <w:sz w:val="27"/>
      </w:rPr>
    </w:lvl>
  </w:abstractNum>
  <w:abstractNum w:abstractNumId="7">
    <w:nsid w:val="71A21D98"/>
    <w:multiLevelType w:val="multilevel"/>
    <w:tmpl w:val="71A21D98"/>
    <w:lvl w:ilvl="0" w:tentative="0">
      <w:start w:val="1"/>
      <w:numFmt w:val="japaneseCounting"/>
      <w:lvlText w:val="第%1条"/>
      <w:lvlJc w:val="left"/>
      <w:pPr>
        <w:ind w:left="1436" w:hanging="885"/>
      </w:pPr>
      <w:rPr>
        <w:rFonts w:hint="default"/>
        <w:snapToGrid/>
        <w:spacing w:val="0"/>
        <w:w w:val="100"/>
        <w:kern w:val="2"/>
        <w:position w:val="0"/>
        <w:sz w:val="27"/>
      </w:rPr>
    </w:lvl>
    <w:lvl w:ilvl="1" w:tentative="0">
      <w:start w:val="1"/>
      <w:numFmt w:val="lowerLetter"/>
      <w:lvlText w:val="%2)"/>
      <w:lvlJc w:val="left"/>
      <w:pPr>
        <w:ind w:left="1391" w:hanging="420"/>
      </w:pPr>
      <w:rPr>
        <w:snapToGrid/>
        <w:spacing w:val="0"/>
        <w:w w:val="100"/>
        <w:kern w:val="2"/>
        <w:position w:val="0"/>
        <w:sz w:val="27"/>
      </w:rPr>
    </w:lvl>
    <w:lvl w:ilvl="2" w:tentative="0">
      <w:start w:val="1"/>
      <w:numFmt w:val="lowerRoman"/>
      <w:lvlText w:val="%3."/>
      <w:lvlJc w:val="right"/>
      <w:pPr>
        <w:ind w:left="1811" w:hanging="420"/>
      </w:pPr>
      <w:rPr>
        <w:snapToGrid/>
        <w:spacing w:val="0"/>
        <w:w w:val="100"/>
        <w:kern w:val="2"/>
        <w:position w:val="0"/>
        <w:sz w:val="27"/>
      </w:rPr>
    </w:lvl>
    <w:lvl w:ilvl="3" w:tentative="0">
      <w:start w:val="1"/>
      <w:numFmt w:val="decimal"/>
      <w:lvlText w:val="%4."/>
      <w:lvlJc w:val="left"/>
      <w:pPr>
        <w:ind w:left="2231" w:hanging="420"/>
      </w:pPr>
      <w:rPr>
        <w:snapToGrid/>
        <w:spacing w:val="0"/>
        <w:w w:val="100"/>
        <w:kern w:val="2"/>
        <w:position w:val="0"/>
        <w:sz w:val="27"/>
      </w:rPr>
    </w:lvl>
    <w:lvl w:ilvl="4" w:tentative="0">
      <w:start w:val="1"/>
      <w:numFmt w:val="lowerLetter"/>
      <w:lvlText w:val="%5)"/>
      <w:lvlJc w:val="left"/>
      <w:pPr>
        <w:ind w:left="2651" w:hanging="420"/>
      </w:pPr>
      <w:rPr>
        <w:snapToGrid/>
        <w:spacing w:val="0"/>
        <w:w w:val="100"/>
        <w:kern w:val="2"/>
        <w:position w:val="0"/>
        <w:sz w:val="27"/>
      </w:rPr>
    </w:lvl>
    <w:lvl w:ilvl="5" w:tentative="0">
      <w:start w:val="1"/>
      <w:numFmt w:val="lowerRoman"/>
      <w:lvlText w:val="%6."/>
      <w:lvlJc w:val="right"/>
      <w:pPr>
        <w:ind w:left="3071" w:hanging="420"/>
      </w:pPr>
      <w:rPr>
        <w:snapToGrid/>
        <w:spacing w:val="0"/>
        <w:w w:val="100"/>
        <w:kern w:val="2"/>
        <w:position w:val="0"/>
        <w:sz w:val="27"/>
      </w:rPr>
    </w:lvl>
    <w:lvl w:ilvl="6" w:tentative="0">
      <w:start w:val="1"/>
      <w:numFmt w:val="decimal"/>
      <w:lvlText w:val="%7."/>
      <w:lvlJc w:val="left"/>
      <w:pPr>
        <w:ind w:left="3491" w:hanging="420"/>
      </w:pPr>
      <w:rPr>
        <w:snapToGrid/>
        <w:spacing w:val="0"/>
        <w:w w:val="100"/>
        <w:kern w:val="2"/>
        <w:position w:val="0"/>
        <w:sz w:val="27"/>
      </w:rPr>
    </w:lvl>
    <w:lvl w:ilvl="7" w:tentative="0">
      <w:start w:val="1"/>
      <w:numFmt w:val="lowerLetter"/>
      <w:lvlText w:val="%8)"/>
      <w:lvlJc w:val="left"/>
      <w:pPr>
        <w:ind w:left="3911" w:hanging="420"/>
      </w:pPr>
      <w:rPr>
        <w:snapToGrid/>
        <w:spacing w:val="0"/>
        <w:w w:val="100"/>
        <w:kern w:val="2"/>
        <w:position w:val="0"/>
        <w:sz w:val="27"/>
      </w:rPr>
    </w:lvl>
    <w:lvl w:ilvl="8" w:tentative="0">
      <w:start w:val="1"/>
      <w:numFmt w:val="lowerRoman"/>
      <w:lvlText w:val="%9."/>
      <w:lvlJc w:val="right"/>
      <w:pPr>
        <w:ind w:left="4331" w:hanging="420"/>
      </w:pPr>
      <w:rPr>
        <w:snapToGrid/>
        <w:spacing w:val="0"/>
        <w:w w:val="100"/>
        <w:kern w:val="2"/>
        <w:position w:val="0"/>
        <w:sz w:val="27"/>
      </w:rPr>
    </w:lvl>
  </w:abstractNum>
  <w:num w:numId="1">
    <w:abstractNumId w:val="4"/>
  </w:num>
  <w:num w:numId="2">
    <w:abstractNumId w:val="2"/>
  </w:num>
  <w:num w:numId="3">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3"/>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dit="comment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M1N2U3OWFjODg0YzYzZDE5ODczZGRkNTU5NTc1NDEifQ=="/>
  </w:docVars>
  <w:rsids>
    <w:rsidRoot w:val="004E4293"/>
    <w:rsid w:val="0001071C"/>
    <w:rsid w:val="000120F7"/>
    <w:rsid w:val="000122DE"/>
    <w:rsid w:val="0002010B"/>
    <w:rsid w:val="00034009"/>
    <w:rsid w:val="00087A8A"/>
    <w:rsid w:val="000A67CF"/>
    <w:rsid w:val="000C10FC"/>
    <w:rsid w:val="000D3DC2"/>
    <w:rsid w:val="00103AF3"/>
    <w:rsid w:val="00114236"/>
    <w:rsid w:val="00115C43"/>
    <w:rsid w:val="001263F8"/>
    <w:rsid w:val="001771B5"/>
    <w:rsid w:val="001F7D2B"/>
    <w:rsid w:val="002315C7"/>
    <w:rsid w:val="0024211E"/>
    <w:rsid w:val="00280082"/>
    <w:rsid w:val="00286015"/>
    <w:rsid w:val="00286F15"/>
    <w:rsid w:val="002D1A6A"/>
    <w:rsid w:val="002F608D"/>
    <w:rsid w:val="003016F3"/>
    <w:rsid w:val="00335059"/>
    <w:rsid w:val="00337B8C"/>
    <w:rsid w:val="00344978"/>
    <w:rsid w:val="00366F4A"/>
    <w:rsid w:val="0037225C"/>
    <w:rsid w:val="00396FB3"/>
    <w:rsid w:val="00420AE2"/>
    <w:rsid w:val="004500D8"/>
    <w:rsid w:val="004575F6"/>
    <w:rsid w:val="0047104C"/>
    <w:rsid w:val="00480EA1"/>
    <w:rsid w:val="004C0F25"/>
    <w:rsid w:val="004E4293"/>
    <w:rsid w:val="004F41FC"/>
    <w:rsid w:val="005467D2"/>
    <w:rsid w:val="00574106"/>
    <w:rsid w:val="00586822"/>
    <w:rsid w:val="005D0B5E"/>
    <w:rsid w:val="005D47D8"/>
    <w:rsid w:val="005D4A37"/>
    <w:rsid w:val="006206F6"/>
    <w:rsid w:val="00651E84"/>
    <w:rsid w:val="00666D27"/>
    <w:rsid w:val="00675847"/>
    <w:rsid w:val="006A6CF0"/>
    <w:rsid w:val="006D6617"/>
    <w:rsid w:val="00710146"/>
    <w:rsid w:val="00723AD3"/>
    <w:rsid w:val="00737B4A"/>
    <w:rsid w:val="00761FAF"/>
    <w:rsid w:val="0077172C"/>
    <w:rsid w:val="0077466B"/>
    <w:rsid w:val="007D36FA"/>
    <w:rsid w:val="007E439C"/>
    <w:rsid w:val="007F2DBA"/>
    <w:rsid w:val="00806CA6"/>
    <w:rsid w:val="00823577"/>
    <w:rsid w:val="0084393E"/>
    <w:rsid w:val="00893FB3"/>
    <w:rsid w:val="008E15EF"/>
    <w:rsid w:val="008E35B1"/>
    <w:rsid w:val="00900D59"/>
    <w:rsid w:val="00925E1D"/>
    <w:rsid w:val="00926854"/>
    <w:rsid w:val="009610BD"/>
    <w:rsid w:val="009D66E6"/>
    <w:rsid w:val="009F0EFB"/>
    <w:rsid w:val="00A0479D"/>
    <w:rsid w:val="00A25CF7"/>
    <w:rsid w:val="00A57413"/>
    <w:rsid w:val="00A67742"/>
    <w:rsid w:val="00A9339A"/>
    <w:rsid w:val="00AB5FC8"/>
    <w:rsid w:val="00AC1061"/>
    <w:rsid w:val="00AE5F46"/>
    <w:rsid w:val="00B23D26"/>
    <w:rsid w:val="00B75097"/>
    <w:rsid w:val="00B97DB7"/>
    <w:rsid w:val="00C044C1"/>
    <w:rsid w:val="00C105E3"/>
    <w:rsid w:val="00C6731F"/>
    <w:rsid w:val="00C96793"/>
    <w:rsid w:val="00D453A1"/>
    <w:rsid w:val="00D55199"/>
    <w:rsid w:val="00D61470"/>
    <w:rsid w:val="00D61850"/>
    <w:rsid w:val="00D81511"/>
    <w:rsid w:val="00D82CB3"/>
    <w:rsid w:val="00DA1637"/>
    <w:rsid w:val="00DE4E58"/>
    <w:rsid w:val="00DF7C1E"/>
    <w:rsid w:val="00E0264C"/>
    <w:rsid w:val="00E029F6"/>
    <w:rsid w:val="00E612D7"/>
    <w:rsid w:val="00ED2FE7"/>
    <w:rsid w:val="00F30CEA"/>
    <w:rsid w:val="00F66713"/>
    <w:rsid w:val="00F97710"/>
    <w:rsid w:val="00FC3DA4"/>
    <w:rsid w:val="01254CA7"/>
    <w:rsid w:val="012A6BDB"/>
    <w:rsid w:val="014929F9"/>
    <w:rsid w:val="01F86983"/>
    <w:rsid w:val="028B77E6"/>
    <w:rsid w:val="03AA50AA"/>
    <w:rsid w:val="05087233"/>
    <w:rsid w:val="05481ECC"/>
    <w:rsid w:val="059D011D"/>
    <w:rsid w:val="06464014"/>
    <w:rsid w:val="07275FE6"/>
    <w:rsid w:val="072B0FB7"/>
    <w:rsid w:val="08607386"/>
    <w:rsid w:val="094D790A"/>
    <w:rsid w:val="099B52D2"/>
    <w:rsid w:val="0A1D307D"/>
    <w:rsid w:val="0A8530D4"/>
    <w:rsid w:val="0AAE6F4A"/>
    <w:rsid w:val="0ADD79D4"/>
    <w:rsid w:val="0B0E675C"/>
    <w:rsid w:val="0B2B77D7"/>
    <w:rsid w:val="0C013421"/>
    <w:rsid w:val="0C0A5403"/>
    <w:rsid w:val="0C160E49"/>
    <w:rsid w:val="0CE749CF"/>
    <w:rsid w:val="0E230F94"/>
    <w:rsid w:val="0ED120DC"/>
    <w:rsid w:val="0F543075"/>
    <w:rsid w:val="0FAE6C29"/>
    <w:rsid w:val="0FF0099F"/>
    <w:rsid w:val="10345380"/>
    <w:rsid w:val="106043C7"/>
    <w:rsid w:val="10F16A18"/>
    <w:rsid w:val="123C5B74"/>
    <w:rsid w:val="12655CC4"/>
    <w:rsid w:val="13363E28"/>
    <w:rsid w:val="1359595C"/>
    <w:rsid w:val="137B76C4"/>
    <w:rsid w:val="13947750"/>
    <w:rsid w:val="144225DA"/>
    <w:rsid w:val="146975C2"/>
    <w:rsid w:val="148F7398"/>
    <w:rsid w:val="1594241D"/>
    <w:rsid w:val="16774AD3"/>
    <w:rsid w:val="16BF1B07"/>
    <w:rsid w:val="1778161B"/>
    <w:rsid w:val="18E63044"/>
    <w:rsid w:val="1B3A5814"/>
    <w:rsid w:val="1BD17F27"/>
    <w:rsid w:val="1D50131F"/>
    <w:rsid w:val="1D5A219E"/>
    <w:rsid w:val="1E786D7F"/>
    <w:rsid w:val="1F745799"/>
    <w:rsid w:val="1FA04D1F"/>
    <w:rsid w:val="2039253E"/>
    <w:rsid w:val="20A67DD2"/>
    <w:rsid w:val="215C44EF"/>
    <w:rsid w:val="217B7008"/>
    <w:rsid w:val="21E76E07"/>
    <w:rsid w:val="2220125A"/>
    <w:rsid w:val="231753FE"/>
    <w:rsid w:val="24066BDB"/>
    <w:rsid w:val="24561BA5"/>
    <w:rsid w:val="25E32545"/>
    <w:rsid w:val="25F92418"/>
    <w:rsid w:val="26166C9F"/>
    <w:rsid w:val="27723B5D"/>
    <w:rsid w:val="27A73335"/>
    <w:rsid w:val="27C2106B"/>
    <w:rsid w:val="282249EF"/>
    <w:rsid w:val="28862066"/>
    <w:rsid w:val="289C366A"/>
    <w:rsid w:val="28B6093F"/>
    <w:rsid w:val="29483B1A"/>
    <w:rsid w:val="2A9E4C98"/>
    <w:rsid w:val="2B970537"/>
    <w:rsid w:val="2C641562"/>
    <w:rsid w:val="2CE73597"/>
    <w:rsid w:val="2E877616"/>
    <w:rsid w:val="2E895C66"/>
    <w:rsid w:val="2EA94D33"/>
    <w:rsid w:val="2F266F2E"/>
    <w:rsid w:val="2F910795"/>
    <w:rsid w:val="30156655"/>
    <w:rsid w:val="301663F8"/>
    <w:rsid w:val="304D174B"/>
    <w:rsid w:val="30F13885"/>
    <w:rsid w:val="32FA1029"/>
    <w:rsid w:val="35007712"/>
    <w:rsid w:val="36DF0251"/>
    <w:rsid w:val="373214A8"/>
    <w:rsid w:val="37533A8E"/>
    <w:rsid w:val="37BA069C"/>
    <w:rsid w:val="385B1872"/>
    <w:rsid w:val="387463B2"/>
    <w:rsid w:val="388D1222"/>
    <w:rsid w:val="39E81604"/>
    <w:rsid w:val="3A266896"/>
    <w:rsid w:val="3ACD0AB3"/>
    <w:rsid w:val="3AF37A62"/>
    <w:rsid w:val="3B084D8C"/>
    <w:rsid w:val="3B20486E"/>
    <w:rsid w:val="3B826B03"/>
    <w:rsid w:val="3BEE0DEC"/>
    <w:rsid w:val="3D01019F"/>
    <w:rsid w:val="3D020C32"/>
    <w:rsid w:val="3D956BAE"/>
    <w:rsid w:val="3DF620B2"/>
    <w:rsid w:val="3EC05EAD"/>
    <w:rsid w:val="3F8241B8"/>
    <w:rsid w:val="3FB86D38"/>
    <w:rsid w:val="3FCD75B4"/>
    <w:rsid w:val="3FF43934"/>
    <w:rsid w:val="4000519B"/>
    <w:rsid w:val="40D23C76"/>
    <w:rsid w:val="423334A7"/>
    <w:rsid w:val="423A5F76"/>
    <w:rsid w:val="42B20202"/>
    <w:rsid w:val="43482915"/>
    <w:rsid w:val="436C46B2"/>
    <w:rsid w:val="43D536EE"/>
    <w:rsid w:val="44960000"/>
    <w:rsid w:val="44C30956"/>
    <w:rsid w:val="44D35277"/>
    <w:rsid w:val="44F63112"/>
    <w:rsid w:val="457D238B"/>
    <w:rsid w:val="45B600BC"/>
    <w:rsid w:val="45ED50AE"/>
    <w:rsid w:val="4601581B"/>
    <w:rsid w:val="46131644"/>
    <w:rsid w:val="461E4767"/>
    <w:rsid w:val="4751250A"/>
    <w:rsid w:val="47A0687C"/>
    <w:rsid w:val="489D0DAF"/>
    <w:rsid w:val="48DF1625"/>
    <w:rsid w:val="4924255B"/>
    <w:rsid w:val="4C703F73"/>
    <w:rsid w:val="4C906126"/>
    <w:rsid w:val="4F653170"/>
    <w:rsid w:val="50884CD3"/>
    <w:rsid w:val="515A39D6"/>
    <w:rsid w:val="51AF01EA"/>
    <w:rsid w:val="52845D42"/>
    <w:rsid w:val="5322669A"/>
    <w:rsid w:val="544A094B"/>
    <w:rsid w:val="54D55766"/>
    <w:rsid w:val="552F123F"/>
    <w:rsid w:val="55765A37"/>
    <w:rsid w:val="55A41C2D"/>
    <w:rsid w:val="55DA5EC1"/>
    <w:rsid w:val="57C93BCD"/>
    <w:rsid w:val="5A24333C"/>
    <w:rsid w:val="5A481AF4"/>
    <w:rsid w:val="5B465534"/>
    <w:rsid w:val="5B911B87"/>
    <w:rsid w:val="5BBB382C"/>
    <w:rsid w:val="5DCD5A99"/>
    <w:rsid w:val="5DD64F4D"/>
    <w:rsid w:val="5F36141C"/>
    <w:rsid w:val="5FA06B3F"/>
    <w:rsid w:val="5FBB125B"/>
    <w:rsid w:val="602C6773"/>
    <w:rsid w:val="61483DB4"/>
    <w:rsid w:val="614D57CA"/>
    <w:rsid w:val="6154366A"/>
    <w:rsid w:val="617B4C91"/>
    <w:rsid w:val="618D5FBE"/>
    <w:rsid w:val="61FB0E26"/>
    <w:rsid w:val="63614B3B"/>
    <w:rsid w:val="63C37456"/>
    <w:rsid w:val="64276722"/>
    <w:rsid w:val="643B19AE"/>
    <w:rsid w:val="64F92C6C"/>
    <w:rsid w:val="651F307E"/>
    <w:rsid w:val="66AE5229"/>
    <w:rsid w:val="67613F08"/>
    <w:rsid w:val="67E628CF"/>
    <w:rsid w:val="681E2922"/>
    <w:rsid w:val="681F1B75"/>
    <w:rsid w:val="68AC6EFD"/>
    <w:rsid w:val="68B40352"/>
    <w:rsid w:val="68D30FAC"/>
    <w:rsid w:val="6948013B"/>
    <w:rsid w:val="69650C92"/>
    <w:rsid w:val="69A017BB"/>
    <w:rsid w:val="69D85446"/>
    <w:rsid w:val="6A554E4C"/>
    <w:rsid w:val="6A8E65B0"/>
    <w:rsid w:val="6AE24404"/>
    <w:rsid w:val="6B7F53E4"/>
    <w:rsid w:val="6B995EB2"/>
    <w:rsid w:val="6C0F62EF"/>
    <w:rsid w:val="6D3C0545"/>
    <w:rsid w:val="6D683DB4"/>
    <w:rsid w:val="6D8B4F44"/>
    <w:rsid w:val="6DFE5138"/>
    <w:rsid w:val="6E0830F2"/>
    <w:rsid w:val="6E310F56"/>
    <w:rsid w:val="6F1E7F02"/>
    <w:rsid w:val="6FED4213"/>
    <w:rsid w:val="70ED5389"/>
    <w:rsid w:val="71C87F80"/>
    <w:rsid w:val="729B5A81"/>
    <w:rsid w:val="7343585C"/>
    <w:rsid w:val="7435095C"/>
    <w:rsid w:val="75096F5F"/>
    <w:rsid w:val="76360227"/>
    <w:rsid w:val="765B7164"/>
    <w:rsid w:val="7726029C"/>
    <w:rsid w:val="773E47C6"/>
    <w:rsid w:val="77A65190"/>
    <w:rsid w:val="78C76F30"/>
    <w:rsid w:val="795D3D1D"/>
    <w:rsid w:val="7A6D61E2"/>
    <w:rsid w:val="7AAF053F"/>
    <w:rsid w:val="7B1B3E90"/>
    <w:rsid w:val="7E20385C"/>
    <w:rsid w:val="7E4521C3"/>
    <w:rsid w:val="7F1548B4"/>
    <w:rsid w:val="7F4C286A"/>
    <w:rsid w:val="7F9B4A72"/>
    <w:rsid w:val="7FC26264"/>
    <w:rsid w:val="7FE72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qFormat="1" w:uiPriority="99" w:name="Body Text 2"/>
    <w:lsdException w:qFormat="1"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2"/>
    <w:qFormat/>
    <w:uiPriority w:val="9"/>
    <w:pPr>
      <w:keepNext/>
      <w:keepLines/>
      <w:spacing w:before="340" w:after="330" w:line="576" w:lineRule="auto"/>
      <w:outlineLvl w:val="0"/>
    </w:pPr>
    <w:rPr>
      <w:b/>
      <w:bCs/>
      <w:kern w:val="44"/>
      <w:sz w:val="44"/>
      <w:szCs w:val="44"/>
    </w:rPr>
  </w:style>
  <w:style w:type="paragraph" w:styleId="3">
    <w:name w:val="heading 2"/>
    <w:basedOn w:val="1"/>
    <w:next w:val="1"/>
    <w:link w:val="43"/>
    <w:qFormat/>
    <w:uiPriority w:val="9"/>
    <w:pPr>
      <w:keepNext/>
      <w:keepLines/>
      <w:spacing w:before="260" w:after="260" w:line="412" w:lineRule="auto"/>
      <w:outlineLvl w:val="1"/>
    </w:pPr>
    <w:rPr>
      <w:rFonts w:ascii="Arial" w:hAnsi="Arial" w:eastAsia="黑体" w:cs="Arial"/>
      <w:b/>
      <w:bCs/>
      <w:sz w:val="32"/>
      <w:szCs w:val="32"/>
    </w:rPr>
  </w:style>
  <w:style w:type="paragraph" w:styleId="4">
    <w:name w:val="heading 3"/>
    <w:basedOn w:val="1"/>
    <w:next w:val="1"/>
    <w:link w:val="44"/>
    <w:qFormat/>
    <w:uiPriority w:val="9"/>
    <w:pPr>
      <w:keepNext/>
      <w:keepLines/>
      <w:spacing w:before="260" w:after="260" w:line="412" w:lineRule="auto"/>
      <w:outlineLvl w:val="2"/>
    </w:pPr>
    <w:rPr>
      <w:b/>
      <w:bCs/>
      <w:sz w:val="32"/>
      <w:szCs w:val="32"/>
    </w:rPr>
  </w:style>
  <w:style w:type="paragraph" w:styleId="5">
    <w:name w:val="heading 4"/>
    <w:basedOn w:val="1"/>
    <w:next w:val="1"/>
    <w:link w:val="45"/>
    <w:qFormat/>
    <w:uiPriority w:val="9"/>
    <w:pPr>
      <w:keepNext/>
      <w:keepLines/>
      <w:spacing w:before="280" w:after="290" w:line="372" w:lineRule="auto"/>
      <w:outlineLvl w:val="3"/>
    </w:pPr>
    <w:rPr>
      <w:rFonts w:ascii="Arial" w:hAnsi="Arial" w:eastAsia="黑体" w:cs="Arial"/>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qFormat/>
    <w:uiPriority w:val="99"/>
    <w:pPr>
      <w:ind w:firstLine="200" w:firstLineChars="200"/>
    </w:pPr>
  </w:style>
  <w:style w:type="paragraph" w:styleId="7">
    <w:name w:val="annotation text"/>
    <w:basedOn w:val="1"/>
    <w:link w:val="48"/>
    <w:semiHidden/>
    <w:unhideWhenUsed/>
    <w:qFormat/>
    <w:uiPriority w:val="99"/>
    <w:rPr>
      <w:sz w:val="24"/>
    </w:rPr>
  </w:style>
  <w:style w:type="paragraph" w:styleId="8">
    <w:name w:val="Body Text 3"/>
    <w:basedOn w:val="1"/>
    <w:link w:val="49"/>
    <w:semiHidden/>
    <w:unhideWhenUsed/>
    <w:qFormat/>
    <w:uiPriority w:val="99"/>
    <w:rPr>
      <w:rFonts w:ascii="宋体" w:hAnsi="宋体" w:cs="宋体"/>
      <w:sz w:val="24"/>
      <w:szCs w:val="20"/>
    </w:rPr>
  </w:style>
  <w:style w:type="paragraph" w:styleId="9">
    <w:name w:val="Body Text"/>
    <w:basedOn w:val="1"/>
    <w:link w:val="46"/>
    <w:semiHidden/>
    <w:unhideWhenUsed/>
    <w:qFormat/>
    <w:uiPriority w:val="99"/>
    <w:pPr>
      <w:spacing w:after="120"/>
    </w:pPr>
  </w:style>
  <w:style w:type="paragraph" w:styleId="10">
    <w:name w:val="Body Text Indent"/>
    <w:basedOn w:val="1"/>
    <w:next w:val="1"/>
    <w:autoRedefine/>
    <w:qFormat/>
    <w:uiPriority w:val="0"/>
    <w:pPr>
      <w:spacing w:after="120"/>
      <w:ind w:left="420" w:leftChars="200"/>
    </w:pPr>
  </w:style>
  <w:style w:type="paragraph" w:styleId="11">
    <w:name w:val="Plain Text"/>
    <w:basedOn w:val="1"/>
    <w:link w:val="50"/>
    <w:unhideWhenUsed/>
    <w:qFormat/>
    <w:uiPriority w:val="99"/>
    <w:rPr>
      <w:rFonts w:ascii="Courier New" w:hAnsi="Courier New" w:cs="Courier New"/>
      <w:szCs w:val="20"/>
    </w:rPr>
  </w:style>
  <w:style w:type="paragraph" w:styleId="12">
    <w:name w:val="Balloon Text"/>
    <w:basedOn w:val="1"/>
    <w:link w:val="58"/>
    <w:semiHidden/>
    <w:unhideWhenUsed/>
    <w:qFormat/>
    <w:uiPriority w:val="99"/>
    <w:rPr>
      <w:sz w:val="18"/>
      <w:szCs w:val="18"/>
    </w:rPr>
  </w:style>
  <w:style w:type="paragraph" w:styleId="13">
    <w:name w:val="footer"/>
    <w:basedOn w:val="1"/>
    <w:link w:val="41"/>
    <w:unhideWhenUsed/>
    <w:qFormat/>
    <w:uiPriority w:val="99"/>
    <w:pPr>
      <w:tabs>
        <w:tab w:val="center" w:pos="4153"/>
        <w:tab w:val="right" w:pos="8306"/>
      </w:tabs>
      <w:snapToGrid w:val="0"/>
      <w:jc w:val="left"/>
    </w:pPr>
    <w:rPr>
      <w:sz w:val="18"/>
      <w:szCs w:val="18"/>
    </w:rPr>
  </w:style>
  <w:style w:type="paragraph" w:styleId="14">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semiHidden/>
    <w:unhideWhenUsed/>
    <w:qFormat/>
    <w:uiPriority w:val="39"/>
    <w:pPr>
      <w:spacing w:before="120" w:after="120"/>
      <w:jc w:val="left"/>
    </w:pPr>
    <w:rPr>
      <w:b/>
      <w:bCs/>
      <w:caps/>
      <w:sz w:val="20"/>
      <w:szCs w:val="20"/>
    </w:rPr>
  </w:style>
  <w:style w:type="paragraph" w:styleId="16">
    <w:name w:val="Body Text 2"/>
    <w:basedOn w:val="1"/>
    <w:link w:val="59"/>
    <w:semiHidden/>
    <w:unhideWhenUsed/>
    <w:qFormat/>
    <w:uiPriority w:val="99"/>
    <w:pPr>
      <w:spacing w:after="120" w:line="480" w:lineRule="auto"/>
    </w:pPr>
  </w:style>
  <w:style w:type="paragraph" w:styleId="17">
    <w:name w:val="Normal (Web)"/>
    <w:basedOn w:val="1"/>
    <w:semiHidden/>
    <w:unhideWhenUsed/>
    <w:qFormat/>
    <w:uiPriority w:val="99"/>
    <w:pPr>
      <w:widowControl/>
      <w:spacing w:before="100" w:beforeAutospacing="1" w:after="100" w:afterAutospacing="1"/>
      <w:jc w:val="left"/>
    </w:pPr>
    <w:rPr>
      <w:rFonts w:ascii="??" w:hAnsi="??" w:cs="宋体"/>
      <w:kern w:val="0"/>
      <w:sz w:val="24"/>
    </w:rPr>
  </w:style>
  <w:style w:type="paragraph" w:styleId="18">
    <w:name w:val="Title"/>
    <w:basedOn w:val="1"/>
    <w:next w:val="1"/>
    <w:qFormat/>
    <w:uiPriority w:val="10"/>
    <w:pPr>
      <w:widowControl w:val="0"/>
      <w:tabs>
        <w:tab w:val="left" w:pos="738"/>
      </w:tabs>
      <w:spacing w:before="240" w:after="60"/>
      <w:ind w:left="738" w:hanging="454"/>
      <w:jc w:val="center"/>
      <w:outlineLvl w:val="0"/>
    </w:pPr>
    <w:rPr>
      <w:rFonts w:ascii="Arial" w:hAnsi="Arial" w:cs="Arial"/>
      <w:b/>
      <w:bCs/>
      <w:kern w:val="2"/>
      <w:sz w:val="32"/>
      <w:szCs w:val="32"/>
    </w:rPr>
  </w:style>
  <w:style w:type="paragraph" w:styleId="19">
    <w:name w:val="annotation subject"/>
    <w:basedOn w:val="7"/>
    <w:next w:val="7"/>
    <w:link w:val="51"/>
    <w:semiHidden/>
    <w:unhideWhenUsed/>
    <w:qFormat/>
    <w:uiPriority w:val="99"/>
    <w:rPr>
      <w:b/>
      <w:bCs/>
    </w:rPr>
  </w:style>
  <w:style w:type="paragraph" w:styleId="20">
    <w:name w:val="Body Text First Indent"/>
    <w:basedOn w:val="9"/>
    <w:link w:val="47"/>
    <w:unhideWhenUsed/>
    <w:qFormat/>
    <w:uiPriority w:val="99"/>
    <w:pPr>
      <w:spacing w:line="312" w:lineRule="auto"/>
      <w:ind w:firstLine="420"/>
    </w:pPr>
  </w:style>
  <w:style w:type="paragraph" w:styleId="21">
    <w:name w:val="Body Text First Indent 2"/>
    <w:basedOn w:val="10"/>
    <w:qFormat/>
    <w:uiPriority w:val="0"/>
    <w:pPr>
      <w:ind w:firstLine="420" w:firstLineChars="200"/>
    </w:p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22"/>
    <w:rPr>
      <w:rFonts w:cs="Times New Roman"/>
      <w:b/>
      <w:bCs/>
      <w:lang w:bidi="ar-SA"/>
    </w:rPr>
  </w:style>
  <w:style w:type="character" w:styleId="26">
    <w:name w:val="FollowedHyperlink"/>
    <w:basedOn w:val="24"/>
    <w:semiHidden/>
    <w:unhideWhenUsed/>
    <w:qFormat/>
    <w:uiPriority w:val="99"/>
    <w:rPr>
      <w:color w:val="800080"/>
      <w:u w:val="single"/>
    </w:rPr>
  </w:style>
  <w:style w:type="character" w:styleId="27">
    <w:name w:val="Emphasis"/>
    <w:basedOn w:val="24"/>
    <w:qFormat/>
    <w:uiPriority w:val="20"/>
    <w:rPr>
      <w:b/>
      <w:bCs/>
    </w:rPr>
  </w:style>
  <w:style w:type="character" w:styleId="28">
    <w:name w:val="HTML Definition"/>
    <w:basedOn w:val="24"/>
    <w:semiHidden/>
    <w:unhideWhenUsed/>
    <w:qFormat/>
    <w:uiPriority w:val="99"/>
  </w:style>
  <w:style w:type="character" w:styleId="29">
    <w:name w:val="HTML Typewriter"/>
    <w:basedOn w:val="24"/>
    <w:semiHidden/>
    <w:unhideWhenUsed/>
    <w:qFormat/>
    <w:uiPriority w:val="99"/>
    <w:rPr>
      <w:rFonts w:ascii="monospace" w:hAnsi="monospace" w:eastAsia="monospace" w:cs="monospace"/>
      <w:sz w:val="20"/>
    </w:rPr>
  </w:style>
  <w:style w:type="character" w:styleId="30">
    <w:name w:val="HTML Acronym"/>
    <w:basedOn w:val="24"/>
    <w:semiHidden/>
    <w:unhideWhenUsed/>
    <w:qFormat/>
    <w:uiPriority w:val="99"/>
  </w:style>
  <w:style w:type="character" w:styleId="31">
    <w:name w:val="HTML Variable"/>
    <w:basedOn w:val="24"/>
    <w:semiHidden/>
    <w:unhideWhenUsed/>
    <w:qFormat/>
    <w:uiPriority w:val="99"/>
  </w:style>
  <w:style w:type="character" w:styleId="32">
    <w:name w:val="Hyperlink"/>
    <w:basedOn w:val="24"/>
    <w:semiHidden/>
    <w:unhideWhenUsed/>
    <w:qFormat/>
    <w:uiPriority w:val="99"/>
    <w:rPr>
      <w:color w:val="0000FF"/>
      <w:u w:val="single"/>
    </w:rPr>
  </w:style>
  <w:style w:type="character" w:styleId="33">
    <w:name w:val="HTML Code"/>
    <w:basedOn w:val="24"/>
    <w:semiHidden/>
    <w:unhideWhenUsed/>
    <w:qFormat/>
    <w:uiPriority w:val="99"/>
    <w:rPr>
      <w:rFonts w:ascii="Courier New" w:hAnsi="宋体" w:eastAsia="Courier New" w:cs="Courier New"/>
      <w:sz w:val="20"/>
      <w:szCs w:val="24"/>
      <w:lang w:bidi="ar-SA"/>
    </w:rPr>
  </w:style>
  <w:style w:type="character" w:styleId="34">
    <w:name w:val="annotation reference"/>
    <w:basedOn w:val="24"/>
    <w:semiHidden/>
    <w:unhideWhenUsed/>
    <w:qFormat/>
    <w:uiPriority w:val="99"/>
    <w:rPr>
      <w:rFonts w:cs="Times New Roman"/>
      <w:sz w:val="21"/>
      <w:szCs w:val="21"/>
      <w:lang w:bidi="ar-SA"/>
    </w:rPr>
  </w:style>
  <w:style w:type="character" w:styleId="35">
    <w:name w:val="HTML Cite"/>
    <w:basedOn w:val="24"/>
    <w:semiHidden/>
    <w:unhideWhenUsed/>
    <w:qFormat/>
    <w:uiPriority w:val="99"/>
  </w:style>
  <w:style w:type="character" w:styleId="36">
    <w:name w:val="footnote reference"/>
    <w:semiHidden/>
    <w:unhideWhenUsed/>
    <w:qFormat/>
    <w:uiPriority w:val="99"/>
    <w:rPr>
      <w:rFonts w:cs="Times New Roman"/>
      <w:vertAlign w:val="superscript"/>
      <w:lang w:bidi="ar-SA"/>
    </w:rPr>
  </w:style>
  <w:style w:type="character" w:styleId="37">
    <w:name w:val="HTML Keyboard"/>
    <w:basedOn w:val="24"/>
    <w:semiHidden/>
    <w:unhideWhenUsed/>
    <w:qFormat/>
    <w:uiPriority w:val="99"/>
    <w:rPr>
      <w:rFonts w:ascii="Courier New" w:hAnsi="宋体" w:eastAsia="Courier New" w:cs="Courier New"/>
      <w:sz w:val="20"/>
      <w:szCs w:val="24"/>
      <w:lang w:bidi="ar-SA"/>
    </w:rPr>
  </w:style>
  <w:style w:type="character" w:styleId="38">
    <w:name w:val="HTML Sample"/>
    <w:basedOn w:val="24"/>
    <w:semiHidden/>
    <w:unhideWhenUsed/>
    <w:qFormat/>
    <w:uiPriority w:val="99"/>
    <w:rPr>
      <w:rFonts w:ascii="Courier New" w:hAnsi="宋体" w:eastAsia="Courier New" w:cs="Courier New"/>
      <w:color w:val="3D4B64"/>
      <w:sz w:val="19"/>
      <w:szCs w:val="19"/>
      <w:lang w:bidi="ar-SA"/>
    </w:rPr>
  </w:style>
  <w:style w:type="paragraph" w:customStyle="1" w:styleId="39">
    <w:name w:val="首行缩进"/>
    <w:basedOn w:val="1"/>
    <w:qFormat/>
    <w:uiPriority w:val="0"/>
    <w:pPr>
      <w:numPr>
        <w:ilvl w:val="0"/>
        <w:numId w:val="1"/>
      </w:numPr>
      <w:spacing w:line="360" w:lineRule="auto"/>
    </w:pPr>
    <w:rPr>
      <w:rFonts w:eastAsia="仿宋_GB2312"/>
    </w:rPr>
  </w:style>
  <w:style w:type="character" w:customStyle="1" w:styleId="40">
    <w:name w:val="页眉 字符"/>
    <w:basedOn w:val="24"/>
    <w:link w:val="14"/>
    <w:qFormat/>
    <w:uiPriority w:val="99"/>
    <w:rPr>
      <w:sz w:val="18"/>
      <w:szCs w:val="18"/>
    </w:rPr>
  </w:style>
  <w:style w:type="character" w:customStyle="1" w:styleId="41">
    <w:name w:val="页脚 字符"/>
    <w:basedOn w:val="24"/>
    <w:link w:val="13"/>
    <w:qFormat/>
    <w:uiPriority w:val="99"/>
    <w:rPr>
      <w:sz w:val="18"/>
      <w:szCs w:val="18"/>
    </w:rPr>
  </w:style>
  <w:style w:type="character" w:customStyle="1" w:styleId="42">
    <w:name w:val="标题 1 字符"/>
    <w:basedOn w:val="24"/>
    <w:link w:val="2"/>
    <w:qFormat/>
    <w:uiPriority w:val="9"/>
    <w:rPr>
      <w:rFonts w:ascii="Times New Roman" w:hAnsi="Times New Roman" w:eastAsia="宋体" w:cs="Times New Roman"/>
      <w:b/>
      <w:bCs/>
      <w:kern w:val="44"/>
      <w:sz w:val="44"/>
      <w:szCs w:val="44"/>
    </w:rPr>
  </w:style>
  <w:style w:type="character" w:customStyle="1" w:styleId="43">
    <w:name w:val="标题 2 字符"/>
    <w:basedOn w:val="24"/>
    <w:link w:val="3"/>
    <w:qFormat/>
    <w:uiPriority w:val="9"/>
    <w:rPr>
      <w:rFonts w:ascii="Arial" w:hAnsi="Arial" w:eastAsia="黑体" w:cs="Arial"/>
      <w:b/>
      <w:bCs/>
      <w:sz w:val="32"/>
      <w:szCs w:val="32"/>
    </w:rPr>
  </w:style>
  <w:style w:type="character" w:customStyle="1" w:styleId="44">
    <w:name w:val="标题 3 字符"/>
    <w:basedOn w:val="24"/>
    <w:link w:val="4"/>
    <w:qFormat/>
    <w:uiPriority w:val="9"/>
    <w:rPr>
      <w:rFonts w:ascii="Times New Roman" w:hAnsi="Times New Roman" w:eastAsia="宋体" w:cs="Times New Roman"/>
      <w:b/>
      <w:bCs/>
      <w:sz w:val="32"/>
      <w:szCs w:val="32"/>
    </w:rPr>
  </w:style>
  <w:style w:type="character" w:customStyle="1" w:styleId="45">
    <w:name w:val="标题 4 字符"/>
    <w:basedOn w:val="24"/>
    <w:link w:val="5"/>
    <w:qFormat/>
    <w:uiPriority w:val="9"/>
    <w:rPr>
      <w:rFonts w:ascii="Arial" w:hAnsi="Arial" w:eastAsia="黑体" w:cs="Arial"/>
      <w:b/>
      <w:bCs/>
      <w:sz w:val="28"/>
      <w:szCs w:val="28"/>
    </w:rPr>
  </w:style>
  <w:style w:type="character" w:customStyle="1" w:styleId="46">
    <w:name w:val="正文文本 字符"/>
    <w:basedOn w:val="24"/>
    <w:link w:val="9"/>
    <w:semiHidden/>
    <w:qFormat/>
    <w:uiPriority w:val="99"/>
    <w:rPr>
      <w:rFonts w:ascii="Times New Roman" w:hAnsi="Times New Roman" w:eastAsia="宋体" w:cs="Times New Roman"/>
      <w:szCs w:val="24"/>
    </w:rPr>
  </w:style>
  <w:style w:type="character" w:customStyle="1" w:styleId="47">
    <w:name w:val="正文首行缩进 字符"/>
    <w:basedOn w:val="46"/>
    <w:link w:val="20"/>
    <w:qFormat/>
    <w:uiPriority w:val="99"/>
    <w:rPr>
      <w:rFonts w:ascii="Times New Roman" w:hAnsi="Times New Roman" w:eastAsia="宋体" w:cs="Times New Roman"/>
      <w:szCs w:val="24"/>
    </w:rPr>
  </w:style>
  <w:style w:type="character" w:customStyle="1" w:styleId="48">
    <w:name w:val="批注文字 字符"/>
    <w:basedOn w:val="24"/>
    <w:link w:val="7"/>
    <w:semiHidden/>
    <w:qFormat/>
    <w:uiPriority w:val="99"/>
    <w:rPr>
      <w:rFonts w:ascii="Times New Roman" w:hAnsi="Times New Roman" w:eastAsia="宋体" w:cs="Times New Roman"/>
      <w:sz w:val="24"/>
      <w:szCs w:val="24"/>
    </w:rPr>
  </w:style>
  <w:style w:type="character" w:customStyle="1" w:styleId="49">
    <w:name w:val="正文文本 3 字符"/>
    <w:basedOn w:val="24"/>
    <w:link w:val="8"/>
    <w:semiHidden/>
    <w:qFormat/>
    <w:uiPriority w:val="99"/>
    <w:rPr>
      <w:rFonts w:ascii="宋体" w:hAnsi="宋体" w:eastAsia="宋体" w:cs="宋体"/>
      <w:sz w:val="24"/>
      <w:szCs w:val="20"/>
    </w:rPr>
  </w:style>
  <w:style w:type="character" w:customStyle="1" w:styleId="50">
    <w:name w:val="纯文本 字符"/>
    <w:basedOn w:val="24"/>
    <w:link w:val="11"/>
    <w:qFormat/>
    <w:uiPriority w:val="99"/>
    <w:rPr>
      <w:rFonts w:ascii="Courier New" w:hAnsi="Courier New" w:eastAsia="宋体" w:cs="Courier New"/>
      <w:szCs w:val="20"/>
    </w:rPr>
  </w:style>
  <w:style w:type="character" w:customStyle="1" w:styleId="51">
    <w:name w:val="批注主题 字符"/>
    <w:basedOn w:val="48"/>
    <w:link w:val="19"/>
    <w:semiHidden/>
    <w:qFormat/>
    <w:uiPriority w:val="99"/>
    <w:rPr>
      <w:rFonts w:ascii="Times New Roman" w:hAnsi="Times New Roman" w:eastAsia="宋体" w:cs="Times New Roman"/>
      <w:b/>
      <w:bCs/>
      <w:sz w:val="24"/>
      <w:szCs w:val="24"/>
    </w:rPr>
  </w:style>
  <w:style w:type="paragraph" w:customStyle="1" w:styleId="52">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53">
    <w:name w:val="表格文字"/>
    <w:basedOn w:val="1"/>
    <w:qFormat/>
    <w:uiPriority w:val="0"/>
    <w:pPr>
      <w:adjustRightInd w:val="0"/>
      <w:spacing w:line="420" w:lineRule="atLeast"/>
      <w:jc w:val="left"/>
      <w:textAlignment w:val="baseline"/>
    </w:pPr>
    <w:rPr>
      <w:kern w:val="0"/>
      <w:szCs w:val="20"/>
    </w:rPr>
  </w:style>
  <w:style w:type="paragraph" w:customStyle="1" w:styleId="54">
    <w:name w:val="Blockquote"/>
    <w:basedOn w:val="1"/>
    <w:qFormat/>
    <w:uiPriority w:val="0"/>
    <w:pPr>
      <w:autoSpaceDE w:val="0"/>
      <w:autoSpaceDN w:val="0"/>
      <w:adjustRightInd w:val="0"/>
      <w:spacing w:before="100" w:after="100"/>
      <w:ind w:left="360" w:right="360"/>
    </w:pPr>
    <w:rPr>
      <w:sz w:val="24"/>
    </w:rPr>
  </w:style>
  <w:style w:type="paragraph" w:customStyle="1" w:styleId="55">
    <w:name w:val="_Style 17"/>
    <w:basedOn w:val="1"/>
    <w:next w:val="17"/>
    <w:qFormat/>
    <w:uiPriority w:val="0"/>
    <w:pPr>
      <w:spacing w:before="100" w:beforeAutospacing="1" w:after="100" w:afterAutospacing="1"/>
    </w:pPr>
    <w:rPr>
      <w:rFonts w:ascii="宋体" w:hAnsi="宋体" w:cs="黑体"/>
      <w:sz w:val="24"/>
    </w:rPr>
  </w:style>
  <w:style w:type="character" w:customStyle="1" w:styleId="56">
    <w:name w:val="正文文本 Char Char"/>
    <w:qFormat/>
    <w:uiPriority w:val="0"/>
    <w:rPr>
      <w:rFonts w:eastAsia="宋体" w:cs="Times New Roman"/>
      <w:kern w:val="2"/>
      <w:sz w:val="24"/>
      <w:szCs w:val="24"/>
      <w:lang w:val="en-US" w:eastAsia="zh-CN" w:bidi="ar-SA"/>
    </w:rPr>
  </w:style>
  <w:style w:type="character" w:customStyle="1" w:styleId="57">
    <w:name w:val="15"/>
    <w:qFormat/>
    <w:uiPriority w:val="0"/>
    <w:rPr>
      <w:rFonts w:ascii="Times New Roman"/>
      <w:color w:val="0000FF"/>
      <w:u w:val="single"/>
    </w:rPr>
  </w:style>
  <w:style w:type="character" w:customStyle="1" w:styleId="58">
    <w:name w:val="批注框文本 字符"/>
    <w:basedOn w:val="24"/>
    <w:link w:val="12"/>
    <w:semiHidden/>
    <w:qFormat/>
    <w:uiPriority w:val="99"/>
    <w:rPr>
      <w:rFonts w:ascii="Times New Roman" w:hAnsi="Times New Roman" w:eastAsia="宋体" w:cs="Times New Roman"/>
      <w:sz w:val="18"/>
      <w:szCs w:val="18"/>
    </w:rPr>
  </w:style>
  <w:style w:type="character" w:customStyle="1" w:styleId="59">
    <w:name w:val="正文文本 2 字符"/>
    <w:basedOn w:val="24"/>
    <w:link w:val="16"/>
    <w:semiHidden/>
    <w:qFormat/>
    <w:uiPriority w:val="99"/>
    <w:rPr>
      <w:rFonts w:ascii="Times New Roman" w:hAnsi="Times New Roman" w:eastAsia="宋体" w:cs="Times New Roman"/>
      <w:kern w:val="2"/>
      <w:sz w:val="21"/>
      <w:szCs w:val="24"/>
    </w:rPr>
  </w:style>
  <w:style w:type="table" w:customStyle="1" w:styleId="60">
    <w:name w:val="网格型1"/>
    <w:basedOn w:val="22"/>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1">
    <w:name w:val="Table Paragraph"/>
    <w:basedOn w:val="1"/>
    <w:qFormat/>
    <w:uiPriority w:val="1"/>
    <w:rPr>
      <w:rFonts w:ascii="宋体" w:hAnsi="宋体" w:cs="宋体"/>
    </w:rPr>
  </w:style>
  <w:style w:type="paragraph" w:customStyle="1" w:styleId="62">
    <w:name w:val="标题 31"/>
    <w:basedOn w:val="1"/>
    <w:qFormat/>
    <w:uiPriority w:val="1"/>
    <w:pPr>
      <w:ind w:left="237" w:right="102"/>
      <w:jc w:val="left"/>
      <w:outlineLvl w:val="3"/>
    </w:pPr>
    <w:rPr>
      <w:rFonts w:ascii="宋体" w:hAnsi="宋体" w:cs="宋体"/>
      <w:kern w:val="0"/>
      <w:sz w:val="28"/>
      <w:szCs w:val="28"/>
      <w:lang w:eastAsia="en-US"/>
    </w:rPr>
  </w:style>
  <w:style w:type="paragraph" w:styleId="63">
    <w:name w:val="List Paragraph"/>
    <w:basedOn w:val="1"/>
    <w:qFormat/>
    <w:uiPriority w:val="34"/>
    <w:pPr>
      <w:ind w:firstLine="420" w:firstLineChars="200"/>
    </w:pPr>
  </w:style>
  <w:style w:type="character" w:customStyle="1" w:styleId="64">
    <w:name w:val="first-child"/>
    <w:basedOn w:val="24"/>
    <w:qFormat/>
    <w:uiPriority w:val="0"/>
  </w:style>
  <w:style w:type="character" w:customStyle="1" w:styleId="65">
    <w:name w:val="layui-layer-tabnow"/>
    <w:basedOn w:val="24"/>
    <w:autoRedefine/>
    <w:qFormat/>
    <w:uiPriority w:val="0"/>
    <w:rPr>
      <w:bdr w:val="single" w:color="CCCCCC" w:sz="4" w:space="0"/>
      <w:shd w:val="clear"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29152</Words>
  <Characters>30775</Characters>
  <Lines>344</Lines>
  <Paragraphs>96</Paragraphs>
  <TotalTime>76</TotalTime>
  <ScaleCrop>false</ScaleCrop>
  <LinksUpToDate>false</LinksUpToDate>
  <CharactersWithSpaces>32876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2023-09-26T01:25:00Z</dcterms:created>
  <dc:creator>kdy</dc:creator>
  <cp:lastModifiedBy>安</cp:lastModifiedBy>
  <dcterms:modified xsi:type="dcterms:W3CDTF">2023-12-24T13:01:10Z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7A7535952BB546D39A339A9904FE452A_13</vt:lpwstr>
  </property>
</Properties>
</file>