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1" w:line="0" w:lineRule="atLeast"/>
        <w:ind w:left="0" w:right="0" w:firstLine="0"/>
        <w:jc w:val="center"/>
        <w:outlineLvl w:val="9"/>
        <w:rPr>
          <w:rFonts w:hint="eastAsia" w:ascii="黑体" w:hAnsi="宋体" w:eastAsia="黑体" w:cs="黑体"/>
          <w:b/>
          <w:bCs/>
          <w:caps w:val="0"/>
          <w:color w:val="000000"/>
          <w:sz w:val="32"/>
          <w:szCs w:val="32"/>
          <w:highlight w:val="none"/>
          <w:vertAlign w:val="baseline"/>
        </w:rPr>
      </w:pPr>
      <w:bookmarkStart w:id="0" w:name="_Toc246996898"/>
      <w:bookmarkStart w:id="1" w:name="_Toc247085669"/>
      <w:bookmarkStart w:id="2" w:name="_Toc296602400"/>
    </w:p>
    <w:p>
      <w:pPr>
        <w:pStyle w:val="23"/>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1" w:line="0" w:lineRule="atLeast"/>
        <w:ind w:left="0" w:right="0" w:firstLine="0"/>
        <w:jc w:val="center"/>
        <w:outlineLvl w:val="9"/>
        <w:rPr>
          <w:rFonts w:hint="eastAsia" w:ascii="黑体" w:hAnsi="宋体" w:eastAsia="黑体" w:cs="黑体"/>
          <w:b/>
          <w:bCs/>
          <w:caps w:val="0"/>
          <w:color w:val="000000"/>
          <w:sz w:val="32"/>
          <w:szCs w:val="32"/>
          <w:highlight w:val="none"/>
          <w:vertAlign w:val="baseline"/>
        </w:rPr>
      </w:pPr>
    </w:p>
    <w:p>
      <w:pPr>
        <w:autoSpaceDN w:val="0"/>
        <w:spacing w:line="360" w:lineRule="auto"/>
        <w:jc w:val="center"/>
        <w:rPr>
          <w:rFonts w:hint="eastAsia" w:ascii="宋体" w:hAnsi="宋体" w:eastAsia="宋体" w:cs="Times New Roman"/>
          <w:b/>
          <w:bCs/>
          <w:color w:val="000000"/>
          <w:sz w:val="52"/>
          <w:szCs w:val="52"/>
          <w:lang w:eastAsia="zh-CN" w:bidi="ar"/>
        </w:rPr>
      </w:pPr>
      <w:bookmarkStart w:id="3" w:name="_Hlk64874400"/>
      <w:bookmarkEnd w:id="3"/>
    </w:p>
    <w:p>
      <w:pPr>
        <w:autoSpaceDN w:val="0"/>
        <w:spacing w:line="360" w:lineRule="auto"/>
        <w:jc w:val="center"/>
        <w:rPr>
          <w:rFonts w:hint="eastAsia" w:ascii="宋体" w:hAnsi="宋体" w:eastAsia="宋体" w:cs="宋体"/>
          <w:b/>
          <w:bCs/>
          <w:color w:val="000000"/>
          <w:sz w:val="52"/>
          <w:szCs w:val="52"/>
          <w:lang w:eastAsia="zh-CN"/>
        </w:rPr>
      </w:pPr>
      <w:r>
        <w:rPr>
          <w:rFonts w:hint="eastAsia" w:ascii="宋体" w:hAnsi="宋体" w:eastAsia="宋体" w:cs="Times New Roman"/>
          <w:b/>
          <w:bCs/>
          <w:color w:val="000000"/>
          <w:sz w:val="52"/>
          <w:szCs w:val="52"/>
          <w:lang w:eastAsia="zh-CN" w:bidi="ar"/>
        </w:rPr>
        <w:t>长春市朝阳区人民医院车载数字X射线机采购项目</w:t>
      </w:r>
    </w:p>
    <w:p>
      <w:pPr>
        <w:bidi w:val="0"/>
      </w:pP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招标文件</w:t>
      </w:r>
    </w:p>
    <w:p>
      <w:pPr>
        <w:autoSpaceDN w:val="0"/>
        <w:jc w:val="both"/>
        <w:rPr>
          <w:rFonts w:ascii="宋体" w:hAnsi="宋体" w:eastAsia="宋体" w:cs="宋体"/>
          <w:b/>
          <w:bCs/>
          <w:color w:val="000000"/>
          <w:sz w:val="28"/>
          <w:szCs w:val="28"/>
        </w:rPr>
      </w:pPr>
    </w:p>
    <w:p>
      <w:pPr>
        <w:autoSpaceDN w:val="0"/>
        <w:ind w:firstLine="1928" w:firstLineChars="600"/>
        <w:jc w:val="both"/>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bidi="ar"/>
        </w:rPr>
        <w:t>项目编号：</w:t>
      </w:r>
      <w:bookmarkStart w:id="4" w:name="_Hlk64874388"/>
      <w:bookmarkEnd w:id="4"/>
      <w:r>
        <w:rPr>
          <w:rFonts w:hint="eastAsia" w:ascii="宋体" w:hAnsi="宋体" w:eastAsia="宋体" w:cs="Times New Roman"/>
          <w:b/>
          <w:bCs/>
          <w:color w:val="000000"/>
          <w:sz w:val="32"/>
          <w:lang w:eastAsia="zh-CN" w:bidi="ar"/>
        </w:rPr>
        <w:t>MZ-ZB-20240202</w:t>
      </w:r>
    </w:p>
    <w:p>
      <w:pPr>
        <w:autoSpaceDN w:val="0"/>
        <w:jc w:val="center"/>
        <w:rPr>
          <w:rFonts w:ascii="宋体" w:hAnsi="宋体" w:eastAsia="宋体" w:cs="宋体"/>
          <w:color w:val="000000"/>
          <w:sz w:val="18"/>
          <w:szCs w:val="18"/>
        </w:rPr>
      </w:pPr>
    </w:p>
    <w:p>
      <w:pPr>
        <w:autoSpaceDN w:val="0"/>
        <w:spacing w:line="480" w:lineRule="auto"/>
        <w:jc w:val="center"/>
        <w:rPr>
          <w:rFonts w:ascii="宋体" w:hAnsi="宋体" w:eastAsia="宋体" w:cs="宋体"/>
          <w:color w:val="000000"/>
          <w:sz w:val="18"/>
          <w:szCs w:val="18"/>
        </w:rPr>
      </w:pPr>
    </w:p>
    <w:p>
      <w:pPr>
        <w:jc w:val="left"/>
        <w:rPr>
          <w:rFonts w:hint="eastAsia" w:ascii="宋体" w:hAnsi="宋体" w:eastAsia="宋体" w:cs="宋体"/>
          <w:b/>
          <w:bCs/>
          <w:sz w:val="28"/>
          <w:szCs w:val="28"/>
          <w:highlight w:val="none"/>
        </w:rPr>
      </w:pPr>
    </w:p>
    <w:p>
      <w:pPr>
        <w:jc w:val="left"/>
        <w:rPr>
          <w:rFonts w:hint="eastAsia" w:ascii="宋体" w:hAnsi="宋体" w:eastAsia="宋体" w:cs="宋体"/>
          <w:b/>
          <w:bCs/>
          <w:sz w:val="28"/>
          <w:szCs w:val="28"/>
          <w:highlight w:val="none"/>
        </w:rPr>
      </w:pPr>
    </w:p>
    <w:p>
      <w:pPr>
        <w:spacing w:line="240" w:lineRule="auto"/>
        <w:jc w:val="left"/>
        <w:rPr>
          <w:rFonts w:hint="eastAsia" w:ascii="宋体" w:hAnsi="宋体" w:eastAsia="宋体" w:cs="宋体"/>
          <w:b/>
          <w:bCs/>
          <w:sz w:val="28"/>
          <w:szCs w:val="28"/>
          <w:highlight w:val="none"/>
        </w:rPr>
      </w:pPr>
    </w:p>
    <w:p>
      <w:pPr>
        <w:spacing w:line="240" w:lineRule="auto"/>
        <w:ind w:firstLine="1687" w:firstLineChars="600"/>
        <w:jc w:val="left"/>
        <w:rPr>
          <w:rFonts w:hint="eastAsia" w:ascii="宋体" w:hAnsi="宋体" w:eastAsia="宋体" w:cs="宋体"/>
          <w:b/>
          <w:bCs/>
          <w:sz w:val="28"/>
          <w:szCs w:val="28"/>
          <w:highlight w:val="none"/>
        </w:rPr>
      </w:pPr>
    </w:p>
    <w:p>
      <w:pPr>
        <w:spacing w:line="240" w:lineRule="auto"/>
        <w:ind w:firstLine="1687" w:firstLineChars="600"/>
        <w:jc w:val="left"/>
        <w:rPr>
          <w:rFonts w:hint="eastAsia" w:ascii="宋体" w:hAnsi="宋体" w:cs="宋体"/>
          <w:b/>
          <w:bCs/>
          <w:sz w:val="28"/>
          <w:szCs w:val="28"/>
          <w:highlight w:val="none"/>
        </w:rPr>
      </w:pPr>
      <w:r>
        <w:rPr>
          <w:rFonts w:hint="eastAsia" w:ascii="宋体" w:hAnsi="宋体" w:eastAsia="宋体" w:cs="宋体"/>
          <w:b/>
          <w:bCs/>
          <w:sz w:val="28"/>
          <w:szCs w:val="28"/>
          <w:highlight w:val="none"/>
        </w:rPr>
        <w:t>采购人：</w:t>
      </w:r>
      <w:r>
        <w:rPr>
          <w:rFonts w:hint="eastAsia" w:ascii="宋体" w:hAnsi="宋体" w:cs="宋体"/>
          <w:b/>
          <w:bCs/>
          <w:sz w:val="28"/>
          <w:szCs w:val="28"/>
          <w:highlight w:val="none"/>
          <w:lang w:eastAsia="zh-CN"/>
        </w:rPr>
        <w:t>长春市朝阳区人民医院</w:t>
      </w:r>
    </w:p>
    <w:p>
      <w:pPr>
        <w:spacing w:line="240" w:lineRule="auto"/>
        <w:ind w:firstLine="1687" w:firstLineChars="600"/>
        <w:jc w:val="left"/>
        <w:rPr>
          <w:rFonts w:hint="eastAsia" w:ascii="宋体" w:hAnsi="宋体" w:cs="宋体"/>
          <w:b/>
          <w:bCs/>
          <w:sz w:val="28"/>
          <w:szCs w:val="28"/>
          <w:highlight w:val="none"/>
          <w:lang w:eastAsia="zh-CN"/>
        </w:rPr>
      </w:pPr>
      <w:r>
        <w:rPr>
          <w:rFonts w:hint="eastAsia" w:ascii="宋体" w:hAnsi="宋体" w:cs="宋体"/>
          <w:b/>
          <w:bCs/>
          <w:sz w:val="28"/>
          <w:szCs w:val="28"/>
          <w:highlight w:val="none"/>
        </w:rPr>
        <w:t>采购代理机构：</w:t>
      </w:r>
      <w:r>
        <w:rPr>
          <w:rFonts w:hint="eastAsia" w:ascii="宋体" w:hAnsi="宋体" w:cs="宋体"/>
          <w:b/>
          <w:bCs/>
          <w:sz w:val="28"/>
          <w:szCs w:val="28"/>
          <w:highlight w:val="none"/>
          <w:lang w:eastAsia="zh-CN"/>
        </w:rPr>
        <w:t>吉林省铭泽项目管理有限公司</w:t>
      </w:r>
    </w:p>
    <w:p>
      <w:pPr>
        <w:spacing w:line="240" w:lineRule="auto"/>
        <w:ind w:firstLine="1687" w:firstLineChars="600"/>
        <w:jc w:val="left"/>
        <w:rPr>
          <w:rFonts w:hint="eastAsia" w:ascii="宋体" w:hAnsi="宋体" w:cs="宋体"/>
          <w:b/>
          <w:bCs/>
          <w:sz w:val="28"/>
          <w:szCs w:val="28"/>
          <w:highlight w:val="none"/>
          <w:lang w:eastAsia="zh-CN"/>
        </w:rPr>
      </w:pPr>
      <w:r>
        <w:rPr>
          <w:rFonts w:hint="eastAsia" w:ascii="宋体" w:hAnsi="宋体" w:cs="宋体"/>
          <w:b/>
          <w:bCs/>
          <w:sz w:val="28"/>
          <w:szCs w:val="28"/>
          <w:highlight w:val="none"/>
          <w:lang w:eastAsia="zh-CN"/>
        </w:rPr>
        <w:t>日     期： 202</w:t>
      </w:r>
      <w:r>
        <w:rPr>
          <w:rFonts w:hint="eastAsia" w:ascii="宋体" w:hAnsi="宋体" w:cs="宋体"/>
          <w:b/>
          <w:bCs/>
          <w:sz w:val="28"/>
          <w:szCs w:val="28"/>
          <w:highlight w:val="none"/>
          <w:lang w:val="en-US" w:eastAsia="zh-CN"/>
        </w:rPr>
        <w:t>4</w:t>
      </w:r>
      <w:r>
        <w:rPr>
          <w:rFonts w:hint="eastAsia" w:ascii="宋体" w:hAnsi="宋体" w:cs="宋体"/>
          <w:b/>
          <w:bCs/>
          <w:sz w:val="28"/>
          <w:szCs w:val="28"/>
          <w:highlight w:val="none"/>
          <w:lang w:eastAsia="zh-CN"/>
        </w:rPr>
        <w:t>年1月</w:t>
      </w:r>
    </w:p>
    <w:p>
      <w:pPr>
        <w:pStyle w:val="2"/>
        <w:ind w:left="0" w:leftChars="0" w:firstLine="0" w:firstLineChars="0"/>
        <w:rPr>
          <w:rFonts w:hint="eastAsia"/>
        </w:rPr>
      </w:pPr>
      <w:bookmarkStart w:id="5" w:name="_Toc98580389"/>
    </w:p>
    <w:p>
      <w:pPr>
        <w:keepNext w:val="0"/>
        <w:keepLines w:val="0"/>
        <w:pageBreakBefore w:val="0"/>
        <w:widowControl w:val="0"/>
        <w:suppressLineNumbers w:val="0"/>
        <w:tabs>
          <w:tab w:val="left" w:pos="9379"/>
        </w:tabs>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caps w:val="0"/>
          <w:color w:val="000000"/>
          <w:kern w:val="2"/>
          <w:sz w:val="36"/>
          <w:szCs w:val="36"/>
          <w:highlight w:val="none"/>
          <w:vertAlign w:val="baseline"/>
          <w:lang w:val="en-US" w:eastAsia="zh-CN" w:bidi="ar"/>
        </w:rPr>
      </w:pPr>
    </w:p>
    <w:p>
      <w:pPr>
        <w:keepNext w:val="0"/>
        <w:keepLines w:val="0"/>
        <w:pageBreakBefore w:val="0"/>
        <w:widowControl w:val="0"/>
        <w:suppressLineNumbers w:val="0"/>
        <w:tabs>
          <w:tab w:val="left" w:pos="9379"/>
        </w:tabs>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caps w:val="0"/>
          <w:color w:val="000000"/>
          <w:sz w:val="36"/>
          <w:szCs w:val="36"/>
          <w:highlight w:val="none"/>
          <w:vertAlign w:val="baseline"/>
        </w:rPr>
      </w:pPr>
      <w:r>
        <w:rPr>
          <w:rFonts w:hint="eastAsia" w:ascii="宋体" w:hAnsi="宋体" w:eastAsia="宋体" w:cs="宋体"/>
          <w:b/>
          <w:bCs/>
          <w:caps w:val="0"/>
          <w:color w:val="000000"/>
          <w:kern w:val="2"/>
          <w:sz w:val="36"/>
          <w:szCs w:val="36"/>
          <w:highlight w:val="none"/>
          <w:vertAlign w:val="baseline"/>
          <w:lang w:val="en-US" w:eastAsia="zh-CN" w:bidi="ar"/>
        </w:rPr>
        <w:t>目录</w:t>
      </w:r>
    </w:p>
    <w:p>
      <w:pPr>
        <w:pStyle w:val="19"/>
        <w:tabs>
          <w:tab w:val="right" w:leader="dot" w:pos="8305"/>
        </w:tabs>
        <w:spacing w:line="360" w:lineRule="auto"/>
        <w:rPr>
          <w:sz w:val="28"/>
          <w:szCs w:val="28"/>
        </w:rPr>
      </w:pPr>
      <w:r>
        <w:rPr>
          <w:rFonts w:hint="eastAsia" w:ascii="宋体" w:hAnsi="宋体" w:eastAsia="宋体" w:cs="宋体"/>
          <w:b w:val="0"/>
          <w:bCs w:val="0"/>
          <w:caps/>
          <w:color w:val="000000"/>
          <w:sz w:val="28"/>
          <w:szCs w:val="28"/>
          <w:highlight w:val="none"/>
          <w:u w:val="none"/>
          <w:vertAlign w:val="baseline"/>
        </w:rPr>
        <w:fldChar w:fldCharType="begin"/>
      </w:r>
      <w:r>
        <w:rPr>
          <w:rFonts w:hint="eastAsia" w:ascii="宋体" w:hAnsi="宋体" w:eastAsia="宋体" w:cs="宋体"/>
          <w:b w:val="0"/>
          <w:bCs w:val="0"/>
          <w:caps/>
          <w:color w:val="000000"/>
          <w:sz w:val="28"/>
          <w:szCs w:val="28"/>
          <w:highlight w:val="none"/>
          <w:u w:val="none"/>
          <w:vertAlign w:val="baseline"/>
        </w:rPr>
        <w:instrText xml:space="preserve">TOC \o "1-1" \h \z \u </w:instrText>
      </w:r>
      <w:r>
        <w:rPr>
          <w:rFonts w:hint="eastAsia" w:ascii="宋体" w:hAnsi="宋体" w:eastAsia="宋体" w:cs="宋体"/>
          <w:b w:val="0"/>
          <w:bCs w:val="0"/>
          <w:caps/>
          <w:color w:val="000000"/>
          <w:sz w:val="28"/>
          <w:szCs w:val="28"/>
          <w:highlight w:val="none"/>
          <w:u w:val="none"/>
          <w:vertAlign w:val="baseline"/>
        </w:rPr>
        <w:fldChar w:fldCharType="separate"/>
      </w:r>
      <w:r>
        <w:rPr>
          <w:rFonts w:hint="eastAsia" w:ascii="宋体" w:hAnsi="宋体" w:eastAsia="宋体" w:cs="宋体"/>
          <w:bCs w:val="0"/>
          <w:caps/>
          <w:color w:val="000000"/>
          <w:sz w:val="28"/>
          <w:szCs w:val="28"/>
          <w:highlight w:val="none"/>
          <w:u w:val="none"/>
          <w:vertAlign w:val="baseline"/>
        </w:rPr>
        <w:fldChar w:fldCharType="begin"/>
      </w:r>
      <w:r>
        <w:rPr>
          <w:rFonts w:hint="eastAsia" w:ascii="宋体" w:hAnsi="宋体" w:eastAsia="宋体" w:cs="宋体"/>
          <w:bCs w:val="0"/>
          <w:caps/>
          <w:sz w:val="28"/>
          <w:szCs w:val="28"/>
          <w:highlight w:val="none"/>
          <w:vertAlign w:val="baseline"/>
        </w:rPr>
        <w:instrText xml:space="preserve"> HYPERLINK \l _Toc19764 </w:instrText>
      </w:r>
      <w:r>
        <w:rPr>
          <w:rFonts w:hint="eastAsia" w:ascii="宋体" w:hAnsi="宋体" w:eastAsia="宋体" w:cs="宋体"/>
          <w:bCs w:val="0"/>
          <w:caps/>
          <w:sz w:val="28"/>
          <w:szCs w:val="28"/>
          <w:highlight w:val="none"/>
          <w:vertAlign w:val="baseline"/>
        </w:rPr>
        <w:fldChar w:fldCharType="separate"/>
      </w:r>
      <w:r>
        <w:rPr>
          <w:rFonts w:hint="eastAsia" w:ascii="Times New Roman" w:hAnsi="宋体" w:eastAsia="宋体" w:cs="宋体"/>
          <w:bCs/>
          <w:caps w:val="0"/>
          <w:sz w:val="28"/>
          <w:szCs w:val="28"/>
          <w:highlight w:val="none"/>
          <w:vertAlign w:val="baseline"/>
        </w:rPr>
        <w:t>第一</w:t>
      </w:r>
      <w:r>
        <w:rPr>
          <w:rFonts w:hint="eastAsia" w:hAnsi="宋体" w:cs="宋体"/>
          <w:bCs/>
          <w:caps w:val="0"/>
          <w:sz w:val="28"/>
          <w:szCs w:val="28"/>
          <w:highlight w:val="none"/>
          <w:vertAlign w:val="baseline"/>
          <w:lang w:val="en-US" w:eastAsia="zh-CN"/>
        </w:rPr>
        <w:t>章</w:t>
      </w:r>
      <w:r>
        <w:rPr>
          <w:rFonts w:hint="default" w:ascii="Times New Roman" w:hAnsi="Times New Roman" w:eastAsia="宋体" w:cs="Times New Roman"/>
          <w:bCs/>
          <w:caps w:val="0"/>
          <w:sz w:val="28"/>
          <w:szCs w:val="28"/>
          <w:highlight w:val="none"/>
          <w:vertAlign w:val="baseline"/>
        </w:rPr>
        <w:t xml:space="preserve">  </w:t>
      </w:r>
      <w:r>
        <w:rPr>
          <w:rFonts w:hint="eastAsia" w:ascii="Times New Roman" w:hAnsi="宋体" w:eastAsia="宋体" w:cs="宋体"/>
          <w:bCs/>
          <w:caps w:val="0"/>
          <w:sz w:val="28"/>
          <w:szCs w:val="28"/>
          <w:highlight w:val="none"/>
          <w:vertAlign w:val="baseline"/>
        </w:rPr>
        <w:t>招标公告</w:t>
      </w:r>
      <w:r>
        <w:rPr>
          <w:sz w:val="28"/>
          <w:szCs w:val="28"/>
        </w:rPr>
        <w:tab/>
      </w:r>
      <w:r>
        <w:rPr>
          <w:sz w:val="28"/>
          <w:szCs w:val="28"/>
        </w:rPr>
        <w:fldChar w:fldCharType="begin"/>
      </w:r>
      <w:r>
        <w:rPr>
          <w:sz w:val="28"/>
          <w:szCs w:val="28"/>
        </w:rPr>
        <w:instrText xml:space="preserve"> PAGEREF _Toc19764 \h </w:instrText>
      </w:r>
      <w:r>
        <w:rPr>
          <w:sz w:val="28"/>
          <w:szCs w:val="28"/>
        </w:rPr>
        <w:fldChar w:fldCharType="separate"/>
      </w:r>
      <w:r>
        <w:rPr>
          <w:sz w:val="28"/>
          <w:szCs w:val="28"/>
        </w:rPr>
        <w:t>1</w:t>
      </w:r>
      <w:r>
        <w:rPr>
          <w:sz w:val="28"/>
          <w:szCs w:val="28"/>
        </w:rPr>
        <w:fldChar w:fldCharType="end"/>
      </w:r>
      <w:r>
        <w:rPr>
          <w:rFonts w:hint="eastAsia" w:ascii="宋体" w:hAnsi="宋体" w:eastAsia="宋体" w:cs="宋体"/>
          <w:bCs w:val="0"/>
          <w:caps/>
          <w:color w:val="000000"/>
          <w:sz w:val="28"/>
          <w:szCs w:val="28"/>
          <w:highlight w:val="none"/>
          <w:u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_Toc30691 </w:instrText>
      </w:r>
      <w:r>
        <w:rPr>
          <w:rFonts w:hint="eastAsia" w:ascii="宋体" w:hAnsi="宋体" w:eastAsia="宋体" w:cs="宋体"/>
          <w:bCs/>
          <w:caps/>
          <w:sz w:val="28"/>
          <w:szCs w:val="28"/>
          <w:highlight w:val="none"/>
          <w:vertAlign w:val="baseline"/>
        </w:rPr>
        <w:fldChar w:fldCharType="separate"/>
      </w:r>
      <w:r>
        <w:rPr>
          <w:rFonts w:hint="eastAsia"/>
          <w:bCs/>
          <w:sz w:val="28"/>
          <w:szCs w:val="28"/>
          <w:lang w:val="en-US" w:eastAsia="zh-CN"/>
        </w:rPr>
        <w:t>第二章</w:t>
      </w:r>
      <w:r>
        <w:rPr>
          <w:rFonts w:hint="default"/>
          <w:bCs/>
          <w:sz w:val="28"/>
          <w:szCs w:val="28"/>
          <w:lang w:val="en-US" w:eastAsia="zh-CN"/>
        </w:rPr>
        <w:t xml:space="preserve">  </w:t>
      </w:r>
      <w:r>
        <w:rPr>
          <w:rFonts w:hint="eastAsia"/>
          <w:bCs/>
          <w:sz w:val="28"/>
          <w:szCs w:val="28"/>
          <w:lang w:val="en-US" w:eastAsia="zh-CN"/>
        </w:rPr>
        <w:t>供应商须知</w:t>
      </w:r>
      <w:r>
        <w:rPr>
          <w:sz w:val="28"/>
          <w:szCs w:val="28"/>
        </w:rPr>
        <w:tab/>
      </w:r>
      <w:r>
        <w:rPr>
          <w:sz w:val="28"/>
          <w:szCs w:val="28"/>
        </w:rPr>
        <w:fldChar w:fldCharType="begin"/>
      </w:r>
      <w:r>
        <w:rPr>
          <w:sz w:val="28"/>
          <w:szCs w:val="28"/>
        </w:rPr>
        <w:instrText xml:space="preserve"> PAGEREF _Toc30691 \h </w:instrText>
      </w:r>
      <w:r>
        <w:rPr>
          <w:sz w:val="28"/>
          <w:szCs w:val="28"/>
        </w:rPr>
        <w:fldChar w:fldCharType="separate"/>
      </w:r>
      <w:r>
        <w:rPr>
          <w:sz w:val="28"/>
          <w:szCs w:val="28"/>
        </w:rPr>
        <w:t>4</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_Toc16920 </w:instrText>
      </w:r>
      <w:r>
        <w:rPr>
          <w:rFonts w:hint="eastAsia" w:ascii="宋体" w:hAnsi="宋体" w:eastAsia="宋体" w:cs="宋体"/>
          <w:bCs/>
          <w:caps/>
          <w:sz w:val="28"/>
          <w:szCs w:val="28"/>
          <w:highlight w:val="none"/>
          <w:vertAlign w:val="baseline"/>
        </w:rPr>
        <w:fldChar w:fldCharType="separate"/>
      </w:r>
      <w:r>
        <w:rPr>
          <w:rFonts w:hint="eastAsia"/>
          <w:sz w:val="28"/>
          <w:szCs w:val="28"/>
          <w:lang w:val="en-US" w:eastAsia="zh-CN"/>
        </w:rPr>
        <w:t>第三章</w:t>
      </w:r>
      <w:r>
        <w:rPr>
          <w:rFonts w:hint="default"/>
          <w:sz w:val="28"/>
          <w:szCs w:val="28"/>
          <w:lang w:val="en-US" w:eastAsia="zh-CN"/>
        </w:rPr>
        <w:t xml:space="preserve">  </w:t>
      </w:r>
      <w:r>
        <w:rPr>
          <w:rFonts w:hint="eastAsia"/>
          <w:sz w:val="28"/>
          <w:szCs w:val="28"/>
          <w:lang w:val="en-US" w:eastAsia="zh-CN"/>
        </w:rPr>
        <w:t>评标办法</w:t>
      </w:r>
      <w:r>
        <w:rPr>
          <w:sz w:val="28"/>
          <w:szCs w:val="28"/>
        </w:rPr>
        <w:tab/>
      </w:r>
      <w:r>
        <w:rPr>
          <w:sz w:val="28"/>
          <w:szCs w:val="28"/>
        </w:rPr>
        <w:fldChar w:fldCharType="begin"/>
      </w:r>
      <w:r>
        <w:rPr>
          <w:sz w:val="28"/>
          <w:szCs w:val="28"/>
        </w:rPr>
        <w:instrText xml:space="preserve"> PAGEREF _Toc16920 \h </w:instrText>
      </w:r>
      <w:r>
        <w:rPr>
          <w:sz w:val="28"/>
          <w:szCs w:val="28"/>
        </w:rPr>
        <w:fldChar w:fldCharType="separate"/>
      </w:r>
      <w:r>
        <w:rPr>
          <w:sz w:val="28"/>
          <w:szCs w:val="28"/>
        </w:rPr>
        <w:t>16</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_Toc2592 </w:instrText>
      </w:r>
      <w:r>
        <w:rPr>
          <w:rFonts w:hint="eastAsia" w:ascii="宋体" w:hAnsi="宋体" w:eastAsia="宋体" w:cs="宋体"/>
          <w:bCs/>
          <w:caps/>
          <w:sz w:val="28"/>
          <w:szCs w:val="28"/>
          <w:highlight w:val="none"/>
          <w:vertAlign w:val="baseline"/>
        </w:rPr>
        <w:fldChar w:fldCharType="separate"/>
      </w:r>
      <w:r>
        <w:rPr>
          <w:rFonts w:hint="eastAsia"/>
          <w:sz w:val="28"/>
          <w:szCs w:val="28"/>
          <w:lang w:val="en-US" w:eastAsia="zh-CN"/>
        </w:rPr>
        <w:t>第四章</w:t>
      </w:r>
      <w:r>
        <w:rPr>
          <w:rFonts w:hint="default"/>
          <w:sz w:val="28"/>
          <w:szCs w:val="28"/>
          <w:lang w:val="en-US" w:eastAsia="zh-CN"/>
        </w:rPr>
        <w:t xml:space="preserve">  </w:t>
      </w:r>
      <w:r>
        <w:rPr>
          <w:rFonts w:hint="eastAsia"/>
          <w:sz w:val="28"/>
          <w:szCs w:val="28"/>
          <w:lang w:val="en-US" w:eastAsia="zh-CN"/>
        </w:rPr>
        <w:t>采购需求</w:t>
      </w:r>
      <w:r>
        <w:rPr>
          <w:sz w:val="28"/>
          <w:szCs w:val="28"/>
        </w:rPr>
        <w:tab/>
      </w:r>
      <w:r>
        <w:rPr>
          <w:sz w:val="28"/>
          <w:szCs w:val="28"/>
        </w:rPr>
        <w:fldChar w:fldCharType="begin"/>
      </w:r>
      <w:r>
        <w:rPr>
          <w:sz w:val="28"/>
          <w:szCs w:val="28"/>
        </w:rPr>
        <w:instrText xml:space="preserve"> PAGEREF _Toc2592 \h </w:instrText>
      </w:r>
      <w:r>
        <w:rPr>
          <w:sz w:val="28"/>
          <w:szCs w:val="28"/>
        </w:rPr>
        <w:fldChar w:fldCharType="separate"/>
      </w:r>
      <w:r>
        <w:rPr>
          <w:sz w:val="28"/>
          <w:szCs w:val="28"/>
        </w:rPr>
        <w:t>27</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_Toc28095 </w:instrText>
      </w:r>
      <w:r>
        <w:rPr>
          <w:rFonts w:hint="eastAsia" w:ascii="宋体" w:hAnsi="宋体" w:eastAsia="宋体" w:cs="宋体"/>
          <w:bCs/>
          <w:caps/>
          <w:sz w:val="28"/>
          <w:szCs w:val="28"/>
          <w:highlight w:val="none"/>
          <w:vertAlign w:val="baseline"/>
        </w:rPr>
        <w:fldChar w:fldCharType="separate"/>
      </w:r>
      <w:r>
        <w:rPr>
          <w:rFonts w:hint="eastAsia"/>
          <w:sz w:val="28"/>
          <w:szCs w:val="28"/>
          <w:lang w:val="en-US" w:eastAsia="zh-CN"/>
        </w:rPr>
        <w:t>第五章</w:t>
      </w:r>
      <w:r>
        <w:rPr>
          <w:rFonts w:hint="default"/>
          <w:sz w:val="28"/>
          <w:szCs w:val="28"/>
          <w:lang w:val="en-US" w:eastAsia="zh-CN"/>
        </w:rPr>
        <w:t xml:space="preserve"> </w:t>
      </w:r>
      <w:r>
        <w:rPr>
          <w:rFonts w:hint="eastAsia"/>
          <w:sz w:val="28"/>
          <w:szCs w:val="28"/>
          <w:lang w:val="en-US" w:eastAsia="zh-CN"/>
        </w:rPr>
        <w:t>合同条款及格式</w:t>
      </w:r>
      <w:r>
        <w:rPr>
          <w:sz w:val="28"/>
          <w:szCs w:val="28"/>
        </w:rPr>
        <w:tab/>
      </w:r>
      <w:r>
        <w:rPr>
          <w:sz w:val="28"/>
          <w:szCs w:val="28"/>
        </w:rPr>
        <w:fldChar w:fldCharType="begin"/>
      </w:r>
      <w:r>
        <w:rPr>
          <w:sz w:val="28"/>
          <w:szCs w:val="28"/>
        </w:rPr>
        <w:instrText xml:space="preserve"> PAGEREF _Toc28095 \h </w:instrText>
      </w:r>
      <w:r>
        <w:rPr>
          <w:sz w:val="28"/>
          <w:szCs w:val="28"/>
        </w:rPr>
        <w:fldChar w:fldCharType="separate"/>
      </w:r>
      <w:r>
        <w:rPr>
          <w:sz w:val="28"/>
          <w:szCs w:val="28"/>
        </w:rPr>
        <w:t>28</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tabs>
          <w:tab w:val="right" w:leader="dot" w:pos="8305"/>
        </w:tabs>
        <w:spacing w:line="360" w:lineRule="auto"/>
        <w:rPr>
          <w:sz w:val="28"/>
          <w:szCs w:val="28"/>
        </w:rPr>
      </w:pPr>
      <w:r>
        <w:rPr>
          <w:rFonts w:hint="eastAsia" w:ascii="宋体" w:hAnsi="宋体" w:eastAsia="宋体" w:cs="宋体"/>
          <w:bCs/>
          <w:caps/>
          <w:color w:val="000000"/>
          <w:sz w:val="28"/>
          <w:szCs w:val="28"/>
          <w:highlight w:val="none"/>
          <w:vertAlign w:val="baseline"/>
        </w:rPr>
        <w:fldChar w:fldCharType="begin"/>
      </w:r>
      <w:r>
        <w:rPr>
          <w:rFonts w:hint="eastAsia" w:ascii="宋体" w:hAnsi="宋体" w:eastAsia="宋体" w:cs="宋体"/>
          <w:bCs/>
          <w:caps/>
          <w:sz w:val="28"/>
          <w:szCs w:val="28"/>
          <w:highlight w:val="none"/>
          <w:vertAlign w:val="baseline"/>
        </w:rPr>
        <w:instrText xml:space="preserve"> HYPERLINK \l _Toc16556 </w:instrText>
      </w:r>
      <w:r>
        <w:rPr>
          <w:rFonts w:hint="eastAsia" w:ascii="宋体" w:hAnsi="宋体" w:eastAsia="宋体" w:cs="宋体"/>
          <w:bCs/>
          <w:caps/>
          <w:sz w:val="28"/>
          <w:szCs w:val="28"/>
          <w:highlight w:val="none"/>
          <w:vertAlign w:val="baseline"/>
        </w:rPr>
        <w:fldChar w:fldCharType="separate"/>
      </w:r>
      <w:r>
        <w:rPr>
          <w:rFonts w:hint="eastAsia" w:ascii="宋体" w:hAnsi="宋体" w:eastAsia="宋体" w:cs="Times New Roman"/>
          <w:bCs/>
          <w:caps w:val="0"/>
          <w:kern w:val="2"/>
          <w:sz w:val="28"/>
          <w:szCs w:val="28"/>
          <w:highlight w:val="none"/>
          <w:vertAlign w:val="baseline"/>
          <w:lang w:val="en-US" w:eastAsia="zh-CN" w:bidi="ar"/>
        </w:rPr>
        <w:t>第六章</w:t>
      </w:r>
      <w:r>
        <w:rPr>
          <w:rFonts w:hint="default" w:ascii="Calibri" w:hAnsi="Calibri" w:eastAsia="宋体" w:cs="Times New Roman"/>
          <w:bCs/>
          <w:caps w:val="0"/>
          <w:kern w:val="2"/>
          <w:sz w:val="28"/>
          <w:szCs w:val="28"/>
          <w:highlight w:val="none"/>
          <w:vertAlign w:val="baseline"/>
          <w:lang w:val="en-US" w:eastAsia="zh-CN" w:bidi="ar"/>
        </w:rPr>
        <w:t xml:space="preserve">  </w:t>
      </w:r>
      <w:r>
        <w:rPr>
          <w:rFonts w:hint="eastAsia" w:ascii="宋体" w:hAnsi="宋体" w:eastAsia="宋体" w:cs="Times New Roman"/>
          <w:bCs/>
          <w:caps w:val="0"/>
          <w:kern w:val="2"/>
          <w:sz w:val="28"/>
          <w:szCs w:val="28"/>
          <w:highlight w:val="none"/>
          <w:vertAlign w:val="baseline"/>
          <w:lang w:val="en-US" w:eastAsia="zh-CN" w:bidi="ar"/>
        </w:rPr>
        <w:t>投标文件格式</w:t>
      </w:r>
      <w:r>
        <w:rPr>
          <w:sz w:val="28"/>
          <w:szCs w:val="28"/>
        </w:rPr>
        <w:tab/>
      </w:r>
      <w:r>
        <w:rPr>
          <w:sz w:val="28"/>
          <w:szCs w:val="28"/>
        </w:rPr>
        <w:fldChar w:fldCharType="begin"/>
      </w:r>
      <w:r>
        <w:rPr>
          <w:sz w:val="28"/>
          <w:szCs w:val="28"/>
        </w:rPr>
        <w:instrText xml:space="preserve"> PAGEREF _Toc16556 \h </w:instrText>
      </w:r>
      <w:r>
        <w:rPr>
          <w:sz w:val="28"/>
          <w:szCs w:val="28"/>
        </w:rPr>
        <w:fldChar w:fldCharType="separate"/>
      </w:r>
      <w:r>
        <w:rPr>
          <w:sz w:val="28"/>
          <w:szCs w:val="28"/>
        </w:rPr>
        <w:t>29</w:t>
      </w:r>
      <w:r>
        <w:rPr>
          <w:sz w:val="28"/>
          <w:szCs w:val="28"/>
        </w:rPr>
        <w:fldChar w:fldCharType="end"/>
      </w:r>
      <w:r>
        <w:rPr>
          <w:rFonts w:hint="eastAsia" w:ascii="宋体" w:hAnsi="宋体" w:eastAsia="宋体" w:cs="宋体"/>
          <w:bCs/>
          <w:caps/>
          <w:color w:val="000000"/>
          <w:sz w:val="28"/>
          <w:szCs w:val="28"/>
          <w:highlight w:val="none"/>
          <w:vertAlign w:val="baseline"/>
        </w:rPr>
        <w:fldChar w:fldCharType="end"/>
      </w:r>
    </w:p>
    <w:p>
      <w:pPr>
        <w:pStyle w:val="19"/>
        <w:keepNext w:val="0"/>
        <w:keepLines w:val="0"/>
        <w:pageBreakBefore w:val="0"/>
        <w:widowControl w:val="0"/>
        <w:suppressLineNumbers w:val="0"/>
        <w:tabs>
          <w:tab w:val="right" w:leader="dot" w:pos="8504"/>
        </w:tabs>
        <w:suppressAutoHyphens w:val="0"/>
        <w:kinsoku/>
        <w:wordWrap/>
        <w:overflowPunct/>
        <w:topLinePunct w:val="0"/>
        <w:autoSpaceDE/>
        <w:autoSpaceDN w:val="0"/>
        <w:bidi w:val="0"/>
        <w:adjustRightInd/>
        <w:snapToGrid/>
        <w:spacing w:before="120" w:beforeAutospacing="0" w:after="120" w:afterAutospacing="0" w:line="360" w:lineRule="auto"/>
        <w:ind w:left="0" w:right="0" w:firstLine="0"/>
        <w:jc w:val="left"/>
        <w:outlineLvl w:val="9"/>
        <w:rPr>
          <w:rFonts w:hint="default" w:ascii="Times New Roman" w:hAnsi="Times New Roman" w:eastAsia="宋体" w:cs="Times New Roman"/>
          <w:b/>
          <w:bCs/>
          <w:caps/>
          <w:color w:val="auto"/>
          <w:sz w:val="20"/>
          <w:szCs w:val="20"/>
          <w:highlight w:val="none"/>
          <w:vertAlign w:val="baseline"/>
        </w:rPr>
      </w:pPr>
      <w:r>
        <w:rPr>
          <w:rFonts w:hint="eastAsia" w:ascii="宋体" w:hAnsi="宋体" w:eastAsia="宋体" w:cs="宋体"/>
          <w:bCs/>
          <w:caps/>
          <w:color w:val="000000"/>
          <w:sz w:val="28"/>
          <w:szCs w:val="28"/>
          <w:highlight w:val="none"/>
          <w:vertAlign w:val="baseline"/>
        </w:rPr>
        <w:fldChar w:fldCharType="end"/>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80" w:lineRule="auto"/>
        <w:ind w:left="420" w:leftChars="200" w:right="420" w:rightChars="200" w:firstLine="0"/>
        <w:jc w:val="both"/>
        <w:outlineLvl w:val="9"/>
        <w:rPr>
          <w:rFonts w:hint="eastAsia" w:ascii="宋体" w:hAnsi="宋体" w:eastAsia="宋体" w:cs="宋体"/>
          <w:caps w:val="0"/>
          <w:color w:val="000000"/>
          <w:sz w:val="28"/>
          <w:szCs w:val="28"/>
          <w:highlight w:val="none"/>
          <w:vertAlign w:val="baseline"/>
        </w:rPr>
      </w:pPr>
    </w:p>
    <w:bookmarkEnd w:id="5"/>
    <w:p>
      <w:pPr>
        <w:pStyle w:val="4"/>
        <w:keepNext/>
        <w:keepLines/>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0"/>
        <w:rPr>
          <w:rFonts w:hint="eastAsia" w:ascii="Times New Roman" w:hAnsi="宋体" w:eastAsia="宋体" w:cs="宋体"/>
          <w:b/>
          <w:bCs/>
          <w:caps w:val="0"/>
          <w:color w:val="000000"/>
          <w:sz w:val="44"/>
          <w:szCs w:val="44"/>
          <w:highlight w:val="none"/>
          <w:vertAlign w:val="baseline"/>
        </w:rPr>
        <w:sectPr>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bookmarkStart w:id="6" w:name="_Toc19764"/>
    </w:p>
    <w:p>
      <w:pPr>
        <w:pStyle w:val="4"/>
        <w:keepNext/>
        <w:keepLines/>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0"/>
        <w:rPr>
          <w:rFonts w:hint="eastAsia" w:ascii="Times New Roman" w:hAnsi="Times New Roman" w:eastAsia="宋体" w:cs="Times New Roman"/>
          <w:b/>
          <w:bCs/>
          <w:caps w:val="0"/>
          <w:color w:val="000000"/>
          <w:sz w:val="44"/>
          <w:szCs w:val="44"/>
          <w:highlight w:val="none"/>
          <w:vertAlign w:val="baseline"/>
          <w:lang w:eastAsia="zh-CN"/>
        </w:rPr>
      </w:pPr>
      <w:r>
        <w:rPr>
          <w:rFonts w:hint="eastAsia" w:ascii="Times New Roman" w:hAnsi="宋体" w:eastAsia="宋体" w:cs="宋体"/>
          <w:b/>
          <w:bCs/>
          <w:caps w:val="0"/>
          <w:color w:val="000000"/>
          <w:sz w:val="44"/>
          <w:szCs w:val="44"/>
          <w:highlight w:val="none"/>
          <w:vertAlign w:val="baseline"/>
        </w:rPr>
        <w:t>第一</w:t>
      </w:r>
      <w:r>
        <w:rPr>
          <w:rFonts w:hint="eastAsia" w:hAnsi="宋体" w:cs="宋体"/>
          <w:b/>
          <w:bCs/>
          <w:caps w:val="0"/>
          <w:color w:val="000000"/>
          <w:sz w:val="44"/>
          <w:szCs w:val="44"/>
          <w:highlight w:val="none"/>
          <w:vertAlign w:val="baseline"/>
          <w:lang w:val="en-US" w:eastAsia="zh-CN"/>
        </w:rPr>
        <w:t>章</w:t>
      </w:r>
      <w:r>
        <w:rPr>
          <w:rFonts w:hint="default" w:ascii="Times New Roman" w:hAnsi="Times New Roman" w:eastAsia="宋体" w:cs="Times New Roman"/>
          <w:b/>
          <w:bCs/>
          <w:caps w:val="0"/>
          <w:color w:val="000000"/>
          <w:sz w:val="44"/>
          <w:szCs w:val="44"/>
          <w:highlight w:val="none"/>
          <w:vertAlign w:val="baseline"/>
        </w:rPr>
        <w:t xml:space="preserve">  </w:t>
      </w:r>
      <w:r>
        <w:rPr>
          <w:rFonts w:hint="eastAsia" w:ascii="Times New Roman" w:hAnsi="宋体" w:eastAsia="宋体" w:cs="宋体"/>
          <w:b/>
          <w:bCs/>
          <w:caps w:val="0"/>
          <w:color w:val="000000"/>
          <w:sz w:val="44"/>
          <w:szCs w:val="44"/>
          <w:highlight w:val="none"/>
          <w:vertAlign w:val="baseline"/>
        </w:rPr>
        <w:t>招标公告</w:t>
      </w:r>
      <w:bookmarkEnd w:id="6"/>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项目概况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30" w:firstLineChars="300"/>
        <w:jc w:val="both"/>
        <w:outlineLvl w:val="9"/>
        <w:rPr>
          <w:rFonts w:hint="eastAsia" w:ascii="宋体" w:hAnsi="宋体" w:eastAsia="宋体" w:cs="宋体"/>
          <w:caps w:val="0"/>
          <w:color w:val="auto"/>
          <w:kern w:val="2"/>
          <w:sz w:val="21"/>
          <w:szCs w:val="21"/>
          <w:highlight w:val="none"/>
          <w:vertAlign w:val="baseline"/>
        </w:rPr>
      </w:pPr>
      <w:r>
        <w:rPr>
          <w:rFonts w:hint="eastAsia" w:ascii="宋体" w:hAnsi="宋体" w:eastAsia="宋体" w:cs="宋体"/>
          <w:b w:val="0"/>
          <w:bCs w:val="0"/>
          <w:caps w:val="0"/>
          <w:color w:val="auto"/>
          <w:kern w:val="2"/>
          <w:sz w:val="21"/>
          <w:szCs w:val="21"/>
          <w:highlight w:val="none"/>
          <w:vertAlign w:val="baseline"/>
          <w:lang w:val="en-US" w:eastAsia="zh-CN" w:bidi="ar"/>
        </w:rPr>
        <w:t>长春市朝阳区人民医院车载数字X射线机采购项目的潜在供应商可自行在“政采云”平台（http：//www.zcygov.cn）下载采购文件（操作路径：登录“政采云”平台-项目采购-获取采购文件-找到本项目-点击“申请获取采购文件”），并于2024年2月22日13时00分（北京时间）前提交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一、项目基本情况</w:t>
      </w:r>
    </w:p>
    <w:p>
      <w:pPr>
        <w:autoSpaceDN w:val="0"/>
        <w:ind w:firstLine="420" w:firstLineChars="200"/>
        <w:rPr>
          <w:rFonts w:ascii="宋体" w:hAnsi="宋体" w:eastAsia="宋体" w:cs="宋体"/>
          <w:szCs w:val="21"/>
          <w:lang w:bidi="ar"/>
        </w:rPr>
      </w:pPr>
      <w:r>
        <w:rPr>
          <w:rFonts w:hint="eastAsia" w:ascii="宋体" w:hAnsi="宋体" w:eastAsia="宋体" w:cs="宋体"/>
          <w:szCs w:val="21"/>
          <w:lang w:bidi="ar"/>
        </w:rPr>
        <w:t>项目编号：</w:t>
      </w:r>
      <w:r>
        <w:rPr>
          <w:rFonts w:hint="eastAsia" w:ascii="宋体" w:hAnsi="宋体" w:eastAsia="宋体" w:cs="宋体"/>
          <w:szCs w:val="21"/>
          <w:lang w:eastAsia="zh-CN" w:bidi="ar"/>
        </w:rPr>
        <w:t>MZ-ZB-20240202</w:t>
      </w:r>
      <w:r>
        <w:rPr>
          <w:rFonts w:hint="eastAsia" w:ascii="宋体" w:hAnsi="宋体" w:eastAsia="宋体" w:cs="宋体"/>
          <w:szCs w:val="21"/>
          <w:lang w:bidi="ar"/>
        </w:rPr>
        <w:t>；</w:t>
      </w:r>
    </w:p>
    <w:p>
      <w:pPr>
        <w:autoSpaceDN w:val="0"/>
        <w:ind w:firstLine="420" w:firstLineChars="200"/>
        <w:rPr>
          <w:rFonts w:ascii="宋体" w:hAnsi="宋体" w:eastAsia="宋体" w:cs="宋体"/>
          <w:szCs w:val="21"/>
          <w:lang w:bidi="ar"/>
        </w:rPr>
      </w:pPr>
      <w:r>
        <w:rPr>
          <w:rFonts w:hint="eastAsia" w:ascii="宋体" w:hAnsi="宋体" w:eastAsia="宋体" w:cs="宋体"/>
          <w:szCs w:val="21"/>
          <w:lang w:bidi="ar"/>
        </w:rPr>
        <w:t>项目名称：</w:t>
      </w:r>
      <w:r>
        <w:rPr>
          <w:rFonts w:hint="eastAsia" w:ascii="宋体" w:hAnsi="宋体" w:eastAsia="宋体" w:cs="宋体"/>
          <w:szCs w:val="21"/>
          <w:lang w:eastAsia="zh-CN" w:bidi="ar"/>
        </w:rPr>
        <w:t>长春市朝阳区人民医院车载数字X射线机采购项目</w:t>
      </w:r>
      <w:r>
        <w:rPr>
          <w:rFonts w:hint="eastAsia" w:ascii="宋体" w:hAnsi="宋体" w:eastAsia="宋体" w:cs="宋体"/>
          <w:szCs w:val="21"/>
          <w:lang w:bidi="ar"/>
        </w:rPr>
        <w:t>；</w:t>
      </w:r>
    </w:p>
    <w:p>
      <w:pPr>
        <w:autoSpaceDN w:val="0"/>
        <w:ind w:firstLine="420" w:firstLineChars="200"/>
        <w:rPr>
          <w:rFonts w:ascii="宋体" w:hAnsi="宋体" w:eastAsia="宋体" w:cs="宋体"/>
          <w:szCs w:val="21"/>
          <w:lang w:bidi="ar"/>
        </w:rPr>
      </w:pPr>
      <w:r>
        <w:rPr>
          <w:rFonts w:hint="eastAsia" w:ascii="宋体" w:hAnsi="宋体" w:eastAsia="宋体" w:cs="宋体"/>
          <w:szCs w:val="21"/>
          <w:lang w:bidi="ar"/>
        </w:rPr>
        <w:t>预算金额：</w:t>
      </w:r>
      <w:r>
        <w:rPr>
          <w:rFonts w:hint="eastAsia" w:ascii="宋体" w:hAnsi="宋体" w:eastAsia="宋体" w:cs="宋体"/>
          <w:szCs w:val="21"/>
          <w:lang w:eastAsia="zh-CN" w:bidi="ar"/>
        </w:rPr>
        <w:t>567000</w:t>
      </w:r>
      <w:r>
        <w:rPr>
          <w:rFonts w:hint="eastAsia" w:ascii="宋体" w:hAnsi="宋体" w:eastAsia="宋体" w:cs="宋体"/>
          <w:szCs w:val="21"/>
          <w:lang w:bidi="ar"/>
        </w:rPr>
        <w:t>元</w:t>
      </w:r>
    </w:p>
    <w:p>
      <w:pPr>
        <w:autoSpaceDN w:val="0"/>
        <w:ind w:firstLine="420" w:firstLineChars="200"/>
        <w:rPr>
          <w:rFonts w:ascii="宋体" w:hAnsi="宋体" w:eastAsia="宋体" w:cs="宋体"/>
          <w:szCs w:val="21"/>
          <w:lang w:bidi="ar"/>
        </w:rPr>
      </w:pPr>
      <w:r>
        <w:rPr>
          <w:rFonts w:hint="eastAsia" w:ascii="宋体" w:hAnsi="宋体" w:eastAsia="宋体" w:cs="宋体"/>
          <w:szCs w:val="21"/>
          <w:lang w:bidi="ar"/>
        </w:rPr>
        <w:t>最高限价：</w:t>
      </w:r>
      <w:r>
        <w:rPr>
          <w:rFonts w:hint="eastAsia" w:ascii="宋体" w:hAnsi="宋体" w:eastAsia="宋体" w:cs="宋体"/>
          <w:szCs w:val="21"/>
          <w:lang w:eastAsia="zh-CN" w:bidi="ar"/>
        </w:rPr>
        <w:t>567000</w:t>
      </w:r>
      <w:r>
        <w:rPr>
          <w:rFonts w:hint="eastAsia" w:ascii="宋体" w:hAnsi="宋体" w:eastAsia="宋体" w:cs="宋体"/>
          <w:szCs w:val="21"/>
          <w:lang w:bidi="ar"/>
        </w:rPr>
        <w:t>元</w:t>
      </w:r>
    </w:p>
    <w:p>
      <w:pPr>
        <w:autoSpaceDN w:val="0"/>
        <w:ind w:firstLine="420" w:firstLineChars="200"/>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采购需求：</w:t>
      </w:r>
      <w:r>
        <w:rPr>
          <w:rFonts w:hint="eastAsia" w:ascii="宋体" w:hAnsi="宋体" w:eastAsia="宋体" w:cs="宋体"/>
          <w:szCs w:val="21"/>
          <w:lang w:eastAsia="zh-CN" w:bidi="ar"/>
        </w:rPr>
        <w:t>见</w:t>
      </w:r>
      <w:r>
        <w:rPr>
          <w:rFonts w:hint="eastAsia" w:ascii="宋体" w:hAnsi="宋体" w:eastAsia="宋体" w:cs="宋体"/>
          <w:szCs w:val="21"/>
          <w:highlight w:val="none"/>
          <w:lang w:bidi="ar"/>
        </w:rPr>
        <w:t>第四章采购需求</w:t>
      </w:r>
      <w:r>
        <w:rPr>
          <w:rFonts w:hint="eastAsia" w:ascii="宋体" w:hAnsi="宋体" w:eastAsia="宋体" w:cs="宋体"/>
          <w:szCs w:val="21"/>
          <w:highlight w:val="none"/>
          <w:lang w:val="en-US" w:eastAsia="zh-CN" w:bidi="ar"/>
        </w:rPr>
        <w:t>附件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合同履行期限：合同签订之日起30日内，具体以合同签订为准。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交货地点及方式：采购人指定地点，包运输、卸货、安装调试并验收合格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质量标准：符合国家及行业相关合格标准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本项目是否接受联合体投标：否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二、申请人的资格要求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满足《中华人民共和国政府采购法》第二十二条规定。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Calibri" w:hAnsi="Calibri" w:eastAsia="宋体" w:cs="Calibri"/>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落实政府采购政策需满足的资格要求：本项目专门面向中小企业采购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本采购项目落实的政府采购政策：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（1）《政府采购促进中小企业发展管理办法》(财库[2020]46号)；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（2）《关于政府采购支持监狱企业发展有关问题的通知》(财库[2014]68号)；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（3）《三部门联合发布关于促进残疾人就业政府采购政策的通知》(财库[2017]141号)；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（4）《节能产品政府采购实施意见》的通知(财库〔2004〕185号)；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（5）《关于调整优化节能产品、环境标志产品政府采购执行机制的通知》(财库[2019]9号)。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本项目的特定资格要求：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3.1</w:t>
      </w:r>
      <w:r>
        <w:rPr>
          <w:rFonts w:hint="eastAsia" w:ascii="宋体" w:hAnsi="宋体" w:eastAsia="宋体" w:cs="宋体"/>
          <w:b w:val="0"/>
          <w:bCs w:val="0"/>
          <w:caps w:val="0"/>
          <w:color w:val="auto"/>
          <w:kern w:val="2"/>
          <w:sz w:val="21"/>
          <w:szCs w:val="21"/>
          <w:highlight w:val="none"/>
          <w:vertAlign w:val="baseline"/>
          <w:lang w:val="en-US" w:eastAsia="zh-CN" w:bidi="ar"/>
        </w:rPr>
        <w:t>投标人须是在中国境内注册具有独立承担民事责任能力的独立法人或其他组织形式，具备有效的营业执照，具有履行合同所必需的设备和专业技术能力。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 xml:space="preserve">3.2 </w:t>
      </w:r>
      <w:r>
        <w:rPr>
          <w:rFonts w:hint="eastAsia" w:ascii="宋体" w:hAnsi="宋体" w:eastAsia="宋体" w:cs="宋体"/>
          <w:b w:val="0"/>
          <w:bCs w:val="0"/>
          <w:caps w:val="0"/>
          <w:color w:val="auto"/>
          <w:kern w:val="2"/>
          <w:sz w:val="21"/>
          <w:szCs w:val="21"/>
          <w:highlight w:val="none"/>
          <w:vertAlign w:val="baseline"/>
          <w:lang w:val="en-US" w:eastAsia="zh-CN" w:bidi="ar"/>
        </w:rPr>
        <w:t>供应商参加采购活动应当提交反映其财务状况、依法缴纳税收和社保保障资金情况的资格条件承诺函（《长春市财政局关于加强政府采购信用体系建设简化供应商资格条件有关事项的通知》（长财采购〔2022〕2066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与招标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eastAsia" w:ascii="宋体" w:hAnsi="宋体"/>
          <w:sz w:val="21"/>
          <w:szCs w:val="21"/>
          <w:highlight w:val="none"/>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Calibri" w:hAnsi="Calibri" w:eastAsia="宋体" w:cs="Calibri"/>
          <w:b w:val="0"/>
          <w:bCs w:val="0"/>
          <w:caps w:val="0"/>
          <w:color w:val="auto"/>
          <w:kern w:val="2"/>
          <w:sz w:val="21"/>
          <w:szCs w:val="21"/>
          <w:highlight w:val="none"/>
          <w:vertAlign w:val="baseline"/>
          <w:lang w:val="en-US" w:eastAsia="zh-CN" w:bidi="ar"/>
        </w:rPr>
        <w:t>4</w:t>
      </w:r>
      <w:r>
        <w:rPr>
          <w:rFonts w:hint="eastAsia" w:ascii="宋体" w:hAnsi="宋体"/>
          <w:sz w:val="21"/>
          <w:szCs w:val="21"/>
          <w:highlight w:val="none"/>
        </w:rPr>
        <w:t>医疗器械许可：</w:t>
      </w:r>
      <w:r>
        <w:rPr>
          <w:rFonts w:hint="eastAsia" w:ascii="宋体" w:hAnsi="宋体" w:cs="宋体"/>
          <w:sz w:val="21"/>
          <w:szCs w:val="21"/>
          <w:highlight w:val="none"/>
        </w:rPr>
        <w:t>①</w:t>
      </w:r>
      <w:r>
        <w:rPr>
          <w:sz w:val="21"/>
          <w:szCs w:val="21"/>
          <w:highlight w:val="none"/>
        </w:rPr>
        <w:t>投标供应商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w:t>
      </w:r>
      <w:r>
        <w:rPr>
          <w:rFonts w:hint="eastAsia" w:ascii="宋体" w:hAnsi="宋体" w:cs="宋体"/>
          <w:sz w:val="21"/>
          <w:szCs w:val="21"/>
          <w:highlight w:val="none"/>
        </w:rPr>
        <w:t>②</w:t>
      </w:r>
      <w:r>
        <w:rPr>
          <w:sz w:val="21"/>
          <w:szCs w:val="21"/>
          <w:highlight w:val="none"/>
        </w:rPr>
        <w:t>投标供应商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w:t>
      </w:r>
      <w:r>
        <w:rPr>
          <w:rFonts w:hint="eastAsia" w:ascii="宋体" w:hAnsi="宋体" w:cs="宋体"/>
          <w:sz w:val="21"/>
          <w:szCs w:val="21"/>
          <w:highlight w:val="none"/>
        </w:rPr>
        <w:t>③</w:t>
      </w:r>
      <w:r>
        <w:rPr>
          <w:sz w:val="21"/>
          <w:szCs w:val="21"/>
          <w:highlight w:val="none"/>
        </w:rPr>
        <w:t>投标产品若纳入中华人民共和国医疗器械监督管理的，第一类医疗器械须具有备案凭证，第二、三类则应取得监督管理部门颁发相应的《中华人民共和国医疗器械注册证》及《医疗器械产品注册登记表》，若已办理两证合一则只需提供《医疗器械注册证》</w:t>
      </w:r>
      <w:r>
        <w:rPr>
          <w:rFonts w:hint="eastAsia" w:ascii="宋体" w:hAnsi="宋体"/>
          <w:sz w:val="21"/>
          <w:szCs w:val="21"/>
          <w:highlight w:val="none"/>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3.5信誉要求：（</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）拒绝列入政府取消投标资格记录期间的企业或个人投标。（</w:t>
      </w:r>
      <w:r>
        <w:rPr>
          <w:rFonts w:hint="default" w:ascii="宋体" w:hAnsi="宋体" w:eastAsia="宋体" w:cs="宋体"/>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）未被工商行政管理机关在全国企业信用信息公示系统（</w:t>
      </w:r>
      <w:r>
        <w:rPr>
          <w:rFonts w:hint="default" w:ascii="宋体" w:hAnsi="宋体" w:eastAsia="宋体" w:cs="宋体"/>
          <w:b w:val="0"/>
          <w:bCs w:val="0"/>
          <w:caps w:val="0"/>
          <w:color w:val="auto"/>
          <w:kern w:val="2"/>
          <w:sz w:val="21"/>
          <w:szCs w:val="21"/>
          <w:highlight w:val="none"/>
          <w:vertAlign w:val="baseline"/>
          <w:lang w:val="en-US" w:eastAsia="zh-CN" w:bidi="ar"/>
        </w:rPr>
        <w:t>www.gsxt.gov.cn</w:t>
      </w:r>
      <w:r>
        <w:rPr>
          <w:rFonts w:hint="eastAsia" w:ascii="宋体" w:hAnsi="宋体" w:eastAsia="宋体" w:cs="宋体"/>
          <w:b w:val="0"/>
          <w:bCs w:val="0"/>
          <w:caps w:val="0"/>
          <w:color w:val="auto"/>
          <w:kern w:val="2"/>
          <w:sz w:val="21"/>
          <w:szCs w:val="21"/>
          <w:highlight w:val="none"/>
          <w:vertAlign w:val="baseline"/>
          <w:lang w:val="en-US" w:eastAsia="zh-CN" w:bidi="ar"/>
        </w:rPr>
        <w:t>）中列入严重违法失信企业名单。（</w:t>
      </w:r>
      <w:r>
        <w:rPr>
          <w:rFonts w:hint="default" w:ascii="宋体" w:hAnsi="宋体" w:eastAsia="宋体" w:cs="宋体"/>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）未被“信用中国”（www.creditchina.gov.cn）、中国政府采购网（www.ccgp.gov.cn）列入失信被执行人、重大税收违法案件当事人名单、政府采购严重违法失信行为记录名单。（</w:t>
      </w:r>
      <w:r>
        <w:rPr>
          <w:rFonts w:hint="default" w:ascii="宋体" w:hAnsi="宋体" w:eastAsia="宋体" w:cs="宋体"/>
          <w:b w:val="0"/>
          <w:bCs w:val="0"/>
          <w:caps w:val="0"/>
          <w:color w:val="auto"/>
          <w:kern w:val="2"/>
          <w:sz w:val="21"/>
          <w:szCs w:val="21"/>
          <w:highlight w:val="none"/>
          <w:vertAlign w:val="baseline"/>
          <w:lang w:val="en-US" w:eastAsia="zh-CN" w:bidi="ar"/>
        </w:rPr>
        <w:t>4</w:t>
      </w:r>
      <w:r>
        <w:rPr>
          <w:rFonts w:hint="eastAsia" w:ascii="宋体" w:hAnsi="宋体" w:eastAsia="宋体" w:cs="宋体"/>
          <w:b w:val="0"/>
          <w:bCs w:val="0"/>
          <w:caps w:val="0"/>
          <w:color w:val="auto"/>
          <w:kern w:val="2"/>
          <w:sz w:val="21"/>
          <w:szCs w:val="21"/>
          <w:highlight w:val="none"/>
          <w:vertAlign w:val="baseline"/>
          <w:lang w:val="en-US" w:eastAsia="zh-CN" w:bidi="ar"/>
        </w:rPr>
        <w:t>）在近三年（</w:t>
      </w:r>
      <w:r>
        <w:rPr>
          <w:rFonts w:hint="default" w:ascii="宋体" w:hAnsi="宋体" w:eastAsia="宋体" w:cs="宋体"/>
          <w:b w:val="0"/>
          <w:bCs w:val="0"/>
          <w:caps w:val="0"/>
          <w:color w:val="auto"/>
          <w:kern w:val="2"/>
          <w:sz w:val="21"/>
          <w:szCs w:val="21"/>
          <w:highlight w:val="none"/>
          <w:vertAlign w:val="baseline"/>
          <w:lang w:val="en-US" w:eastAsia="zh-CN" w:bidi="ar"/>
        </w:rPr>
        <w:t>20</w:t>
      </w:r>
      <w:r>
        <w:rPr>
          <w:rFonts w:hint="eastAsia" w:ascii="宋体" w:hAnsi="宋体" w:eastAsia="宋体" w:cs="宋体"/>
          <w:b w:val="0"/>
          <w:bCs w:val="0"/>
          <w:caps w:val="0"/>
          <w:color w:val="auto"/>
          <w:kern w:val="2"/>
          <w:sz w:val="21"/>
          <w:szCs w:val="21"/>
          <w:highlight w:val="none"/>
          <w:vertAlign w:val="baseline"/>
          <w:lang w:val="en-US" w:eastAsia="zh-CN" w:bidi="ar"/>
        </w:rPr>
        <w:t>21年</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月</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日至今）内投标人和法定代表人未在“中国裁判文书网”（</w:t>
      </w:r>
      <w:r>
        <w:rPr>
          <w:rFonts w:hint="default" w:ascii="宋体" w:hAnsi="宋体" w:eastAsia="宋体" w:cs="宋体"/>
          <w:b w:val="0"/>
          <w:bCs w:val="0"/>
          <w:caps w:val="0"/>
          <w:color w:val="auto"/>
          <w:kern w:val="2"/>
          <w:sz w:val="21"/>
          <w:szCs w:val="21"/>
          <w:highlight w:val="none"/>
          <w:vertAlign w:val="baseline"/>
          <w:lang w:val="en-US" w:eastAsia="zh-CN" w:bidi="ar"/>
        </w:rPr>
        <w:t>http://wenshu.court.gov.cn/</w:t>
      </w:r>
      <w:r>
        <w:rPr>
          <w:rFonts w:hint="eastAsia" w:ascii="宋体" w:hAnsi="宋体" w:eastAsia="宋体" w:cs="宋体"/>
          <w:b w:val="0"/>
          <w:bCs w:val="0"/>
          <w:caps w:val="0"/>
          <w:color w:val="auto"/>
          <w:kern w:val="2"/>
          <w:sz w:val="21"/>
          <w:szCs w:val="21"/>
          <w:highlight w:val="none"/>
          <w:vertAlign w:val="baseline"/>
          <w:lang w:val="en-US" w:eastAsia="zh-CN" w:bidi="ar"/>
        </w:rPr>
        <w:t>）上有行贿犯罪行为。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6参加政府采购活动前三年内在经营活动中没有重大违法记录的书面声明。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67" w:firstLineChars="175"/>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3.7</w:t>
      </w:r>
      <w:r>
        <w:rPr>
          <w:rFonts w:hint="default" w:ascii="宋体" w:hAnsi="宋体" w:eastAsia="宋体" w:cs="宋体"/>
          <w:b w:val="0"/>
          <w:bCs w:val="0"/>
          <w:caps w:val="0"/>
          <w:color w:val="auto"/>
          <w:kern w:val="2"/>
          <w:sz w:val="21"/>
          <w:szCs w:val="21"/>
          <w:highlight w:val="none"/>
          <w:vertAlign w:val="baseline"/>
          <w:lang w:val="en-US" w:eastAsia="zh-CN" w:bidi="ar"/>
        </w:rPr>
        <w:t>为采购项目提供整体设计、规范编制或者项目管理、监理、检测等服务的单位，不得再参加该采购项目的其他采购活动。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三、获取招标文件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1. 时间：2024年2月2日至2024年2月8日(北京时间，法定节假日除外)。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2.方式:网上下载。本项目不发放纸质文件，投标人可自行在“政采云”平台（http：//www.zcygov.cn）下载采购文件（操作路径：登录“政采云”平台-项目采购-获取采购文件-找到本项目-点击“申请获取采购文件”），电子投标文件制作需要基于“政采云”平台获取的采购文件编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售价：0元。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四、提交投标文件截止时间、开标时间和地点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1.提交投标文件的截止时间、开标时间：2024年2月22日13时00分（北京时间）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2.提交投标文件地点和开标地点：</w:t>
      </w:r>
      <w:r>
        <w:rPr>
          <w:rFonts w:hint="eastAsia" w:ascii="宋体" w:hAnsi="宋体" w:eastAsia="宋体" w:cs="宋体"/>
          <w:szCs w:val="21"/>
          <w:highlight w:val="none"/>
          <w:lang w:bidi="ar"/>
        </w:rPr>
        <w:t>东北亚国际金融中心3号楼第</w:t>
      </w:r>
      <w:r>
        <w:rPr>
          <w:rFonts w:hint="eastAsia" w:ascii="宋体" w:hAnsi="宋体" w:eastAsia="宋体" w:cs="宋体"/>
          <w:szCs w:val="21"/>
          <w:highlight w:val="none"/>
          <w:lang w:val="en-US" w:eastAsia="zh-CN" w:bidi="ar"/>
        </w:rPr>
        <w:t>四</w:t>
      </w:r>
      <w:r>
        <w:rPr>
          <w:rFonts w:hint="eastAsia" w:ascii="宋体" w:hAnsi="宋体" w:eastAsia="宋体" w:cs="宋体"/>
          <w:szCs w:val="21"/>
          <w:highlight w:val="none"/>
          <w:lang w:bidi="ar"/>
        </w:rPr>
        <w:t>开标室（仅开放东门、从东门进入）</w:t>
      </w:r>
      <w:r>
        <w:rPr>
          <w:rFonts w:hint="eastAsia" w:ascii="宋体" w:hAnsi="宋体" w:eastAsia="宋体" w:cs="宋体"/>
          <w:b w:val="0"/>
          <w:bCs w:val="0"/>
          <w:caps w:val="0"/>
          <w:color w:val="auto"/>
          <w:kern w:val="2"/>
          <w:sz w:val="21"/>
          <w:szCs w:val="21"/>
          <w:highlight w:val="none"/>
          <w:vertAlign w:val="baseline"/>
          <w:lang w:val="en-US" w:eastAsia="zh-CN" w:bidi="ar"/>
        </w:rPr>
        <w:t>（1）投标文件提交方式：本项目为全流程电子化项目，通过“政采云”平台（http：//www.zcygov.cn）实行在线电子投标，投标人应先安装“政采云电子交易客户端”（请自行前往“政采云”平台进行下载），并按照本项目招标文件和“政采云”平台的要求编制、加密后在投标截止时间前通过网络上传至“政采云”平台，投标人在“政采云”平台提交电子版投标文件时，请填写参加开标活动经办人联系方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（2）未进行网上注册并办理数字证书（CA认证）的投标人将无法参与本项目政府采购活动，潜在投标人应当在投标截止时间前，完成电子交易平台上的CA数字证书办理及投标文件的提交。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（3）为确保网上操作合法、有效和安全，请投标人确保在电子投标过程中能够对相关数据电文进行加密和使用电子签章，妥善保管CA数字证书并使用有效的CA数字证书参与整个招标活动。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（4）CA 证书解密：投标人持制作该电子投标文件的同一数字证书（CA 锁）及电脑进行远程解密（各投标人开标前及网上开评标系统公布投标人名单前，不要提前进行远程解密；建议供应商自行携带笔记本电脑进行现场解密或进行远程解密。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五、公告期限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自本公告发布之日起5个工作日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六、其他补充事宜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20" w:firstLineChars="200"/>
        <w:jc w:val="both"/>
        <w:textAlignment w:val="auto"/>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本次招标公告同时在政府采购云平台（网址：</w:t>
      </w:r>
      <w:r>
        <w:rPr>
          <w:rFonts w:hint="eastAsia" w:ascii="宋体" w:hAnsi="宋体" w:eastAsia="宋体" w:cs="宋体"/>
          <w:b w:val="0"/>
          <w:bCs w:val="0"/>
          <w:caps w:val="0"/>
          <w:color w:val="auto"/>
          <w:kern w:val="2"/>
          <w:sz w:val="21"/>
          <w:szCs w:val="21"/>
          <w:highlight w:val="none"/>
          <w:vertAlign w:val="baseline"/>
          <w:lang w:val="en-US" w:eastAsia="zh-CN" w:bidi="ar"/>
        </w:rPr>
        <w:fldChar w:fldCharType="begin"/>
      </w:r>
      <w:r>
        <w:rPr>
          <w:rFonts w:hint="eastAsia" w:ascii="宋体" w:hAnsi="宋体" w:eastAsia="宋体" w:cs="宋体"/>
          <w:b w:val="0"/>
          <w:bCs w:val="0"/>
          <w:caps w:val="0"/>
          <w:color w:val="auto"/>
          <w:kern w:val="2"/>
          <w:sz w:val="21"/>
          <w:szCs w:val="21"/>
          <w:highlight w:val="none"/>
          <w:vertAlign w:val="baseline"/>
          <w:lang w:val="en-US" w:eastAsia="zh-CN" w:bidi="ar"/>
        </w:rPr>
        <w:instrText xml:space="preserve"> HYPERLINK "http://www.zcygov.cn）》《中国政府采购网》、《吉林省政府采购网》、《长春市公共资源交易网》网站上发布上发布。" </w:instrText>
      </w:r>
      <w:r>
        <w:rPr>
          <w:rFonts w:hint="eastAsia" w:ascii="宋体" w:hAnsi="宋体" w:eastAsia="宋体" w:cs="宋体"/>
          <w:b w:val="0"/>
          <w:bCs w:val="0"/>
          <w:caps w:val="0"/>
          <w:color w:val="auto"/>
          <w:kern w:val="2"/>
          <w:sz w:val="21"/>
          <w:szCs w:val="21"/>
          <w:highlight w:val="none"/>
          <w:vertAlign w:val="baseline"/>
          <w:lang w:val="en-US" w:eastAsia="zh-CN" w:bidi="ar"/>
        </w:rPr>
        <w:fldChar w:fldCharType="separate"/>
      </w:r>
      <w:r>
        <w:rPr>
          <w:rFonts w:hint="eastAsia" w:ascii="宋体" w:hAnsi="宋体" w:eastAsia="宋体" w:cs="宋体"/>
          <w:b w:val="0"/>
          <w:bCs w:val="0"/>
          <w:caps w:val="0"/>
          <w:color w:val="auto"/>
          <w:kern w:val="2"/>
          <w:sz w:val="21"/>
          <w:szCs w:val="21"/>
          <w:highlight w:val="none"/>
          <w:vertAlign w:val="baseline"/>
          <w:lang w:val="en-US" w:eastAsia="zh-CN" w:bidi="ar"/>
        </w:rPr>
        <w:t>http://www.zcygov.cn）》《中国政府采购网》、《吉林省政府采购网》、《长春市公共资源交易网》网站上发布。</w:t>
      </w:r>
      <w:r>
        <w:rPr>
          <w:rFonts w:hint="eastAsia" w:ascii="宋体" w:hAnsi="宋体" w:eastAsia="宋体" w:cs="宋体"/>
          <w:b w:val="0"/>
          <w:bCs w:val="0"/>
          <w:caps w:val="0"/>
          <w:color w:val="auto"/>
          <w:kern w:val="2"/>
          <w:sz w:val="21"/>
          <w:szCs w:val="21"/>
          <w:highlight w:val="none"/>
          <w:vertAlign w:val="baseline"/>
          <w:lang w:val="en-US" w:eastAsia="zh-CN" w:bidi="ar"/>
        </w:rPr>
        <w:fldChar w:fldCharType="end"/>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40" w:lineRule="auto"/>
        <w:ind w:left="0" w:right="0" w:firstLine="420" w:firstLineChars="200"/>
        <w:jc w:val="both"/>
        <w:textAlignment w:val="auto"/>
        <w:outlineLvl w:val="9"/>
        <w:rPr>
          <w:rFonts w:hint="eastAsia"/>
          <w:sz w:val="21"/>
          <w:szCs w:val="21"/>
          <w:lang w:val="en-US" w:eastAsia="zh-CN"/>
        </w:rPr>
      </w:pPr>
      <w:r>
        <w:rPr>
          <w:rFonts w:hint="eastAsia" w:ascii="宋体" w:eastAsia="宋体" w:cs="宋体"/>
          <w:bCs/>
          <w:color w:val="auto"/>
          <w:kern w:val="2"/>
          <w:sz w:val="21"/>
          <w:szCs w:val="21"/>
          <w:vertAlign w:val="baseline"/>
          <w:lang w:val="en-US" w:eastAsia="zh-CN" w:bidi="ar-SA"/>
        </w:rPr>
        <w:t>若对项目采购电子交易系统操作有疑问，可登录“政采云”平台（https://www.zcygov.cn/），点击右侧咨询小采，获取采小蜜智能服务管家帮助，或拨打政采云服务热线</w:t>
      </w:r>
      <w:r>
        <w:rPr>
          <w:rFonts w:hint="eastAsia" w:ascii="宋体" w:cs="宋体"/>
          <w:bCs/>
          <w:color w:val="auto"/>
          <w:kern w:val="2"/>
          <w:sz w:val="21"/>
          <w:szCs w:val="21"/>
          <w:vertAlign w:val="baseline"/>
          <w:lang w:val="en-US" w:eastAsia="zh-CN" w:bidi="ar-SA"/>
        </w:rPr>
        <w:t>95763</w:t>
      </w:r>
      <w:r>
        <w:rPr>
          <w:rFonts w:hint="eastAsia" w:ascii="宋体" w:eastAsia="宋体" w:cs="宋体"/>
          <w:bCs/>
          <w:color w:val="auto"/>
          <w:kern w:val="2"/>
          <w:sz w:val="21"/>
          <w:szCs w:val="21"/>
          <w:vertAlign w:val="baseline"/>
          <w:lang w:val="en-US" w:eastAsia="zh-CN" w:bidi="ar-SA"/>
        </w:rPr>
        <w:t>获取热线服务帮助。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1"/>
          <w:szCs w:val="21"/>
          <w:highlight w:val="none"/>
          <w:vertAlign w:val="baseline"/>
        </w:rPr>
      </w:pPr>
      <w:r>
        <w:rPr>
          <w:rFonts w:hint="eastAsia" w:ascii="宋体" w:hAnsi="宋体" w:eastAsia="宋体" w:cs="宋体"/>
          <w:b/>
          <w:bCs/>
          <w:caps w:val="0"/>
          <w:color w:val="auto"/>
          <w:kern w:val="2"/>
          <w:sz w:val="21"/>
          <w:szCs w:val="21"/>
          <w:highlight w:val="none"/>
          <w:vertAlign w:val="baseline"/>
          <w:lang w:val="en-US" w:eastAsia="zh-CN" w:bidi="ar"/>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Cs w:val="21"/>
          <w:highlight w:val="none"/>
        </w:rPr>
      </w:pPr>
      <w:bookmarkStart w:id="7" w:name="_Toc28359019"/>
      <w:bookmarkStart w:id="8" w:name="_Toc35393806"/>
      <w:bookmarkStart w:id="9" w:name="_Toc28359096"/>
      <w:bookmarkStart w:id="10" w:name="_Toc35393637"/>
      <w:r>
        <w:rPr>
          <w:rFonts w:hint="eastAsia" w:ascii="宋体" w:hAnsi="宋体" w:cs="宋体"/>
          <w:color w:val="000000"/>
          <w:szCs w:val="21"/>
          <w:highlight w:val="none"/>
        </w:rPr>
        <w:t>1.采购人信息</w:t>
      </w:r>
      <w:bookmarkEnd w:id="7"/>
      <w:bookmarkEnd w:id="8"/>
      <w:bookmarkEnd w:id="9"/>
      <w:bookmarkEnd w:id="10"/>
    </w:p>
    <w:p>
      <w:pPr>
        <w:tabs>
          <w:tab w:val="left" w:pos="1080"/>
          <w:tab w:val="left" w:pos="1155"/>
        </w:tabs>
        <w:ind w:firstLine="420" w:firstLineChars="200"/>
        <w:jc w:val="left"/>
        <w:rPr>
          <w:rFonts w:hint="eastAsia" w:ascii="宋体" w:hAnsi="宋体" w:cs="宋体"/>
          <w:szCs w:val="21"/>
          <w:highlight w:val="none"/>
          <w:lang w:eastAsia="zh-CN"/>
        </w:rPr>
      </w:pPr>
      <w:r>
        <w:rPr>
          <w:rFonts w:hint="eastAsia" w:ascii="宋体" w:hAnsi="宋体" w:eastAsia="宋体" w:cs="宋体"/>
          <w:szCs w:val="21"/>
          <w:highlight w:val="none"/>
          <w:lang w:eastAsia="zh-CN"/>
        </w:rPr>
        <w:t>名    称：</w:t>
      </w:r>
      <w:r>
        <w:rPr>
          <w:rFonts w:hint="eastAsia" w:ascii="宋体" w:hAnsi="宋体" w:cs="宋体"/>
          <w:szCs w:val="21"/>
          <w:highlight w:val="none"/>
          <w:lang w:eastAsia="zh-CN"/>
        </w:rPr>
        <w:t>长春市朝阳区人民医院</w:t>
      </w:r>
    </w:p>
    <w:p>
      <w:pPr>
        <w:tabs>
          <w:tab w:val="left" w:pos="1080"/>
          <w:tab w:val="left" w:pos="1155"/>
        </w:tabs>
        <w:ind w:firstLine="420" w:firstLineChars="200"/>
        <w:jc w:val="left"/>
        <w:rPr>
          <w:rFonts w:hint="eastAsia" w:ascii="宋体" w:hAnsi="宋体" w:cs="宋体"/>
          <w:szCs w:val="21"/>
          <w:highlight w:val="none"/>
          <w:lang w:eastAsia="zh-CN"/>
        </w:rPr>
      </w:pPr>
      <w:r>
        <w:rPr>
          <w:rFonts w:hint="eastAsia" w:ascii="宋体" w:hAnsi="宋体" w:cs="宋体"/>
          <w:szCs w:val="21"/>
          <w:highlight w:val="none"/>
        </w:rPr>
        <w:t>地址：</w:t>
      </w:r>
      <w:r>
        <w:rPr>
          <w:rFonts w:hint="eastAsia" w:ascii="宋体" w:hAnsi="宋体" w:cs="宋体"/>
          <w:szCs w:val="21"/>
          <w:highlight w:val="none"/>
          <w:lang w:eastAsia="zh-CN"/>
        </w:rPr>
        <w:t>长春市义和路516号</w:t>
      </w:r>
    </w:p>
    <w:p>
      <w:pPr>
        <w:bidi w:val="0"/>
        <w:ind w:firstLine="420" w:firstLineChars="200"/>
        <w:rPr>
          <w:rFonts w:hint="default"/>
          <w:highlight w:val="none"/>
          <w:lang w:val="en-US" w:eastAsia="zh-CN"/>
        </w:rPr>
      </w:pPr>
      <w:r>
        <w:rPr>
          <w:rFonts w:hint="eastAsia"/>
          <w:highlight w:val="none"/>
          <w:lang w:val="en-US" w:eastAsia="zh-CN"/>
        </w:rPr>
        <w:t>联系人：王志夫</w:t>
      </w:r>
    </w:p>
    <w:p>
      <w:pPr>
        <w:tabs>
          <w:tab w:val="left" w:pos="1080"/>
          <w:tab w:val="left" w:pos="1155"/>
        </w:tabs>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rPr>
        <w:t>联系</w:t>
      </w:r>
      <w:r>
        <w:rPr>
          <w:rFonts w:hint="eastAsia" w:ascii="宋体" w:hAnsi="宋体" w:cs="宋体"/>
          <w:szCs w:val="21"/>
          <w:highlight w:val="none"/>
          <w:lang w:val="en-US" w:eastAsia="zh-CN"/>
        </w:rPr>
        <w:t>方式</w:t>
      </w:r>
      <w:r>
        <w:rPr>
          <w:rFonts w:hint="eastAsia" w:ascii="宋体" w:hAnsi="宋体" w:cs="宋体"/>
          <w:szCs w:val="21"/>
          <w:highlight w:val="none"/>
        </w:rPr>
        <w:t>：13944902018</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Cs w:val="21"/>
          <w:highlight w:val="none"/>
        </w:rPr>
      </w:pPr>
      <w:bookmarkStart w:id="11" w:name="_Toc35393638"/>
      <w:bookmarkStart w:id="12" w:name="_Toc28359097"/>
      <w:bookmarkStart w:id="13" w:name="_Toc28359020"/>
      <w:bookmarkStart w:id="14" w:name="_Toc35393807"/>
      <w:r>
        <w:rPr>
          <w:rFonts w:hint="eastAsia" w:ascii="宋体" w:hAnsi="宋体" w:cs="宋体"/>
          <w:color w:val="000000"/>
          <w:szCs w:val="21"/>
          <w:highlight w:val="none"/>
        </w:rPr>
        <w:t>2.采购代理机构信息</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名    称：</w:t>
      </w:r>
      <w:r>
        <w:rPr>
          <w:rFonts w:hint="eastAsia" w:ascii="宋体" w:hAnsi="宋体" w:cs="宋体"/>
          <w:szCs w:val="21"/>
          <w:highlight w:val="none"/>
          <w:lang w:eastAsia="zh-CN"/>
        </w:rPr>
        <w:t>吉林省铭泽项目管理有限公司</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Cs w:val="21"/>
          <w:highlight w:val="none"/>
          <w:lang w:eastAsia="zh-CN"/>
        </w:rPr>
      </w:pPr>
      <w:r>
        <w:rPr>
          <w:rFonts w:hint="eastAsia" w:ascii="宋体" w:hAnsi="宋体" w:cs="宋体"/>
          <w:color w:val="000000"/>
          <w:szCs w:val="21"/>
          <w:highlight w:val="none"/>
        </w:rPr>
        <w:t>地    址：</w:t>
      </w:r>
      <w:r>
        <w:rPr>
          <w:rFonts w:hint="eastAsia" w:ascii="宋体" w:hAnsi="宋体" w:cs="宋体"/>
          <w:szCs w:val="21"/>
          <w:highlight w:val="none"/>
          <w:lang w:eastAsia="zh-CN"/>
        </w:rPr>
        <w:t>长春市二道区四通路168号吉盛伟邦A座502室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s="宋体"/>
          <w:color w:val="000000"/>
          <w:szCs w:val="21"/>
          <w:highlight w:val="none"/>
          <w:lang w:val="en-US"/>
        </w:rPr>
      </w:pPr>
      <w:r>
        <w:rPr>
          <w:rFonts w:hint="eastAsia" w:ascii="宋体" w:hAnsi="宋体" w:cs="宋体"/>
          <w:szCs w:val="21"/>
          <w:highlight w:val="none"/>
          <w:lang w:val="en-US" w:eastAsia="zh-CN"/>
        </w:rPr>
        <w:t>联系人：李怀宇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s="宋体" w:eastAsiaTheme="minorEastAsia"/>
          <w:color w:val="000000"/>
          <w:szCs w:val="21"/>
          <w:highlight w:val="none"/>
          <w:lang w:val="en-US" w:eastAsia="zh-CN"/>
        </w:rPr>
      </w:pPr>
      <w:r>
        <w:rPr>
          <w:rFonts w:hint="eastAsia" w:ascii="宋体" w:hAnsi="宋体" w:cs="宋体"/>
          <w:color w:val="000000"/>
          <w:szCs w:val="21"/>
          <w:highlight w:val="none"/>
        </w:rPr>
        <w:t>联系方式：</w:t>
      </w:r>
      <w:bookmarkStart w:id="15" w:name="_Toc35393808"/>
      <w:bookmarkStart w:id="16" w:name="_Toc35393639"/>
      <w:bookmarkStart w:id="17" w:name="_Toc28359021"/>
      <w:bookmarkStart w:id="18" w:name="_Toc28359098"/>
      <w:r>
        <w:rPr>
          <w:rFonts w:hint="eastAsia" w:ascii="宋体" w:hAnsi="宋体" w:cs="宋体"/>
          <w:color w:val="000000"/>
          <w:szCs w:val="21"/>
          <w:highlight w:val="none"/>
          <w:lang w:val="en-US" w:eastAsia="zh-CN"/>
        </w:rPr>
        <w:t>15584417397</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Cs w:val="21"/>
          <w:highlight w:val="none"/>
        </w:rPr>
      </w:pPr>
      <w:r>
        <w:rPr>
          <w:rFonts w:hint="eastAsia" w:ascii="宋体" w:hAnsi="宋体" w:cs="宋体"/>
          <w:color w:val="000000"/>
          <w:szCs w:val="21"/>
          <w:highlight w:val="none"/>
        </w:rPr>
        <w:t>3.项目联系方式</w:t>
      </w:r>
      <w:bookmarkEnd w:id="15"/>
      <w:bookmarkEnd w:id="16"/>
      <w:bookmarkEnd w:id="17"/>
      <w:bookmarkEnd w:id="18"/>
    </w:p>
    <w:p>
      <w:pPr>
        <w:pStyle w:val="1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项目联系人：</w:t>
      </w:r>
      <w:r>
        <w:rPr>
          <w:rFonts w:hint="eastAsia" w:ascii="宋体" w:hAnsi="宋体" w:cs="宋体"/>
          <w:szCs w:val="21"/>
          <w:highlight w:val="none"/>
          <w:lang w:val="en-US" w:eastAsia="zh-CN"/>
        </w:rPr>
        <w:t>李怀宇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电　 　 话：</w:t>
      </w:r>
      <w:r>
        <w:rPr>
          <w:rFonts w:hint="eastAsia" w:ascii="宋体" w:hAnsi="宋体" w:cs="宋体"/>
          <w:color w:val="000000"/>
          <w:szCs w:val="21"/>
          <w:highlight w:val="none"/>
          <w:lang w:val="en-US" w:eastAsia="zh-CN"/>
        </w:rPr>
        <w:t>15584417397</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监督部门：长春市朝阳区财政局政府采购管理办公室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highlight w:val="none"/>
        </w:rPr>
      </w:pPr>
      <w:r>
        <w:rPr>
          <w:rFonts w:hint="eastAsia" w:ascii="宋体" w:hAnsi="宋体" w:cs="宋体"/>
          <w:color w:val="000000"/>
          <w:szCs w:val="21"/>
          <w:highlight w:val="none"/>
        </w:rPr>
        <w:t>联系电话：0431-89230402</w:t>
      </w:r>
    </w:p>
    <w:p>
      <w:pPr>
        <w:rPr>
          <w:rFonts w:hint="eastAsia"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br w:type="page"/>
      </w:r>
    </w:p>
    <w:p>
      <w:pPr>
        <w:pStyle w:val="4"/>
        <w:bidi w:val="0"/>
        <w:jc w:val="center"/>
        <w:rPr>
          <w:rFonts w:hint="default"/>
        </w:rPr>
      </w:pPr>
      <w:bookmarkStart w:id="19" w:name="_Toc30691"/>
      <w:r>
        <w:rPr>
          <w:rFonts w:hint="eastAsia"/>
          <w:lang w:val="en-US" w:eastAsia="zh-CN"/>
        </w:rPr>
        <w:t>第二章</w:t>
      </w:r>
      <w:r>
        <w:rPr>
          <w:rFonts w:hint="default"/>
          <w:lang w:val="en-US" w:eastAsia="zh-CN"/>
        </w:rPr>
        <w:t xml:space="preserve">  </w:t>
      </w:r>
      <w:r>
        <w:rPr>
          <w:rFonts w:hint="eastAsia"/>
          <w:lang w:val="en-US" w:eastAsia="zh-CN"/>
        </w:rPr>
        <w:t>供应商须知</w:t>
      </w:r>
      <w:bookmarkEnd w:id="19"/>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一、供应商须知前附表</w:t>
      </w:r>
    </w:p>
    <w:tbl>
      <w:tblPr>
        <w:tblStyle w:val="25"/>
        <w:tblW w:w="907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71"/>
        <w:gridCol w:w="1767"/>
        <w:gridCol w:w="674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号</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内</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容</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说明与要求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采购人</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tabs>
                <w:tab w:val="left" w:pos="1080"/>
                <w:tab w:val="left" w:pos="1155"/>
              </w:tabs>
              <w:jc w:val="left"/>
              <w:rPr>
                <w:rFonts w:hint="eastAsia" w:ascii="宋体" w:hAnsi="宋体" w:cs="宋体"/>
                <w:szCs w:val="21"/>
                <w:highlight w:val="none"/>
                <w:lang w:eastAsia="zh-CN"/>
              </w:rPr>
            </w:pPr>
            <w:r>
              <w:rPr>
                <w:rFonts w:hint="eastAsia" w:ascii="宋体" w:hAnsi="宋体" w:eastAsia="宋体" w:cs="宋体"/>
                <w:szCs w:val="21"/>
                <w:highlight w:val="none"/>
                <w:lang w:eastAsia="zh-CN"/>
              </w:rPr>
              <w:t>名    称：</w:t>
            </w:r>
            <w:r>
              <w:rPr>
                <w:rFonts w:hint="eastAsia" w:ascii="宋体" w:hAnsi="宋体" w:cs="宋体"/>
                <w:szCs w:val="21"/>
                <w:highlight w:val="none"/>
                <w:lang w:eastAsia="zh-CN"/>
              </w:rPr>
              <w:t>长春市朝阳区人民医院</w:t>
            </w:r>
          </w:p>
          <w:p>
            <w:pPr>
              <w:tabs>
                <w:tab w:val="left" w:pos="1080"/>
                <w:tab w:val="left" w:pos="1155"/>
              </w:tabs>
              <w:jc w:val="left"/>
              <w:rPr>
                <w:rFonts w:hint="eastAsia" w:ascii="宋体" w:hAnsi="宋体" w:cs="宋体"/>
                <w:szCs w:val="21"/>
                <w:highlight w:val="none"/>
                <w:lang w:eastAsia="zh-CN"/>
              </w:rPr>
            </w:pPr>
            <w:r>
              <w:rPr>
                <w:rFonts w:hint="eastAsia" w:ascii="宋体" w:hAnsi="宋体" w:cs="宋体"/>
                <w:szCs w:val="21"/>
                <w:highlight w:val="none"/>
              </w:rPr>
              <w:t>地址：</w:t>
            </w:r>
            <w:r>
              <w:rPr>
                <w:rFonts w:hint="eastAsia" w:ascii="宋体" w:hAnsi="宋体" w:cs="宋体"/>
                <w:szCs w:val="21"/>
                <w:highlight w:val="none"/>
                <w:lang w:eastAsia="zh-CN"/>
              </w:rPr>
              <w:t>长春市义和路516号</w:t>
            </w:r>
          </w:p>
          <w:p>
            <w:pPr>
              <w:bidi w:val="0"/>
              <w:rPr>
                <w:rFonts w:hint="default"/>
                <w:highlight w:val="none"/>
                <w:lang w:val="en-US" w:eastAsia="zh-CN"/>
              </w:rPr>
            </w:pPr>
            <w:r>
              <w:rPr>
                <w:rFonts w:hint="eastAsia"/>
                <w:highlight w:val="none"/>
                <w:lang w:val="en-US" w:eastAsia="zh-CN"/>
              </w:rPr>
              <w:t>联系人：王志夫</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szCs w:val="21"/>
                <w:highlight w:val="none"/>
              </w:rPr>
              <w:t>联系</w:t>
            </w:r>
            <w:r>
              <w:rPr>
                <w:rFonts w:hint="eastAsia" w:ascii="宋体" w:hAnsi="宋体" w:cs="宋体"/>
                <w:szCs w:val="21"/>
                <w:highlight w:val="none"/>
                <w:lang w:val="en-US" w:eastAsia="zh-CN"/>
              </w:rPr>
              <w:t>方式</w:t>
            </w:r>
            <w:r>
              <w:rPr>
                <w:rFonts w:hint="eastAsia" w:ascii="宋体" w:hAnsi="宋体" w:cs="宋体"/>
                <w:szCs w:val="21"/>
                <w:highlight w:val="none"/>
              </w:rPr>
              <w:t>：13944902018</w:t>
            </w:r>
            <w:r>
              <w:rPr>
                <w:rFonts w:hint="eastAsia" w:ascii="宋体" w:hAnsi="宋体" w:cs="宋体"/>
                <w:szCs w:val="21"/>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采购代理机构</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名    称：</w:t>
            </w:r>
            <w:r>
              <w:rPr>
                <w:rFonts w:hint="eastAsia" w:ascii="宋体" w:hAnsi="宋体" w:cs="宋体"/>
                <w:szCs w:val="21"/>
                <w:highlight w:val="none"/>
                <w:lang w:eastAsia="zh-CN"/>
              </w:rPr>
              <w:t>吉林省铭泽项目管理有限公司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Cs w:val="21"/>
                <w:highlight w:val="none"/>
                <w:lang w:eastAsia="zh-CN"/>
              </w:rPr>
            </w:pPr>
            <w:r>
              <w:rPr>
                <w:rFonts w:hint="eastAsia" w:ascii="宋体" w:hAnsi="宋体" w:cs="宋体"/>
                <w:color w:val="000000"/>
                <w:szCs w:val="21"/>
                <w:highlight w:val="none"/>
              </w:rPr>
              <w:t>地    址：</w:t>
            </w:r>
            <w:r>
              <w:rPr>
                <w:rFonts w:hint="eastAsia" w:ascii="宋体" w:hAnsi="宋体" w:cs="宋体"/>
                <w:szCs w:val="21"/>
                <w:highlight w:val="none"/>
                <w:lang w:eastAsia="zh-CN"/>
              </w:rPr>
              <w:t>长春市二道区四通路168号吉盛伟邦A座502室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color w:val="000000"/>
                <w:szCs w:val="21"/>
                <w:highlight w:val="none"/>
              </w:rPr>
            </w:pPr>
            <w:r>
              <w:rPr>
                <w:rFonts w:hint="eastAsia" w:ascii="宋体" w:hAnsi="宋体" w:cs="宋体"/>
                <w:szCs w:val="21"/>
                <w:highlight w:val="none"/>
                <w:lang w:val="en-US" w:eastAsia="zh-CN"/>
              </w:rPr>
              <w:t>联系人：李怀宇</w:t>
            </w:r>
            <w:r>
              <w:rPr>
                <w:rFonts w:hint="eastAsia" w:ascii="宋体" w:hAnsi="宋体" w:cs="宋体"/>
                <w:color w:val="000000"/>
                <w:szCs w:val="21"/>
                <w:highlight w:val="none"/>
              </w:rPr>
              <w:t xml:space="preserve">    </w:t>
            </w:r>
            <w:r>
              <w:rPr>
                <w:rFonts w:hint="eastAsia" w:ascii="宋体" w:hAnsi="宋体" w:cs="宋体"/>
                <w:color w:val="000000"/>
                <w:szCs w:val="21"/>
                <w:highlight w:val="none"/>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cs="Times New Roman" w:eastAsiaTheme="minorEastAsia"/>
                <w:caps w:val="0"/>
                <w:color w:val="auto"/>
                <w:kern w:val="2"/>
                <w:sz w:val="21"/>
                <w:szCs w:val="21"/>
                <w:highlight w:val="none"/>
                <w:vertAlign w:val="baseline"/>
                <w:lang w:val="en-US" w:eastAsia="zh-CN" w:bidi="ar"/>
              </w:rPr>
            </w:pPr>
            <w:r>
              <w:rPr>
                <w:rFonts w:hint="eastAsia" w:ascii="宋体" w:hAnsi="宋体" w:cs="宋体"/>
                <w:color w:val="000000"/>
                <w:szCs w:val="21"/>
                <w:highlight w:val="none"/>
              </w:rPr>
              <w:t>联系方式：</w:t>
            </w:r>
            <w:r>
              <w:rPr>
                <w:rFonts w:hint="eastAsia" w:ascii="宋体" w:hAnsi="宋体" w:cs="宋体"/>
                <w:color w:val="000000"/>
                <w:szCs w:val="21"/>
                <w:highlight w:val="none"/>
                <w:lang w:val="en-US" w:eastAsia="zh-CN"/>
              </w:rPr>
              <w:t>15584417397</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项目名称</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长春市朝阳区人民医院车载数字X射线机采购项目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项目编号</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szCs w:val="21"/>
                <w:lang w:eastAsia="zh-CN" w:bidi="ar"/>
              </w:rPr>
              <w:t>MZ-ZB-20240202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7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5</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采购预算</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567000元</w:t>
            </w:r>
            <w:r>
              <w:rPr>
                <w:rFonts w:hint="eastAsia"/>
                <w:highlight w:val="none"/>
                <w:lang w:val="zh-CN" w:eastAsia="zh-CN"/>
              </w:rPr>
              <w:t>（最高限价）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6</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szCs w:val="21"/>
                <w:highlight w:val="none"/>
                <w:lang w:eastAsia="zh-CN"/>
              </w:rPr>
              <w:t>供货</w:t>
            </w:r>
            <w:r>
              <w:rPr>
                <w:rFonts w:hint="eastAsia" w:ascii="宋体" w:hAnsi="宋体" w:cs="宋体"/>
                <w:szCs w:val="21"/>
                <w:highlight w:val="none"/>
              </w:rPr>
              <w:t>地点</w:t>
            </w:r>
            <w:r>
              <w:rPr>
                <w:rFonts w:hint="eastAsia" w:ascii="宋体" w:hAnsi="宋体" w:cs="宋体"/>
                <w:szCs w:val="21"/>
                <w:highlight w:val="none"/>
                <w:lang w:eastAsia="zh-CN"/>
              </w:rPr>
              <w:t>及方式</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采购人指定地点，包运输、卸货、安装调试并验收合格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7</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采购需求</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autoSpaceDN w:val="0"/>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szCs w:val="21"/>
                <w:lang w:eastAsia="zh-CN" w:bidi="ar"/>
              </w:rPr>
              <w:t>见</w:t>
            </w:r>
            <w:r>
              <w:rPr>
                <w:rFonts w:hint="eastAsia" w:ascii="宋体" w:hAnsi="宋体" w:eastAsia="宋体" w:cs="宋体"/>
                <w:szCs w:val="21"/>
                <w:highlight w:val="none"/>
                <w:lang w:bidi="ar"/>
              </w:rPr>
              <w:t>第四章采购需求</w:t>
            </w:r>
            <w:r>
              <w:rPr>
                <w:rFonts w:hint="eastAsia" w:ascii="宋体" w:hAnsi="宋体" w:eastAsia="宋体" w:cs="宋体"/>
                <w:szCs w:val="21"/>
                <w:highlight w:val="none"/>
                <w:lang w:val="en-US" w:eastAsia="zh-CN" w:bidi="ar"/>
              </w:rPr>
              <w:t>附件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8</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合同履行期限</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合同签订之日起30日内，具体以合同签订为准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资金来源</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财政资金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404" w:hRule="atLeast"/>
          <w:jc w:val="center"/>
        </w:trPr>
        <w:tc>
          <w:tcPr>
            <w:tcW w:w="571"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10</w:t>
            </w:r>
          </w:p>
        </w:tc>
        <w:tc>
          <w:tcPr>
            <w:tcW w:w="1767"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供应商资格要求</w:t>
            </w:r>
          </w:p>
        </w:tc>
        <w:tc>
          <w:tcPr>
            <w:tcW w:w="6740"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满足《中华人民共和国政府采购法》第二十二条规定。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Calibri" w:hAnsi="Calibri" w:eastAsia="宋体" w:cs="Calibri"/>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落实政府采购政策需满足的资格要求：本项目专门面向中小企业采购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本采购项目落实的政府采购政策：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（1）《政府采购促进中小企业发展管理办法》(财库[2020]46号)；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（2）《关于政府采购支持监狱企业发展有关问题的通知》(财库[2014]68号)；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（3）《三部门联合发布关于促进残疾人就业政府采购政策的通知》(财库[2017]141号)；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（4）《节能产品政府采购实施意见》的通知(财库〔2004〕185 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（5）《关于调整优化节能产品、环境标志产品政府采购执行机制的通知》(财库[2019]9号)。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本项目的特定资格要求：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3.1</w:t>
            </w:r>
            <w:r>
              <w:rPr>
                <w:rFonts w:hint="eastAsia" w:ascii="宋体" w:hAnsi="宋体" w:eastAsia="宋体" w:cs="宋体"/>
                <w:b w:val="0"/>
                <w:bCs w:val="0"/>
                <w:caps w:val="0"/>
                <w:color w:val="auto"/>
                <w:kern w:val="2"/>
                <w:sz w:val="21"/>
                <w:szCs w:val="21"/>
                <w:highlight w:val="none"/>
                <w:vertAlign w:val="baseline"/>
                <w:lang w:val="en-US" w:eastAsia="zh-CN" w:bidi="ar"/>
              </w:rPr>
              <w:t>投标人须是在中国境内注册具有独立承担民事责任能力的独立法人或其他组织形式，具备有效的营业执照，具有履行合同所必需的设备和专业技术能力。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 xml:space="preserve">3.2 </w:t>
            </w:r>
            <w:r>
              <w:rPr>
                <w:rFonts w:hint="eastAsia" w:ascii="宋体" w:hAnsi="宋体" w:eastAsia="宋体" w:cs="宋体"/>
                <w:b w:val="0"/>
                <w:bCs w:val="0"/>
                <w:caps w:val="0"/>
                <w:color w:val="auto"/>
                <w:kern w:val="2"/>
                <w:sz w:val="21"/>
                <w:szCs w:val="21"/>
                <w:highlight w:val="none"/>
                <w:vertAlign w:val="baseline"/>
                <w:lang w:val="en-US" w:eastAsia="zh-CN" w:bidi="ar"/>
              </w:rPr>
              <w:t>供应商参加采购活动应当提交反映其财务状况、依法缴纳税收和社保保障资金情况的资格条件承诺函（《长春市财政局关于加强政府采购信用体系建设简化供应商资格条件有关事项的通知》（长财采购〔2022〕2066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宋体"/>
                <w:caps w:val="0"/>
                <w:color w:val="auto"/>
                <w:kern w:val="2"/>
                <w:sz w:val="21"/>
                <w:szCs w:val="21"/>
                <w:highlight w:val="none"/>
                <w:vertAlign w:val="baseline"/>
                <w:lang w:bidi="ar"/>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与招标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eastAsia" w:ascii="宋体" w:hAnsi="宋体"/>
                <w:sz w:val="21"/>
                <w:szCs w:val="21"/>
                <w:highlight w:val="none"/>
              </w:rPr>
            </w:pP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Calibri" w:hAnsi="Calibri" w:eastAsia="宋体" w:cs="Calibri"/>
                <w:b w:val="0"/>
                <w:bCs w:val="0"/>
                <w:caps w:val="0"/>
                <w:color w:val="auto"/>
                <w:kern w:val="2"/>
                <w:sz w:val="21"/>
                <w:szCs w:val="21"/>
                <w:highlight w:val="none"/>
                <w:vertAlign w:val="baseline"/>
                <w:lang w:val="en-US" w:eastAsia="zh-CN" w:bidi="ar"/>
              </w:rPr>
              <w:t>4</w:t>
            </w:r>
            <w:r>
              <w:rPr>
                <w:rFonts w:hint="eastAsia" w:ascii="宋体" w:hAnsi="宋体"/>
                <w:sz w:val="21"/>
                <w:szCs w:val="21"/>
                <w:highlight w:val="none"/>
              </w:rPr>
              <w:t>医疗器械许可：</w:t>
            </w:r>
            <w:r>
              <w:rPr>
                <w:rFonts w:hint="eastAsia" w:ascii="宋体" w:hAnsi="宋体" w:cs="宋体"/>
                <w:sz w:val="21"/>
                <w:szCs w:val="21"/>
                <w:highlight w:val="none"/>
              </w:rPr>
              <w:t>①</w:t>
            </w:r>
            <w:r>
              <w:rPr>
                <w:sz w:val="21"/>
                <w:szCs w:val="21"/>
                <w:highlight w:val="none"/>
              </w:rPr>
              <w:t>投标供应商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w:t>
            </w:r>
            <w:r>
              <w:rPr>
                <w:rFonts w:hint="eastAsia" w:ascii="宋体" w:hAnsi="宋体" w:cs="宋体"/>
                <w:sz w:val="21"/>
                <w:szCs w:val="21"/>
                <w:highlight w:val="none"/>
              </w:rPr>
              <w:t>②</w:t>
            </w:r>
            <w:r>
              <w:rPr>
                <w:sz w:val="21"/>
                <w:szCs w:val="21"/>
                <w:highlight w:val="none"/>
              </w:rPr>
              <w:t>投标供应商为经营企业的，</w:t>
            </w:r>
            <w:bookmarkStart w:id="63" w:name="_GoBack"/>
            <w:bookmarkEnd w:id="63"/>
            <w:r>
              <w:rPr>
                <w:sz w:val="21"/>
                <w:szCs w:val="21"/>
                <w:highlight w:val="none"/>
              </w:rPr>
              <w:t>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w:t>
            </w:r>
            <w:r>
              <w:rPr>
                <w:rFonts w:hint="eastAsia" w:ascii="宋体" w:hAnsi="宋体" w:cs="宋体"/>
                <w:sz w:val="21"/>
                <w:szCs w:val="21"/>
                <w:highlight w:val="none"/>
              </w:rPr>
              <w:t>③</w:t>
            </w:r>
            <w:r>
              <w:rPr>
                <w:sz w:val="21"/>
                <w:szCs w:val="21"/>
                <w:highlight w:val="none"/>
              </w:rPr>
              <w:t>投标产品若纳入中华人民共和国医疗器械监督管理的，第一类医疗器械须具有备案凭证，第二、三类则应取得监督管理部门颁发相应的《中华人民共和国医疗器械注册证》及《医疗器械产品注册登记表》，若已办理两证合一则只需提供《医疗器械注册证》</w:t>
            </w:r>
            <w:r>
              <w:rPr>
                <w:rFonts w:hint="eastAsia" w:ascii="宋体" w:hAnsi="宋体"/>
                <w:sz w:val="21"/>
                <w:szCs w:val="21"/>
                <w:highlight w:val="none"/>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3.5信誉要求：（</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）拒绝列入政府取消投标资格记录期间的企业或个人投标。（</w:t>
            </w:r>
            <w:r>
              <w:rPr>
                <w:rFonts w:hint="default" w:ascii="宋体" w:hAnsi="宋体" w:eastAsia="宋体" w:cs="宋体"/>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）未被工商行政管理机关在全国企业信用信息公示系统（</w:t>
            </w:r>
            <w:r>
              <w:rPr>
                <w:rFonts w:hint="default" w:ascii="宋体" w:hAnsi="宋体" w:eastAsia="宋体" w:cs="宋体"/>
                <w:b w:val="0"/>
                <w:bCs w:val="0"/>
                <w:caps w:val="0"/>
                <w:color w:val="auto"/>
                <w:kern w:val="2"/>
                <w:sz w:val="21"/>
                <w:szCs w:val="21"/>
                <w:highlight w:val="none"/>
                <w:vertAlign w:val="baseline"/>
                <w:lang w:val="en-US" w:eastAsia="zh-CN" w:bidi="ar"/>
              </w:rPr>
              <w:t>www.gsxt.gov.cn</w:t>
            </w:r>
            <w:r>
              <w:rPr>
                <w:rFonts w:hint="eastAsia" w:ascii="宋体" w:hAnsi="宋体" w:eastAsia="宋体" w:cs="宋体"/>
                <w:b w:val="0"/>
                <w:bCs w:val="0"/>
                <w:caps w:val="0"/>
                <w:color w:val="auto"/>
                <w:kern w:val="2"/>
                <w:sz w:val="21"/>
                <w:szCs w:val="21"/>
                <w:highlight w:val="none"/>
                <w:vertAlign w:val="baseline"/>
                <w:lang w:val="en-US" w:eastAsia="zh-CN" w:bidi="ar"/>
              </w:rPr>
              <w:t>）中列入严重违法失信企业名单。（</w:t>
            </w:r>
            <w:r>
              <w:rPr>
                <w:rFonts w:hint="default" w:ascii="宋体" w:hAnsi="宋体" w:eastAsia="宋体" w:cs="宋体"/>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）未被“信用中国”（www.creditchina.gov.cn）、中国政府采购网（www.ccgp.gov.cn）列入失信被执行人、重大税收违法案件当事人名单、政府采购严重违法失信行为记录名单。（</w:t>
            </w:r>
            <w:r>
              <w:rPr>
                <w:rFonts w:hint="default" w:ascii="宋体" w:hAnsi="宋体" w:eastAsia="宋体" w:cs="宋体"/>
                <w:b w:val="0"/>
                <w:bCs w:val="0"/>
                <w:caps w:val="0"/>
                <w:color w:val="auto"/>
                <w:kern w:val="2"/>
                <w:sz w:val="21"/>
                <w:szCs w:val="21"/>
                <w:highlight w:val="none"/>
                <w:vertAlign w:val="baseline"/>
                <w:lang w:val="en-US" w:eastAsia="zh-CN" w:bidi="ar"/>
              </w:rPr>
              <w:t>4</w:t>
            </w:r>
            <w:r>
              <w:rPr>
                <w:rFonts w:hint="eastAsia" w:ascii="宋体" w:hAnsi="宋体" w:eastAsia="宋体" w:cs="宋体"/>
                <w:b w:val="0"/>
                <w:bCs w:val="0"/>
                <w:caps w:val="0"/>
                <w:color w:val="auto"/>
                <w:kern w:val="2"/>
                <w:sz w:val="21"/>
                <w:szCs w:val="21"/>
                <w:highlight w:val="none"/>
                <w:vertAlign w:val="baseline"/>
                <w:lang w:val="en-US" w:eastAsia="zh-CN" w:bidi="ar"/>
              </w:rPr>
              <w:t>）在近三年（</w:t>
            </w:r>
            <w:r>
              <w:rPr>
                <w:rFonts w:hint="default" w:ascii="宋体" w:hAnsi="宋体" w:eastAsia="宋体" w:cs="宋体"/>
                <w:b w:val="0"/>
                <w:bCs w:val="0"/>
                <w:caps w:val="0"/>
                <w:color w:val="auto"/>
                <w:kern w:val="2"/>
                <w:sz w:val="21"/>
                <w:szCs w:val="21"/>
                <w:highlight w:val="none"/>
                <w:vertAlign w:val="baseline"/>
                <w:lang w:val="en-US" w:eastAsia="zh-CN" w:bidi="ar"/>
              </w:rPr>
              <w:t>20</w:t>
            </w:r>
            <w:r>
              <w:rPr>
                <w:rFonts w:hint="eastAsia" w:ascii="宋体" w:hAnsi="宋体" w:eastAsia="宋体" w:cs="宋体"/>
                <w:b w:val="0"/>
                <w:bCs w:val="0"/>
                <w:caps w:val="0"/>
                <w:color w:val="auto"/>
                <w:kern w:val="2"/>
                <w:sz w:val="21"/>
                <w:szCs w:val="21"/>
                <w:highlight w:val="none"/>
                <w:vertAlign w:val="baseline"/>
                <w:lang w:val="en-US" w:eastAsia="zh-CN" w:bidi="ar"/>
              </w:rPr>
              <w:t>21年</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月</w:t>
            </w:r>
            <w:r>
              <w:rPr>
                <w:rFonts w:hint="default" w:ascii="宋体" w:hAnsi="宋体" w:eastAsia="宋体" w:cs="宋体"/>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日至今）内投标人和法定代表人未在“中国裁判文书网”（</w:t>
            </w:r>
            <w:r>
              <w:rPr>
                <w:rFonts w:hint="default" w:ascii="宋体" w:hAnsi="宋体" w:eastAsia="宋体" w:cs="宋体"/>
                <w:b w:val="0"/>
                <w:bCs w:val="0"/>
                <w:caps w:val="0"/>
                <w:color w:val="auto"/>
                <w:kern w:val="2"/>
                <w:sz w:val="21"/>
                <w:szCs w:val="21"/>
                <w:highlight w:val="none"/>
                <w:vertAlign w:val="baseline"/>
                <w:lang w:val="en-US" w:eastAsia="zh-CN" w:bidi="ar"/>
              </w:rPr>
              <w:t>http://wenshu.court.gov.cn/</w:t>
            </w:r>
            <w:r>
              <w:rPr>
                <w:rFonts w:hint="eastAsia" w:ascii="宋体" w:hAnsi="宋体" w:eastAsia="宋体" w:cs="宋体"/>
                <w:b w:val="0"/>
                <w:bCs w:val="0"/>
                <w:caps w:val="0"/>
                <w:color w:val="auto"/>
                <w:kern w:val="2"/>
                <w:sz w:val="21"/>
                <w:szCs w:val="21"/>
                <w:highlight w:val="none"/>
                <w:vertAlign w:val="baseline"/>
                <w:lang w:val="en-US" w:eastAsia="zh-CN" w:bidi="ar"/>
              </w:rPr>
              <w:t>）上有行贿犯罪行为。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eastAsia"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6参加政府采购活动前三年内在经营活动中没有重大违法记录的书面声明。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3.7</w:t>
            </w:r>
            <w:r>
              <w:rPr>
                <w:rFonts w:hint="default" w:ascii="宋体" w:hAnsi="宋体" w:eastAsia="宋体" w:cs="宋体"/>
                <w:b w:val="0"/>
                <w:bCs w:val="0"/>
                <w:caps w:val="0"/>
                <w:color w:val="auto"/>
                <w:kern w:val="2"/>
                <w:sz w:val="21"/>
                <w:szCs w:val="21"/>
                <w:highlight w:val="none"/>
                <w:vertAlign w:val="baseline"/>
                <w:lang w:val="en-US" w:eastAsia="zh-CN" w:bidi="ar"/>
              </w:rPr>
              <w:t>为采购项目提供整体设计、规范编制或者项目管理、监理、检测等服务的单位，不得再参加该采购项目的其他采购活动。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41"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是否接受联合体投标</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踏勘现场</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Wingdings 2" w:hAnsi="Wingdings 2" w:eastAsia="宋体" w:cs="Wingdings 2"/>
                <w:b w:val="0"/>
                <w:bCs w:val="0"/>
                <w:caps w:val="0"/>
                <w:color w:val="auto"/>
                <w:kern w:val="2"/>
                <w:sz w:val="21"/>
                <w:szCs w:val="21"/>
                <w:highlight w:val="none"/>
                <w:vertAlign w:val="baseline"/>
                <w:lang w:val="en-US" w:eastAsia="zh-CN" w:bidi="ar"/>
              </w:rPr>
              <w:sym w:font="Wingdings 2" w:char="0052"/>
            </w:r>
            <w:r>
              <w:rPr>
                <w:rFonts w:hint="eastAsia" w:ascii="宋体" w:hAnsi="宋体" w:eastAsia="宋体" w:cs="Times New Roman"/>
                <w:b w:val="0"/>
                <w:bCs w:val="0"/>
                <w:caps w:val="0"/>
                <w:color w:val="auto"/>
                <w:kern w:val="2"/>
                <w:sz w:val="21"/>
                <w:szCs w:val="21"/>
                <w:highlight w:val="none"/>
                <w:vertAlign w:val="baseline"/>
                <w:lang w:val="en-US" w:eastAsia="zh-CN" w:bidi="ar"/>
              </w:rPr>
              <w:t>不组织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w:t>
            </w:r>
          </w:p>
        </w:tc>
        <w:tc>
          <w:tcPr>
            <w:tcW w:w="1767"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答疑会时间及地点</w:t>
            </w:r>
          </w:p>
        </w:tc>
        <w:tc>
          <w:tcPr>
            <w:tcW w:w="6740"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Wingdings 2" w:hAnsi="Wingdings 2" w:eastAsia="宋体" w:cs="Wingdings 2"/>
                <w:b w:val="0"/>
                <w:bCs w:val="0"/>
                <w:caps w:val="0"/>
                <w:color w:val="auto"/>
                <w:kern w:val="2"/>
                <w:sz w:val="21"/>
                <w:szCs w:val="21"/>
                <w:highlight w:val="none"/>
                <w:vertAlign w:val="baseline"/>
                <w:lang w:val="en-US" w:eastAsia="zh-CN" w:bidi="ar"/>
              </w:rPr>
              <w:sym w:font="Wingdings 2" w:char="0052"/>
            </w:r>
            <w:r>
              <w:rPr>
                <w:rFonts w:hint="eastAsia" w:ascii="宋体" w:hAnsi="宋体" w:eastAsia="宋体" w:cs="Times New Roman"/>
                <w:b w:val="0"/>
                <w:bCs w:val="0"/>
                <w:caps w:val="0"/>
                <w:color w:val="auto"/>
                <w:kern w:val="2"/>
                <w:sz w:val="21"/>
                <w:szCs w:val="21"/>
                <w:highlight w:val="none"/>
                <w:vertAlign w:val="baseline"/>
                <w:lang w:val="en-US" w:eastAsia="zh-CN" w:bidi="ar"/>
              </w:rPr>
              <w:t>不召开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4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14</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分包、转包</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15</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偏离</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Wingdings 2" w:hAnsi="Wingdings 2" w:eastAsia="宋体" w:cs="Wingdings 2"/>
                <w:b w:val="0"/>
                <w:bCs w:val="0"/>
                <w:caps w:val="0"/>
                <w:color w:val="auto"/>
                <w:kern w:val="2"/>
                <w:sz w:val="21"/>
                <w:szCs w:val="21"/>
                <w:highlight w:val="none"/>
                <w:vertAlign w:val="baseline"/>
                <w:lang w:val="en-US" w:eastAsia="zh-CN" w:bidi="ar"/>
              </w:rPr>
              <w:sym w:font="Wingdings 2" w:char="0052"/>
            </w:r>
            <w:r>
              <w:rPr>
                <w:rFonts w:hint="eastAsia" w:ascii="宋体" w:hAnsi="宋体" w:eastAsia="宋体" w:cs="Times New Roman"/>
                <w:b w:val="0"/>
                <w:bCs w:val="0"/>
                <w:caps w:val="0"/>
                <w:color w:val="auto"/>
                <w:kern w:val="2"/>
                <w:sz w:val="21"/>
                <w:szCs w:val="21"/>
                <w:highlight w:val="none"/>
                <w:vertAlign w:val="baseline"/>
                <w:lang w:val="en-US" w:eastAsia="zh-CN" w:bidi="ar"/>
              </w:rPr>
              <w:t>允许正偏离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01"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构成招标文件</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的其他材料</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17</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签字或盖章要求</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）所有要求签字的地方都应用不褪色的墨水或签字笔由本人亲笔手写签字（包括姓和名），不得用盖章（如签名章、签字章等）代替，也不得由他人代签。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）所有要求盖章的地方都应按照招标文件的规定加盖与投标人名称全称相一致的标准公章，不得使用彩喷或者彩印的印章、可使用专用章（如合同专用章、投标专用章等）代替。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格式中要求投标人“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18</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投标有效期</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90</w:t>
            </w:r>
            <w:r>
              <w:rPr>
                <w:rFonts w:hint="eastAsia" w:ascii="宋体" w:hAnsi="宋体" w:eastAsia="宋体" w:cs="Times New Roman"/>
                <w:b w:val="0"/>
                <w:bCs w:val="0"/>
                <w:caps w:val="0"/>
                <w:color w:val="auto"/>
                <w:kern w:val="2"/>
                <w:sz w:val="21"/>
                <w:szCs w:val="21"/>
                <w:highlight w:val="none"/>
                <w:vertAlign w:val="baseline"/>
                <w:lang w:val="en-US" w:eastAsia="zh-CN" w:bidi="ar"/>
              </w:rPr>
              <w:t>日历天（从投标截止之日算起）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w:t>
            </w:r>
          </w:p>
        </w:tc>
        <w:tc>
          <w:tcPr>
            <w:tcW w:w="6740"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Theme="minorHAnsi" w:hAnsiTheme="minorHAnsi" w:eastAsiaTheme="minorEastAsia" w:cstheme="minorBidi"/>
                <w:b/>
                <w:bCs/>
                <w:kern w:val="2"/>
                <w:sz w:val="21"/>
                <w:szCs w:val="24"/>
                <w:highlight w:val="none"/>
                <w:lang w:val="zh-CN"/>
              </w:rPr>
              <w:t>注：根据长春市财政局关于取消政府采购投标保证金及采购文件工本费等有关事项的通知《长财采购〔2021〕695 号》文件要求“自 2021 年 7 月 1 日起，全市政府采购货物和服务招标投标活动及非招标采购方式采购货物、工程和服务不得向诚信记录良好的供应商收取投标保证金，但对于满足《中华人民共和国政府采购法》第二十二条有关规定，经“信用中国”网站查询存在行政处罚信息的供应商，采购人、采购代理机构可以按规定收取投标保证金。”供应商根据自身情况自行判断是否需要提交保证金。如符合文件要求的不需要提交保证金情况的请在</w:t>
            </w:r>
            <w:r>
              <w:rPr>
                <w:rFonts w:hint="eastAsia" w:eastAsiaTheme="minorEastAsia" w:cstheme="minorBidi"/>
                <w:b/>
                <w:bCs/>
                <w:kern w:val="2"/>
                <w:sz w:val="21"/>
                <w:szCs w:val="24"/>
                <w:highlight w:val="none"/>
                <w:lang w:val="zh-CN"/>
              </w:rPr>
              <w:t>投标</w:t>
            </w:r>
            <w:r>
              <w:rPr>
                <w:rFonts w:hint="eastAsia" w:asciiTheme="minorHAnsi" w:hAnsiTheme="minorHAnsi" w:eastAsiaTheme="minorEastAsia" w:cstheme="minorBidi"/>
                <w:b/>
                <w:bCs/>
                <w:kern w:val="2"/>
                <w:sz w:val="21"/>
                <w:szCs w:val="24"/>
                <w:highlight w:val="none"/>
                <w:lang w:val="zh-CN"/>
              </w:rPr>
              <w:t>文件中提供相关网页截图，并在截止时间前2日将截图提交到采购代理机构</w:t>
            </w:r>
            <w:r>
              <w:rPr>
                <w:rFonts w:hint="eastAsia" w:cstheme="minorBidi"/>
                <w:b/>
                <w:bCs/>
                <w:kern w:val="2"/>
                <w:sz w:val="21"/>
                <w:szCs w:val="24"/>
                <w:highlight w:val="none"/>
                <w:lang w:val="en-US" w:eastAsia="zh-CN"/>
              </w:rPr>
              <w:t>邮箱jlmzxmgl@163.com</w:t>
            </w:r>
            <w:r>
              <w:rPr>
                <w:rFonts w:hint="eastAsia" w:asciiTheme="minorHAnsi" w:hAnsiTheme="minorHAnsi" w:eastAsiaTheme="minorEastAsia" w:cstheme="minorBidi"/>
                <w:b/>
                <w:bCs/>
                <w:kern w:val="2"/>
                <w:sz w:val="21"/>
                <w:szCs w:val="24"/>
                <w:highlight w:val="none"/>
                <w:lang w:val="zh-CN"/>
              </w:rPr>
              <w:t>。</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、投标保证金的金额：8500元。</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投标保证金的形式：支票、汇票、电汇、本票、或者金融机构、担保机构出具的保函等非现金形式提交，投标保证金须从基本账户转出，投标人未按照招标文件要求提交投标保证金的，投标无效。</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户名：吉林省铭泽项目管理有限公司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开户行：吉林银行长春湖滨支行</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账号：0126101000001573</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行号：313241020139</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※注：投标保证金应于保证金截止时间前完成缴纳，截止时间前未到账的供应商视为未缴纳投标保证金。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6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20</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投标文件份数</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纸质版投标文件份数要求：</w:t>
            </w:r>
          </w:p>
          <w:p>
            <w:pPr>
              <w:widowControl/>
              <w:autoSpaceDN w:val="0"/>
              <w:spacing w:line="360" w:lineRule="auto"/>
              <w:rPr>
                <w:rFonts w:ascii="Calibri" w:hAnsi="Calibri" w:eastAsia="宋体" w:cs="Times New Roman"/>
                <w:szCs w:val="21"/>
                <w:lang w:bidi="ar"/>
              </w:rPr>
            </w:pPr>
            <w:r>
              <w:rPr>
                <w:rFonts w:hint="eastAsia" w:ascii="宋体" w:hAnsi="宋体" w:eastAsia="宋体" w:cs="Times New Roman"/>
                <w:szCs w:val="21"/>
                <w:lang w:val="en-US" w:eastAsia="zh-CN" w:bidi="ar"/>
              </w:rPr>
              <w:t>1、</w:t>
            </w:r>
            <w:r>
              <w:rPr>
                <w:rFonts w:hint="eastAsia" w:ascii="宋体" w:hAnsi="宋体" w:eastAsia="宋体" w:cs="Times New Roman"/>
                <w:szCs w:val="21"/>
                <w:lang w:bidi="ar"/>
              </w:rPr>
              <w:t>纸质版投标文件份数要求：</w:t>
            </w:r>
          </w:p>
          <w:p>
            <w:pPr>
              <w:widowControl/>
              <w:autoSpaceDN w:val="0"/>
              <w:spacing w:line="360" w:lineRule="auto"/>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bCs/>
                <w:szCs w:val="21"/>
                <w:lang w:bidi="ar"/>
              </w:rPr>
              <w:t>中标候选人（</w:t>
            </w:r>
            <w:r>
              <w:rPr>
                <w:rFonts w:hint="eastAsia" w:ascii="宋体" w:hAnsi="宋体" w:eastAsia="宋体" w:cs="Times New Roman"/>
                <w:b/>
                <w:bCs/>
                <w:szCs w:val="21"/>
                <w:lang w:val="en-US" w:eastAsia="zh-CN" w:bidi="ar"/>
              </w:rPr>
              <w:t>前三名</w:t>
            </w:r>
            <w:r>
              <w:rPr>
                <w:rFonts w:hint="eastAsia" w:ascii="宋体" w:hAnsi="宋体" w:eastAsia="宋体" w:cs="Times New Roman"/>
                <w:b/>
                <w:bCs/>
                <w:szCs w:val="21"/>
                <w:lang w:bidi="ar"/>
              </w:rPr>
              <w:t>）应在中标候选人公示期内将投标文件纸质版递交至招标代理机构（递交的纸质版投标文件须与网上递交的投标文件内容一致）：5份（即正本1份，副本4本）,电子版优盘2份。</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、其他要求：</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）评标过程中以电子投标文件为主，以电子投标文件为准。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）投标单位在“政采云”平台（</w:t>
            </w:r>
            <w:r>
              <w:rPr>
                <w:rFonts w:hint="default" w:ascii="Calibri" w:hAnsi="Calibri" w:eastAsia="宋体" w:cs="Times New Roman"/>
                <w:b w:val="0"/>
                <w:bCs w:val="0"/>
                <w:caps w:val="0"/>
                <w:color w:val="auto"/>
                <w:kern w:val="2"/>
                <w:sz w:val="21"/>
                <w:szCs w:val="21"/>
                <w:highlight w:val="none"/>
                <w:vertAlign w:val="baseline"/>
                <w:lang w:val="en-US" w:eastAsia="zh-CN" w:bidi="ar"/>
              </w:rPr>
              <w:t>http</w:t>
            </w: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//www.zcygov.cn</w:t>
            </w:r>
            <w:r>
              <w:rPr>
                <w:rFonts w:hint="eastAsia" w:ascii="宋体" w:hAnsi="宋体" w:eastAsia="宋体" w:cs="Times New Roman"/>
                <w:b w:val="0"/>
                <w:bCs w:val="0"/>
                <w:caps w:val="0"/>
                <w:color w:val="auto"/>
                <w:kern w:val="2"/>
                <w:sz w:val="21"/>
                <w:szCs w:val="21"/>
                <w:highlight w:val="none"/>
                <w:vertAlign w:val="baseline"/>
                <w:lang w:val="en-US" w:eastAsia="zh-CN" w:bidi="ar"/>
              </w:rPr>
              <w:t>）上制作投标文件</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份（此投标文件须上传至“政采云”平台）。</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）投标单位在制作投标文件时，电子投标文件以“政采云”平台的投标文件格式为准。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54"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21</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投标文件提交地点及截止时间</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同招标公告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2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22</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开标</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同招标公告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3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23</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评标方法及标准</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综合评分法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3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资格审查方式</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资格后审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25</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评标委员会的组建</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评标委员会构成：5人，评标委员会专家确定方式：从政府采购评审专家库中随机抽取产生。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是否授权评标委员会确定中标人</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bCs/>
                <w:color w:val="000000"/>
                <w:szCs w:val="24"/>
              </w:rPr>
              <w:t>否，推荐排名前三名为中标候选人。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27</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履约担保</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履约保证金的形式：现金，银行出具的现金支票、保兑支票、银行汇票，银行、专业工程担保公司出具的履约担保保函；以现金或支票、汇票形式提交的投标保证金应当从投标单位的基本账户转出。</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履约保证金的金额：大型企业履约保证金比例不超过合同金额的5%，中小企业履约保证金比例不超过2%。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28</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质保期</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val="en-US" w:eastAsia="zh-CN" w:bidi="ar"/>
              </w:rPr>
              <w:t>自验收之日起</w:t>
            </w:r>
            <w:r>
              <w:rPr>
                <w:rFonts w:hint="eastAsia" w:ascii="Calibri" w:hAnsi="Calibri" w:eastAsia="宋体" w:cs="Times New Roman"/>
                <w:caps w:val="0"/>
                <w:color w:val="auto"/>
                <w:kern w:val="2"/>
                <w:sz w:val="21"/>
                <w:szCs w:val="21"/>
                <w:highlight w:val="none"/>
                <w:vertAlign w:val="baseline"/>
                <w:lang w:val="en-US" w:eastAsia="zh-CN" w:bidi="ar"/>
              </w:rPr>
              <w:t>2</w:t>
            </w:r>
            <w:r>
              <w:rPr>
                <w:rFonts w:hint="default" w:ascii="Calibri" w:hAnsi="Calibri" w:eastAsia="宋体" w:cs="Times New Roman"/>
                <w:caps w:val="0"/>
                <w:color w:val="auto"/>
                <w:kern w:val="2"/>
                <w:sz w:val="21"/>
                <w:szCs w:val="21"/>
                <w:highlight w:val="none"/>
                <w:vertAlign w:val="baseline"/>
                <w:lang w:val="en-US" w:eastAsia="zh-CN" w:bidi="ar"/>
              </w:rPr>
              <w:t>年内为保质期(如设备法定保质期或设备使用说明保质期延长于1年，以法定质保期或说明书中质保期为准)。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51"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29</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bidi="ar"/>
              </w:rPr>
            </w:pPr>
            <w:r>
              <w:rPr>
                <w:rFonts w:hint="eastAsia" w:ascii="宋体" w:hAnsi="宋体" w:cs="宋体"/>
                <w:color w:val="000000"/>
                <w:szCs w:val="21"/>
                <w:highlight w:val="none"/>
              </w:rPr>
              <w:t>中小企业划分标准所属行业</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bidi w:val="0"/>
              <w:spacing w:line="360" w:lineRule="auto"/>
              <w:rPr>
                <w:rFonts w:hint="default" w:ascii="Calibri" w:hAnsi="Calibri" w:eastAsia="宋体" w:cs="Times New Roman"/>
                <w:caps w:val="0"/>
                <w:color w:val="auto"/>
                <w:kern w:val="2"/>
                <w:sz w:val="21"/>
                <w:szCs w:val="21"/>
                <w:highlight w:val="none"/>
                <w:vertAlign w:val="baseline"/>
                <w:lang w:val="en-US" w:eastAsia="zh-CN" w:bidi="ar"/>
              </w:rPr>
            </w:pPr>
            <w:r>
              <w:rPr>
                <w:rFonts w:hint="eastAsia"/>
                <w:sz w:val="22"/>
                <w:szCs w:val="28"/>
                <w:highlight w:val="none"/>
                <w:lang w:val="en-US" w:eastAsia="zh-CN"/>
              </w:rPr>
              <w:t>制造业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30</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付款方式</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宋体" w:hAnsi="宋体" w:eastAsia="宋体" w:cs="Times New Roman"/>
                <w:caps w:val="0"/>
                <w:color w:val="auto"/>
                <w:kern w:val="2"/>
                <w:sz w:val="21"/>
                <w:szCs w:val="21"/>
                <w:highlight w:val="none"/>
                <w:vertAlign w:val="baseline"/>
                <w:lang w:val="en-US" w:eastAsia="zh-CN" w:bidi="ar"/>
              </w:rPr>
            </w:pPr>
            <w:r>
              <w:rPr>
                <w:rFonts w:hint="eastAsia" w:hAnsi="宋体" w:cs="宋体-18030"/>
                <w:color w:val="auto"/>
                <w:szCs w:val="21"/>
                <w:highlight w:val="none"/>
                <w:lang w:val="en-US" w:eastAsia="zh-CN"/>
              </w:rPr>
              <w:t>具体以双方实际签订合同为准；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31</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签订合同</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中标人应在中标结果确定后</w:t>
            </w:r>
            <w:r>
              <w:rPr>
                <w:rFonts w:hint="default" w:ascii="Calibri" w:hAnsi="Calibri" w:eastAsia="宋体" w:cs="Times New Roman"/>
                <w:b w:val="0"/>
                <w:bCs w:val="0"/>
                <w:caps w:val="0"/>
                <w:color w:val="auto"/>
                <w:kern w:val="2"/>
                <w:sz w:val="21"/>
                <w:szCs w:val="21"/>
                <w:highlight w:val="none"/>
                <w:vertAlign w:val="baseline"/>
                <w:lang w:val="en-US" w:eastAsia="zh-CN" w:bidi="ar"/>
              </w:rPr>
              <w:t>30</w:t>
            </w:r>
            <w:r>
              <w:rPr>
                <w:rFonts w:hint="eastAsia" w:ascii="宋体" w:hAnsi="宋体" w:eastAsia="宋体" w:cs="Times New Roman"/>
                <w:b w:val="0"/>
                <w:bCs w:val="0"/>
                <w:caps w:val="0"/>
                <w:color w:val="auto"/>
                <w:kern w:val="2"/>
                <w:sz w:val="21"/>
                <w:szCs w:val="21"/>
                <w:highlight w:val="none"/>
                <w:vertAlign w:val="baseline"/>
                <w:lang w:val="en-US" w:eastAsia="zh-CN" w:bidi="ar"/>
              </w:rPr>
              <w:t>天内签订采购合同。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32</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合同存档</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中标单位与采购人签订合同后</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个工作日内将采购合同复印件送至采购代理机构存档。</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33</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招标代理服务费</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依据国家发展改革委发改价格</w:t>
            </w:r>
            <w:r>
              <w:rPr>
                <w:rFonts w:hint="default" w:ascii="Calibri" w:hAnsi="Calibri" w:eastAsia="宋体" w:cs="Times New Roman"/>
                <w:b w:val="0"/>
                <w:bCs w:val="0"/>
                <w:caps w:val="0"/>
                <w:color w:val="auto"/>
                <w:kern w:val="2"/>
                <w:sz w:val="21"/>
                <w:szCs w:val="21"/>
                <w:highlight w:val="none"/>
                <w:vertAlign w:val="baseline"/>
                <w:lang w:val="en-US" w:eastAsia="zh-CN" w:bidi="ar"/>
              </w:rPr>
              <w:t>[2015]299</w:t>
            </w:r>
            <w:r>
              <w:rPr>
                <w:rFonts w:hint="eastAsia" w:ascii="宋体" w:hAnsi="宋体" w:eastAsia="宋体" w:cs="Times New Roman"/>
                <w:b w:val="0"/>
                <w:bCs w:val="0"/>
                <w:caps w:val="0"/>
                <w:color w:val="auto"/>
                <w:kern w:val="2"/>
                <w:sz w:val="21"/>
                <w:szCs w:val="21"/>
                <w:highlight w:val="none"/>
                <w:vertAlign w:val="baseline"/>
                <w:lang w:val="en-US" w:eastAsia="zh-CN" w:bidi="ar"/>
              </w:rPr>
              <w:t>号文件收取，本项目代理费由中标人支付。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34</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投标人信用信息查询</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查询渠道：</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）拒绝列入政府取消投标资格记录期间的企业或个人投标。（</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）未被工商行政管理机关在全国企业信用信息公示系统（</w:t>
            </w:r>
            <w:r>
              <w:rPr>
                <w:rFonts w:hint="default" w:ascii="Calibri" w:hAnsi="Calibri" w:eastAsia="宋体" w:cs="Times New Roman"/>
                <w:b w:val="0"/>
                <w:bCs w:val="0"/>
                <w:caps w:val="0"/>
                <w:color w:val="auto"/>
                <w:kern w:val="2"/>
                <w:sz w:val="21"/>
                <w:szCs w:val="21"/>
                <w:highlight w:val="none"/>
                <w:vertAlign w:val="baseline"/>
                <w:lang w:val="en-US" w:eastAsia="zh-CN" w:bidi="ar"/>
              </w:rPr>
              <w:t>www.gsxt.gov.cn</w:t>
            </w:r>
            <w:r>
              <w:rPr>
                <w:rFonts w:hint="eastAsia" w:ascii="宋体" w:hAnsi="宋体" w:eastAsia="宋体" w:cs="Times New Roman"/>
                <w:b w:val="0"/>
                <w:bCs w:val="0"/>
                <w:caps w:val="0"/>
                <w:color w:val="auto"/>
                <w:kern w:val="2"/>
                <w:sz w:val="21"/>
                <w:szCs w:val="21"/>
                <w:highlight w:val="none"/>
                <w:vertAlign w:val="baseline"/>
                <w:lang w:val="en-US" w:eastAsia="zh-CN" w:bidi="ar"/>
              </w:rPr>
              <w:t>）中列入严重违法失信企业名单。（</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）未被最高人民法院在“信用中国”网站（</w:t>
            </w:r>
            <w:r>
              <w:rPr>
                <w:rFonts w:hint="default" w:ascii="Calibri" w:hAnsi="Calibri" w:eastAsia="宋体" w:cs="Times New Roman"/>
                <w:b w:val="0"/>
                <w:bCs w:val="0"/>
                <w:caps w:val="0"/>
                <w:color w:val="auto"/>
                <w:kern w:val="2"/>
                <w:sz w:val="21"/>
                <w:szCs w:val="21"/>
                <w:highlight w:val="none"/>
                <w:vertAlign w:val="baseline"/>
                <w:lang w:val="en-US" w:eastAsia="zh-CN" w:bidi="ar"/>
              </w:rPr>
              <w:t>https://www.creditchina.gov.cn/</w:t>
            </w:r>
            <w:r>
              <w:rPr>
                <w:rFonts w:hint="eastAsia" w:ascii="宋体" w:hAnsi="宋体" w:eastAsia="宋体" w:cs="Times New Roman"/>
                <w:b w:val="0"/>
                <w:bCs w:val="0"/>
                <w:caps w:val="0"/>
                <w:color w:val="auto"/>
                <w:kern w:val="2"/>
                <w:sz w:val="21"/>
                <w:szCs w:val="21"/>
                <w:highlight w:val="none"/>
                <w:vertAlign w:val="baseline"/>
                <w:lang w:val="en-US" w:eastAsia="zh-CN" w:bidi="ar"/>
              </w:rPr>
              <w:t>）或各级信用信息共享平台中列入失信被执行人名单。（</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）在近三年（</w:t>
            </w:r>
            <w:r>
              <w:rPr>
                <w:rFonts w:hint="default"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宋体" w:hAnsi="宋体" w:eastAsia="宋体" w:cs="Times New Roman"/>
                <w:b w:val="0"/>
                <w:bCs w:val="0"/>
                <w:caps w:val="0"/>
                <w:color w:val="auto"/>
                <w:kern w:val="2"/>
                <w:sz w:val="21"/>
                <w:szCs w:val="21"/>
                <w:highlight w:val="none"/>
                <w:vertAlign w:val="baseline"/>
                <w:lang w:val="en-US" w:eastAsia="zh-CN" w:bidi="ar"/>
              </w:rPr>
              <w:t>年</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月</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日至今）内投标人和法定代表人未在“中国裁判文书网”（</w:t>
            </w:r>
            <w:r>
              <w:rPr>
                <w:rFonts w:hint="default" w:ascii="Calibri" w:hAnsi="Calibri" w:eastAsia="宋体" w:cs="Times New Roman"/>
                <w:b w:val="0"/>
                <w:bCs w:val="0"/>
                <w:caps w:val="0"/>
                <w:color w:val="auto"/>
                <w:kern w:val="2"/>
                <w:sz w:val="21"/>
                <w:szCs w:val="21"/>
                <w:highlight w:val="none"/>
                <w:vertAlign w:val="baseline"/>
                <w:lang w:val="en-US" w:eastAsia="zh-CN" w:bidi="ar"/>
              </w:rPr>
              <w:t>http://wenshu.court.gov.cn/</w:t>
            </w:r>
            <w:r>
              <w:rPr>
                <w:rFonts w:hint="eastAsia" w:ascii="宋体" w:hAnsi="宋体" w:eastAsia="宋体" w:cs="Times New Roman"/>
                <w:b w:val="0"/>
                <w:bCs w:val="0"/>
                <w:caps w:val="0"/>
                <w:color w:val="auto"/>
                <w:kern w:val="2"/>
                <w:sz w:val="21"/>
                <w:szCs w:val="21"/>
                <w:highlight w:val="none"/>
                <w:vertAlign w:val="baseline"/>
                <w:lang w:val="en-US" w:eastAsia="zh-CN" w:bidi="ar"/>
              </w:rPr>
              <w:t>）上有行贿犯罪行为。</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查询截止时点：同投标截止时间</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信用信息查询记录和证据留存的具体方式：</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采购人或采购代理机构将按查询截止时点对所有投标人的信用信息进行查询，网站查询记录作为招投标存档备案材料的组成部分进行留存。</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信用信息的使用规则：</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人或采购代理机构按查询截止时点对所有投标人的信用信息进行查询，查询记录将作为评委评标的依据，对列入失信被执行人、重大税收违法案件当事人名单、政府采购严重违法失信行为记录名单的投标人，投标文件作无效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35</w:t>
            </w:r>
          </w:p>
        </w:tc>
        <w:tc>
          <w:tcPr>
            <w:tcW w:w="176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bidi="ar"/>
              </w:rPr>
            </w:pPr>
            <w:r>
              <w:rPr>
                <w:rFonts w:hint="eastAsia" w:ascii="宋体" w:hAnsi="宋体" w:eastAsia="宋体" w:cs="宋体"/>
                <w:bCs/>
                <w:color w:val="000000" w:themeColor="text1"/>
                <w:szCs w:val="21"/>
                <w:highlight w:val="none"/>
                <w:lang w:val="zh-CN"/>
                <w14:textFill>
                  <w14:solidFill>
                    <w14:schemeClr w14:val="tx1"/>
                  </w14:solidFill>
                </w14:textFill>
              </w:rPr>
              <w:t>需要补充的其他内容</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提供相同品牌产品且通过资格审查、符合性审查的不同投标人参加同一合同项下投标的，按一家投标人计算，评审后得分最高的同品牌投标人获得中标人推荐资格；评审得分相同的，由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color w:val="000000" w:themeColor="text1"/>
                <w:highlight w:val="none"/>
                <w14:textFill>
                  <w14:solidFill>
                    <w14:schemeClr w14:val="tx1"/>
                  </w14:solidFill>
                </w14:textFill>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36</w:t>
            </w:r>
          </w:p>
        </w:tc>
        <w:tc>
          <w:tcPr>
            <w:tcW w:w="1767" w:type="dxa"/>
            <w:vMerge w:val="restar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其他要求</w:t>
            </w: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投标人必须保证投标时所报资料真实有效，采购人保留对资料的核查权力，一旦发现资料有虚假现象将没收投标人投标保证金，并移交有关部门处理。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571" w:type="dxa"/>
            <w:vMerge w:val="continue"/>
            <w:tcBorders>
              <w:top w:val="nil"/>
              <w:left w:val="single" w:color="auto" w:sz="4" w:space="0"/>
              <w:bottom w:val="single" w:color="auto" w:sz="4" w:space="0"/>
              <w:right w:val="single" w:color="auto" w:sz="4" w:space="0"/>
            </w:tcBorders>
            <w:shd w:val="clear" w:color="auto" w:fill="auto"/>
            <w:noWrap/>
            <w:vAlign w:val="center"/>
          </w:tcPr>
          <w:p>
            <w:pPr>
              <w:spacing w:line="360" w:lineRule="auto"/>
              <w:rPr>
                <w:rFonts w:hint="eastAsia" w:ascii="宋体"/>
                <w:sz w:val="24"/>
                <w:szCs w:val="24"/>
                <w:highlight w:val="none"/>
              </w:rPr>
            </w:pPr>
          </w:p>
        </w:tc>
        <w:tc>
          <w:tcPr>
            <w:tcW w:w="1767" w:type="dxa"/>
            <w:vMerge w:val="continue"/>
            <w:tcBorders>
              <w:top w:val="nil"/>
              <w:left w:val="nil"/>
              <w:bottom w:val="single" w:color="auto" w:sz="4" w:space="0"/>
              <w:right w:val="single" w:color="auto" w:sz="4" w:space="0"/>
            </w:tcBorders>
            <w:shd w:val="clear" w:color="auto" w:fill="auto"/>
            <w:noWrap/>
            <w:vAlign w:val="center"/>
          </w:tcPr>
          <w:p>
            <w:pPr>
              <w:spacing w:line="360" w:lineRule="auto"/>
              <w:rPr>
                <w:rFonts w:hint="eastAsia" w:ascii="宋体"/>
                <w:sz w:val="24"/>
                <w:szCs w:val="24"/>
                <w:highlight w:val="none"/>
              </w:rPr>
            </w:pP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按照财政部、发展改革委最新发布执行的《节能产品政府采购清单》的规定，《货物需求及技术规格要求》中凡包含强制采购产品的，投标人必须提供列入《节能产品政府采购清单》的产品，否则投标无效。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54" w:hRule="atLeast"/>
          <w:jc w:val="center"/>
        </w:trPr>
        <w:tc>
          <w:tcPr>
            <w:tcW w:w="571" w:type="dxa"/>
            <w:vMerge w:val="continue"/>
            <w:tcBorders>
              <w:top w:val="nil"/>
              <w:left w:val="single" w:color="auto" w:sz="4" w:space="0"/>
              <w:bottom w:val="single" w:color="auto" w:sz="4" w:space="0"/>
              <w:right w:val="single" w:color="auto" w:sz="4" w:space="0"/>
            </w:tcBorders>
            <w:shd w:val="clear" w:color="auto" w:fill="auto"/>
            <w:noWrap/>
            <w:vAlign w:val="center"/>
          </w:tcPr>
          <w:p>
            <w:pPr>
              <w:spacing w:line="360" w:lineRule="auto"/>
              <w:rPr>
                <w:rFonts w:hint="eastAsia" w:ascii="宋体"/>
                <w:sz w:val="24"/>
                <w:szCs w:val="24"/>
                <w:highlight w:val="none"/>
              </w:rPr>
            </w:pPr>
          </w:p>
        </w:tc>
        <w:tc>
          <w:tcPr>
            <w:tcW w:w="1767" w:type="dxa"/>
            <w:vMerge w:val="continue"/>
            <w:tcBorders>
              <w:top w:val="nil"/>
              <w:left w:val="nil"/>
              <w:bottom w:val="single" w:color="auto" w:sz="4" w:space="0"/>
              <w:right w:val="single" w:color="auto" w:sz="4" w:space="0"/>
            </w:tcBorders>
            <w:shd w:val="clear" w:color="auto" w:fill="auto"/>
            <w:noWrap/>
            <w:vAlign w:val="center"/>
          </w:tcPr>
          <w:p>
            <w:pPr>
              <w:spacing w:line="360" w:lineRule="auto"/>
              <w:rPr>
                <w:rFonts w:hint="eastAsia" w:ascii="宋体"/>
                <w:sz w:val="24"/>
                <w:szCs w:val="24"/>
                <w:highlight w:val="none"/>
              </w:rPr>
            </w:pPr>
          </w:p>
        </w:tc>
        <w:tc>
          <w:tcPr>
            <w:tcW w:w="6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只接受以书面形式向采购人、采购代理机构提出质疑，不接受以其他形式或提出的质疑。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3" w:hRule="atLeast"/>
          <w:jc w:val="center"/>
        </w:trPr>
        <w:tc>
          <w:tcPr>
            <w:tcW w:w="907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注意事项：本项目招标公告与招标文件中内容有不符之处，以本招标文件中内容为准。</w:t>
            </w:r>
          </w:p>
          <w:p>
            <w:pPr>
              <w:pStyle w:val="3"/>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1</w:t>
            </w:r>
            <w:r>
              <w:rPr>
                <w:rFonts w:hint="eastAsia" w:ascii="宋体" w:hAnsi="宋体" w:eastAsia="宋体" w:cs="Times New Roman"/>
                <w:caps w:val="0"/>
                <w:color w:val="auto"/>
                <w:kern w:val="2"/>
                <w:sz w:val="21"/>
                <w:szCs w:val="21"/>
                <w:highlight w:val="none"/>
                <w:vertAlign w:val="baseline"/>
                <w:lang w:bidi="ar"/>
              </w:rPr>
              <w:t xml:space="preserve">、在评审过程中，投标人报价过低，有可能影响产品质量或者不能诚信履约的，评标委员会应当要求其在评审现场合理的时间内提供书面说明，并提交相关证明材料，投标人不能证明其报价合理性的，评标委员会应当将其作为无效处理。 </w:t>
            </w:r>
          </w:p>
          <w:p>
            <w:pPr>
              <w:pStyle w:val="3"/>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投标人的书面说明材料应当按照国家财务会计制度的规定要求，逐项就投标人提供的货物、工程和服务的主营业务成本、税金及附加、销售费用、管理费用、财务费用等成本构成事项详细陈述。</w:t>
            </w:r>
            <w:r>
              <w:rPr>
                <w:rFonts w:hint="default" w:ascii="Calibri" w:hAnsi="Calibri" w:eastAsia="宋体" w:cs="Times New Roman"/>
                <w:caps w:val="0"/>
                <w:color w:val="auto"/>
                <w:kern w:val="2"/>
                <w:sz w:val="21"/>
                <w:szCs w:val="21"/>
                <w:highlight w:val="none"/>
                <w:vertAlign w:val="baseline"/>
                <w:lang w:bidi="ar"/>
              </w:rPr>
              <w:t xml:space="preserve"> </w:t>
            </w:r>
          </w:p>
          <w:p>
            <w:pPr>
              <w:pStyle w:val="3"/>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2</w:t>
            </w:r>
            <w:r>
              <w:rPr>
                <w:rFonts w:hint="eastAsia" w:ascii="宋体" w:hAnsi="宋体" w:eastAsia="宋体" w:cs="Times New Roman"/>
                <w:caps w:val="0"/>
                <w:color w:val="auto"/>
                <w:kern w:val="2"/>
                <w:sz w:val="21"/>
                <w:szCs w:val="21"/>
                <w:highlight w:val="none"/>
                <w:vertAlign w:val="baseline"/>
                <w:lang w:bidi="ar"/>
              </w:rPr>
              <w:t xml:space="preserve">、投标人书面说明应当签字确认或者加盖公章，否则无效。 </w:t>
            </w:r>
          </w:p>
          <w:p>
            <w:pPr>
              <w:pStyle w:val="3"/>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书面说明的签字确认，由其法定代表人</w:t>
            </w:r>
            <w:r>
              <w:rPr>
                <w:rFonts w:hint="default" w:ascii="Calibri" w:hAnsi="Calibri" w:eastAsia="宋体" w:cs="Times New Roman"/>
                <w:caps w:val="0"/>
                <w:color w:val="auto"/>
                <w:kern w:val="2"/>
                <w:sz w:val="21"/>
                <w:szCs w:val="21"/>
                <w:highlight w:val="none"/>
                <w:vertAlign w:val="baseline"/>
                <w:lang w:bidi="ar"/>
              </w:rPr>
              <w:t>/</w:t>
            </w:r>
            <w:r>
              <w:rPr>
                <w:rFonts w:hint="eastAsia" w:ascii="宋体" w:hAnsi="宋体" w:eastAsia="宋体" w:cs="Times New Roman"/>
                <w:caps w:val="0"/>
                <w:color w:val="auto"/>
                <w:kern w:val="2"/>
                <w:sz w:val="21"/>
                <w:szCs w:val="21"/>
                <w:highlight w:val="none"/>
                <w:vertAlign w:val="baseline"/>
                <w:lang w:bidi="ar"/>
              </w:rPr>
              <w:t>主要负责人</w:t>
            </w:r>
            <w:r>
              <w:rPr>
                <w:rFonts w:hint="default" w:ascii="Calibri" w:hAnsi="Calibri" w:eastAsia="宋体" w:cs="Times New Roman"/>
                <w:caps w:val="0"/>
                <w:color w:val="auto"/>
                <w:kern w:val="2"/>
                <w:sz w:val="21"/>
                <w:szCs w:val="21"/>
                <w:highlight w:val="none"/>
                <w:vertAlign w:val="baseline"/>
                <w:lang w:bidi="ar"/>
              </w:rPr>
              <w:t>/</w:t>
            </w:r>
            <w:r>
              <w:rPr>
                <w:rFonts w:hint="eastAsia" w:ascii="宋体" w:hAnsi="宋体" w:eastAsia="宋体" w:cs="Times New Roman"/>
                <w:caps w:val="0"/>
                <w:color w:val="auto"/>
                <w:kern w:val="2"/>
                <w:sz w:val="21"/>
                <w:szCs w:val="21"/>
                <w:highlight w:val="none"/>
                <w:vertAlign w:val="baseline"/>
                <w:lang w:bidi="ar"/>
              </w:rPr>
              <w:t xml:space="preserve">本人或者其授权代表签字确认。 </w:t>
            </w:r>
          </w:p>
          <w:p>
            <w:pPr>
              <w:pStyle w:val="3"/>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或未在规定时间内递交有效书面说明书的，评标委员会应当将其投标文件作为无效处理。</w:t>
            </w:r>
          </w:p>
          <w:p>
            <w:pPr>
              <w:pStyle w:val="3"/>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电子投标文件编制及报送要求：</w:t>
            </w:r>
          </w:p>
          <w:p>
            <w:pPr>
              <w:pStyle w:val="3"/>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投标人应按招标文件要求编制投标文件，将所有投标文件内容上传至</w:t>
            </w:r>
            <w:r>
              <w:rPr>
                <w:rFonts w:hint="default" w:ascii="Calibri" w:hAnsi="Calibri" w:eastAsia="宋体" w:cs="Times New Roman"/>
                <w:caps w:val="0"/>
                <w:color w:val="auto"/>
                <w:kern w:val="2"/>
                <w:sz w:val="21"/>
                <w:szCs w:val="21"/>
                <w:highlight w:val="none"/>
                <w:vertAlign w:val="baseline"/>
                <w:lang w:bidi="ar"/>
              </w:rPr>
              <w:t>“</w:t>
            </w:r>
            <w:r>
              <w:rPr>
                <w:rFonts w:hint="eastAsia" w:ascii="宋体" w:hAnsi="宋体" w:eastAsia="宋体" w:cs="Times New Roman"/>
                <w:caps w:val="0"/>
                <w:color w:val="auto"/>
                <w:kern w:val="2"/>
                <w:sz w:val="21"/>
                <w:szCs w:val="21"/>
                <w:highlight w:val="none"/>
                <w:vertAlign w:val="baseline"/>
                <w:lang w:bidi="ar"/>
              </w:rPr>
              <w:t>政采云</w:t>
            </w:r>
            <w:r>
              <w:rPr>
                <w:rFonts w:hint="default" w:ascii="Calibri" w:hAnsi="Calibri" w:eastAsia="宋体" w:cs="Times New Roman"/>
                <w:caps w:val="0"/>
                <w:color w:val="auto"/>
                <w:kern w:val="2"/>
                <w:sz w:val="21"/>
                <w:szCs w:val="21"/>
                <w:highlight w:val="none"/>
                <w:vertAlign w:val="baseline"/>
                <w:lang w:bidi="ar"/>
              </w:rPr>
              <w:t>”</w:t>
            </w:r>
            <w:r>
              <w:rPr>
                <w:rFonts w:hint="eastAsia" w:ascii="宋体" w:hAnsi="宋体" w:eastAsia="宋体" w:cs="Times New Roman"/>
                <w:caps w:val="0"/>
                <w:color w:val="auto"/>
                <w:kern w:val="2"/>
                <w:sz w:val="21"/>
                <w:szCs w:val="21"/>
                <w:highlight w:val="none"/>
                <w:vertAlign w:val="baseline"/>
                <w:lang w:bidi="ar"/>
              </w:rPr>
              <w:t>平台，并在开标现场持制作投标文件时用来加密的有效数字证书（</w:t>
            </w:r>
            <w:r>
              <w:rPr>
                <w:rFonts w:hint="default" w:ascii="Calibri" w:hAnsi="Calibri" w:eastAsia="宋体" w:cs="Times New Roman"/>
                <w:caps w:val="0"/>
                <w:color w:val="auto"/>
                <w:kern w:val="2"/>
                <w:sz w:val="21"/>
                <w:szCs w:val="21"/>
                <w:highlight w:val="none"/>
                <w:vertAlign w:val="baseline"/>
                <w:lang w:bidi="ar"/>
              </w:rPr>
              <w:t>CA</w:t>
            </w:r>
            <w:r>
              <w:rPr>
                <w:rFonts w:hint="eastAsia" w:ascii="宋体" w:hAnsi="宋体" w:eastAsia="宋体" w:cs="Times New Roman"/>
                <w:caps w:val="0"/>
                <w:color w:val="auto"/>
                <w:kern w:val="2"/>
                <w:sz w:val="21"/>
                <w:szCs w:val="21"/>
                <w:highlight w:val="none"/>
                <w:vertAlign w:val="baseline"/>
                <w:lang w:bidi="ar"/>
              </w:rPr>
              <w:t>认证）对投标文件进行解密。</w:t>
            </w:r>
          </w:p>
          <w:p>
            <w:pPr>
              <w:pStyle w:val="3"/>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电子投标文件中反应投标人资格审查的图片、扫描件、文字描述等，必须清晰可见。其中所有证书和执照必须为原件扫描。</w:t>
            </w:r>
          </w:p>
          <w:p>
            <w:pPr>
              <w:pStyle w:val="3"/>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1" w:after="0" w:afterAutospacing="0" w:line="24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caps w:val="0"/>
                <w:color w:val="auto"/>
                <w:kern w:val="2"/>
                <w:sz w:val="21"/>
                <w:szCs w:val="21"/>
                <w:highlight w:val="none"/>
                <w:vertAlign w:val="baseline"/>
                <w:lang w:bidi="ar"/>
              </w:rPr>
              <w:t>若投标人上传的电子投标文件因无法解密而对投标文件无法进行评价的，招标人可以拒绝该投标人投标。</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pStyle w:val="20"/>
        <w:rPr>
          <w:rFonts w:hint="default"/>
        </w:rPr>
      </w:pPr>
    </w:p>
    <w:p>
      <w:pPr>
        <w:rPr>
          <w:rFonts w:hint="eastAsia" w:ascii="宋体" w:hAnsi="宋体" w:eastAsia="宋体" w:cs="Times New Roman"/>
          <w:b/>
          <w:bCs/>
          <w:caps w:val="0"/>
          <w:color w:val="auto"/>
          <w:kern w:val="2"/>
          <w:sz w:val="28"/>
          <w:szCs w:val="28"/>
          <w:highlight w:val="none"/>
          <w:vertAlign w:val="baseline"/>
          <w:lang w:val="en-US" w:eastAsia="zh-CN" w:bidi="ar"/>
        </w:rPr>
      </w:pPr>
      <w:r>
        <w:rPr>
          <w:rFonts w:hint="eastAsia" w:ascii="宋体" w:hAnsi="宋体" w:eastAsia="宋体" w:cs="Times New Roman"/>
          <w:b/>
          <w:bCs/>
          <w:caps w:val="0"/>
          <w:color w:val="auto"/>
          <w:kern w:val="2"/>
          <w:sz w:val="28"/>
          <w:szCs w:val="28"/>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8"/>
          <w:szCs w:val="28"/>
          <w:highlight w:val="none"/>
          <w:vertAlign w:val="baseline"/>
          <w:lang w:bidi="ar"/>
        </w:rPr>
      </w:pPr>
      <w:r>
        <w:rPr>
          <w:rFonts w:hint="eastAsia" w:ascii="宋体" w:hAnsi="宋体" w:eastAsia="宋体" w:cs="Times New Roman"/>
          <w:b/>
          <w:bCs/>
          <w:caps w:val="0"/>
          <w:color w:val="auto"/>
          <w:kern w:val="2"/>
          <w:sz w:val="28"/>
          <w:szCs w:val="28"/>
          <w:highlight w:val="none"/>
          <w:vertAlign w:val="baseline"/>
          <w:lang w:val="en-US" w:eastAsia="zh-CN" w:bidi="ar"/>
        </w:rPr>
        <w:t>二</w:t>
      </w:r>
      <w:r>
        <w:rPr>
          <w:rFonts w:hint="default" w:ascii="Calibri" w:hAnsi="Calibri" w:eastAsia="宋体" w:cs="Times New Roman"/>
          <w:b/>
          <w:bCs/>
          <w:caps w:val="0"/>
          <w:color w:val="auto"/>
          <w:kern w:val="2"/>
          <w:sz w:val="28"/>
          <w:szCs w:val="28"/>
          <w:highlight w:val="none"/>
          <w:vertAlign w:val="baseline"/>
          <w:lang w:val="en-US" w:eastAsia="zh-CN" w:bidi="ar"/>
        </w:rPr>
        <w:t xml:space="preserve"> </w:t>
      </w:r>
      <w:r>
        <w:rPr>
          <w:rFonts w:hint="eastAsia" w:ascii="宋体" w:hAnsi="宋体" w:eastAsia="宋体" w:cs="Times New Roman"/>
          <w:b/>
          <w:bCs/>
          <w:caps w:val="0"/>
          <w:color w:val="auto"/>
          <w:kern w:val="2"/>
          <w:sz w:val="28"/>
          <w:szCs w:val="28"/>
          <w:highlight w:val="none"/>
          <w:vertAlign w:val="baseline"/>
          <w:lang w:val="en-US" w:eastAsia="zh-CN" w:bidi="ar"/>
        </w:rPr>
        <w:t>供应商须知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项目招标依据为《中华人民共和国政府采购法》、《中华人民共和国政府采购法实施条例》、《政府采购货物和服务招标投标管理办法》国家发展计划委员会等七部委《评标委员会和评标方法暂行规定》等有关法律、法规及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A </w:t>
      </w:r>
      <w:r>
        <w:rPr>
          <w:rFonts w:hint="eastAsia" w:ascii="宋体" w:hAnsi="宋体" w:eastAsia="宋体" w:cs="Times New Roman"/>
          <w:b w:val="0"/>
          <w:bCs w:val="0"/>
          <w:caps w:val="0"/>
          <w:color w:val="auto"/>
          <w:kern w:val="2"/>
          <w:sz w:val="21"/>
          <w:szCs w:val="21"/>
          <w:highlight w:val="none"/>
          <w:vertAlign w:val="baseline"/>
          <w:lang w:val="en-US" w:eastAsia="zh-CN" w:bidi="ar"/>
        </w:rPr>
        <w:t>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适用范围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本文件是受采购人委托，对采购人委托采购项目的规范性招标文件，适用于本项目招标公告所述的标的采购及服务，是供应商编制投标文件的依据。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法律适用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本招标文件及由本次招标产生的合同适用中华人民共和国法律。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定义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“招标机构”系指组织本次招标的代理机构；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“供应商”系指向招标机构提交投标文件的投标商；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“买方”系指采购单位，合同一方当事人；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“服务”系指招标文件规定须完成的服务和其他的类似义务；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“日”、“天”系指日历日；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“合同”是买方与中标人共同以招标文件、投标文件为依据，经过协商签订的具备法律效力的文件。招标文件、投标文件及其共同确定的补充文件是合同的有效组成部分，与合同具备同等的法律效力。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合格的供应商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4.1</w:t>
      </w:r>
      <w:r>
        <w:rPr>
          <w:rFonts w:hint="eastAsia" w:ascii="宋体" w:hAnsi="宋体" w:eastAsia="宋体" w:cs="Times New Roman"/>
          <w:b w:val="0"/>
          <w:bCs w:val="0"/>
          <w:caps w:val="0"/>
          <w:color w:val="auto"/>
          <w:kern w:val="2"/>
          <w:sz w:val="21"/>
          <w:szCs w:val="21"/>
          <w:highlight w:val="none"/>
          <w:vertAlign w:val="baseline"/>
          <w:lang w:val="en-US" w:eastAsia="zh-CN" w:bidi="ar"/>
        </w:rPr>
        <w:t>合格供应商必须符合供应商须知前附表第</w:t>
      </w:r>
      <w:r>
        <w:rPr>
          <w:rFonts w:hint="default"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项下各项要求，并在投标时提供以下文件，若有遗漏或不符合要求均为资格审查不合格；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4.2</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仔细阅读招标文件的所有内容，按招标文件的要求提供投标文件，并保证所提供的全部资料的真实性，使其投标对招标文件做出实质性响应，否则，其投标将被拒绝。招标机构保留进一步要求供应商补充提供有关材料的权利，拒绝补充材料或提供材料不真实，将被视为自动放弃投标资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．投标费用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供应商应承担其在投标准备、编制、递交投标文件和签订合同协议书的整个过程中发生的一切费用而不论其投标结果如何。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B.</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6.</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招标文件用以阐明所需货物及服务、招标投标程序和投标文件格式。招标文件由以下部分组成：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第一章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招标公告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第二章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供应商须知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第三章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评标办法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第四章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采购需求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第五章</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合同条款及格式</w:t>
      </w:r>
    </w:p>
    <w:p>
      <w:pPr>
        <w:pStyle w:val="22"/>
        <w:ind w:left="0" w:leftChars="0" w:firstLine="0" w:firstLineChars="0"/>
        <w:rPr>
          <w:rFonts w:hint="default"/>
          <w:lang w:val="en-US"/>
        </w:rPr>
      </w:pPr>
      <w:r>
        <w:rPr>
          <w:rFonts w:hint="eastAsia" w:ascii="宋体" w:hAnsi="宋体" w:eastAsia="宋体" w:cs="Times New Roman"/>
          <w:b w:val="0"/>
          <w:bCs w:val="0"/>
          <w:caps w:val="0"/>
          <w:color w:val="auto"/>
          <w:kern w:val="2"/>
          <w:sz w:val="21"/>
          <w:szCs w:val="21"/>
          <w:highlight w:val="none"/>
          <w:vertAlign w:val="baseline"/>
          <w:lang w:val="en-US" w:eastAsia="zh-CN" w:bidi="ar"/>
        </w:rPr>
        <w:t>第六章 投标文件格式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7.</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招标文件的澄清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供应商对本次招标文件的内容有疑问时，可要求澄清，但应在距投标截止日</w:t>
      </w:r>
      <w:r>
        <w:rPr>
          <w:rFonts w:hint="default" w:ascii="Calibri" w:hAnsi="Calibri" w:eastAsia="宋体" w:cs="Times New Roman"/>
          <w:b w:val="0"/>
          <w:bCs w:val="0"/>
          <w:caps w:val="0"/>
          <w:color w:val="auto"/>
          <w:kern w:val="2"/>
          <w:sz w:val="21"/>
          <w:szCs w:val="21"/>
          <w:highlight w:val="none"/>
          <w:vertAlign w:val="baseline"/>
          <w:lang w:val="en-US" w:eastAsia="zh-CN" w:bidi="ar"/>
        </w:rPr>
        <w:t>15</w:t>
      </w:r>
      <w:r>
        <w:rPr>
          <w:rFonts w:hint="eastAsia" w:ascii="宋体" w:hAnsi="宋体" w:eastAsia="宋体" w:cs="Times New Roman"/>
          <w:b w:val="0"/>
          <w:bCs w:val="0"/>
          <w:caps w:val="0"/>
          <w:color w:val="auto"/>
          <w:kern w:val="2"/>
          <w:sz w:val="21"/>
          <w:szCs w:val="21"/>
          <w:highlight w:val="none"/>
          <w:vertAlign w:val="baseline"/>
          <w:lang w:val="en-US" w:eastAsia="zh-CN" w:bidi="ar"/>
        </w:rPr>
        <w:t>日前，按供应商须知注明的联系地址以书面形式（包括信函、传真，下同）通知到招标机构。招标机构将视情况确定采用其认为适当的方式予以澄清或以书面形式予以答复，并在其认为必要时，将不标明查询来源的书面答复发给所有购买招标文件的每一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8.</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招标文件的修改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8.1</w:t>
      </w:r>
      <w:r>
        <w:rPr>
          <w:rFonts w:hint="eastAsia" w:ascii="宋体" w:hAnsi="宋体" w:eastAsia="宋体" w:cs="Times New Roman"/>
          <w:b w:val="0"/>
          <w:bCs w:val="0"/>
          <w:caps w:val="0"/>
          <w:color w:val="auto"/>
          <w:kern w:val="2"/>
          <w:sz w:val="21"/>
          <w:szCs w:val="21"/>
          <w:highlight w:val="none"/>
          <w:vertAlign w:val="baseline"/>
          <w:lang w:val="en-US" w:eastAsia="zh-CN" w:bidi="ar"/>
        </w:rPr>
        <w:t>在投标截止时间前，招标机构可根据需要和（或）依据供应商要求澄清的问题而修改招标文件，并以书面形式通知所有购买招标文件的供应商，供应商在收到该通知后应立即以传真的形式予以确认；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8.2 </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招标文件的修改书将构成招标文件的一部分，对供应商具有同样的约束力。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8.3</w:t>
      </w:r>
      <w:r>
        <w:rPr>
          <w:rFonts w:hint="eastAsia" w:ascii="宋体" w:hAnsi="宋体" w:eastAsia="宋体" w:cs="Times New Roman"/>
          <w:b w:val="0"/>
          <w:bCs w:val="0"/>
          <w:caps w:val="0"/>
          <w:color w:val="auto"/>
          <w:kern w:val="2"/>
          <w:sz w:val="21"/>
          <w:szCs w:val="21"/>
          <w:highlight w:val="none"/>
          <w:vertAlign w:val="baseline"/>
          <w:lang w:val="en-US" w:eastAsia="zh-CN" w:bidi="ar"/>
        </w:rPr>
        <w:t>为使供应商有足够的时间按招标文件的修改要求考虑修正投标文件，招标机构可酌情推迟投标的截止时间和开标时间，并以书面形式通知已购买招标文件的每一供应商。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C</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投标文件的编写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w:t>
      </w:r>
      <w:r>
        <w:rPr>
          <w:rFonts w:hint="eastAsia" w:ascii="宋体" w:hAnsi="宋体" w:eastAsia="宋体" w:cs="Times New Roman"/>
          <w:b w:val="0"/>
          <w:bCs w:val="0"/>
          <w:caps w:val="0"/>
          <w:color w:val="auto"/>
          <w:kern w:val="2"/>
          <w:sz w:val="21"/>
          <w:szCs w:val="21"/>
          <w:highlight w:val="none"/>
          <w:vertAlign w:val="baseline"/>
          <w:lang w:val="en-US" w:eastAsia="zh-CN" w:bidi="ar"/>
        </w:rPr>
        <w:t>投标语言及计量单位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投标文件及供应商和招标机构就投标交换的文件和来往信件，以中文书写（专有名词除外）；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9.2</w:t>
      </w:r>
      <w:r>
        <w:rPr>
          <w:rFonts w:hint="eastAsia" w:ascii="宋体" w:hAnsi="宋体" w:eastAsia="宋体" w:cs="Times New Roman"/>
          <w:b w:val="0"/>
          <w:bCs w:val="0"/>
          <w:caps w:val="0"/>
          <w:color w:val="auto"/>
          <w:kern w:val="2"/>
          <w:sz w:val="21"/>
          <w:szCs w:val="21"/>
          <w:highlight w:val="none"/>
          <w:vertAlign w:val="baseline"/>
          <w:lang w:val="en-US" w:eastAsia="zh-CN" w:bidi="ar"/>
        </w:rPr>
        <w:t>除在招标文件的“技术要求”中另有规定外， 计量单位应使用中华人民共和国法定计量单位（国际单位制和国家选定的其他计量单位）。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．投标文件的组成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详见第五章：合同条款及格式。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投标文件内容填写说明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11.1</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供应商应严格按招标文件要求的内容逐项填写编制投标文件，有规定格式的按规定格式填写，无规定格式的由供应商自拟，并胶装成册。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11.2</w:t>
      </w:r>
      <w:r>
        <w:rPr>
          <w:rFonts w:hint="eastAsia" w:ascii="宋体" w:hAnsi="宋体" w:eastAsia="宋体" w:cs="Times New Roman"/>
          <w:b w:val="0"/>
          <w:bCs w:val="0"/>
          <w:caps w:val="0"/>
          <w:color w:val="auto"/>
          <w:kern w:val="2"/>
          <w:sz w:val="21"/>
          <w:szCs w:val="21"/>
          <w:highlight w:val="none"/>
          <w:vertAlign w:val="baseline"/>
          <w:lang w:val="en-US" w:eastAsia="zh-CN" w:bidi="ar"/>
        </w:rPr>
        <w:t>开标一览表为在开标仪式上唱标的内容，要求按格式填写、统一规范，不得自行增减内容。投标文件不得漏项或虚报，否则将可能导致其投标被拒绝。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11.3 </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供应商应保证其所提供文件的真实性，并应对招标文件的实质性要求作出完全响应，否则其投标可能被拒绝。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11.4</w:t>
      </w:r>
      <w:r>
        <w:rPr>
          <w:rFonts w:hint="eastAsia" w:ascii="宋体" w:hAnsi="宋体" w:eastAsia="宋体" w:cs="Times New Roman"/>
          <w:b w:val="0"/>
          <w:bCs w:val="0"/>
          <w:caps w:val="0"/>
          <w:color w:val="auto"/>
          <w:kern w:val="2"/>
          <w:sz w:val="21"/>
          <w:szCs w:val="21"/>
          <w:highlight w:val="none"/>
          <w:vertAlign w:val="baseline"/>
          <w:lang w:val="en-US" w:eastAsia="zh-CN" w:bidi="ar"/>
        </w:rPr>
        <w:t>供应商视需要自行编制技术文件的补充附件。规格幅面应与正文一致，附于正文之后，与正文页码统一编目编码装订。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w:t>
      </w:r>
      <w:r>
        <w:rPr>
          <w:rFonts w:hint="eastAsia" w:ascii="宋体" w:hAnsi="宋体" w:eastAsia="宋体" w:cs="Times New Roman"/>
          <w:b w:val="0"/>
          <w:bCs w:val="0"/>
          <w:caps w:val="0"/>
          <w:color w:val="auto"/>
          <w:kern w:val="2"/>
          <w:sz w:val="21"/>
          <w:szCs w:val="21"/>
          <w:highlight w:val="none"/>
          <w:vertAlign w:val="baseline"/>
          <w:lang w:val="en-US" w:eastAsia="zh-CN" w:bidi="ar"/>
        </w:rPr>
        <w:t>投标报价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12.1 </w:t>
      </w:r>
      <w:r>
        <w:rPr>
          <w:rFonts w:hint="eastAsia" w:ascii="宋体" w:hAnsi="宋体" w:eastAsia="宋体" w:cs="Times New Roman"/>
          <w:b w:val="0"/>
          <w:bCs w:val="0"/>
          <w:caps w:val="0"/>
          <w:color w:val="auto"/>
          <w:kern w:val="2"/>
          <w:sz w:val="21"/>
          <w:szCs w:val="21"/>
          <w:highlight w:val="none"/>
          <w:vertAlign w:val="baseline"/>
          <w:lang w:val="en-US" w:eastAsia="zh-CN" w:bidi="ar"/>
        </w:rPr>
        <w:t>所有投标均以人民币报价；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12.2</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供应商应在填写分项报价表时注明各项单价、总价。如果单价与总价有出入，以单价为准。招标机构不接受有任何选择的报价；报价须有法人代表或授权代表签署。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12.3</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供应商应按上述</w:t>
      </w:r>
      <w:r>
        <w:rPr>
          <w:rFonts w:hint="default" w:ascii="Calibri" w:hAnsi="Calibri" w:eastAsia="宋体" w:cs="Times New Roman"/>
          <w:b w:val="0"/>
          <w:bCs w:val="0"/>
          <w:caps w:val="0"/>
          <w:color w:val="auto"/>
          <w:kern w:val="2"/>
          <w:sz w:val="21"/>
          <w:szCs w:val="21"/>
          <w:highlight w:val="none"/>
          <w:vertAlign w:val="baseline"/>
          <w:lang w:val="en-US" w:eastAsia="zh-CN" w:bidi="ar"/>
        </w:rPr>
        <w:t>12.1-12.3</w:t>
      </w:r>
      <w:r>
        <w:rPr>
          <w:rFonts w:hint="eastAsia" w:ascii="宋体" w:hAnsi="宋体" w:eastAsia="宋体" w:cs="Times New Roman"/>
          <w:b w:val="0"/>
          <w:bCs w:val="0"/>
          <w:caps w:val="0"/>
          <w:color w:val="auto"/>
          <w:kern w:val="2"/>
          <w:sz w:val="21"/>
          <w:szCs w:val="21"/>
          <w:highlight w:val="none"/>
          <w:vertAlign w:val="baseline"/>
          <w:lang w:val="en-US" w:eastAsia="zh-CN" w:bidi="ar"/>
        </w:rPr>
        <w:t>条款要求填写投标报价，以供评标委员会比较评价。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12.4</w:t>
      </w:r>
      <w:r>
        <w:rPr>
          <w:rFonts w:hint="eastAsia" w:ascii="宋体" w:hAnsi="宋体" w:eastAsia="宋体" w:cs="Times New Roman"/>
          <w:b w:val="0"/>
          <w:bCs w:val="0"/>
          <w:caps w:val="0"/>
          <w:color w:val="auto"/>
          <w:kern w:val="2"/>
          <w:sz w:val="21"/>
          <w:szCs w:val="21"/>
          <w:highlight w:val="none"/>
          <w:vertAlign w:val="baseline"/>
          <w:lang w:val="en-US" w:eastAsia="zh-CN" w:bidi="ar"/>
        </w:rPr>
        <w:t>供应商因承包本项目需支付的一切费用，并包含在所报的单价或总额价内。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投标保证金（如有）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13.1</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投标保证金的形式：现金或现金支票、保兑支票、银行汇票及银行、专业担保公司、保险公司出具的保函等形式，以现金或支票形式提交的投标保证金应当从供应商的基本账户转出。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13.2</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投标保证金的金额：见供应商须知前附表第</w:t>
      </w:r>
      <w:r>
        <w:rPr>
          <w:rFonts w:hint="default" w:ascii="Calibri" w:hAnsi="Calibri" w:eastAsia="宋体" w:cs="Times New Roman"/>
          <w:b w:val="0"/>
          <w:bCs w:val="0"/>
          <w:caps w:val="0"/>
          <w:color w:val="auto"/>
          <w:kern w:val="2"/>
          <w:sz w:val="21"/>
          <w:szCs w:val="21"/>
          <w:highlight w:val="none"/>
          <w:vertAlign w:val="baseline"/>
          <w:lang w:val="en-US" w:eastAsia="zh-CN" w:bidi="ar"/>
        </w:rPr>
        <w:t>19</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项；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13.3</w:t>
      </w:r>
      <w:r>
        <w:rPr>
          <w:rFonts w:hint="eastAsia" w:ascii="宋体" w:hAnsi="宋体" w:eastAsia="宋体" w:cs="Times New Roman"/>
          <w:b w:val="0"/>
          <w:bCs w:val="0"/>
          <w:caps w:val="0"/>
          <w:color w:val="auto"/>
          <w:kern w:val="2"/>
          <w:sz w:val="21"/>
          <w:szCs w:val="21"/>
          <w:highlight w:val="none"/>
          <w:vertAlign w:val="baseline"/>
          <w:lang w:val="en-US" w:eastAsia="zh-CN" w:bidi="ar"/>
        </w:rPr>
        <w:t>递交方式：见供应商须知前附表第</w:t>
      </w:r>
      <w:r>
        <w:rPr>
          <w:rFonts w:hint="default" w:ascii="Calibri" w:hAnsi="Calibri" w:eastAsia="宋体" w:cs="Times New Roman"/>
          <w:b w:val="0"/>
          <w:bCs w:val="0"/>
          <w:caps w:val="0"/>
          <w:color w:val="auto"/>
          <w:kern w:val="2"/>
          <w:sz w:val="21"/>
          <w:szCs w:val="21"/>
          <w:highlight w:val="none"/>
          <w:vertAlign w:val="baseline"/>
          <w:lang w:val="en-US" w:eastAsia="zh-CN" w:bidi="ar"/>
        </w:rPr>
        <w:t>19</w:t>
      </w:r>
      <w:r>
        <w:rPr>
          <w:rFonts w:hint="eastAsia" w:ascii="宋体" w:hAnsi="宋体" w:eastAsia="宋体" w:cs="Times New Roman"/>
          <w:b w:val="0"/>
          <w:bCs w:val="0"/>
          <w:caps w:val="0"/>
          <w:color w:val="auto"/>
          <w:kern w:val="2"/>
          <w:sz w:val="21"/>
          <w:szCs w:val="21"/>
          <w:highlight w:val="none"/>
          <w:vertAlign w:val="baseline"/>
          <w:lang w:val="en-US" w:eastAsia="zh-CN" w:bidi="ar"/>
        </w:rPr>
        <w:t>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13.4</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投标保证金用于保护本次招标免受因供应商不履行投标承诺及合同等行为而引起的风险；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13.5</w:t>
      </w:r>
      <w:r>
        <w:rPr>
          <w:rFonts w:hint="eastAsia" w:ascii="宋体" w:hAnsi="宋体" w:eastAsia="宋体" w:cs="Times New Roman"/>
          <w:b w:val="0"/>
          <w:bCs w:val="0"/>
          <w:caps w:val="0"/>
          <w:color w:val="auto"/>
          <w:kern w:val="2"/>
          <w:sz w:val="21"/>
          <w:szCs w:val="21"/>
          <w:highlight w:val="none"/>
          <w:vertAlign w:val="baseline"/>
          <w:lang w:val="en-US" w:eastAsia="zh-CN" w:bidi="ar"/>
        </w:rPr>
        <w:t>未按</w:t>
      </w:r>
      <w:r>
        <w:rPr>
          <w:rFonts w:hint="default" w:ascii="Calibri" w:hAnsi="Calibri" w:eastAsia="宋体" w:cs="Times New Roman"/>
          <w:b w:val="0"/>
          <w:bCs w:val="0"/>
          <w:caps w:val="0"/>
          <w:color w:val="auto"/>
          <w:kern w:val="2"/>
          <w:sz w:val="21"/>
          <w:szCs w:val="21"/>
          <w:highlight w:val="none"/>
          <w:vertAlign w:val="baseline"/>
          <w:lang w:val="en-US" w:eastAsia="zh-CN" w:bidi="ar"/>
        </w:rPr>
        <w:t>13.1</w:t>
      </w:r>
      <w:r>
        <w:rPr>
          <w:rFonts w:hint="eastAsia" w:ascii="宋体" w:hAnsi="宋体" w:eastAsia="宋体" w:cs="Times New Roman"/>
          <w:b w:val="0"/>
          <w:bCs w:val="0"/>
          <w:caps w:val="0"/>
          <w:color w:val="auto"/>
          <w:kern w:val="2"/>
          <w:sz w:val="21"/>
          <w:szCs w:val="21"/>
          <w:highlight w:val="none"/>
          <w:vertAlign w:val="baseline"/>
          <w:lang w:val="en-US" w:eastAsia="zh-CN" w:bidi="ar"/>
        </w:rPr>
        <w:t>和</w:t>
      </w:r>
      <w:r>
        <w:rPr>
          <w:rFonts w:hint="default" w:ascii="Calibri" w:hAnsi="Calibri" w:eastAsia="宋体" w:cs="Times New Roman"/>
          <w:b w:val="0"/>
          <w:bCs w:val="0"/>
          <w:caps w:val="0"/>
          <w:color w:val="auto"/>
          <w:kern w:val="2"/>
          <w:sz w:val="21"/>
          <w:szCs w:val="21"/>
          <w:highlight w:val="none"/>
          <w:vertAlign w:val="baseline"/>
          <w:lang w:val="en-US" w:eastAsia="zh-CN" w:bidi="ar"/>
        </w:rPr>
        <w:t>13.2</w:t>
      </w:r>
      <w:r>
        <w:rPr>
          <w:rFonts w:hint="eastAsia" w:ascii="宋体" w:hAnsi="宋体" w:eastAsia="宋体" w:cs="Times New Roman"/>
          <w:b w:val="0"/>
          <w:bCs w:val="0"/>
          <w:caps w:val="0"/>
          <w:color w:val="auto"/>
          <w:kern w:val="2"/>
          <w:sz w:val="21"/>
          <w:szCs w:val="21"/>
          <w:highlight w:val="none"/>
          <w:vertAlign w:val="baseline"/>
          <w:lang w:val="en-US" w:eastAsia="zh-CN" w:bidi="ar"/>
        </w:rPr>
        <w:t>条款要求提交投标保证金的投标将被视为投标无效；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13.6</w:t>
      </w:r>
      <w:r>
        <w:rPr>
          <w:rFonts w:hint="eastAsia" w:ascii="宋体" w:hAnsi="宋体" w:eastAsia="宋体" w:cs="Times New Roman"/>
          <w:b w:val="0"/>
          <w:bCs w:val="0"/>
          <w:caps w:val="0"/>
          <w:color w:val="auto"/>
          <w:kern w:val="2"/>
          <w:sz w:val="21"/>
          <w:szCs w:val="21"/>
          <w:highlight w:val="none"/>
          <w:vertAlign w:val="baseline"/>
          <w:lang w:val="en-US" w:eastAsia="zh-CN" w:bidi="ar"/>
        </w:rPr>
        <w:t>未中标投标人的投标保证金将按</w:t>
      </w:r>
      <w:r>
        <w:rPr>
          <w:rFonts w:hint="default" w:ascii="Calibri" w:hAnsi="Calibri" w:eastAsia="宋体" w:cs="Times New Roman"/>
          <w:b w:val="0"/>
          <w:bCs w:val="0"/>
          <w:caps w:val="0"/>
          <w:color w:val="auto"/>
          <w:kern w:val="2"/>
          <w:sz w:val="21"/>
          <w:szCs w:val="21"/>
          <w:highlight w:val="none"/>
          <w:vertAlign w:val="baseline"/>
          <w:lang w:val="en-US" w:eastAsia="zh-CN" w:bidi="ar"/>
        </w:rPr>
        <w:t>25.2</w:t>
      </w:r>
      <w:r>
        <w:rPr>
          <w:rFonts w:hint="eastAsia" w:ascii="宋体" w:hAnsi="宋体" w:eastAsia="宋体" w:cs="Times New Roman"/>
          <w:b w:val="0"/>
          <w:bCs w:val="0"/>
          <w:caps w:val="0"/>
          <w:color w:val="auto"/>
          <w:kern w:val="2"/>
          <w:sz w:val="21"/>
          <w:szCs w:val="21"/>
          <w:highlight w:val="none"/>
          <w:vertAlign w:val="baseline"/>
          <w:lang w:val="en-US" w:eastAsia="zh-CN" w:bidi="ar"/>
        </w:rPr>
        <w:t>条规定予以无息退还；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13.7</w:t>
      </w:r>
      <w:r>
        <w:rPr>
          <w:rFonts w:hint="eastAsia" w:ascii="宋体" w:hAnsi="宋体" w:eastAsia="宋体" w:cs="Times New Roman"/>
          <w:b w:val="0"/>
          <w:bCs w:val="0"/>
          <w:caps w:val="0"/>
          <w:color w:val="auto"/>
          <w:kern w:val="2"/>
          <w:sz w:val="21"/>
          <w:szCs w:val="21"/>
          <w:highlight w:val="none"/>
          <w:vertAlign w:val="baseline"/>
          <w:lang w:val="en-US" w:eastAsia="zh-CN" w:bidi="ar"/>
        </w:rPr>
        <w:t>中标人的投标保证金，在中标人交纳中标服务费后予以无息退还；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13.8 </w:t>
      </w:r>
      <w:r>
        <w:rPr>
          <w:rFonts w:hint="eastAsia" w:ascii="宋体" w:hAnsi="宋体" w:eastAsia="宋体" w:cs="Times New Roman"/>
          <w:b w:val="0"/>
          <w:bCs w:val="0"/>
          <w:caps w:val="0"/>
          <w:color w:val="auto"/>
          <w:kern w:val="2"/>
          <w:sz w:val="21"/>
          <w:szCs w:val="21"/>
          <w:highlight w:val="none"/>
          <w:vertAlign w:val="baseline"/>
          <w:lang w:val="en-US" w:eastAsia="zh-CN" w:bidi="ar"/>
        </w:rPr>
        <w:t>发生下列情况之一，投标保证金将被没收：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）供应商在提交响应文件截止时间后撤回响应文件的；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）供应商在响应文件中提供虚假材料的；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）除因不可抗力或谈判文件、询价通知书认可的情形以外，成交供应商不与采购人签订合同的；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）供应商与采购人、其他供应商或者采购代理机构恶意串通的；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）采购文件规定的其他情形。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14.</w:t>
      </w:r>
      <w:r>
        <w:rPr>
          <w:rFonts w:hint="eastAsia" w:ascii="宋体" w:hAnsi="宋体" w:eastAsia="宋体" w:cs="Times New Roman"/>
          <w:b w:val="0"/>
          <w:bCs w:val="0"/>
          <w:caps w:val="0"/>
          <w:color w:val="auto"/>
          <w:kern w:val="2"/>
          <w:sz w:val="21"/>
          <w:szCs w:val="21"/>
          <w:highlight w:val="none"/>
          <w:vertAlign w:val="baseline"/>
          <w:lang w:val="en-US" w:eastAsia="zh-CN" w:bidi="ar"/>
        </w:rPr>
        <w:t>投标有效期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14.1</w:t>
      </w:r>
      <w:r>
        <w:rPr>
          <w:rFonts w:hint="eastAsia" w:ascii="宋体" w:hAnsi="宋体" w:eastAsia="宋体" w:cs="Times New Roman"/>
          <w:b w:val="0"/>
          <w:bCs w:val="0"/>
          <w:caps w:val="0"/>
          <w:color w:val="auto"/>
          <w:kern w:val="2"/>
          <w:sz w:val="21"/>
          <w:szCs w:val="21"/>
          <w:highlight w:val="none"/>
          <w:vertAlign w:val="baseline"/>
          <w:lang w:val="en-US" w:eastAsia="zh-CN" w:bidi="ar"/>
        </w:rPr>
        <w:t>从开标之日起，投标有效期为</w:t>
      </w:r>
      <w:r>
        <w:rPr>
          <w:rFonts w:hint="default" w:ascii="Calibri" w:hAnsi="Calibri" w:eastAsia="宋体" w:cs="Times New Roman"/>
          <w:b w:val="0"/>
          <w:bCs w:val="0"/>
          <w:caps w:val="0"/>
          <w:color w:val="auto"/>
          <w:kern w:val="2"/>
          <w:sz w:val="21"/>
          <w:szCs w:val="21"/>
          <w:highlight w:val="none"/>
          <w:vertAlign w:val="baseline"/>
          <w:lang w:val="en-US" w:eastAsia="zh-CN" w:bidi="ar"/>
        </w:rPr>
        <w:t>90</w:t>
      </w:r>
      <w:r>
        <w:rPr>
          <w:rFonts w:hint="eastAsia" w:ascii="宋体" w:hAnsi="宋体" w:eastAsia="宋体" w:cs="Times New Roman"/>
          <w:b w:val="0"/>
          <w:bCs w:val="0"/>
          <w:caps w:val="0"/>
          <w:color w:val="auto"/>
          <w:kern w:val="2"/>
          <w:sz w:val="21"/>
          <w:szCs w:val="21"/>
          <w:highlight w:val="none"/>
          <w:vertAlign w:val="baseline"/>
          <w:lang w:val="en-US" w:eastAsia="zh-CN" w:bidi="ar"/>
        </w:rPr>
        <w:t>天。不能满足投标有效期的投标，将被拒绝；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14.2</w:t>
      </w:r>
      <w:r>
        <w:rPr>
          <w:rFonts w:hint="eastAsia" w:ascii="宋体" w:hAnsi="宋体" w:eastAsia="宋体" w:cs="Times New Roman"/>
          <w:b w:val="0"/>
          <w:bCs w:val="0"/>
          <w:caps w:val="0"/>
          <w:color w:val="auto"/>
          <w:kern w:val="2"/>
          <w:sz w:val="21"/>
          <w:szCs w:val="21"/>
          <w:highlight w:val="none"/>
          <w:vertAlign w:val="baseline"/>
          <w:lang w:val="en-US" w:eastAsia="zh-CN" w:bidi="ar"/>
        </w:rPr>
        <w:t>特殊情况下，招标机构可于投标有效期满之前要求供应商延长投标有效期，这种要求和答复都应以书面、传真的形式进行。供应商可以拒绝接受延期要求。同意延长有效期的供应商不能修改投标文件。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15.</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投标文件的签署及规定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15.1 </w:t>
      </w:r>
      <w:r>
        <w:rPr>
          <w:rFonts w:hint="eastAsia" w:ascii="宋体" w:hAnsi="宋体" w:eastAsia="宋体" w:cs="Times New Roman"/>
          <w:b w:val="0"/>
          <w:bCs w:val="0"/>
          <w:caps w:val="0"/>
          <w:color w:val="auto"/>
          <w:kern w:val="2"/>
          <w:sz w:val="21"/>
          <w:szCs w:val="21"/>
          <w:highlight w:val="none"/>
          <w:vertAlign w:val="baseline"/>
          <w:lang w:val="en-US" w:eastAsia="zh-CN" w:bidi="ar"/>
        </w:rPr>
        <w:t>组成投标文件的各项资料均应遵守本须知第</w:t>
      </w:r>
      <w:r>
        <w:rPr>
          <w:rFonts w:hint="default"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条中所规定的内容。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15.2 </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供应商应填写单位全称，同时加盖印章。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15.3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投标文件必须由法人代表或法人授权代表签署。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15.4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投标文件正本一份和副本四份，如果正本与副本不符，以正本为准，电子版</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份（</w:t>
      </w:r>
      <w:r>
        <w:rPr>
          <w:rFonts w:hint="default" w:ascii="Calibri" w:hAnsi="Calibri" w:eastAsia="宋体" w:cs="Times New Roman"/>
          <w:b w:val="0"/>
          <w:bCs w:val="0"/>
          <w:caps w:val="0"/>
          <w:color w:val="auto"/>
          <w:kern w:val="2"/>
          <w:sz w:val="21"/>
          <w:szCs w:val="21"/>
          <w:highlight w:val="none"/>
          <w:vertAlign w:val="baseline"/>
          <w:lang w:val="en-US" w:eastAsia="zh-CN" w:bidi="ar"/>
        </w:rPr>
        <w:t>U</w:t>
      </w:r>
      <w:r>
        <w:rPr>
          <w:rFonts w:hint="eastAsia" w:ascii="宋体" w:hAnsi="宋体" w:eastAsia="宋体" w:cs="Times New Roman"/>
          <w:b w:val="0"/>
          <w:bCs w:val="0"/>
          <w:caps w:val="0"/>
          <w:color w:val="auto"/>
          <w:kern w:val="2"/>
          <w:sz w:val="21"/>
          <w:szCs w:val="21"/>
          <w:highlight w:val="none"/>
          <w:vertAlign w:val="baseline"/>
          <w:lang w:val="en-US" w:eastAsia="zh-CN" w:bidi="ar"/>
        </w:rPr>
        <w:t>盘形式）。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15.5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投标文件的正本必须用不褪色的墨水填写或打印，注明“正本”字样。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15.6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投标文件不得涂改和增删，如有修改错漏处，必须由同一签署人签字或盖章。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15.7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投标文件因字迹潦草或表达不清所引起的后果由供应商负责。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15.8</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招标机构概不接受以电话、传真形式的投标。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D</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投标文件的递交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投标文件的密封和标记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16.1</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供应商应将投标文件正本和副本分别用信封密封，并标明招标编号、投标项目名称、供应商名称及正本或副本等。封口骑缝处应加盖供应商印章；投标文件电子版应单独密封。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16.2</w:t>
      </w:r>
      <w:r>
        <w:rPr>
          <w:rFonts w:hint="eastAsia" w:ascii="宋体" w:hAnsi="宋体" w:eastAsia="宋体" w:cs="Times New Roman"/>
          <w:b w:val="0"/>
          <w:bCs w:val="0"/>
          <w:caps w:val="0"/>
          <w:color w:val="auto"/>
          <w:kern w:val="2"/>
          <w:sz w:val="21"/>
          <w:szCs w:val="21"/>
          <w:highlight w:val="none"/>
          <w:vertAlign w:val="baseline"/>
          <w:lang w:val="en-US" w:eastAsia="zh-CN" w:bidi="ar"/>
        </w:rPr>
        <w:t>为了方便开标唱标，供应商应将开标一览表单独密封，并在信封上标明“开标一览表”字样。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16.3</w:t>
      </w:r>
      <w:r>
        <w:rPr>
          <w:rFonts w:hint="eastAsia" w:ascii="宋体" w:hAnsi="宋体" w:eastAsia="宋体" w:cs="Times New Roman"/>
          <w:b w:val="0"/>
          <w:bCs w:val="0"/>
          <w:caps w:val="0"/>
          <w:color w:val="auto"/>
          <w:kern w:val="2"/>
          <w:sz w:val="21"/>
          <w:szCs w:val="21"/>
          <w:highlight w:val="none"/>
          <w:vertAlign w:val="baseline"/>
          <w:lang w:val="en-US" w:eastAsia="zh-CN" w:bidi="ar"/>
        </w:rPr>
        <w:t>每一密封信封上注明“于   年   月  日   时之前不准启封”的字样；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16.4</w:t>
      </w:r>
      <w:r>
        <w:rPr>
          <w:rFonts w:hint="eastAsia" w:ascii="宋体" w:hAnsi="宋体" w:eastAsia="宋体" w:cs="Times New Roman"/>
          <w:b w:val="0"/>
          <w:bCs w:val="0"/>
          <w:caps w:val="0"/>
          <w:color w:val="auto"/>
          <w:kern w:val="2"/>
          <w:sz w:val="21"/>
          <w:szCs w:val="21"/>
          <w:highlight w:val="none"/>
          <w:vertAlign w:val="baseline"/>
          <w:lang w:val="en-US" w:eastAsia="zh-CN" w:bidi="ar"/>
        </w:rPr>
        <w:t>如投标文件由专人送交，供应商应将投标文件按</w:t>
      </w:r>
      <w:r>
        <w:rPr>
          <w:rFonts w:hint="default" w:ascii="Calibri" w:hAnsi="Calibri" w:eastAsia="宋体" w:cs="Times New Roman"/>
          <w:b w:val="0"/>
          <w:bCs w:val="0"/>
          <w:caps w:val="0"/>
          <w:color w:val="auto"/>
          <w:kern w:val="2"/>
          <w:sz w:val="21"/>
          <w:szCs w:val="21"/>
          <w:highlight w:val="none"/>
          <w:vertAlign w:val="baseline"/>
          <w:lang w:val="en-US" w:eastAsia="zh-CN" w:bidi="ar"/>
        </w:rPr>
        <w:t>16.1-16.3</w:t>
      </w:r>
      <w:r>
        <w:rPr>
          <w:rFonts w:hint="eastAsia" w:ascii="宋体" w:hAnsi="宋体" w:eastAsia="宋体" w:cs="Times New Roman"/>
          <w:b w:val="0"/>
          <w:bCs w:val="0"/>
          <w:caps w:val="0"/>
          <w:color w:val="auto"/>
          <w:kern w:val="2"/>
          <w:sz w:val="21"/>
          <w:szCs w:val="21"/>
          <w:highlight w:val="none"/>
          <w:vertAlign w:val="baseline"/>
          <w:lang w:val="en-US" w:eastAsia="zh-CN" w:bidi="ar"/>
        </w:rPr>
        <w:t>中的规定进行密封和标记后，按投标邀请注明的投标地址送至招标机构；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16.5</w:t>
      </w:r>
      <w:r>
        <w:rPr>
          <w:rFonts w:hint="eastAsia" w:ascii="宋体" w:hAnsi="宋体" w:eastAsia="宋体" w:cs="Times New Roman"/>
          <w:b w:val="0"/>
          <w:bCs w:val="0"/>
          <w:caps w:val="0"/>
          <w:color w:val="auto"/>
          <w:kern w:val="2"/>
          <w:sz w:val="21"/>
          <w:szCs w:val="21"/>
          <w:highlight w:val="none"/>
          <w:vertAlign w:val="baseline"/>
          <w:lang w:val="en-US" w:eastAsia="zh-CN" w:bidi="ar"/>
        </w:rPr>
        <w:t>如果投标文件通过邮寄递交，供应商应将投标文件用内外两层信封密封：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内层信封的封装与标记同</w:t>
      </w:r>
      <w:r>
        <w:rPr>
          <w:rFonts w:hint="default" w:ascii="Calibri" w:hAnsi="Calibri" w:eastAsia="宋体" w:cs="Times New Roman"/>
          <w:b w:val="0"/>
          <w:bCs w:val="0"/>
          <w:caps w:val="0"/>
          <w:color w:val="auto"/>
          <w:kern w:val="2"/>
          <w:sz w:val="21"/>
          <w:szCs w:val="21"/>
          <w:highlight w:val="none"/>
          <w:vertAlign w:val="baseline"/>
          <w:lang w:val="en-US" w:eastAsia="zh-CN" w:bidi="ar"/>
        </w:rPr>
        <w:t>16.1-16.3</w:t>
      </w:r>
      <w:r>
        <w:rPr>
          <w:rFonts w:hint="eastAsia" w:ascii="宋体" w:hAnsi="宋体" w:eastAsia="宋体" w:cs="Times New Roman"/>
          <w:b w:val="0"/>
          <w:bCs w:val="0"/>
          <w:caps w:val="0"/>
          <w:color w:val="auto"/>
          <w:kern w:val="2"/>
          <w:sz w:val="21"/>
          <w:szCs w:val="21"/>
          <w:highlight w:val="none"/>
          <w:vertAlign w:val="baseline"/>
          <w:lang w:val="en-US" w:eastAsia="zh-CN" w:bidi="ar"/>
        </w:rPr>
        <w:t>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外层信封装入</w:t>
      </w:r>
      <w:r>
        <w:rPr>
          <w:rFonts w:hint="default" w:ascii="Calibri" w:hAnsi="Calibri" w:eastAsia="宋体" w:cs="Times New Roman"/>
          <w:b w:val="0"/>
          <w:bCs w:val="0"/>
          <w:caps w:val="0"/>
          <w:color w:val="auto"/>
          <w:kern w:val="2"/>
          <w:sz w:val="21"/>
          <w:szCs w:val="21"/>
          <w:highlight w:val="none"/>
          <w:vertAlign w:val="baseline"/>
          <w:lang w:val="en-US" w:eastAsia="zh-CN" w:bidi="ar"/>
        </w:rPr>
        <w:t>16.1</w:t>
      </w:r>
      <w:r>
        <w:rPr>
          <w:rFonts w:hint="eastAsia" w:ascii="宋体" w:hAnsi="宋体" w:eastAsia="宋体" w:cs="Times New Roman"/>
          <w:b w:val="0"/>
          <w:bCs w:val="0"/>
          <w:caps w:val="0"/>
          <w:color w:val="auto"/>
          <w:kern w:val="2"/>
          <w:sz w:val="21"/>
          <w:szCs w:val="21"/>
          <w:highlight w:val="none"/>
          <w:vertAlign w:val="baseline"/>
          <w:lang w:val="en-US" w:eastAsia="zh-CN" w:bidi="ar"/>
        </w:rPr>
        <w:t>及</w:t>
      </w:r>
      <w:r>
        <w:rPr>
          <w:rFonts w:hint="default" w:ascii="Calibri" w:hAnsi="Calibri" w:eastAsia="宋体" w:cs="Times New Roman"/>
          <w:b w:val="0"/>
          <w:bCs w:val="0"/>
          <w:caps w:val="0"/>
          <w:color w:val="auto"/>
          <w:kern w:val="2"/>
          <w:sz w:val="21"/>
          <w:szCs w:val="21"/>
          <w:highlight w:val="none"/>
          <w:vertAlign w:val="baseline"/>
          <w:lang w:val="en-US" w:eastAsia="zh-CN" w:bidi="ar"/>
        </w:rPr>
        <w:t>16.2</w:t>
      </w:r>
      <w:r>
        <w:rPr>
          <w:rFonts w:hint="eastAsia" w:ascii="宋体" w:hAnsi="宋体" w:eastAsia="宋体" w:cs="Times New Roman"/>
          <w:b w:val="0"/>
          <w:bCs w:val="0"/>
          <w:caps w:val="0"/>
          <w:color w:val="auto"/>
          <w:kern w:val="2"/>
          <w:sz w:val="21"/>
          <w:szCs w:val="21"/>
          <w:highlight w:val="none"/>
          <w:vertAlign w:val="baseline"/>
          <w:lang w:val="en-US" w:eastAsia="zh-CN" w:bidi="ar"/>
        </w:rPr>
        <w:t>所述全部内封资料</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并注明招标编号、投标项目名称、招标机构名称、地址。同时应写明供应商的名称、地址，以便将迟交的投标文件原封退还。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16.6</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招标机构对投标文件的误投或未投标前提前拆封概不负责。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17.</w:t>
      </w:r>
      <w:r>
        <w:rPr>
          <w:rFonts w:hint="eastAsia" w:ascii="宋体" w:hAnsi="宋体" w:eastAsia="宋体" w:cs="Times New Roman"/>
          <w:b w:val="0"/>
          <w:bCs w:val="0"/>
          <w:caps w:val="0"/>
          <w:color w:val="auto"/>
          <w:kern w:val="2"/>
          <w:sz w:val="21"/>
          <w:szCs w:val="21"/>
          <w:highlight w:val="none"/>
          <w:vertAlign w:val="baseline"/>
          <w:lang w:val="en-US" w:eastAsia="zh-CN" w:bidi="ar"/>
        </w:rPr>
        <w:t>递交投标文件的截止时间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17.1</w:t>
      </w:r>
      <w:r>
        <w:rPr>
          <w:rFonts w:hint="eastAsia" w:ascii="宋体" w:hAnsi="宋体" w:eastAsia="宋体" w:cs="Times New Roman"/>
          <w:b w:val="0"/>
          <w:bCs w:val="0"/>
          <w:caps w:val="0"/>
          <w:color w:val="auto"/>
          <w:kern w:val="2"/>
          <w:sz w:val="21"/>
          <w:szCs w:val="21"/>
          <w:highlight w:val="none"/>
          <w:vertAlign w:val="baseline"/>
          <w:lang w:val="en-US" w:eastAsia="zh-CN" w:bidi="ar"/>
        </w:rPr>
        <w:t>所有投标文件不论是通过专人或邮寄递交，都必须按照招标机构在投标邀请中规定的投标截止时间之前送至投标地点。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17.2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招标机构推迟投标截止时间时，应以书面</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或传真</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的形式，通知所有供应商。在这种情况下，招标机构和供应商的权利和义务将受到新的截止期的约束。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17.3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招标机构对投标文件在邮寄过程中的遗失或损坏不负责任。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17.4 </w:t>
      </w:r>
      <w:r>
        <w:rPr>
          <w:rFonts w:hint="eastAsia" w:ascii="宋体" w:hAnsi="宋体" w:eastAsia="宋体" w:cs="Times New Roman"/>
          <w:b w:val="0"/>
          <w:bCs w:val="0"/>
          <w:caps w:val="0"/>
          <w:color w:val="auto"/>
          <w:kern w:val="2"/>
          <w:sz w:val="21"/>
          <w:szCs w:val="21"/>
          <w:highlight w:val="none"/>
          <w:vertAlign w:val="baseline"/>
          <w:lang w:val="en-US" w:eastAsia="zh-CN" w:bidi="ar"/>
        </w:rPr>
        <w:t>在投标截止时间以后送达的投标文件，招标机构拒绝接收。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18.</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投标文件修改和撤销</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18.1 </w:t>
      </w:r>
      <w:r>
        <w:rPr>
          <w:rFonts w:hint="eastAsia" w:ascii="宋体" w:hAnsi="宋体" w:eastAsia="宋体" w:cs="Times New Roman"/>
          <w:b w:val="0"/>
          <w:bCs w:val="0"/>
          <w:caps w:val="0"/>
          <w:color w:val="auto"/>
          <w:kern w:val="2"/>
          <w:sz w:val="21"/>
          <w:szCs w:val="21"/>
          <w:highlight w:val="none"/>
          <w:vertAlign w:val="baseline"/>
          <w:lang w:val="en-US" w:eastAsia="zh-CN" w:bidi="ar"/>
        </w:rPr>
        <w:t>投标以后，如果供应商提出书面修改和撤标要求，在投标截止时间前送达招标机构者，招标机构可以予以接受。但不退还投标文件。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18.2 </w:t>
      </w:r>
      <w:r>
        <w:rPr>
          <w:rFonts w:hint="eastAsia" w:ascii="宋体" w:hAnsi="宋体" w:eastAsia="宋体" w:cs="Times New Roman"/>
          <w:b w:val="0"/>
          <w:bCs w:val="0"/>
          <w:caps w:val="0"/>
          <w:color w:val="auto"/>
          <w:kern w:val="2"/>
          <w:sz w:val="21"/>
          <w:szCs w:val="21"/>
          <w:highlight w:val="none"/>
          <w:vertAlign w:val="baseline"/>
          <w:lang w:val="en-US" w:eastAsia="zh-CN" w:bidi="ar"/>
        </w:rPr>
        <w:t>供应商修改投标文件的书面材料，须密封送达招标机构，同时应在封套上标明“修改投标文件</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并注明招标编号</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”和“开标时启封”字样。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18.3 </w:t>
      </w:r>
      <w:r>
        <w:rPr>
          <w:rFonts w:hint="eastAsia" w:ascii="Calibri" w:hAnsi="Calibri" w:eastAsia="宋体" w:cs="Times New Roman"/>
          <w:b w:val="0"/>
          <w:bCs w:val="0"/>
          <w:caps w:val="0"/>
          <w:color w:val="auto"/>
          <w:kern w:val="2"/>
          <w:sz w:val="21"/>
          <w:szCs w:val="21"/>
          <w:highlight w:val="none"/>
          <w:vertAlign w:val="baseline"/>
          <w:lang w:val="en-US" w:eastAsia="zh-CN" w:bidi="ar"/>
        </w:rPr>
        <w:t>撤销</w:t>
      </w:r>
      <w:r>
        <w:rPr>
          <w:rFonts w:hint="eastAsia" w:ascii="宋体" w:hAnsi="宋体" w:eastAsia="宋体" w:cs="Times New Roman"/>
          <w:b w:val="0"/>
          <w:bCs w:val="0"/>
          <w:caps w:val="0"/>
          <w:color w:val="auto"/>
          <w:kern w:val="2"/>
          <w:sz w:val="21"/>
          <w:szCs w:val="21"/>
          <w:highlight w:val="none"/>
          <w:vertAlign w:val="baseline"/>
          <w:lang w:val="en-US" w:eastAsia="zh-CN" w:bidi="ar"/>
        </w:rPr>
        <w:t>投标应以书面</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或传真</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的形式通知招标机构。如采取传真形式撤回投标，随后必须补充有法人代表或授权代表签署的要求撤销投标的正式文件。撤销投标的时间以送达招标机构或邮电到达日戳为准。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18.4</w:t>
      </w:r>
      <w:r>
        <w:rPr>
          <w:rFonts w:hint="eastAsia" w:ascii="宋体" w:hAnsi="宋体" w:eastAsia="宋体" w:cs="Times New Roman"/>
          <w:b w:val="0"/>
          <w:bCs w:val="0"/>
          <w:caps w:val="0"/>
          <w:color w:val="auto"/>
          <w:kern w:val="2"/>
          <w:sz w:val="21"/>
          <w:szCs w:val="21"/>
          <w:highlight w:val="none"/>
          <w:vertAlign w:val="baseline"/>
          <w:lang w:val="en-US" w:eastAsia="zh-CN" w:bidi="ar"/>
        </w:rPr>
        <w:t>投标截止时间以后不得修改投标文件；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18.5</w:t>
      </w:r>
      <w:r>
        <w:rPr>
          <w:rFonts w:hint="eastAsia" w:ascii="宋体" w:hAnsi="宋体" w:eastAsia="宋体" w:cs="Times New Roman"/>
          <w:b w:val="0"/>
          <w:bCs w:val="0"/>
          <w:caps w:val="0"/>
          <w:color w:val="auto"/>
          <w:kern w:val="2"/>
          <w:sz w:val="21"/>
          <w:szCs w:val="21"/>
          <w:highlight w:val="none"/>
          <w:vertAlign w:val="baseline"/>
          <w:lang w:val="en-US" w:eastAsia="zh-CN" w:bidi="ar"/>
        </w:rPr>
        <w:t>开标后供应商不得撤回投标。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E</w:t>
      </w:r>
      <w:r>
        <w:rPr>
          <w:rFonts w:hint="eastAsia" w:ascii="宋体" w:hAnsi="宋体" w:eastAsia="宋体" w:cs="Times New Roman"/>
          <w:b w:val="0"/>
          <w:bCs w:val="0"/>
          <w:caps w:val="0"/>
          <w:color w:val="auto"/>
          <w:kern w:val="2"/>
          <w:sz w:val="21"/>
          <w:szCs w:val="21"/>
          <w:highlight w:val="none"/>
          <w:vertAlign w:val="baseline"/>
          <w:lang w:val="en-US" w:eastAsia="zh-CN" w:bidi="ar"/>
        </w:rPr>
        <w:t>开标及评标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开标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19.1</w:t>
      </w:r>
      <w:r>
        <w:rPr>
          <w:rFonts w:hint="eastAsia" w:ascii="宋体" w:hAnsi="宋体" w:eastAsia="宋体" w:cs="Times New Roman"/>
          <w:b w:val="0"/>
          <w:bCs w:val="0"/>
          <w:caps w:val="0"/>
          <w:color w:val="auto"/>
          <w:kern w:val="2"/>
          <w:sz w:val="21"/>
          <w:szCs w:val="21"/>
          <w:highlight w:val="none"/>
          <w:vertAlign w:val="baseline"/>
          <w:lang w:val="en-US" w:eastAsia="zh-CN" w:bidi="ar"/>
        </w:rPr>
        <w:t>招标代理机构将在招标文件规定的时间和地点公开开标。投标人法定代表人或其授权代理人应参加并签名报到以证明其出席，并携带有效身份证件以备审查。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19.2</w:t>
      </w:r>
      <w:r>
        <w:rPr>
          <w:rFonts w:hint="eastAsia" w:ascii="宋体" w:hAnsi="宋体" w:eastAsia="宋体" w:cs="Times New Roman"/>
          <w:b w:val="0"/>
          <w:bCs w:val="0"/>
          <w:caps w:val="0"/>
          <w:color w:val="auto"/>
          <w:kern w:val="2"/>
          <w:sz w:val="21"/>
          <w:szCs w:val="21"/>
          <w:highlight w:val="none"/>
          <w:vertAlign w:val="baseline"/>
          <w:lang w:val="en-US" w:eastAsia="zh-CN" w:bidi="ar"/>
        </w:rPr>
        <w:t>采购代理机构按招标文件规定的时间、地点主持公开开标。开标仪式由采购代理机构主持，采购人代表及有关工作人员参加。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19.3</w:t>
      </w:r>
      <w:r>
        <w:rPr>
          <w:rFonts w:hint="eastAsia" w:ascii="宋体" w:hAnsi="宋体" w:eastAsia="宋体" w:cs="Times New Roman"/>
          <w:b w:val="0"/>
          <w:bCs w:val="0"/>
          <w:caps w:val="0"/>
          <w:color w:val="auto"/>
          <w:kern w:val="2"/>
          <w:sz w:val="21"/>
          <w:szCs w:val="21"/>
          <w:highlight w:val="none"/>
          <w:vertAlign w:val="baseline"/>
          <w:lang w:val="en-US" w:eastAsia="zh-CN" w:bidi="ar"/>
        </w:rPr>
        <w:t>开标时由供应商查验投标文件密封情况，确认无误后拆封唱标。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19.4</w:t>
      </w:r>
      <w:r>
        <w:rPr>
          <w:rFonts w:hint="eastAsia" w:ascii="宋体" w:hAnsi="宋体" w:eastAsia="宋体" w:cs="Times New Roman"/>
          <w:b w:val="0"/>
          <w:bCs w:val="0"/>
          <w:caps w:val="0"/>
          <w:color w:val="auto"/>
          <w:kern w:val="2"/>
          <w:sz w:val="21"/>
          <w:szCs w:val="21"/>
          <w:highlight w:val="none"/>
          <w:vertAlign w:val="baseline"/>
          <w:lang w:val="en-US" w:eastAsia="zh-CN" w:bidi="ar"/>
        </w:rPr>
        <w:t>采购代理机构在开标仪式上，将公开唱出所有供应商的“开标一览表”内容及投标声明，以及采购机构认为合适的其它内容并记录。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19.5 </w:t>
      </w:r>
      <w:r>
        <w:rPr>
          <w:rFonts w:hint="eastAsia" w:ascii="宋体" w:hAnsi="宋体" w:eastAsia="宋体" w:cs="Times New Roman"/>
          <w:b w:val="0"/>
          <w:bCs w:val="0"/>
          <w:caps w:val="0"/>
          <w:color w:val="auto"/>
          <w:kern w:val="2"/>
          <w:sz w:val="21"/>
          <w:szCs w:val="21"/>
          <w:highlight w:val="none"/>
          <w:vertAlign w:val="baseline"/>
          <w:lang w:val="en-US" w:eastAsia="zh-CN" w:bidi="ar"/>
        </w:rPr>
        <w:t>开标时有下列情形之一的为无效投标：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）投标文件在规定的投标截止时间以后送达的；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）未按招标文件规定提交投标保证金的；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）投标文件未按招标文件规定密封的；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）未提交单独密封的开标一览表或者开标一览表未按规定加盖公章和有效签署的；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）招标文件规定开标时属于无效投标的其他情形。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19.6 </w:t>
      </w:r>
      <w:r>
        <w:rPr>
          <w:rFonts w:hint="eastAsia" w:ascii="宋体" w:hAnsi="宋体" w:eastAsia="宋体" w:cs="Times New Roman"/>
          <w:b w:val="0"/>
          <w:bCs w:val="0"/>
          <w:caps w:val="0"/>
          <w:color w:val="auto"/>
          <w:kern w:val="2"/>
          <w:sz w:val="21"/>
          <w:szCs w:val="21"/>
          <w:highlight w:val="none"/>
          <w:vertAlign w:val="baseline"/>
          <w:lang w:val="en-US" w:eastAsia="zh-CN" w:bidi="ar"/>
        </w:rPr>
        <w:t>开标时有下列情形之一的，招标代理机构有权宣布本项目招标失败：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）交货时间符合招标文件要求的投标人不足三家的；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）所有投标人的报价均超过采购项目预算，采购单位不能支付的。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宋体" w:hAnsi="宋体" w:eastAsia="宋体" w:cs="Times New Roman"/>
          <w:b w:val="0"/>
          <w:bCs w:val="0"/>
          <w:caps w:val="0"/>
          <w:color w:val="auto"/>
          <w:kern w:val="2"/>
          <w:sz w:val="21"/>
          <w:szCs w:val="21"/>
          <w:highlight w:val="none"/>
          <w:vertAlign w:val="baseline"/>
          <w:lang w:val="en-US" w:eastAsia="zh-CN" w:bidi="ar"/>
        </w:rPr>
        <w:t>对投标文件的初审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20.1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采购人根据招标项目特点组建评标委员会，由采购人从专家库中抽取的专家组成。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评标委员会对投标文件进行初审，初审内容为投标文件是否符合招标文件的要求、内容是否完整、价格构成有无计算错误、文件签署是否齐全及验证保证金以及投标文件是否具有实质响应性。</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20.2 </w:t>
      </w:r>
      <w:r>
        <w:rPr>
          <w:rFonts w:hint="eastAsia" w:ascii="宋体" w:hAnsi="宋体" w:eastAsia="宋体" w:cs="Times New Roman"/>
          <w:b w:val="0"/>
          <w:bCs w:val="0"/>
          <w:caps w:val="0"/>
          <w:color w:val="auto"/>
          <w:kern w:val="2"/>
          <w:sz w:val="21"/>
          <w:szCs w:val="21"/>
          <w:highlight w:val="none"/>
          <w:vertAlign w:val="baseline"/>
          <w:lang w:val="en-US" w:eastAsia="zh-CN" w:bidi="ar"/>
        </w:rPr>
        <w:t>初审中，对价格的计算错误按下述原则修正：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）投标文件中开标一览表内容与投标文件中相应内容不一致的，以《开标一览表》的报价为准；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）开标一览表内如果小写金额与大写金额不一致时，以大写金额为准；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）如果总价金额与单价金额不一致，以单价金额为准。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）除非单价有明显的小数点错位，此时应以该行标出的总额为准，并修改单价。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按上述原则调整后的价格为评标价，经投标人法定代表人或授权代理人签字确认后对投标人具有约束力。如果投标人不按照上述原则修正其投标报价及分项报价，则其投标将被拒绝。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20.3 </w:t>
      </w:r>
      <w:r>
        <w:rPr>
          <w:rFonts w:hint="eastAsia" w:ascii="宋体" w:hAnsi="宋体" w:eastAsia="宋体" w:cs="Times New Roman"/>
          <w:b w:val="0"/>
          <w:bCs w:val="0"/>
          <w:caps w:val="0"/>
          <w:color w:val="auto"/>
          <w:kern w:val="2"/>
          <w:sz w:val="21"/>
          <w:szCs w:val="21"/>
          <w:highlight w:val="none"/>
          <w:vertAlign w:val="baseline"/>
          <w:lang w:val="en-US" w:eastAsia="zh-CN" w:bidi="ar"/>
        </w:rPr>
        <w:t>与招标文件有重大偏离的投标文件将被视为具有非实质响应性的投标文件而被拒绝。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20.4 </w:t>
      </w:r>
      <w:r>
        <w:rPr>
          <w:rFonts w:hint="eastAsia" w:ascii="宋体" w:hAnsi="宋体" w:eastAsia="宋体" w:cs="Times New Roman"/>
          <w:b w:val="0"/>
          <w:bCs w:val="0"/>
          <w:caps w:val="0"/>
          <w:color w:val="auto"/>
          <w:kern w:val="2"/>
          <w:sz w:val="21"/>
          <w:szCs w:val="21"/>
          <w:highlight w:val="none"/>
          <w:vertAlign w:val="baseline"/>
          <w:lang w:val="en-US" w:eastAsia="zh-CN" w:bidi="ar"/>
        </w:rPr>
        <w:t>投标有下列情况之一者，</w:t>
      </w:r>
      <w:r>
        <w:rPr>
          <w:rFonts w:hint="eastAsia" w:ascii="宋体" w:hAnsi="宋体" w:eastAsia="宋体" w:cs="Times New Roman"/>
          <w:b/>
          <w:bCs/>
          <w:caps w:val="0"/>
          <w:color w:val="auto"/>
          <w:kern w:val="2"/>
          <w:sz w:val="21"/>
          <w:szCs w:val="21"/>
          <w:highlight w:val="none"/>
          <w:vertAlign w:val="baseline"/>
          <w:lang w:val="en-US" w:eastAsia="zh-CN" w:bidi="ar"/>
        </w:rPr>
        <w:t>将被视为非实质性响应的投标而被拒绝：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资格条件及证明文件不符合招标文件要求的；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投标文件无公章或无法定代表人签字，或签字人无法定代表人有效授权书的，或未按要求签字、盖公章的；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不能满足投标有效期的；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投标明显不符合技术规格、技术标准的要求；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投标文件附有买方不能接受的条件；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投标报价超过采购预算的；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未响应招标文件规定的其它实质性条款。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21.</w:t>
      </w:r>
      <w:r>
        <w:rPr>
          <w:rFonts w:hint="eastAsia" w:ascii="宋体" w:hAnsi="宋体" w:eastAsia="宋体" w:cs="Times New Roman"/>
          <w:b w:val="0"/>
          <w:bCs w:val="0"/>
          <w:caps w:val="0"/>
          <w:color w:val="auto"/>
          <w:kern w:val="2"/>
          <w:sz w:val="21"/>
          <w:szCs w:val="21"/>
          <w:highlight w:val="none"/>
          <w:vertAlign w:val="baseline"/>
          <w:lang w:val="en-US" w:eastAsia="zh-CN" w:bidi="ar"/>
        </w:rPr>
        <w:t>投标的澄清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21.1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招标机构有权就投标文件中含混之处向供应商提出询问或澄清要求，或要求其补充某些材料。供应商必须按照招标机构通知的时间、地点派技术和商务人员进行答疑和澄清。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21.2 </w:t>
      </w:r>
      <w:r>
        <w:rPr>
          <w:rFonts w:hint="eastAsia" w:ascii="宋体" w:hAnsi="宋体" w:eastAsia="宋体" w:cs="Times New Roman"/>
          <w:b w:val="0"/>
          <w:bCs w:val="0"/>
          <w:caps w:val="0"/>
          <w:color w:val="auto"/>
          <w:kern w:val="2"/>
          <w:sz w:val="21"/>
          <w:szCs w:val="21"/>
          <w:highlight w:val="none"/>
          <w:vertAlign w:val="baseline"/>
          <w:lang w:val="en-US" w:eastAsia="zh-CN" w:bidi="ar"/>
        </w:rPr>
        <w:t>投标人的澄清、说明或者补正应当采用书面形式，由投标人法定代表人或其授权代理人签字（须提交签字人身份证件并与投标文件签字人一致），并不得超出投标文件的范围或者改变投标文件的实质性内容。投标人拒不进行澄清、说明、补正的，或者不能在规定时间内作出书面澄清、说明、补正的，评标委员会将拒绝其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22.</w:t>
      </w:r>
      <w:r>
        <w:rPr>
          <w:rFonts w:hint="eastAsia" w:ascii="宋体" w:hAnsi="宋体" w:eastAsia="宋体" w:cs="Times New Roman"/>
          <w:b w:val="0"/>
          <w:bCs w:val="0"/>
          <w:caps w:val="0"/>
          <w:color w:val="auto"/>
          <w:kern w:val="2"/>
          <w:sz w:val="21"/>
          <w:szCs w:val="21"/>
          <w:highlight w:val="none"/>
          <w:vertAlign w:val="baseline"/>
          <w:lang w:val="en-US" w:eastAsia="zh-CN" w:bidi="ar"/>
        </w:rPr>
        <w:t>评标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22.1 </w:t>
      </w:r>
      <w:r>
        <w:rPr>
          <w:rFonts w:hint="eastAsia" w:ascii="宋体" w:hAnsi="宋体" w:eastAsia="宋体" w:cs="Times New Roman"/>
          <w:b w:val="0"/>
          <w:bCs w:val="0"/>
          <w:caps w:val="0"/>
          <w:color w:val="auto"/>
          <w:kern w:val="2"/>
          <w:sz w:val="21"/>
          <w:szCs w:val="21"/>
          <w:highlight w:val="none"/>
          <w:vertAlign w:val="baseline"/>
          <w:lang w:val="en-US" w:eastAsia="zh-CN" w:bidi="ar"/>
        </w:rPr>
        <w:t>原则：对所有供应商的投标评估，都采用相同的程序和标准。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22.2 </w:t>
      </w:r>
      <w:r>
        <w:rPr>
          <w:rFonts w:hint="eastAsia" w:ascii="宋体" w:hAnsi="宋体" w:eastAsia="宋体" w:cs="Times New Roman"/>
          <w:b w:val="0"/>
          <w:bCs w:val="0"/>
          <w:caps w:val="0"/>
          <w:color w:val="auto"/>
          <w:kern w:val="2"/>
          <w:sz w:val="21"/>
          <w:szCs w:val="21"/>
          <w:highlight w:val="none"/>
          <w:vertAlign w:val="baseline"/>
          <w:lang w:val="en-US" w:eastAsia="zh-CN" w:bidi="ar"/>
        </w:rPr>
        <w:t>标准：评标严格按照招标文件的要求和条件进行。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22.3</w:t>
      </w:r>
      <w:r>
        <w:rPr>
          <w:rFonts w:hint="eastAsia" w:ascii="宋体" w:hAnsi="宋体" w:eastAsia="宋体" w:cs="Times New Roman"/>
          <w:b w:val="0"/>
          <w:bCs w:val="0"/>
          <w:caps w:val="0"/>
          <w:color w:val="auto"/>
          <w:kern w:val="2"/>
          <w:sz w:val="21"/>
          <w:szCs w:val="21"/>
          <w:highlight w:val="none"/>
          <w:vertAlign w:val="baseline"/>
          <w:lang w:val="en-US" w:eastAsia="zh-CN" w:bidi="ar"/>
        </w:rPr>
        <w:t>本项目采用综合评分法：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评标委员会将按第三章规定的评审因素和标准，按评审后投标人综合得分由高到低的顺序推荐中标候选人排序。</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23.</w:t>
      </w:r>
      <w:r>
        <w:rPr>
          <w:rFonts w:hint="eastAsia" w:ascii="宋体" w:hAnsi="宋体" w:eastAsia="宋体" w:cs="Times New Roman"/>
          <w:b w:val="0"/>
          <w:bCs w:val="0"/>
          <w:caps w:val="0"/>
          <w:color w:val="auto"/>
          <w:kern w:val="2"/>
          <w:sz w:val="21"/>
          <w:szCs w:val="21"/>
          <w:highlight w:val="none"/>
          <w:vertAlign w:val="baseline"/>
          <w:lang w:val="en-US" w:eastAsia="zh-CN" w:bidi="ar"/>
        </w:rPr>
        <w:t>评标过程保密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23.1</w:t>
      </w:r>
      <w:r>
        <w:rPr>
          <w:rFonts w:hint="eastAsia" w:ascii="宋体" w:hAnsi="宋体" w:eastAsia="宋体" w:cs="Times New Roman"/>
          <w:b w:val="0"/>
          <w:bCs w:val="0"/>
          <w:caps w:val="0"/>
          <w:color w:val="auto"/>
          <w:kern w:val="2"/>
          <w:sz w:val="21"/>
          <w:szCs w:val="21"/>
          <w:highlight w:val="none"/>
          <w:vertAlign w:val="baseline"/>
          <w:lang w:val="en-US" w:eastAsia="zh-CN" w:bidi="ar"/>
        </w:rPr>
        <w:t>有关投标文件的审查、澄清、评估和比较以及有关授予合同意向的一切情况均不得透露给任一供应商或与上述评标工作无关的人员；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23.2</w:t>
      </w:r>
      <w:r>
        <w:rPr>
          <w:rFonts w:hint="eastAsia" w:ascii="宋体" w:hAnsi="宋体" w:eastAsia="宋体" w:cs="Times New Roman"/>
          <w:b w:val="0"/>
          <w:bCs w:val="0"/>
          <w:caps w:val="0"/>
          <w:color w:val="auto"/>
          <w:kern w:val="2"/>
          <w:sz w:val="21"/>
          <w:szCs w:val="21"/>
          <w:highlight w:val="none"/>
          <w:vertAlign w:val="baseline"/>
          <w:lang w:val="en-US" w:eastAsia="zh-CN" w:bidi="ar"/>
        </w:rPr>
        <w:t>在评标期间，供应商企图影响招标方的任何活动，将导致投标被拒绝，并承担相应的法律责任。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F </w:t>
      </w:r>
      <w:r>
        <w:rPr>
          <w:rFonts w:hint="eastAsia" w:ascii="宋体" w:hAnsi="宋体" w:eastAsia="宋体" w:cs="Times New Roman"/>
          <w:b w:val="0"/>
          <w:bCs w:val="0"/>
          <w:caps w:val="0"/>
          <w:color w:val="auto"/>
          <w:kern w:val="2"/>
          <w:sz w:val="21"/>
          <w:szCs w:val="21"/>
          <w:highlight w:val="none"/>
          <w:vertAlign w:val="baseline"/>
          <w:lang w:val="en-US" w:eastAsia="zh-CN" w:bidi="ar"/>
        </w:rPr>
        <w:t>确定中标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w:t>
      </w:r>
      <w:r>
        <w:rPr>
          <w:rFonts w:hint="eastAsia" w:ascii="宋体" w:hAnsi="宋体" w:eastAsia="宋体" w:cs="Times New Roman"/>
          <w:b w:val="0"/>
          <w:bCs w:val="0"/>
          <w:caps w:val="0"/>
          <w:color w:val="auto"/>
          <w:kern w:val="2"/>
          <w:sz w:val="21"/>
          <w:szCs w:val="21"/>
          <w:highlight w:val="none"/>
          <w:vertAlign w:val="baseline"/>
          <w:lang w:val="en-US" w:eastAsia="zh-CN" w:bidi="ar"/>
        </w:rPr>
        <w:t>最终审查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24.1</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评标委员会按照招标文件确定的评标标准和方法，对投标文件进行评审，并提出书面评标报告，确定中标人。最终审查的对象是招标项目的合格的供应商。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24.2</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最终审查的内容是对合格的供应商的财务状况、资格、信誉以及采购人认为有必要了解的其他问题作进一步的审查。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24.3 </w:t>
      </w:r>
      <w:r>
        <w:rPr>
          <w:rFonts w:hint="eastAsia" w:ascii="宋体" w:hAnsi="宋体" w:eastAsia="宋体" w:cs="Times New Roman"/>
          <w:b w:val="0"/>
          <w:bCs w:val="0"/>
          <w:caps w:val="0"/>
          <w:color w:val="auto"/>
          <w:kern w:val="2"/>
          <w:sz w:val="21"/>
          <w:szCs w:val="21"/>
          <w:highlight w:val="none"/>
          <w:vertAlign w:val="baseline"/>
          <w:lang w:val="en-US" w:eastAsia="zh-CN" w:bidi="ar"/>
        </w:rPr>
        <w:t>接受最终审查的合格的供应商，必须如实回答和受理采购人的询问或考查，并提供所需的有关资料。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24.4</w:t>
      </w: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评标委员会从合格的供应商中评出中标人，并写出完整的评标报告。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25.</w:t>
      </w:r>
      <w:r>
        <w:rPr>
          <w:rFonts w:hint="eastAsia" w:ascii="宋体" w:hAnsi="宋体" w:eastAsia="宋体" w:cs="Times New Roman"/>
          <w:b w:val="0"/>
          <w:bCs w:val="0"/>
          <w:caps w:val="0"/>
          <w:color w:val="auto"/>
          <w:kern w:val="2"/>
          <w:sz w:val="21"/>
          <w:szCs w:val="21"/>
          <w:highlight w:val="none"/>
          <w:vertAlign w:val="baseline"/>
          <w:lang w:val="en-US" w:eastAsia="zh-CN" w:bidi="ar"/>
        </w:rPr>
        <w:t>中标通知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25.1</w:t>
      </w:r>
      <w:r>
        <w:rPr>
          <w:rFonts w:hint="eastAsia" w:ascii="宋体" w:hAnsi="宋体" w:eastAsia="宋体" w:cs="Times New Roman"/>
          <w:b w:val="0"/>
          <w:bCs w:val="0"/>
          <w:caps w:val="0"/>
          <w:color w:val="auto"/>
          <w:kern w:val="2"/>
          <w:sz w:val="21"/>
          <w:szCs w:val="21"/>
          <w:highlight w:val="none"/>
          <w:vertAlign w:val="baseline"/>
          <w:lang w:val="en-US" w:eastAsia="zh-CN" w:bidi="ar"/>
        </w:rPr>
        <w:t>在投标有效期内，招标代理机构以书面形式通知所选定的中标人。通知也可以以传真的形式发出，但需要随以书面形式最终确认。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25.2</w:t>
      </w:r>
      <w:r>
        <w:rPr>
          <w:rFonts w:hint="eastAsia" w:ascii="宋体" w:hAnsi="宋体" w:eastAsia="宋体" w:cs="Times New Roman"/>
          <w:b w:val="0"/>
          <w:bCs w:val="0"/>
          <w:caps w:val="0"/>
          <w:color w:val="auto"/>
          <w:kern w:val="2"/>
          <w:sz w:val="21"/>
          <w:szCs w:val="21"/>
          <w:highlight w:val="none"/>
          <w:vertAlign w:val="baseline"/>
          <w:lang w:val="en-US" w:eastAsia="zh-CN" w:bidi="ar"/>
        </w:rPr>
        <w:t>招标代理机构将自中标通知书发出之日起</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个工作日内退还未中标供应商的投标保证金，自政府采购合同签订之日起</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个工作日内退还中标供应商的投标保证金。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w:t>
      </w:r>
      <w:r>
        <w:rPr>
          <w:rFonts w:hint="eastAsia" w:ascii="宋体" w:hAnsi="宋体" w:eastAsia="宋体" w:cs="Times New Roman"/>
          <w:b w:val="0"/>
          <w:bCs w:val="0"/>
          <w:caps w:val="0"/>
          <w:color w:val="auto"/>
          <w:kern w:val="2"/>
          <w:sz w:val="21"/>
          <w:szCs w:val="21"/>
          <w:highlight w:val="none"/>
          <w:vertAlign w:val="baseline"/>
          <w:lang w:val="en-US" w:eastAsia="zh-CN" w:bidi="ar"/>
        </w:rPr>
        <w:t>签定合同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26.1</w:t>
      </w:r>
      <w:r>
        <w:rPr>
          <w:rFonts w:hint="eastAsia" w:ascii="宋体" w:hAnsi="宋体" w:eastAsia="宋体" w:cs="Times New Roman"/>
          <w:b w:val="0"/>
          <w:bCs w:val="0"/>
          <w:caps w:val="0"/>
          <w:color w:val="auto"/>
          <w:kern w:val="2"/>
          <w:sz w:val="21"/>
          <w:szCs w:val="21"/>
          <w:highlight w:val="none"/>
          <w:vertAlign w:val="baseline"/>
          <w:lang w:val="en-US" w:eastAsia="zh-CN" w:bidi="ar"/>
        </w:rPr>
        <w:t>中标通知书发出后，采购单位改变中标结果的，或者中标人放弃中标项目的，应当依法承担法律责任。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26.2</w:t>
      </w:r>
      <w:r>
        <w:rPr>
          <w:rFonts w:hint="eastAsia" w:ascii="宋体" w:hAnsi="宋体" w:eastAsia="宋体" w:cs="Times New Roman"/>
          <w:b w:val="0"/>
          <w:bCs w:val="0"/>
          <w:caps w:val="0"/>
          <w:color w:val="auto"/>
          <w:kern w:val="2"/>
          <w:sz w:val="21"/>
          <w:szCs w:val="21"/>
          <w:highlight w:val="none"/>
          <w:vertAlign w:val="baseline"/>
          <w:lang w:val="en-US" w:eastAsia="zh-CN" w:bidi="ar"/>
        </w:rPr>
        <w:t>中标人应按中标通知书规定的时间与采购单位签订合同。如果中标人不在规定的时间内签署合同，视为自动放弃中标资格，其提交的投标保证金不予退还，列入不良行为记录名单，在一至三年内禁止参加政府采购活动并予以公告。投标人在被评标委员会评定为预中标人（中标人）之后、中标通知书发出之前放弃中标的，按本条规定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26.3</w:t>
      </w:r>
      <w:r>
        <w:rPr>
          <w:rFonts w:hint="eastAsia" w:ascii="宋体" w:hAnsi="宋体" w:eastAsia="宋体" w:cs="Times New Roman"/>
          <w:b w:val="0"/>
          <w:bCs w:val="0"/>
          <w:caps w:val="0"/>
          <w:color w:val="auto"/>
          <w:kern w:val="2"/>
          <w:sz w:val="21"/>
          <w:szCs w:val="21"/>
          <w:highlight w:val="none"/>
          <w:vertAlign w:val="baseline"/>
          <w:lang w:val="en-US" w:eastAsia="zh-CN" w:bidi="ar"/>
        </w:rPr>
        <w:t>中标结果将在发布招标公告的同步网络媒介上公告，不再以书面方式通知未中标人。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27.</w:t>
      </w:r>
      <w:r>
        <w:rPr>
          <w:rFonts w:hint="eastAsia" w:ascii="宋体" w:hAnsi="宋体" w:eastAsia="宋体" w:cs="Times New Roman"/>
          <w:b w:val="0"/>
          <w:bCs w:val="0"/>
          <w:caps w:val="0"/>
          <w:color w:val="auto"/>
          <w:kern w:val="2"/>
          <w:sz w:val="21"/>
          <w:szCs w:val="21"/>
          <w:highlight w:val="none"/>
          <w:vertAlign w:val="baseline"/>
          <w:lang w:val="en-US" w:eastAsia="zh-CN" w:bidi="ar"/>
        </w:rPr>
        <w:t>履约保证金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除供应商须知前附表有要求外，本项目不收取履约保证金。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28.</w:t>
      </w:r>
      <w:r>
        <w:rPr>
          <w:rFonts w:hint="eastAsia" w:ascii="宋体" w:hAnsi="宋体" w:eastAsia="宋体" w:cs="Times New Roman"/>
          <w:b w:val="0"/>
          <w:bCs w:val="0"/>
          <w:caps w:val="0"/>
          <w:color w:val="auto"/>
          <w:kern w:val="2"/>
          <w:sz w:val="21"/>
          <w:szCs w:val="21"/>
          <w:highlight w:val="none"/>
          <w:vertAlign w:val="baseline"/>
          <w:lang w:val="en-US" w:eastAsia="zh-CN" w:bidi="ar"/>
        </w:rPr>
        <w:t>保密和披露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28.1</w:t>
      </w:r>
      <w:r>
        <w:rPr>
          <w:rFonts w:hint="eastAsia" w:ascii="宋体" w:hAnsi="宋体" w:eastAsia="宋体" w:cs="Times New Roman"/>
          <w:b w:val="0"/>
          <w:bCs w:val="0"/>
          <w:caps w:val="0"/>
          <w:color w:val="auto"/>
          <w:kern w:val="2"/>
          <w:sz w:val="21"/>
          <w:szCs w:val="21"/>
          <w:highlight w:val="none"/>
          <w:vertAlign w:val="baseline"/>
          <w:lang w:val="en-US" w:eastAsia="zh-CN" w:bidi="ar"/>
        </w:rPr>
        <w:t>招标代理机构有权将投标人提供的所有资料向其他政府部门或有关的非政府机构负责评审标书的人员或与评标有关的人员披露。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28.2</w:t>
      </w:r>
      <w:r>
        <w:rPr>
          <w:rFonts w:hint="eastAsia" w:ascii="宋体" w:hAnsi="宋体" w:eastAsia="宋体" w:cs="Times New Roman"/>
          <w:b w:val="0"/>
          <w:bCs w:val="0"/>
          <w:caps w:val="0"/>
          <w:color w:val="auto"/>
          <w:kern w:val="2"/>
          <w:sz w:val="21"/>
          <w:szCs w:val="21"/>
          <w:highlight w:val="none"/>
          <w:vertAlign w:val="baseline"/>
          <w:lang w:val="en-US" w:eastAsia="zh-CN" w:bidi="ar"/>
        </w:rPr>
        <w:t>在下列情形下：当发布中标公告和其它公告时，当国家机关调查、审查、审计时，以及在其他符合法律规定的情形下，招标代理机构无须事先征求投标人</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中标人同意而可以披露关于采购过程、投标文件、合同文本、合同签署情况的资料、投标人</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中标人的名称及地址、采购内容的有关信息以及补充条款等，并且对任何已经公布过的内容或与之内容相同的资料无须再承担保密责任。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29</w:t>
      </w:r>
      <w:r>
        <w:rPr>
          <w:rFonts w:hint="eastAsia" w:ascii="宋体" w:hAnsi="宋体" w:eastAsia="宋体" w:cs="Times New Roman"/>
          <w:b w:val="0"/>
          <w:bCs w:val="0"/>
          <w:caps w:val="0"/>
          <w:color w:val="auto"/>
          <w:kern w:val="2"/>
          <w:sz w:val="21"/>
          <w:szCs w:val="21"/>
          <w:highlight w:val="none"/>
          <w:vertAlign w:val="baseline"/>
          <w:lang w:val="en-US" w:eastAsia="zh-CN" w:bidi="ar"/>
        </w:rPr>
        <w:t>、质疑和投诉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29.1</w:t>
      </w:r>
      <w:r>
        <w:rPr>
          <w:rFonts w:hint="eastAsia" w:ascii="宋体" w:hAnsi="宋体" w:eastAsia="宋体" w:cs="Times New Roman"/>
          <w:b w:val="0"/>
          <w:bCs w:val="0"/>
          <w:caps w:val="0"/>
          <w:color w:val="auto"/>
          <w:kern w:val="2"/>
          <w:sz w:val="21"/>
          <w:szCs w:val="21"/>
          <w:highlight w:val="none"/>
          <w:vertAlign w:val="baseline"/>
          <w:lang w:val="en-US" w:eastAsia="zh-CN" w:bidi="ar"/>
        </w:rPr>
        <w:t>投标人认为招标文件、招标过程和中标结果使自己的合法权益受到损害的，应当在知道或者应知其权益受到损害之日起七个工作日内，向招标方提出质疑。投标人对招标代理机构的质疑答复不满意或者招标代理机构未在规定时间内作出答复的，可以在答复期满后十五个工作日内向同级采购监管部门投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29.2</w:t>
      </w:r>
      <w:r>
        <w:rPr>
          <w:rFonts w:hint="eastAsia" w:ascii="宋体" w:hAnsi="宋体" w:eastAsia="宋体" w:cs="Times New Roman"/>
          <w:b w:val="0"/>
          <w:bCs w:val="0"/>
          <w:caps w:val="0"/>
          <w:color w:val="auto"/>
          <w:kern w:val="2"/>
          <w:sz w:val="21"/>
          <w:szCs w:val="21"/>
          <w:highlight w:val="none"/>
          <w:vertAlign w:val="baseline"/>
          <w:lang w:val="en-US" w:eastAsia="zh-CN" w:bidi="ar"/>
        </w:rPr>
        <w:t>质疑书、投诉书均应明确阐述招标文件、招标过程和中标结果中使自己合法权益受到损害的实质性内容，提供相关事实、依据和证据及其来源或线索，便于有关单位调查、答复和处理。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pStyle w:val="4"/>
        <w:bidi w:val="0"/>
        <w:jc w:val="center"/>
        <w:rPr>
          <w:rFonts w:hint="default"/>
          <w:lang w:val="en-US" w:eastAsia="zh-CN"/>
        </w:rPr>
      </w:pPr>
      <w:bookmarkStart w:id="20" w:name="_Toc16920"/>
      <w:r>
        <w:rPr>
          <w:rFonts w:hint="eastAsia"/>
          <w:lang w:val="en-US" w:eastAsia="zh-CN"/>
        </w:rPr>
        <w:t>第三章</w:t>
      </w:r>
      <w:r>
        <w:rPr>
          <w:rFonts w:hint="default"/>
          <w:lang w:val="en-US" w:eastAsia="zh-CN"/>
        </w:rPr>
        <w:t xml:space="preserve">  </w:t>
      </w:r>
      <w:r>
        <w:rPr>
          <w:rFonts w:hint="eastAsia"/>
          <w:lang w:val="en-US" w:eastAsia="zh-CN"/>
        </w:rPr>
        <w:t>评标办法</w:t>
      </w:r>
      <w:bookmarkEnd w:id="2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（本项目采用综合评分法）</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按照国家相关部门的规定，遵循公开、公平、公正和诚实信用的原则，结合本招标项目的实际情况，制定本招标项目评标办法。</w:t>
      </w:r>
    </w:p>
    <w:p>
      <w:pPr>
        <w:spacing w:line="440" w:lineRule="exact"/>
        <w:jc w:val="center"/>
        <w:rPr>
          <w:rFonts w:ascii="宋体" w:hAnsi="宋体"/>
          <w:b/>
          <w:sz w:val="28"/>
          <w:szCs w:val="28"/>
          <w:highlight w:val="none"/>
        </w:rPr>
      </w:pPr>
      <w:r>
        <w:rPr>
          <w:rFonts w:hint="eastAsia" w:ascii="宋体" w:hAnsi="宋体"/>
          <w:b/>
          <w:sz w:val="28"/>
          <w:szCs w:val="28"/>
          <w:highlight w:val="none"/>
        </w:rPr>
        <w:t>一、评标程序</w:t>
      </w:r>
    </w:p>
    <w:p>
      <w:pPr>
        <w:spacing w:line="440" w:lineRule="exact"/>
        <w:rPr>
          <w:rFonts w:ascii="宋体" w:hAnsi="宋体"/>
          <w:b/>
          <w:bCs/>
          <w:sz w:val="24"/>
          <w:szCs w:val="24"/>
          <w:highlight w:val="none"/>
        </w:rPr>
      </w:pPr>
      <w:r>
        <w:rPr>
          <w:rFonts w:hint="eastAsia" w:ascii="宋体" w:hAnsi="宋体"/>
          <w:b/>
          <w:bCs/>
          <w:sz w:val="24"/>
          <w:szCs w:val="24"/>
          <w:highlight w:val="none"/>
        </w:rPr>
        <w:t>（一）组成评标委员会</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按照国家有关部委及省、市的相关规定，从专家库中随机抽取技术、经济等方面的专家共</w:t>
      </w:r>
      <w:r>
        <w:rPr>
          <w:rFonts w:hint="eastAsia" w:ascii="宋体" w:hAnsi="宋体"/>
          <w:sz w:val="24"/>
          <w:szCs w:val="24"/>
          <w:highlight w:val="none"/>
          <w:lang w:val="en-US" w:eastAsia="zh-CN"/>
        </w:rPr>
        <w:t>5</w:t>
      </w:r>
      <w:r>
        <w:rPr>
          <w:rFonts w:hint="eastAsia" w:ascii="宋体" w:hAnsi="宋体"/>
          <w:sz w:val="24"/>
          <w:szCs w:val="24"/>
          <w:highlight w:val="none"/>
        </w:rPr>
        <w:t>人组成评标委员会（以下简称“评委会”）。为保证评标工作的顺利进行，推荐一名评委担任评委会主任，负责评标全面工作。</w:t>
      </w:r>
    </w:p>
    <w:p>
      <w:pPr>
        <w:pStyle w:val="48"/>
        <w:spacing w:line="440" w:lineRule="exact"/>
        <w:rPr>
          <w:rFonts w:ascii="宋体" w:hAnsi="宋体" w:eastAsia="宋体"/>
          <w:b/>
          <w:bCs/>
          <w:sz w:val="24"/>
          <w:szCs w:val="24"/>
          <w:highlight w:val="none"/>
        </w:rPr>
      </w:pPr>
      <w:r>
        <w:rPr>
          <w:rFonts w:hint="eastAsia" w:ascii="宋体" w:hAnsi="宋体" w:eastAsia="宋体"/>
          <w:b/>
          <w:bCs/>
          <w:sz w:val="24"/>
          <w:szCs w:val="24"/>
          <w:highlight w:val="none"/>
        </w:rPr>
        <w:t>（二）评审方法：综合评分法</w:t>
      </w:r>
    </w:p>
    <w:p>
      <w:pPr>
        <w:spacing w:line="440" w:lineRule="exact"/>
        <w:ind w:firstLine="480" w:firstLineChars="200"/>
        <w:rPr>
          <w:rFonts w:ascii="宋体" w:hAnsi="宋体"/>
          <w:b/>
          <w:bCs/>
          <w:sz w:val="24"/>
          <w:szCs w:val="24"/>
          <w:highlight w:val="none"/>
        </w:rPr>
      </w:pPr>
      <w:r>
        <w:rPr>
          <w:rFonts w:hint="eastAsia" w:ascii="宋体" w:hAnsi="宋体"/>
          <w:sz w:val="24"/>
          <w:szCs w:val="24"/>
          <w:highlight w:val="none"/>
        </w:rPr>
        <w:t>综合评分法，是指投标文件满足招标文件全部实质性要求，且按照评审因素的量化指标评审得分最高的供应商为中标候选人的评标方法。</w:t>
      </w:r>
    </w:p>
    <w:p>
      <w:pPr>
        <w:pStyle w:val="48"/>
        <w:spacing w:line="440" w:lineRule="exact"/>
        <w:rPr>
          <w:rFonts w:ascii="宋体" w:hAnsi="宋体" w:eastAsia="宋体"/>
          <w:b/>
          <w:bCs/>
          <w:sz w:val="24"/>
          <w:szCs w:val="24"/>
          <w:highlight w:val="none"/>
        </w:rPr>
      </w:pPr>
      <w:r>
        <w:rPr>
          <w:rFonts w:hint="eastAsia" w:ascii="宋体" w:hAnsi="宋体" w:eastAsia="宋体"/>
          <w:b/>
          <w:bCs/>
          <w:sz w:val="24"/>
          <w:szCs w:val="24"/>
          <w:highlight w:val="none"/>
        </w:rPr>
        <w:t>（三）评标工作</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评标本着客观公正、公平竞争、择优推荐、规范合法的原则进行。评标工作分为资格审查、符合性审查和详细评审三个步骤。</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1.资格审查。采购人或代理机构对各供应商的资格进行审查。资格审查合格的供应商方可进入符合性审查。</w:t>
      </w:r>
      <w:r>
        <w:rPr>
          <w:rFonts w:hint="eastAsia" w:ascii="宋体" w:hAnsi="宋体" w:cs="宋体"/>
          <w:sz w:val="24"/>
          <w:highlight w:val="none"/>
        </w:rPr>
        <w:t>不具备招标文件中规定的资格要求的，投标无效。合格供应商不足3家的，不得评标。</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2.符合性审查。评委会对供应商的投标文件进行符合性审查。符合性审查合格的供应商方可进入详细评审。</w:t>
      </w:r>
      <w:r>
        <w:rPr>
          <w:rFonts w:hint="eastAsia" w:ascii="宋体" w:hAnsi="宋体" w:cs="宋体"/>
          <w:sz w:val="24"/>
          <w:highlight w:val="none"/>
        </w:rPr>
        <w:t>有一项不符合的，投标无效。</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2.1</w:t>
      </w:r>
      <w:r>
        <w:rPr>
          <w:rFonts w:hint="eastAsia" w:ascii="宋体"/>
          <w:bCs/>
          <w:sz w:val="24"/>
          <w:highlight w:val="none"/>
        </w:rPr>
        <w:t>政府采购应当采购本国货物。按照财政部《政府采购进口产品管理办法》规定确需采购进口产品的，实行审核管理。经审核允许采购进口产品的，不得排斥符合要求的本国产品。在</w:t>
      </w:r>
      <w:r>
        <w:rPr>
          <w:rFonts w:hint="eastAsia" w:ascii="宋体" w:hAnsi="宋体" w:cs="宋体"/>
          <w:sz w:val="24"/>
          <w:highlight w:val="none"/>
        </w:rPr>
        <w:t>招标文件</w:t>
      </w:r>
      <w:r>
        <w:rPr>
          <w:rFonts w:hint="eastAsia" w:ascii="宋体"/>
          <w:bCs/>
          <w:sz w:val="24"/>
          <w:highlight w:val="none"/>
        </w:rPr>
        <w:t>中未标明采购进口产品的，均为采购本国产品。供应商必须投标本国产品，投标进口产品的，投标无效。进口产品是指通过中国海关报关验放进入中国境内且产自关境外的产品。</w:t>
      </w:r>
    </w:p>
    <w:p>
      <w:pPr>
        <w:spacing w:line="440" w:lineRule="exact"/>
        <w:ind w:firstLine="480" w:firstLineChars="200"/>
        <w:rPr>
          <w:rFonts w:ascii="宋体" w:hAnsi="宋体"/>
          <w:sz w:val="24"/>
          <w:szCs w:val="24"/>
          <w:highlight w:val="none"/>
        </w:rPr>
      </w:pPr>
      <w:r>
        <w:rPr>
          <w:rFonts w:hint="eastAsia" w:ascii="宋体" w:hAnsi="宋体" w:cs="宋体"/>
          <w:sz w:val="24"/>
          <w:highlight w:val="none"/>
        </w:rPr>
        <w:t>2.2提供相同品牌且通过资格审查、符合性审查的不同投标人参加同一合同项下投标的，按一家投标人计算，评审后得分最高的同品牌投标人获得中标人推荐资格；评审得分相同的，参照5.1规定确定一个投标人获得中标人推荐资格，其他同品牌投标人不作为中标候选人。符合性审查后，因提供相同品牌产品的不同投标人按一家计算而导致有效投标人不足3家的，</w:t>
      </w:r>
      <w:r>
        <w:rPr>
          <w:rFonts w:hint="eastAsia" w:ascii="宋体" w:hAnsi="宋体" w:cs="仿宋_GB2312"/>
          <w:sz w:val="24"/>
          <w:highlight w:val="none"/>
        </w:rPr>
        <w:t>应予废标。</w:t>
      </w:r>
    </w:p>
    <w:p>
      <w:pPr>
        <w:spacing w:line="440" w:lineRule="exact"/>
        <w:ind w:firstLine="480" w:firstLineChars="200"/>
        <w:rPr>
          <w:rFonts w:ascii="宋体" w:hAnsi="宋体" w:cs="仿宋_GB2312"/>
          <w:sz w:val="24"/>
          <w:highlight w:val="none"/>
        </w:rPr>
      </w:pPr>
      <w:r>
        <w:rPr>
          <w:rFonts w:hint="eastAsia" w:ascii="宋体" w:hAnsi="宋体"/>
          <w:sz w:val="24"/>
          <w:szCs w:val="24"/>
          <w:highlight w:val="none"/>
        </w:rPr>
        <w:t>3.详细评审。详细评审采用综合评分法。评委依据评标办法分别对各供应商的投标文件进行评审、赋分。如果通过资格审查和符合性审查的供应商不足三家，则采购人重新招标。</w:t>
      </w:r>
    </w:p>
    <w:p>
      <w:pPr>
        <w:spacing w:line="440" w:lineRule="exact"/>
        <w:rPr>
          <w:rFonts w:ascii="宋体" w:hAnsi="宋体"/>
          <w:b/>
          <w:sz w:val="24"/>
          <w:szCs w:val="24"/>
          <w:highlight w:val="none"/>
        </w:rPr>
      </w:pPr>
      <w:r>
        <w:rPr>
          <w:rFonts w:hint="eastAsia" w:ascii="宋体" w:hAnsi="宋体"/>
          <w:b/>
          <w:sz w:val="24"/>
          <w:szCs w:val="24"/>
          <w:highlight w:val="none"/>
        </w:rPr>
        <w:t>（四）询标（必要时）</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评标委员会对投标文件需要澄清的问题，采用集体询标方式进行。</w:t>
      </w:r>
    </w:p>
    <w:p>
      <w:pPr>
        <w:spacing w:line="440" w:lineRule="exact"/>
        <w:rPr>
          <w:rFonts w:ascii="宋体" w:hAnsi="宋体"/>
          <w:b/>
          <w:bCs/>
          <w:sz w:val="24"/>
          <w:szCs w:val="24"/>
          <w:highlight w:val="none"/>
        </w:rPr>
      </w:pPr>
      <w:r>
        <w:rPr>
          <w:rFonts w:hint="eastAsia" w:ascii="宋体" w:hAnsi="宋体"/>
          <w:b/>
          <w:bCs/>
          <w:sz w:val="24"/>
          <w:szCs w:val="24"/>
          <w:highlight w:val="none"/>
        </w:rPr>
        <w:t>（五）推荐中标候选人</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5.1汇总各评委得分，投标人最终得分按各位评委打分平均值计取，保留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标委员会根据综合评审结果，按照综合得分由高到低的顺序，推荐三名中标候选人，由采购人确定排名第一的供应商为中标人。</w:t>
      </w:r>
    </w:p>
    <w:p>
      <w:pPr>
        <w:spacing w:line="440" w:lineRule="exact"/>
        <w:ind w:firstLine="480" w:firstLineChars="200"/>
        <w:rPr>
          <w:highlight w:val="none"/>
        </w:rPr>
      </w:pPr>
      <w:r>
        <w:rPr>
          <w:rFonts w:hint="eastAsia" w:ascii="宋体" w:hAnsi="宋体" w:cs="宋体"/>
          <w:sz w:val="24"/>
          <w:highlight w:val="none"/>
        </w:rPr>
        <w:t>5.2评标委员会成员对需要共同认定的事项存在争议的，应当按照少数服从多数的原则作出结论。持不同意见的评标委员会成员应当在评标报告上签署不同意见及理由，否则视为同意评标报告。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评标工作结束时，评委会将本项目综合评审结果向采购人提交书面“评标报告”，各评委对评标报告内容讨论通过后，在“评标报告”上签字，对评标结果予以确认。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b/>
          <w:bCs/>
          <w:caps w:val="0"/>
          <w:color w:val="auto"/>
          <w:kern w:val="2"/>
          <w:sz w:val="32"/>
          <w:szCs w:val="32"/>
          <w:highlight w:val="none"/>
          <w:vertAlign w:val="baseline"/>
          <w:lang w:bidi="ar"/>
        </w:rPr>
      </w:pPr>
      <w:r>
        <w:rPr>
          <w:rFonts w:hint="eastAsia" w:ascii="宋体" w:hAnsi="宋体" w:eastAsia="宋体" w:cs="Times New Roman"/>
          <w:b/>
          <w:bCs/>
          <w:caps w:val="0"/>
          <w:color w:val="auto"/>
          <w:kern w:val="2"/>
          <w:sz w:val="32"/>
          <w:szCs w:val="32"/>
          <w:highlight w:val="none"/>
          <w:vertAlign w:val="baseline"/>
          <w:lang w:val="en-US" w:eastAsia="zh-CN" w:bidi="ar"/>
        </w:rPr>
        <w:t>二、评</w:t>
      </w:r>
      <w:r>
        <w:rPr>
          <w:rFonts w:hint="default" w:ascii="Calibri" w:hAnsi="Calibri" w:eastAsia="宋体" w:cs="Times New Roman"/>
          <w:b/>
          <w:bCs/>
          <w:caps w:val="0"/>
          <w:color w:val="auto"/>
          <w:kern w:val="2"/>
          <w:sz w:val="32"/>
          <w:szCs w:val="32"/>
          <w:highlight w:val="none"/>
          <w:vertAlign w:val="baseline"/>
          <w:lang w:val="en-US" w:eastAsia="zh-CN" w:bidi="ar"/>
        </w:rPr>
        <w:t xml:space="preserve"> </w:t>
      </w:r>
      <w:r>
        <w:rPr>
          <w:rFonts w:hint="eastAsia" w:ascii="宋体" w:hAnsi="宋体" w:eastAsia="宋体" w:cs="Times New Roman"/>
          <w:b/>
          <w:bCs/>
          <w:caps w:val="0"/>
          <w:color w:val="auto"/>
          <w:kern w:val="2"/>
          <w:sz w:val="32"/>
          <w:szCs w:val="32"/>
          <w:highlight w:val="none"/>
          <w:vertAlign w:val="baseline"/>
          <w:lang w:val="en-US" w:eastAsia="zh-CN" w:bidi="ar"/>
        </w:rPr>
        <w:t>标</w:t>
      </w:r>
      <w:r>
        <w:rPr>
          <w:rFonts w:hint="default" w:ascii="Calibri" w:hAnsi="Calibri" w:eastAsia="宋体" w:cs="Times New Roman"/>
          <w:b/>
          <w:bCs/>
          <w:caps w:val="0"/>
          <w:color w:val="auto"/>
          <w:kern w:val="2"/>
          <w:sz w:val="32"/>
          <w:szCs w:val="32"/>
          <w:highlight w:val="none"/>
          <w:vertAlign w:val="baseline"/>
          <w:lang w:val="en-US" w:eastAsia="zh-CN" w:bidi="ar"/>
        </w:rPr>
        <w:t xml:space="preserve"> </w:t>
      </w:r>
      <w:r>
        <w:rPr>
          <w:rFonts w:hint="eastAsia" w:ascii="宋体" w:hAnsi="宋体" w:eastAsia="宋体" w:cs="Times New Roman"/>
          <w:b/>
          <w:bCs/>
          <w:caps w:val="0"/>
          <w:color w:val="auto"/>
          <w:kern w:val="2"/>
          <w:sz w:val="32"/>
          <w:szCs w:val="32"/>
          <w:highlight w:val="none"/>
          <w:vertAlign w:val="baseline"/>
          <w:lang w:val="en-US" w:eastAsia="zh-CN" w:bidi="ar"/>
        </w:rPr>
        <w:t>办</w:t>
      </w:r>
      <w:r>
        <w:rPr>
          <w:rFonts w:hint="default" w:ascii="Calibri" w:hAnsi="Calibri" w:eastAsia="宋体" w:cs="Times New Roman"/>
          <w:b/>
          <w:bCs/>
          <w:caps w:val="0"/>
          <w:color w:val="auto"/>
          <w:kern w:val="2"/>
          <w:sz w:val="32"/>
          <w:szCs w:val="32"/>
          <w:highlight w:val="none"/>
          <w:vertAlign w:val="baseline"/>
          <w:lang w:val="en-US" w:eastAsia="zh-CN" w:bidi="ar"/>
        </w:rPr>
        <w:t xml:space="preserve"> </w:t>
      </w:r>
      <w:r>
        <w:rPr>
          <w:rFonts w:hint="eastAsia" w:ascii="宋体" w:hAnsi="宋体" w:eastAsia="宋体" w:cs="Times New Roman"/>
          <w:b/>
          <w:bCs/>
          <w:caps w:val="0"/>
          <w:color w:val="auto"/>
          <w:kern w:val="2"/>
          <w:sz w:val="32"/>
          <w:szCs w:val="32"/>
          <w:highlight w:val="none"/>
          <w:vertAlign w:val="baseline"/>
          <w:lang w:val="en-US" w:eastAsia="zh-CN" w:bidi="ar"/>
        </w:rPr>
        <w:t>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（一）资格审查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firstLine="0"/>
        <w:jc w:val="left"/>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资格审查表</w:t>
      </w:r>
    </w:p>
    <w:tbl>
      <w:tblPr>
        <w:tblStyle w:val="25"/>
        <w:tblW w:w="925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22"/>
        <w:gridCol w:w="1330"/>
        <w:gridCol w:w="5040"/>
        <w:gridCol w:w="236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1"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序号</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评审因素</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资格审查内容</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41"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授权委托书</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法定代表人参加投标的，须提供法定代表人身份证明；</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授权委托人参加投标的，须提供法定代表人授权委托书</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标书内附证明及委托书加盖单位公章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61"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营业执照</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营业执照副本</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b w:val="0"/>
                <w:bCs w:val="0"/>
                <w:caps w:val="0"/>
                <w:color w:val="auto"/>
                <w:kern w:val="2"/>
                <w:sz w:val="21"/>
                <w:szCs w:val="21"/>
                <w:highlight w:val="none"/>
                <w:vertAlign w:val="baseline"/>
                <w:lang w:val="en-US" w:eastAsia="zh-CN" w:bidi="ar"/>
              </w:rPr>
            </w:pPr>
            <w:r>
              <w:rPr>
                <w:rFonts w:hint="eastAsia" w:cs="黑体" w:asciiTheme="minorEastAsia" w:hAnsiTheme="minorEastAsia" w:eastAsiaTheme="minorEastAsia"/>
                <w:sz w:val="21"/>
                <w:szCs w:val="21"/>
                <w:highlight w:val="none"/>
              </w:rPr>
              <w:t>履行合同所必需的设备和专业技术能力</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both"/>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cs="黑体" w:asciiTheme="minorEastAsia" w:hAnsiTheme="minorEastAsia" w:eastAsiaTheme="minorEastAsia"/>
                <w:sz w:val="21"/>
                <w:szCs w:val="21"/>
                <w:highlight w:val="none"/>
              </w:rPr>
              <w:t>具备履行合同所必需的设备和专业技术能力。</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cs="黑体" w:asciiTheme="minorEastAsia" w:hAnsiTheme="minorEastAsia"/>
                <w:sz w:val="21"/>
                <w:szCs w:val="21"/>
                <w:highlight w:val="none"/>
                <w:lang w:val="en-US" w:eastAsia="zh-CN"/>
              </w:rPr>
              <w:t>标书内</w:t>
            </w:r>
            <w:r>
              <w:rPr>
                <w:rFonts w:hint="eastAsia" w:cs="黑体" w:asciiTheme="minorEastAsia" w:hAnsiTheme="minorEastAsia" w:eastAsiaTheme="minorEastAsia"/>
                <w:sz w:val="21"/>
                <w:szCs w:val="21"/>
                <w:highlight w:val="none"/>
              </w:rPr>
              <w:t>附加盖公章的承诺书。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61"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4</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b w:val="0"/>
                <w:bCs w:val="0"/>
                <w:caps w:val="0"/>
                <w:color w:val="auto"/>
                <w:kern w:val="2"/>
                <w:sz w:val="21"/>
                <w:szCs w:val="21"/>
                <w:highlight w:val="none"/>
                <w:vertAlign w:val="baseline"/>
                <w:lang w:val="en-US" w:eastAsia="zh-CN" w:bidi="ar"/>
              </w:rPr>
            </w:pPr>
            <w:r>
              <w:rPr>
                <w:rFonts w:hint="eastAsia" w:asciiTheme="minorEastAsia" w:hAnsiTheme="minorEastAsia" w:eastAsiaTheme="minorEastAsia"/>
                <w:sz w:val="21"/>
                <w:szCs w:val="21"/>
                <w:highlight w:val="none"/>
              </w:rPr>
              <w:t>医疗器械许可</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both"/>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cs="宋体"/>
                <w:sz w:val="21"/>
                <w:szCs w:val="21"/>
                <w:highlight w:val="none"/>
              </w:rPr>
              <w:t>①</w:t>
            </w:r>
            <w:r>
              <w:rPr>
                <w:sz w:val="21"/>
                <w:szCs w:val="21"/>
                <w:highlight w:val="none"/>
              </w:rPr>
              <w:t>投标供应商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w:t>
            </w:r>
            <w:r>
              <w:rPr>
                <w:rFonts w:hint="eastAsia" w:ascii="宋体" w:hAnsi="宋体" w:cs="宋体"/>
                <w:sz w:val="21"/>
                <w:szCs w:val="21"/>
                <w:highlight w:val="none"/>
              </w:rPr>
              <w:t>②</w:t>
            </w:r>
            <w:r>
              <w:rPr>
                <w:sz w:val="21"/>
                <w:szCs w:val="21"/>
                <w:highlight w:val="none"/>
              </w:rPr>
              <w:t>投标供应商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w:t>
            </w:r>
            <w:r>
              <w:rPr>
                <w:rFonts w:hint="eastAsia" w:ascii="宋体" w:hAnsi="宋体" w:cs="宋体"/>
                <w:sz w:val="21"/>
                <w:szCs w:val="21"/>
                <w:highlight w:val="none"/>
              </w:rPr>
              <w:t>③</w:t>
            </w:r>
            <w:r>
              <w:rPr>
                <w:sz w:val="21"/>
                <w:szCs w:val="21"/>
                <w:highlight w:val="none"/>
              </w:rPr>
              <w:t>投标产品若纳入中华人民共和国医疗器械监督管理的，第一类医疗器械须具有备案凭证，第二、三类则应取得监督管理部门颁发相应的《中华人民共和国医疗器械注册证》及《医疗器械产品注册登记表》，若已办理两证合一则只需提供《医疗器械注册证》</w:t>
            </w:r>
            <w:r>
              <w:rPr>
                <w:rFonts w:hint="eastAsia"/>
                <w:sz w:val="21"/>
                <w:szCs w:val="21"/>
                <w:highlight w:val="none"/>
              </w:rPr>
              <w:t>。</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83"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5</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
                <w:color w:val="000000" w:themeColor="text1"/>
                <w:sz w:val="21"/>
                <w:szCs w:val="21"/>
                <w:highlight w:val="none"/>
                <w:lang w:eastAsia="zh-CN"/>
                <w14:textFill>
                  <w14:solidFill>
                    <w14:schemeClr w14:val="tx1"/>
                  </w14:solidFill>
                </w14:textFill>
              </w:rPr>
              <w:t>良好的商业信誉和健全的财务会计制度</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color w:val="000000" w:themeColor="text1"/>
                <w:sz w:val="21"/>
                <w:szCs w:val="21"/>
                <w:highlight w:val="none"/>
                <w:lang w:eastAsia="zh-CN"/>
                <w14:textFill>
                  <w14:solidFill>
                    <w14:schemeClr w14:val="tx1"/>
                  </w14:solidFill>
                </w14:textFill>
              </w:rPr>
              <w:t>投标人应提供 202</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 xml:space="preserve"> 年度经审计的财务报告复印件，或其基本开户银行出具的开标日前三个月的资信证明原件（或复印件）或按投标文件格式提供资格条件承诺函。</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83"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6</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依法缴纳税收和社会保障资金证明</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lang w:val="en-US" w:eastAsia="zh-CN"/>
                <w14:textFill>
                  <w14:solidFill>
                    <w14:schemeClr w14:val="tx1"/>
                  </w14:solidFill>
                </w14:textFill>
              </w:rPr>
              <w:t>应提供</w:t>
            </w:r>
            <w:r>
              <w:rPr>
                <w:rFonts w:hint="eastAsia" w:ascii="宋体" w:hAnsi="宋体" w:eastAsia="宋体" w:cs="宋体"/>
                <w:color w:val="000000" w:themeColor="text1"/>
                <w:sz w:val="21"/>
                <w:szCs w:val="21"/>
                <w:highlight w:val="none"/>
                <w:lang w:eastAsia="zh-CN"/>
                <w14:textFill>
                  <w14:solidFill>
                    <w14:schemeClr w14:val="tx1"/>
                  </w14:solidFill>
                </w14:textFill>
              </w:rPr>
              <w:t>缴纳税收的证明材料，应提供开标前六个月内任意一个月的依法缴税凭据复印件（依法免税的投标人，须提供相应文件证明其依法免税）或按投标文件格式提供资格条件承诺函。</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432"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7</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信誉要求</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w:t>
            </w: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）拒绝列入政府取消投标资格记录期间的企业或个人投标。（</w:t>
            </w:r>
            <w:r>
              <w:rPr>
                <w:rFonts w:hint="default" w:ascii="Calibri" w:hAnsi="Calibri" w:eastAsia="宋体" w:cs="Calibri"/>
                <w:b w:val="0"/>
                <w:bCs w:val="0"/>
                <w:caps w:val="0"/>
                <w:color w:val="auto"/>
                <w:kern w:val="2"/>
                <w:sz w:val="21"/>
                <w:szCs w:val="21"/>
                <w:highlight w:val="none"/>
                <w:vertAlign w:val="baseline"/>
                <w:lang w:val="en-US" w:eastAsia="zh-CN" w:bidi="ar"/>
              </w:rPr>
              <w:t>2</w:t>
            </w:r>
            <w:r>
              <w:rPr>
                <w:rFonts w:hint="eastAsia" w:ascii="宋体" w:hAnsi="宋体" w:eastAsia="宋体" w:cs="宋体"/>
                <w:b w:val="0"/>
                <w:bCs w:val="0"/>
                <w:caps w:val="0"/>
                <w:color w:val="auto"/>
                <w:kern w:val="2"/>
                <w:sz w:val="21"/>
                <w:szCs w:val="21"/>
                <w:highlight w:val="none"/>
                <w:vertAlign w:val="baseline"/>
                <w:lang w:val="en-US" w:eastAsia="zh-CN" w:bidi="ar"/>
              </w:rPr>
              <w:t>）未被工商行政管理机关在全国企业信用信息公示系统（</w:t>
            </w:r>
            <w:r>
              <w:rPr>
                <w:rFonts w:hint="default" w:ascii="Calibri" w:hAnsi="Calibri" w:eastAsia="宋体" w:cs="Calibri"/>
                <w:b w:val="0"/>
                <w:bCs w:val="0"/>
                <w:caps w:val="0"/>
                <w:color w:val="auto"/>
                <w:kern w:val="2"/>
                <w:sz w:val="21"/>
                <w:szCs w:val="21"/>
                <w:highlight w:val="none"/>
                <w:vertAlign w:val="baseline"/>
                <w:lang w:val="en-US" w:eastAsia="zh-CN" w:bidi="ar"/>
              </w:rPr>
              <w:t>www.gsxt.gov.cn</w:t>
            </w:r>
            <w:r>
              <w:rPr>
                <w:rFonts w:hint="eastAsia" w:ascii="宋体" w:hAnsi="宋体" w:eastAsia="宋体" w:cs="宋体"/>
                <w:b w:val="0"/>
                <w:bCs w:val="0"/>
                <w:caps w:val="0"/>
                <w:color w:val="auto"/>
                <w:kern w:val="2"/>
                <w:sz w:val="21"/>
                <w:szCs w:val="21"/>
                <w:highlight w:val="none"/>
                <w:vertAlign w:val="baseline"/>
                <w:lang w:val="en-US" w:eastAsia="zh-CN" w:bidi="ar"/>
              </w:rPr>
              <w:t>）中列入严重违法失信企业名单。（</w:t>
            </w:r>
            <w:r>
              <w:rPr>
                <w:rFonts w:hint="default" w:ascii="Calibri" w:hAnsi="Calibri" w:eastAsia="宋体" w:cs="Calibri"/>
                <w:b w:val="0"/>
                <w:bCs w:val="0"/>
                <w:caps w:val="0"/>
                <w:color w:val="auto"/>
                <w:kern w:val="2"/>
                <w:sz w:val="21"/>
                <w:szCs w:val="21"/>
                <w:highlight w:val="none"/>
                <w:vertAlign w:val="baseline"/>
                <w:lang w:val="en-US" w:eastAsia="zh-CN" w:bidi="ar"/>
              </w:rPr>
              <w:t>3</w:t>
            </w:r>
            <w:r>
              <w:rPr>
                <w:rFonts w:hint="eastAsia" w:ascii="宋体" w:hAnsi="宋体" w:eastAsia="宋体" w:cs="宋体"/>
                <w:b w:val="0"/>
                <w:bCs w:val="0"/>
                <w:caps w:val="0"/>
                <w:color w:val="auto"/>
                <w:kern w:val="2"/>
                <w:sz w:val="21"/>
                <w:szCs w:val="21"/>
                <w:highlight w:val="none"/>
                <w:vertAlign w:val="baseline"/>
                <w:lang w:val="en-US" w:eastAsia="zh-CN" w:bidi="ar"/>
              </w:rPr>
              <w:t>）未被“信用中国”（www.creditchina.gov.cn）、中国政府采购网（www.ccgp.gov.cn）列入失信被执行人、重大税收违法案件当事人名单、政府采购严重违法失信行为记录名单。（</w:t>
            </w:r>
            <w:r>
              <w:rPr>
                <w:rFonts w:hint="default" w:ascii="Calibri" w:hAnsi="Calibri" w:eastAsia="宋体" w:cs="Calibri"/>
                <w:b w:val="0"/>
                <w:bCs w:val="0"/>
                <w:caps w:val="0"/>
                <w:color w:val="auto"/>
                <w:kern w:val="2"/>
                <w:sz w:val="21"/>
                <w:szCs w:val="21"/>
                <w:highlight w:val="none"/>
                <w:vertAlign w:val="baseline"/>
                <w:lang w:val="en-US" w:eastAsia="zh-CN" w:bidi="ar"/>
              </w:rPr>
              <w:t>4</w:t>
            </w:r>
            <w:r>
              <w:rPr>
                <w:rFonts w:hint="eastAsia" w:ascii="宋体" w:hAnsi="宋体" w:eastAsia="宋体" w:cs="宋体"/>
                <w:b w:val="0"/>
                <w:bCs w:val="0"/>
                <w:caps w:val="0"/>
                <w:color w:val="auto"/>
                <w:kern w:val="2"/>
                <w:sz w:val="21"/>
                <w:szCs w:val="21"/>
                <w:highlight w:val="none"/>
                <w:vertAlign w:val="baseline"/>
                <w:lang w:val="en-US" w:eastAsia="zh-CN" w:bidi="ar"/>
              </w:rPr>
              <w:t>）在近三年（</w:t>
            </w:r>
            <w:r>
              <w:rPr>
                <w:rFonts w:hint="default" w:ascii="Calibri" w:hAnsi="Calibri" w:eastAsia="宋体" w:cs="Calibri"/>
                <w:b w:val="0"/>
                <w:bCs w:val="0"/>
                <w:caps w:val="0"/>
                <w:color w:val="auto"/>
                <w:kern w:val="2"/>
                <w:sz w:val="21"/>
                <w:szCs w:val="21"/>
                <w:highlight w:val="none"/>
                <w:vertAlign w:val="baseline"/>
                <w:lang w:val="en-US" w:eastAsia="zh-CN" w:bidi="ar"/>
              </w:rPr>
              <w:t>20</w:t>
            </w:r>
            <w:r>
              <w:rPr>
                <w:rFonts w:hint="eastAsia" w:ascii="Calibri" w:hAnsi="Calibri" w:eastAsia="宋体" w:cs="Calibri"/>
                <w:b w:val="0"/>
                <w:bCs w:val="0"/>
                <w:caps w:val="0"/>
                <w:color w:val="auto"/>
                <w:kern w:val="2"/>
                <w:sz w:val="21"/>
                <w:szCs w:val="21"/>
                <w:highlight w:val="none"/>
                <w:vertAlign w:val="baseline"/>
                <w:lang w:val="en-US" w:eastAsia="zh-CN" w:bidi="ar"/>
              </w:rPr>
              <w:t>21</w:t>
            </w:r>
            <w:r>
              <w:rPr>
                <w:rFonts w:hint="eastAsia" w:ascii="宋体" w:hAnsi="宋体" w:eastAsia="宋体" w:cs="宋体"/>
                <w:b w:val="0"/>
                <w:bCs w:val="0"/>
                <w:caps w:val="0"/>
                <w:color w:val="auto"/>
                <w:kern w:val="2"/>
                <w:sz w:val="21"/>
                <w:szCs w:val="21"/>
                <w:highlight w:val="none"/>
                <w:vertAlign w:val="baseline"/>
                <w:lang w:val="en-US" w:eastAsia="zh-CN" w:bidi="ar"/>
              </w:rPr>
              <w:t>年</w:t>
            </w: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月</w:t>
            </w:r>
            <w:r>
              <w:rPr>
                <w:rFonts w:hint="default" w:ascii="Calibri" w:hAnsi="Calibri" w:eastAsia="宋体" w:cs="Calibri"/>
                <w:b w:val="0"/>
                <w:bCs w:val="0"/>
                <w:caps w:val="0"/>
                <w:color w:val="auto"/>
                <w:kern w:val="2"/>
                <w:sz w:val="21"/>
                <w:szCs w:val="21"/>
                <w:highlight w:val="none"/>
                <w:vertAlign w:val="baseline"/>
                <w:lang w:val="en-US" w:eastAsia="zh-CN" w:bidi="ar"/>
              </w:rPr>
              <w:t>1</w:t>
            </w:r>
            <w:r>
              <w:rPr>
                <w:rFonts w:hint="eastAsia" w:ascii="宋体" w:hAnsi="宋体" w:eastAsia="宋体" w:cs="宋体"/>
                <w:b w:val="0"/>
                <w:bCs w:val="0"/>
                <w:caps w:val="0"/>
                <w:color w:val="auto"/>
                <w:kern w:val="2"/>
                <w:sz w:val="21"/>
                <w:szCs w:val="21"/>
                <w:highlight w:val="none"/>
                <w:vertAlign w:val="baseline"/>
                <w:lang w:val="en-US" w:eastAsia="zh-CN" w:bidi="ar"/>
              </w:rPr>
              <w:t>日至今）内投标人和法定代表人未在“中国裁判文书网”（</w:t>
            </w:r>
            <w:r>
              <w:rPr>
                <w:rFonts w:hint="default" w:ascii="Calibri" w:hAnsi="Calibri" w:eastAsia="宋体" w:cs="Calibri"/>
                <w:b w:val="0"/>
                <w:bCs w:val="0"/>
                <w:caps w:val="0"/>
                <w:color w:val="auto"/>
                <w:kern w:val="2"/>
                <w:sz w:val="21"/>
                <w:szCs w:val="21"/>
                <w:highlight w:val="none"/>
                <w:vertAlign w:val="baseline"/>
                <w:lang w:val="en-US" w:eastAsia="zh-CN" w:bidi="ar"/>
              </w:rPr>
              <w:t>http://wenshu.court.gov.cn/</w:t>
            </w:r>
            <w:r>
              <w:rPr>
                <w:rFonts w:hint="eastAsia" w:ascii="宋体" w:hAnsi="宋体" w:eastAsia="宋体" w:cs="宋体"/>
                <w:b w:val="0"/>
                <w:bCs w:val="0"/>
                <w:caps w:val="0"/>
                <w:color w:val="auto"/>
                <w:kern w:val="2"/>
                <w:sz w:val="21"/>
                <w:szCs w:val="21"/>
                <w:highlight w:val="none"/>
                <w:vertAlign w:val="baseline"/>
                <w:lang w:val="en-US" w:eastAsia="zh-CN" w:bidi="ar"/>
              </w:rPr>
              <w:t>）上有行贿犯罪行为。</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b w:val="0"/>
                <w:bCs w:val="0"/>
                <w:kern w:val="0"/>
                <w:szCs w:val="21"/>
              </w:rPr>
              <w:t>标书内（1）附由法定代表人或其委托代理人签字或盖章</w:t>
            </w:r>
            <w:r>
              <w:rPr>
                <w:rFonts w:hint="eastAsia" w:ascii="宋体" w:hAnsi="宋体" w:cs="宋体"/>
                <w:b w:val="0"/>
                <w:bCs w:val="0"/>
                <w:kern w:val="0"/>
                <w:szCs w:val="21"/>
                <w:lang w:val="en-US" w:eastAsia="zh-CN"/>
              </w:rPr>
              <w:t>并</w:t>
            </w:r>
            <w:r>
              <w:rPr>
                <w:rFonts w:hint="eastAsia" w:ascii="宋体" w:hAnsi="宋体" w:cs="宋体"/>
                <w:b w:val="0"/>
                <w:bCs w:val="0"/>
                <w:kern w:val="0"/>
                <w:szCs w:val="21"/>
              </w:rPr>
              <w:t>加盖投标单位公章的承诺书，（2）至（4）附网站查询截图复印件加盖投标单位公章。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00"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8</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18030"/>
                <w:color w:val="auto"/>
                <w:szCs w:val="21"/>
                <w:highlight w:val="none"/>
                <w:lang w:val="en-US" w:eastAsia="zh-CN"/>
              </w:rPr>
              <w:t>声明书1</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近三年在经营活动中没有重大违法记录的书面声明</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标书内附法定代表人签字并加盖单位公章声明书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786"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9</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声明书2</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zh-CN" w:eastAsia="zh-CN" w:bidi="ar"/>
              </w:rPr>
              <w:t>为本采购项目提供过整体设计、规范编制或者项目管理、监理、检测等服务的投标人及其附属机构，不得再参加本采购项目的投标活动，投标人须提供声明。</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40" w:lineRule="auto"/>
              <w:jc w:val="center"/>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标书内附法定代表人签字并加盖单位公章声明书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786"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10</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其它要求</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与招标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标书内附法定代表人或委托代理人签字并加盖投标人公章的承诺书</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注：本表中符合评审内容要求的写“ √ ”，不符合评审内容要求的写“ × ”。结论为“合 格”或“不合格” 。结论不合格的不进入综合评审阶段。</w:t>
      </w:r>
    </w:p>
    <w:p>
      <w:pPr>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（二）符合性审查表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符合性审查表</w:t>
      </w:r>
    </w:p>
    <w:tbl>
      <w:tblPr>
        <w:tblStyle w:val="25"/>
        <w:tblW w:w="918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078"/>
        <w:gridCol w:w="710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评审因素</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评审标准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投标人名称</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与营业执照一致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投标函签字盖章</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有投标单位印章并经法定代表人或其委托代理人签字或盖章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招标内容</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符合招标文件要求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合同履行期限</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合同签订之日起30日内，具体以合同签订为准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质量要求</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符合国家及行业相关合格标准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投标有效期</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投标截止之日后</w:t>
            </w:r>
            <w:r>
              <w:rPr>
                <w:rFonts w:hint="default" w:ascii="Calibri" w:hAnsi="Calibri" w:eastAsia="宋体" w:cs="Times New Roman"/>
                <w:b w:val="0"/>
                <w:bCs w:val="0"/>
                <w:caps w:val="0"/>
                <w:color w:val="auto"/>
                <w:kern w:val="2"/>
                <w:sz w:val="21"/>
                <w:szCs w:val="21"/>
                <w:highlight w:val="none"/>
                <w:vertAlign w:val="baseline"/>
                <w:lang w:val="en-US" w:eastAsia="zh-CN" w:bidi="ar"/>
              </w:rPr>
              <w:t>90</w:t>
            </w:r>
            <w:r>
              <w:rPr>
                <w:rFonts w:hint="eastAsia" w:ascii="宋体" w:hAnsi="宋体" w:eastAsia="宋体" w:cs="Times New Roman"/>
                <w:b w:val="0"/>
                <w:bCs w:val="0"/>
                <w:caps w:val="0"/>
                <w:color w:val="auto"/>
                <w:kern w:val="2"/>
                <w:sz w:val="21"/>
                <w:szCs w:val="21"/>
                <w:highlight w:val="none"/>
                <w:vertAlign w:val="baseline"/>
                <w:lang w:val="en-US" w:eastAsia="zh-CN" w:bidi="ar"/>
              </w:rPr>
              <w:t>天（日历天）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78"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符合招标文件要求，提供单位银行基本账户开户证明。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63"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技术标准和要求</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cs="Times New Roman" w:eastAsiaTheme="minorEastAsia"/>
                <w:caps w:val="0"/>
                <w:color w:val="auto"/>
                <w:kern w:val="2"/>
                <w:sz w:val="21"/>
                <w:szCs w:val="21"/>
                <w:highlight w:val="none"/>
                <w:vertAlign w:val="baseline"/>
                <w:lang w:val="en-US" w:eastAsia="zh-CN" w:bidi="ar"/>
              </w:rPr>
            </w:pPr>
            <w:r>
              <w:rPr>
                <w:rFonts w:hint="eastAsia" w:ascii="Calibri" w:hAnsi="Calibri" w:cs="Times New Roman"/>
                <w:caps w:val="0"/>
                <w:color w:val="auto"/>
                <w:kern w:val="2"/>
                <w:sz w:val="21"/>
                <w:szCs w:val="21"/>
                <w:highlight w:val="none"/>
                <w:vertAlign w:val="baseline"/>
                <w:lang w:val="en-US" w:eastAsia="zh-CN" w:bidi="ar"/>
              </w:rPr>
              <w:t>符合“</w:t>
            </w:r>
            <w:r>
              <w:rPr>
                <w:rFonts w:hint="default" w:ascii="Calibri" w:hAnsi="Calibri" w:cs="Times New Roman" w:eastAsiaTheme="minorEastAsia"/>
                <w:caps w:val="0"/>
                <w:color w:val="auto"/>
                <w:kern w:val="2"/>
                <w:sz w:val="21"/>
                <w:szCs w:val="21"/>
                <w:highlight w:val="none"/>
                <w:vertAlign w:val="baseline"/>
                <w:lang w:val="en-US" w:eastAsia="zh-CN" w:bidi="ar"/>
              </w:rPr>
              <w:t>第四章采购需求</w:t>
            </w:r>
            <w:r>
              <w:rPr>
                <w:rFonts w:hint="eastAsia" w:ascii="Calibri" w:hAnsi="Calibri" w:cs="Times New Roman"/>
                <w:caps w:val="0"/>
                <w:color w:val="auto"/>
                <w:kern w:val="2"/>
                <w:sz w:val="21"/>
                <w:szCs w:val="21"/>
                <w:highlight w:val="none"/>
                <w:vertAlign w:val="baseline"/>
                <w:lang w:val="en-US" w:eastAsia="zh-CN" w:bidi="ar"/>
              </w:rPr>
              <w:t>”中要求</w:t>
            </w:r>
            <w:r>
              <w:rPr>
                <w:rFonts w:hint="eastAsia" w:asciiTheme="minorEastAsia" w:hAnsiTheme="minorEastAsia"/>
                <w:bCs/>
                <w:snapToGrid w:val="0"/>
                <w:sz w:val="21"/>
                <w:szCs w:val="21"/>
                <w:highlight w:val="none"/>
                <w:lang w:eastAsia="zh-CN"/>
              </w:rPr>
              <w:t>，</w:t>
            </w:r>
            <w:r>
              <w:rPr>
                <w:rFonts w:hint="eastAsia" w:asciiTheme="minorEastAsia" w:hAnsiTheme="minorEastAsia"/>
                <w:bCs/>
                <w:snapToGrid w:val="0"/>
                <w:sz w:val="21"/>
                <w:szCs w:val="21"/>
                <w:highlight w:val="none"/>
                <w:lang w:val="en-US" w:eastAsia="zh-CN"/>
              </w:rPr>
              <w:t>需提供证明材料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63"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投标报价</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未超过最高限价</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）供应商或其投标文件不符合上述情况之一的，则符合性审查不合格，不进入详细评审；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）符合性审查结束后，合格的供应商进入详细评审。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除此之外的内容，不作为本次资格审查及符合性审查的内容。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投标文件属下列情况之一的，应当在资格性、符合性审查时按照无效投标处理：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未按照招标文件的规定提交投标保证金的；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投标文件未按招标文件要求签署、盖章的；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不具备招标文件中规定资格要求的；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报价超过招标文件中规定的预算金额或者最高限价的；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投标文件含有采购人不能接受的附加条件的；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六</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法律、法规和招标文件规定的其他无效情形。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审查投标人是否存在串通投标行为：评标委员会发现有下列情形之一的，视为投标人串通投标，其投标无效：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一、有下列情形之一的，属于投标人相互串通投标：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投标人之间协商投标报价等投标文件的实质性内容；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投标人之间约定中标人；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投标人之间约定部分投标人放弃投标或者中标；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属于同一集团、协会、商会等组织成员的投标人按照该组织要求协同投标；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投标人之间为谋取中标或者排斥特定投标人而采取的其他联合行动。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二、有下列情形之一的，视为投标人相互串通投标：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不同投标人的投标文件由同一单位或者个人编制；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不同投标人委托同一单位或者个人办理投标事宜；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不同投标人的投标文件载明的项目管理成员为同一人；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不同投标人的投标文件异常一致或者投标报价呈规律性差异；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不同投标人的投标文件相互混装；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六</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不同投标人的投标保证金从同一单位或者个人的账户转出；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七</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《关于禁止串通招标投标行为的暂行规定》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国家工商行政管理局令第 </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82 </w:t>
      </w:r>
      <w:r>
        <w:rPr>
          <w:rFonts w:hint="eastAsia" w:ascii="宋体" w:hAnsi="宋体" w:eastAsia="宋体" w:cs="Times New Roman"/>
          <w:b w:val="0"/>
          <w:bCs w:val="0"/>
          <w:caps w:val="0"/>
          <w:color w:val="auto"/>
          <w:kern w:val="2"/>
          <w:sz w:val="21"/>
          <w:szCs w:val="21"/>
          <w:highlight w:val="none"/>
          <w:vertAlign w:val="baseline"/>
          <w:lang w:val="en-US" w:eastAsia="zh-CN" w:bidi="ar"/>
        </w:rPr>
        <w:t>号</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第三条规定的串通投标行为；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八</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投标人串通投标的其他情形。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三、有下列情形之一的，属于招标人与投标人串通投标：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招标人在开标前开启投标文件并将有关信息泄露给其他投标人；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招标人直接或者间接向投标人泄露标底、评标委员会成员等信息；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招标人明示或者暗示投标人压低或者抬高投标报价；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招标人授意投标人撤换、修改投标文件；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招标人明示或者暗示投标人为特定投标人中标提供方便；</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六</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招标人与投标人为谋求特定投标人中标而采取的其他串通行为。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注：经评标委员会评审合格投标商的家数不足三家，该项目废标，采购人有权委托采</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购代理机构重新组织招标。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 </w:t>
      </w:r>
      <w:r>
        <w:rPr>
          <w:rFonts w:hint="eastAsia" w:ascii="宋体" w:hAnsi="宋体" w:eastAsia="宋体" w:cs="Times New Roman"/>
          <w:b w:val="0"/>
          <w:bCs w:val="0"/>
          <w:caps w:val="0"/>
          <w:color w:val="auto"/>
          <w:kern w:val="2"/>
          <w:sz w:val="21"/>
          <w:szCs w:val="21"/>
          <w:highlight w:val="none"/>
          <w:vertAlign w:val="baseline"/>
          <w:lang w:val="en-US" w:eastAsia="zh-CN" w:bidi="ar"/>
        </w:rPr>
        <w:t>澄清有关问题。对投标文件中含义不明确、同类问题表述不一致或者有明显文字和计 算错误的内容，评标委员会可以书面形式要求投标人做出必要的澄清、说明或者纠正。投 标人的澄清、说明或者补正不得超出投标文件的范围或者改变投标文件的实质性内容。投 标人的澄清、说明或者补正应当采用书面形式，由投标人单位负责人或其授权代理人签字</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须提交签字人身份证件并与投标文件签字人一致</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，并不得超出投标文件的范围或者改 变投标文件的实质性内容。投标人拒不进行澄清、说明、补正的，或者不能在规定时间内 作出书面澄清、说明、补正的，评标委员会将按最不利于投标人的方式处理。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3.2.1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评标委员会将允许修正投标文件中不构成重大偏离的细微偏离，但这些修正应不会 对实质上响应招标文件要求的投标人的竞争地位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相互排序</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产生不公正的影响。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3.2.2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投标文件报价出现前后不一致的，除招标文件另有规定外，按照下列规定修正：</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投标文件中开标一览表</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报价表</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内容与投标文件中相应内容不一致的，以开标一览表</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报 价表</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为准；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大写金额和小写金额不一致的，以大写金额为准；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单价金额小 数点或者百分比有明显错位的，以开标一览表的总价为准，并修改单价；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总价金额 与按单价汇总金额不一致的，以单价金额计算结果为准。同时出现两种以上不一致的，按 照规定的顺序修正。修正后的报价经投标人确认后产生约束力，投标人不确认的，其投标 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3.2.3 </w:t>
      </w: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评标委员会认为投标人的报价明显低于其他通过符合性审查投标人的报价，有可能影响产品质量或者不能诚信履约的，应当要求其在评标现场合理的时间内提供书面说明， 必要时提交相关证明材料；投标人不能证明其报价合理性的，评标委员会应当将其作为无 效投标处理。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3.3 </w:t>
      </w: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评标委员会应当按照招标文件中规定的评标方法和标准，对符合性审查合格的投标文 件进行商务和技术评估，综合比较与评价。</w:t>
      </w:r>
    </w:p>
    <w:p>
      <w:pPr>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3.3.2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综合评分法评分方法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计算结果精确到小数点后两位</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w:t>
      </w:r>
    </w:p>
    <w:p>
      <w:pPr>
        <w:rPr>
          <w:rFonts w:hint="eastAsia" w:ascii="宋体" w:hAnsi="宋体"/>
          <w:b/>
          <w:color w:val="auto"/>
          <w:sz w:val="24"/>
          <w:szCs w:val="24"/>
          <w:highlight w:val="none"/>
        </w:rPr>
      </w:pPr>
      <w:r>
        <w:rPr>
          <w:rFonts w:hint="eastAsia" w:ascii="宋体" w:hAnsi="宋体"/>
          <w:b/>
          <w:color w:val="auto"/>
          <w:sz w:val="24"/>
          <w:szCs w:val="24"/>
          <w:highlight w:val="none"/>
        </w:rPr>
        <w:br w:type="page"/>
      </w:r>
    </w:p>
    <w:p>
      <w:pPr>
        <w:spacing w:line="400" w:lineRule="exact"/>
        <w:jc w:val="center"/>
        <w:rPr>
          <w:rFonts w:hint="eastAsia" w:ascii="宋体" w:hAnsi="宋体" w:eastAsia="宋体" w:cs="黑体"/>
          <w:b/>
          <w:color w:val="auto"/>
          <w:sz w:val="24"/>
          <w:szCs w:val="24"/>
          <w:highlight w:val="none"/>
          <w:lang w:eastAsia="zh-CN"/>
        </w:rPr>
      </w:pPr>
      <w:r>
        <w:rPr>
          <w:rFonts w:hint="eastAsia" w:ascii="宋体" w:hAnsi="宋体"/>
          <w:b/>
          <w:color w:val="auto"/>
          <w:sz w:val="24"/>
          <w:szCs w:val="24"/>
          <w:highlight w:val="none"/>
        </w:rPr>
        <w:t>（三）详细评审</w:t>
      </w:r>
    </w:p>
    <w:tbl>
      <w:tblPr>
        <w:tblStyle w:val="25"/>
        <w:tblW w:w="8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6336"/>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103"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w:t>
            </w:r>
          </w:p>
        </w:tc>
        <w:tc>
          <w:tcPr>
            <w:tcW w:w="6336"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658"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03" w:type="dxa"/>
            <w:vMerge w:val="continue"/>
            <w:vAlign w:val="center"/>
          </w:tcPr>
          <w:p>
            <w:pPr>
              <w:spacing w:line="240" w:lineRule="auto"/>
              <w:rPr>
                <w:rFonts w:hint="eastAsia" w:ascii="宋体" w:hAnsi="宋体" w:eastAsia="宋体" w:cs="宋体"/>
                <w:color w:val="auto"/>
                <w:sz w:val="21"/>
                <w:szCs w:val="21"/>
                <w:highlight w:val="none"/>
              </w:rPr>
            </w:pPr>
          </w:p>
        </w:tc>
        <w:tc>
          <w:tcPr>
            <w:tcW w:w="6336" w:type="dxa"/>
            <w:vMerge w:val="continue"/>
            <w:vAlign w:val="center"/>
          </w:tcPr>
          <w:p>
            <w:pPr>
              <w:spacing w:line="240" w:lineRule="auto"/>
              <w:rPr>
                <w:rFonts w:hint="eastAsia" w:ascii="宋体" w:hAnsi="宋体" w:eastAsia="宋体" w:cs="宋体"/>
                <w:color w:val="auto"/>
                <w:sz w:val="21"/>
                <w:szCs w:val="21"/>
                <w:highlight w:val="none"/>
              </w:rPr>
            </w:pPr>
          </w:p>
        </w:tc>
        <w:tc>
          <w:tcPr>
            <w:tcW w:w="658" w:type="dxa"/>
            <w:vMerge w:val="continue"/>
            <w:vAlign w:val="center"/>
          </w:tcPr>
          <w:p>
            <w:pPr>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03"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tc>
        <w:tc>
          <w:tcPr>
            <w:tcW w:w="6336" w:type="dxa"/>
            <w:vAlign w:val="center"/>
          </w:tcPr>
          <w:p>
            <w:pPr>
              <w:tabs>
                <w:tab w:val="left" w:pos="312"/>
              </w:tabs>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以满足招标文件要求且报价最低的价格为评标基准价，其价格分为满分 30分，其他供应商的价格分按照下列公式计算：报价得分=（评标基准价/投标报价）×30，结果保留两位小数。</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03"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企业业绩</w:t>
            </w:r>
          </w:p>
        </w:tc>
        <w:tc>
          <w:tcPr>
            <w:tcW w:w="6336" w:type="dxa"/>
            <w:vAlign w:val="center"/>
          </w:tcPr>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近三年（20</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至今）类似业绩，每有一项得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分，最多得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分。投标文件附合同或中标通知书复印件并加盖公章。</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03"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lang w:val="en-US" w:eastAsia="zh-CN"/>
              </w:rPr>
              <w:t>投标货物性能、参数符合招标文件要求的程度</w:t>
            </w:r>
          </w:p>
        </w:tc>
        <w:tc>
          <w:tcPr>
            <w:tcW w:w="6336" w:type="dxa"/>
            <w:vAlign w:val="center"/>
          </w:tcPr>
          <w:p>
            <w:pPr>
              <w:pStyle w:val="34"/>
              <w:spacing w:line="240" w:lineRule="auto"/>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lang w:val="zh-CN" w:eastAsia="zh-CN" w:bidi="ar-SA"/>
              </w:rPr>
              <w:t>非</w:t>
            </w:r>
            <w:r>
              <w:rPr>
                <w:rFonts w:hint="eastAsia" w:ascii="宋体" w:hAnsi="宋体" w:eastAsia="宋体" w:cs="宋体"/>
                <w:sz w:val="21"/>
                <w:szCs w:val="21"/>
                <w:highlight w:val="none"/>
              </w:rPr>
              <w:t>★</w:t>
            </w:r>
            <w:r>
              <w:rPr>
                <w:rFonts w:hint="eastAsia" w:ascii="宋体" w:hAnsi="宋体" w:eastAsia="宋体" w:cs="宋体"/>
                <w:color w:val="auto"/>
                <w:sz w:val="21"/>
                <w:szCs w:val="21"/>
                <w:highlight w:val="none"/>
                <w:lang w:val="zh-CN" w:eastAsia="zh-CN" w:bidi="ar-SA"/>
              </w:rPr>
              <w:t>条款每有一项负偏离扣</w:t>
            </w:r>
            <w:r>
              <w:rPr>
                <w:rFonts w:hint="eastAsia" w:ascii="宋体" w:hAnsi="宋体" w:eastAsia="宋体" w:cs="宋体"/>
                <w:color w:val="auto"/>
                <w:sz w:val="21"/>
                <w:szCs w:val="21"/>
                <w:highlight w:val="none"/>
                <w:lang w:val="en-US" w:eastAsia="zh-CN" w:bidi="ar-SA"/>
              </w:rPr>
              <w:t>2</w:t>
            </w:r>
            <w:r>
              <w:rPr>
                <w:rFonts w:hint="eastAsia" w:ascii="宋体" w:hAnsi="宋体" w:eastAsia="宋体" w:cs="宋体"/>
                <w:color w:val="auto"/>
                <w:sz w:val="21"/>
                <w:szCs w:val="21"/>
                <w:highlight w:val="none"/>
                <w:lang w:val="zh-CN" w:eastAsia="zh-CN" w:bidi="ar-SA"/>
              </w:rPr>
              <w:t>分，直至扣完为止。（标注“</w:t>
            </w:r>
            <w:r>
              <w:rPr>
                <w:rFonts w:hint="eastAsia" w:ascii="宋体" w:hAnsi="宋体" w:eastAsia="宋体" w:cs="宋体"/>
                <w:sz w:val="21"/>
                <w:szCs w:val="21"/>
                <w:highlight w:val="none"/>
              </w:rPr>
              <w:t>★</w:t>
            </w:r>
            <w:r>
              <w:rPr>
                <w:rFonts w:hint="eastAsia" w:ascii="宋体" w:hAnsi="宋体" w:eastAsia="宋体" w:cs="宋体"/>
                <w:color w:val="auto"/>
                <w:sz w:val="21"/>
                <w:szCs w:val="21"/>
                <w:highlight w:val="none"/>
                <w:lang w:val="zh-CN" w:eastAsia="zh-CN" w:bidi="ar-SA"/>
              </w:rPr>
              <w:t>”号技术参数为实质性条款，必须逐条进行响应，投标人的技术偏离表中仅作出应答而未提供要求的有效技术支持资料（或证明材料），或提供的支持资料（或证明材料）与技术参数要求不一致的，评标委员会可不予承认，并可认为该技术应答不符合招标文件要求进行否决。由此产生的废标的风险，由投标人承担。</w:t>
            </w:r>
          </w:p>
          <w:p>
            <w:pPr>
              <w:spacing w:line="240" w:lineRule="auto"/>
              <w:jc w:val="both"/>
              <w:rPr>
                <w:rFonts w:hint="eastAsia" w:ascii="宋体" w:hAnsi="宋体" w:eastAsia="宋体" w:cs="宋体"/>
                <w:color w:val="auto"/>
                <w:sz w:val="21"/>
                <w:szCs w:val="21"/>
                <w:highlight w:val="none"/>
                <w:lang w:val="zh-CN"/>
              </w:rPr>
            </w:pPr>
            <w:r>
              <w:rPr>
                <w:rFonts w:hint="eastAsia" w:ascii="宋体" w:hAnsi="宋体" w:eastAsia="宋体" w:cs="宋体"/>
                <w:color w:val="auto"/>
                <w:kern w:val="2"/>
                <w:sz w:val="21"/>
                <w:szCs w:val="21"/>
                <w:highlight w:val="none"/>
                <w:lang w:val="zh-CN" w:eastAsia="zh-CN" w:bidi="ar-SA"/>
              </w:rPr>
              <w:t>技术支持资料以所投货物制造商官方网站可供下载的操作手册截图或货物制造商公开发布的印刷版资料或检测机构出具的检验报告。若生产厂家公开发布的印刷资料或官方网站可供下载的操作手册截图与检测机构出具的检验报告不一致，以检测机构出具的检验报告为准）</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03"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售后服务方案</w:t>
            </w:r>
          </w:p>
        </w:tc>
        <w:tc>
          <w:tcPr>
            <w:tcW w:w="6336" w:type="dxa"/>
            <w:vAlign w:val="center"/>
          </w:tcPr>
          <w:p>
            <w:pPr>
              <w:tabs>
                <w:tab w:val="left" w:pos="312"/>
              </w:tabs>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根据供应商针对本项目所提供的售后服务计划和方案进行综合评审：</w:t>
            </w:r>
          </w:p>
          <w:p>
            <w:pPr>
              <w:pStyle w:val="46"/>
              <w:tabs>
                <w:tab w:val="left" w:pos="-230"/>
                <w:tab w:val="left" w:pos="53"/>
              </w:tabs>
              <w:spacing w:line="240" w:lineRule="auto"/>
              <w:ind w:left="0"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①供应商的售后服务计划和方案非常详细完整，能够快速响应采购人的需求，可行性非常强的得15分；</w:t>
            </w:r>
          </w:p>
          <w:p>
            <w:pPr>
              <w:tabs>
                <w:tab w:val="left" w:pos="312"/>
              </w:tabs>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②供应商的售后服务计划和方案比较完整，能够及时响应采购人需求，可行性较强的得1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tabs>
                <w:tab w:val="left" w:pos="312"/>
              </w:tabs>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③供应商的售后服务计划和方案简单，基本能及时响应采购人的需求，可行性一般的得</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tabs>
                <w:tab w:val="left" w:pos="312"/>
              </w:tabs>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④供应商的售后服务计划和方案不完整，不能够及时响应采购人需求，可行性差的得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⑤未提供对应方案不得分。</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03" w:type="dxa"/>
            <w:vAlign w:val="center"/>
          </w:tcPr>
          <w:p>
            <w:pPr>
              <w:spacing w:line="240" w:lineRule="auto"/>
              <w:jc w:val="center"/>
              <w:rPr>
                <w:rFonts w:hint="eastAsia" w:ascii="宋体" w:hAnsi="宋体" w:eastAsia="宋体" w:cs="宋体"/>
                <w:color w:val="auto"/>
                <w:sz w:val="21"/>
                <w:szCs w:val="21"/>
                <w:highlight w:val="yellow"/>
              </w:rPr>
            </w:pPr>
            <w:r>
              <w:rPr>
                <w:rFonts w:hint="eastAsia" w:ascii="宋体" w:hAnsi="宋体" w:eastAsia="宋体" w:cs="宋体"/>
                <w:sz w:val="21"/>
                <w:szCs w:val="21"/>
              </w:rPr>
              <w:t>质量保证措施</w:t>
            </w:r>
          </w:p>
        </w:tc>
        <w:tc>
          <w:tcPr>
            <w:tcW w:w="6336" w:type="dxa"/>
            <w:vAlign w:val="center"/>
          </w:tcPr>
          <w:p>
            <w:pPr>
              <w:spacing w:line="24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根据本项目内容质量保证措施合理性综合比较，</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①质量保证措施非常完善、系统全面，可行性非常强的得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分；②质量保证措施较为完善、系统全面，可行性较强的得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分；③质量保证措施基本完善，具有一定可行性的得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line="240" w:lineRule="auto"/>
              <w:jc w:val="both"/>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none"/>
              </w:rPr>
              <w:t>④未提供对应方案不得分。</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yellow"/>
                <w:lang w:val="en-US" w:eastAsia="zh-CN"/>
              </w:rPr>
            </w:pPr>
            <w:r>
              <w:rPr>
                <w:rFonts w:hint="eastAsia" w:ascii="宋体"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03"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c>
          <w:tcPr>
            <w:tcW w:w="6336" w:type="dxa"/>
            <w:vAlign w:val="center"/>
          </w:tcPr>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根据供应商针对本项目所提供的项目实施方案，包括但不限于交货进度安排，项目验收方案，进度计划进行综合评审：</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①交货及进度安排非常合理，项目验收方案非常详细得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②交货及进度安排较为合理，项目验收方案详细得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③交货及进度安排基本合理，项目验收方案不太详细得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④未提供对应方案不得分。</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3" w:type="dxa"/>
            <w:vAlign w:val="center"/>
          </w:tcPr>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供货安装调试方案</w:t>
            </w:r>
          </w:p>
        </w:tc>
        <w:tc>
          <w:tcPr>
            <w:tcW w:w="6336" w:type="dxa"/>
            <w:vAlign w:val="center"/>
          </w:tcPr>
          <w:p>
            <w:pPr>
              <w:spacing w:line="240" w:lineRule="auto"/>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投标人提供的供货方案（包括但不限于供货时间安排，安装调试计划，拆箱验收进度等）进行横向综合评审：</w:t>
            </w:r>
          </w:p>
          <w:p>
            <w:pPr>
              <w:spacing w:line="240" w:lineRule="auto"/>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val="en-US" w:eastAsia="zh-CN"/>
              </w:rPr>
              <w:t>供货时间</w:t>
            </w:r>
            <w:r>
              <w:rPr>
                <w:rFonts w:hint="eastAsia" w:ascii="宋体" w:hAnsi="宋体" w:eastAsia="宋体" w:cs="宋体"/>
                <w:color w:val="auto"/>
                <w:sz w:val="21"/>
                <w:szCs w:val="21"/>
                <w:highlight w:val="none"/>
                <w:lang w:eastAsia="zh-CN"/>
              </w:rPr>
              <w:t>及进度安排非常合理，安装调试计划非常详细，拆箱验收进度完善全面，可行性非常强的，得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分；</w:t>
            </w:r>
          </w:p>
          <w:p>
            <w:pPr>
              <w:spacing w:line="240" w:lineRule="auto"/>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val="en-US" w:eastAsia="zh-CN"/>
              </w:rPr>
              <w:t>供货时间</w:t>
            </w:r>
            <w:r>
              <w:rPr>
                <w:rFonts w:hint="eastAsia" w:ascii="宋体" w:hAnsi="宋体" w:eastAsia="宋体" w:cs="宋体"/>
                <w:color w:val="auto"/>
                <w:sz w:val="21"/>
                <w:szCs w:val="21"/>
                <w:highlight w:val="none"/>
                <w:lang w:eastAsia="zh-CN"/>
              </w:rPr>
              <w:t>及进度安排较为合理，安装调试计划较详细，拆箱验收进度较完善全面，可行性基本满足符合要求的，得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分；</w:t>
            </w:r>
          </w:p>
          <w:p>
            <w:pPr>
              <w:spacing w:line="240" w:lineRule="auto"/>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③</w:t>
            </w:r>
            <w:r>
              <w:rPr>
                <w:rFonts w:hint="eastAsia" w:ascii="宋体" w:hAnsi="宋体" w:eastAsia="宋体" w:cs="宋体"/>
                <w:color w:val="auto"/>
                <w:sz w:val="21"/>
                <w:szCs w:val="21"/>
                <w:highlight w:val="none"/>
                <w:lang w:val="en-US" w:eastAsia="zh-CN"/>
              </w:rPr>
              <w:t>供货时间</w:t>
            </w:r>
            <w:r>
              <w:rPr>
                <w:rFonts w:hint="eastAsia" w:ascii="宋体" w:hAnsi="宋体" w:eastAsia="宋体" w:cs="宋体"/>
                <w:color w:val="auto"/>
                <w:sz w:val="21"/>
                <w:szCs w:val="21"/>
                <w:highlight w:val="none"/>
                <w:lang w:eastAsia="zh-CN"/>
              </w:rPr>
              <w:t>及进度安排不合理，安装调试计划简单，拆箱验收进度较不完善的，得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分；</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w:t>
            </w:r>
            <w:r>
              <w:rPr>
                <w:rFonts w:hint="eastAsia" w:ascii="宋体" w:hAnsi="宋体" w:eastAsia="宋体" w:cs="宋体"/>
                <w:color w:val="auto"/>
                <w:sz w:val="21"/>
                <w:szCs w:val="21"/>
                <w:highlight w:val="none"/>
                <w:lang w:eastAsia="zh-CN"/>
              </w:rPr>
              <w:t>未提供对应方案的，不得分。</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3" w:type="dxa"/>
            <w:vAlign w:val="center"/>
          </w:tcPr>
          <w:p>
            <w:pPr>
              <w:spacing w:line="240" w:lineRule="auto"/>
              <w:jc w:val="center"/>
              <w:rPr>
                <w:rFonts w:hint="eastAsia" w:ascii="宋体" w:hAnsi="宋体" w:eastAsia="宋体" w:cs="宋体"/>
                <w:color w:val="auto"/>
                <w:sz w:val="21"/>
                <w:szCs w:val="21"/>
                <w:highlight w:val="none"/>
                <w:lang w:val="zh-CN"/>
              </w:rPr>
            </w:pPr>
            <w:r>
              <w:rPr>
                <w:rFonts w:hint="eastAsia" w:ascii="宋体" w:hAnsi="宋体" w:eastAsia="宋体" w:cs="宋体"/>
                <w:sz w:val="21"/>
                <w:szCs w:val="21"/>
                <w:lang w:eastAsia="zh-CN"/>
              </w:rPr>
              <w:t>交货期保障措施及承诺</w:t>
            </w:r>
          </w:p>
        </w:tc>
        <w:tc>
          <w:tcPr>
            <w:tcW w:w="6336" w:type="dxa"/>
            <w:vAlign w:val="top"/>
          </w:tcPr>
          <w:p>
            <w:pPr>
              <w:spacing w:line="240" w:lineRule="auto"/>
              <w:rPr>
                <w:rFonts w:hint="eastAsia" w:ascii="宋体" w:hAnsi="宋体" w:eastAsia="宋体" w:cs="宋体"/>
                <w:color w:val="auto"/>
                <w:sz w:val="21"/>
                <w:szCs w:val="21"/>
                <w:highlight w:val="none"/>
              </w:rPr>
            </w:pPr>
            <w:r>
              <w:rPr>
                <w:rFonts w:hint="eastAsia" w:ascii="宋体" w:hAnsi="宋体" w:eastAsia="宋体" w:cs="宋体"/>
                <w:sz w:val="21"/>
                <w:szCs w:val="21"/>
                <w:lang w:eastAsia="zh-CN"/>
              </w:rPr>
              <w:t>保障措施能够保证货物在交货期内完成交货及安装投入使用，保障措施及承诺应合理、有效得</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分；保障措施及承诺比较合理、有效得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分；保障措施及承诺不详细但基本满足得</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分，无不得分。</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3"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运行及维护的培训方案</w:t>
            </w:r>
          </w:p>
        </w:tc>
        <w:tc>
          <w:tcPr>
            <w:tcW w:w="6336" w:type="dxa"/>
            <w:vAlign w:val="center"/>
          </w:tcPr>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根据供应商所提供运行及维护的培训方案进行综合评审：</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①方案非常明确、详尽，合理，可操作性强的得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②方案明确、详尽，合理，可操作性较好的得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spacing w:line="240" w:lineRule="auto"/>
              <w:jc w:val="both"/>
              <w:rPr>
                <w:rFonts w:hint="eastAsia" w:ascii="宋体" w:hAnsi="宋体" w:eastAsia="宋体" w:cs="宋体"/>
                <w:sz w:val="21"/>
                <w:szCs w:val="21"/>
              </w:rPr>
            </w:pPr>
            <w:r>
              <w:rPr>
                <w:rFonts w:hint="eastAsia" w:ascii="宋体" w:hAnsi="宋体" w:eastAsia="宋体" w:cs="宋体"/>
                <w:color w:val="auto"/>
                <w:sz w:val="21"/>
                <w:szCs w:val="21"/>
                <w:highlight w:val="none"/>
              </w:rPr>
              <w:t>③方案基本明确、合理，可操作性一般的得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spacing w:line="240" w:lineRule="auto"/>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④未提供对应方案不得分。</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03" w:type="dxa"/>
            <w:vAlign w:val="center"/>
          </w:tcPr>
          <w:p>
            <w:pPr>
              <w:spacing w:line="240" w:lineRule="auto"/>
              <w:jc w:val="center"/>
              <w:rPr>
                <w:rFonts w:hint="eastAsia" w:ascii="宋体" w:hAnsi="宋体" w:eastAsia="宋体" w:cs="宋体"/>
                <w:color w:val="auto"/>
                <w:sz w:val="21"/>
                <w:szCs w:val="21"/>
                <w:highlight w:val="yellow"/>
                <w:lang w:val="zh-CN"/>
              </w:rPr>
            </w:pPr>
            <w:r>
              <w:rPr>
                <w:rFonts w:hint="eastAsia" w:ascii="宋体" w:hAnsi="宋体" w:eastAsia="宋体" w:cs="宋体"/>
                <w:sz w:val="21"/>
                <w:szCs w:val="21"/>
              </w:rPr>
              <w:t>定期回访方案</w:t>
            </w:r>
          </w:p>
        </w:tc>
        <w:tc>
          <w:tcPr>
            <w:tcW w:w="6336" w:type="dxa"/>
            <w:vAlign w:val="top"/>
          </w:tcPr>
          <w:p>
            <w:pPr>
              <w:spacing w:line="240" w:lineRule="auto"/>
              <w:rPr>
                <w:rFonts w:hint="eastAsia" w:ascii="宋体" w:hAnsi="宋体" w:eastAsia="宋体" w:cs="宋体"/>
                <w:color w:val="auto"/>
                <w:sz w:val="21"/>
                <w:szCs w:val="21"/>
                <w:highlight w:val="yellow"/>
              </w:rPr>
            </w:pPr>
            <w:r>
              <w:rPr>
                <w:rFonts w:hint="eastAsia" w:ascii="宋体" w:hAnsi="宋体" w:eastAsia="宋体" w:cs="宋体"/>
                <w:sz w:val="21"/>
                <w:szCs w:val="21"/>
                <w:lang w:eastAsia="zh-CN"/>
              </w:rPr>
              <w:t>供应商提供定期巡检制度及回访电话，每季度由专人拜访一次客户，了解产品的质量服务问题，调查运行和维护情况，进行比较，详细、科学合理、有效得</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分；比较详细、科学合理、有效得</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分；应急预案一般得</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分；无不得分。</w:t>
            </w:r>
          </w:p>
        </w:tc>
        <w:tc>
          <w:tcPr>
            <w:tcW w:w="658" w:type="dxa"/>
            <w:shd w:val="clear" w:color="auto" w:fill="auto"/>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03" w:type="dxa"/>
            <w:vAlign w:val="center"/>
          </w:tcPr>
          <w:p>
            <w:pPr>
              <w:spacing w:line="240" w:lineRule="auto"/>
              <w:jc w:val="center"/>
              <w:rPr>
                <w:rFonts w:hint="eastAsia" w:ascii="宋体" w:hAnsi="宋体" w:eastAsia="宋体" w:cs="宋体"/>
                <w:kern w:val="2"/>
                <w:sz w:val="21"/>
                <w:szCs w:val="21"/>
                <w:highlight w:val="white"/>
                <w:lang w:val="zh-CN" w:eastAsia="zh-CN" w:bidi="ar-SA"/>
              </w:rPr>
            </w:pPr>
            <w:r>
              <w:rPr>
                <w:rFonts w:hint="eastAsia" w:ascii="宋体" w:hAnsi="宋体" w:eastAsia="宋体" w:cs="宋体"/>
                <w:sz w:val="21"/>
                <w:szCs w:val="21"/>
              </w:rPr>
              <w:t>优惠条件</w:t>
            </w:r>
          </w:p>
        </w:tc>
        <w:tc>
          <w:tcPr>
            <w:tcW w:w="6336" w:type="dxa"/>
            <w:vAlign w:val="center"/>
          </w:tcPr>
          <w:p>
            <w:pPr>
              <w:spacing w:line="240" w:lineRule="auto"/>
              <w:jc w:val="both"/>
              <w:rPr>
                <w:rFonts w:hint="eastAsia" w:ascii="宋体" w:hAnsi="宋体" w:eastAsia="宋体" w:cs="宋体"/>
                <w:kern w:val="2"/>
                <w:sz w:val="21"/>
                <w:szCs w:val="21"/>
                <w:highlight w:val="white"/>
                <w:lang w:val="en-US" w:eastAsia="zh-CN" w:bidi="ar-SA"/>
              </w:rPr>
            </w:pPr>
            <w:r>
              <w:rPr>
                <w:rFonts w:hint="eastAsia" w:ascii="宋体" w:hAnsi="宋体" w:eastAsia="宋体" w:cs="宋体"/>
                <w:sz w:val="21"/>
                <w:szCs w:val="21"/>
                <w:lang w:eastAsia="zh-CN"/>
              </w:rPr>
              <w:t>根据项目实际情况，根据响应人针对本项目提出的实质性的优惠条件，进行综合比较得优得</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分，良得</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w:t>
            </w:r>
          </w:p>
        </w:tc>
        <w:tc>
          <w:tcPr>
            <w:tcW w:w="658" w:type="dxa"/>
            <w:shd w:val="clear" w:color="auto" w:fill="auto"/>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03" w:type="dxa"/>
            <w:vAlign w:val="center"/>
          </w:tcPr>
          <w:p>
            <w:pPr>
              <w:spacing w:line="240" w:lineRule="auto"/>
              <w:jc w:val="center"/>
              <w:rPr>
                <w:rFonts w:hint="eastAsia" w:ascii="宋体" w:hAnsi="宋体" w:eastAsia="宋体" w:cs="宋体"/>
                <w:spacing w:val="-6"/>
                <w:kern w:val="2"/>
                <w:sz w:val="21"/>
                <w:szCs w:val="21"/>
                <w:lang w:val="en-US" w:eastAsia="zh-CN" w:bidi="ar-SA"/>
              </w:rPr>
            </w:pPr>
            <w:r>
              <w:rPr>
                <w:rFonts w:hint="eastAsia" w:ascii="宋体" w:hAnsi="宋体" w:eastAsia="宋体" w:cs="宋体"/>
                <w:spacing w:val="-6"/>
                <w:sz w:val="21"/>
                <w:szCs w:val="21"/>
              </w:rPr>
              <w:t>服务承诺</w:t>
            </w:r>
          </w:p>
        </w:tc>
        <w:tc>
          <w:tcPr>
            <w:tcW w:w="6336" w:type="dxa"/>
            <w:vAlign w:val="top"/>
          </w:tcPr>
          <w:p>
            <w:pPr>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根据</w:t>
            </w:r>
            <w:r>
              <w:rPr>
                <w:rFonts w:hint="eastAsia" w:ascii="宋体" w:hAnsi="宋体" w:eastAsia="宋体" w:cs="宋体"/>
                <w:sz w:val="21"/>
                <w:szCs w:val="21"/>
                <w:lang w:val="en-US" w:eastAsia="zh-CN"/>
              </w:rPr>
              <w:t>供应商</w:t>
            </w:r>
            <w:r>
              <w:rPr>
                <w:rFonts w:hint="eastAsia" w:ascii="宋体" w:hAnsi="宋体" w:eastAsia="宋体" w:cs="宋体"/>
                <w:sz w:val="21"/>
                <w:szCs w:val="21"/>
              </w:rPr>
              <w:t>提</w:t>
            </w:r>
            <w:r>
              <w:rPr>
                <w:rFonts w:hint="eastAsia" w:ascii="宋体" w:hAnsi="宋体" w:eastAsia="宋体" w:cs="宋体"/>
                <w:sz w:val="21"/>
                <w:szCs w:val="21"/>
                <w:lang w:val="en-US" w:eastAsia="zh-CN"/>
              </w:rPr>
              <w:t>供的</w:t>
            </w:r>
            <w:r>
              <w:rPr>
                <w:rFonts w:hint="eastAsia" w:ascii="宋体" w:hAnsi="宋体" w:eastAsia="宋体" w:cs="宋体"/>
                <w:sz w:val="21"/>
                <w:szCs w:val="21"/>
              </w:rPr>
              <w:t>服务承诺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根据投标人提供的</w:t>
            </w:r>
            <w:r>
              <w:rPr>
                <w:rFonts w:hint="eastAsia" w:ascii="宋体" w:hAnsi="宋体" w:eastAsia="宋体" w:cs="宋体"/>
                <w:sz w:val="21"/>
                <w:szCs w:val="21"/>
              </w:rPr>
              <w:t>：</w:t>
            </w:r>
            <w:r>
              <w:rPr>
                <w:rFonts w:hint="eastAsia" w:ascii="宋体" w:hAnsi="宋体" w:eastAsia="宋体" w:cs="宋体"/>
                <w:sz w:val="21"/>
                <w:szCs w:val="21"/>
                <w:lang w:val="en-US" w:eastAsia="zh-CN"/>
              </w:rPr>
              <w:t>项目基本服务承诺、售后服务承诺、服务质量承诺、服务履约承诺等进行综合比较得优得2分，良得1分。</w:t>
            </w:r>
          </w:p>
        </w:tc>
        <w:tc>
          <w:tcPr>
            <w:tcW w:w="658" w:type="dxa"/>
            <w:shd w:val="clear" w:color="auto" w:fill="auto"/>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439"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合计得分</w:t>
            </w:r>
          </w:p>
        </w:tc>
        <w:tc>
          <w:tcPr>
            <w:tcW w:w="658"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综合评分表：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说  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pP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1</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、按最终得分由高到低的顺序推荐预中标候选人</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3</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名，最终推荐排名第</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1</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名的为中标候选人。得分相同的，按投标报价（指投标报价经算术修正和落实政府采购政策需进行的价格扣除后的投标价格）由低到高顺序排列；得分且投标报价（指投标报价经算术修正和落实政府采购政策需进行的价格扣除后的投标价格）相同的，按技术服务评分由高到低顺序排列；得分、投标报价（指投标报价经算术修正和落实政府采购政策需进行的价格扣除后的投标价格）且技术服务评分相同的，按所投产品列入政府优先采购产品类别认证证书多少顺序排列；以上均相同的，按解密投标文件时间先后顺序（以递交投标文件登记表为准）排列。分包采购的，每包评标结果按上述规则排列。提供相同品牌产品且通过资格审查、符合性审查的不同</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投标人参加同一合同项下投标的，按一家投标人计算，评审后得分最高的同品牌投标人获</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得中标人推荐资格；评审得分相同的，由评标委员会采取随机抽取方式确定，其他同品牌</w:t>
      </w: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投标人不作为中标候选人。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pPr>
      <w:r>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2</w:t>
      </w: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、本办法未列内容，不作为本次评审依据。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t>纳入节能产品政府采购清单的投标产品及纳入环境标志产品政府采购品目清单的投标产品的证明材料：</w:t>
      </w:r>
    </w:p>
    <w:tbl>
      <w:tblPr>
        <w:tblStyle w:val="25"/>
        <w:tblW w:w="9092" w:type="dxa"/>
        <w:tblInd w:w="106"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427"/>
        <w:gridCol w:w="1533"/>
        <w:gridCol w:w="1732"/>
        <w:gridCol w:w="1333"/>
        <w:gridCol w:w="1935"/>
        <w:gridCol w:w="113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11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项目名称</w:t>
            </w:r>
          </w:p>
        </w:tc>
        <w:tc>
          <w:tcPr>
            <w:tcW w:w="153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项目编码</w:t>
            </w:r>
          </w:p>
        </w:tc>
        <w:tc>
          <w:tcPr>
            <w:tcW w:w="173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是否纳入节能产品政府采购清单的投标产品</w:t>
            </w:r>
          </w:p>
        </w:tc>
        <w:tc>
          <w:tcPr>
            <w:tcW w:w="133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金额（元）</w:t>
            </w:r>
          </w:p>
        </w:tc>
        <w:tc>
          <w:tcPr>
            <w:tcW w:w="19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是否环境标志产品政府采购品目清单的投标产品</w:t>
            </w:r>
          </w:p>
        </w:tc>
        <w:tc>
          <w:tcPr>
            <w:tcW w:w="113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金额（元）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84"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合计</w:t>
            </w: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元</w:t>
            </w: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元</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依据财政部《关于印发《政府采购促进中小企业发展暂行办法》的通知》（财库〔</w:t>
      </w:r>
      <w:r>
        <w:rPr>
          <w:rFonts w:hint="default"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Calibri" w:hAnsi="Calibri" w:eastAsia="宋体" w:cs="Times New Roman"/>
          <w:b w:val="0"/>
          <w:bCs w:val="0"/>
          <w:caps w:val="0"/>
          <w:color w:val="auto"/>
          <w:kern w:val="2"/>
          <w:sz w:val="21"/>
          <w:szCs w:val="21"/>
          <w:highlight w:val="none"/>
          <w:vertAlign w:val="baseline"/>
          <w:lang w:val="en-US" w:eastAsia="zh-CN" w:bidi="ar"/>
        </w:rPr>
        <w:t>20</w:t>
      </w: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46</w:t>
      </w:r>
      <w:r>
        <w:rPr>
          <w:rFonts w:hint="eastAsia" w:ascii="宋体" w:hAnsi="宋体" w:eastAsia="宋体" w:cs="Times New Roman"/>
          <w:b w:val="0"/>
          <w:bCs w:val="0"/>
          <w:caps w:val="0"/>
          <w:color w:val="auto"/>
          <w:kern w:val="2"/>
          <w:sz w:val="21"/>
          <w:szCs w:val="21"/>
          <w:highlight w:val="none"/>
          <w:vertAlign w:val="baseline"/>
          <w:lang w:val="en-US" w:eastAsia="zh-CN" w:bidi="ar"/>
        </w:rPr>
        <w:t>号）规定本项目对小型和微型企业产品的价格给予</w:t>
      </w:r>
      <w:r>
        <w:rPr>
          <w:rFonts w:hint="default" w:ascii="Calibri" w:hAnsi="Calibri" w:eastAsia="宋体" w:cs="Times New Roman"/>
          <w:b w:val="0"/>
          <w:bCs w:val="0"/>
          <w:caps w:val="0"/>
          <w:color w:val="auto"/>
          <w:kern w:val="2"/>
          <w:sz w:val="21"/>
          <w:szCs w:val="21"/>
          <w:highlight w:val="none"/>
          <w:vertAlign w:val="baseline"/>
          <w:lang w:val="en-US" w:eastAsia="zh-CN" w:bidi="ar"/>
        </w:rPr>
        <w:t>10-20%</w:t>
      </w:r>
      <w:r>
        <w:rPr>
          <w:rFonts w:hint="eastAsia" w:ascii="宋体" w:hAnsi="宋体" w:eastAsia="宋体" w:cs="Times New Roman"/>
          <w:b w:val="0"/>
          <w:bCs w:val="0"/>
          <w:caps w:val="0"/>
          <w:color w:val="auto"/>
          <w:kern w:val="2"/>
          <w:sz w:val="21"/>
          <w:szCs w:val="21"/>
          <w:highlight w:val="none"/>
          <w:vertAlign w:val="baseline"/>
          <w:lang w:val="en-US" w:eastAsia="zh-CN" w:bidi="ar"/>
        </w:rPr>
        <w:t>的扣除，用扣除后的价格参与评审，但参加本次采购活动的中小企业应当提供本办法规定的《中小企业声明函》。小型、微型企业提供中型企业制造的货物的，视同为中型企业。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依据《财政部司法部关于政府采购支持监狱企业发展有关问题的通知》文件规定，在政府采购活动中，监狱企业视同小型、微型企业，享受预留份额、评审中价格扣除等政府采购促进中小企业发展的政府采购政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rPr>
          <w:rFonts w:hint="default"/>
        </w:rPr>
      </w:pPr>
      <w:r>
        <w:rPr>
          <w:rFonts w:hint="default" w:ascii="Calibri" w:hAnsi="Calibri" w:eastAsia="宋体" w:cs="Times New Roman"/>
          <w:caps w:val="0"/>
          <w:color w:val="auto"/>
          <w:kern w:val="2"/>
          <w:sz w:val="21"/>
          <w:szCs w:val="21"/>
          <w:highlight w:val="none"/>
          <w:vertAlign w:val="baseline"/>
          <w:lang w:bidi="ar"/>
        </w:rPr>
        <w:br w:type="page"/>
      </w:r>
    </w:p>
    <w:p>
      <w:pPr>
        <w:pStyle w:val="4"/>
        <w:numPr>
          <w:ilvl w:val="0"/>
          <w:numId w:val="3"/>
        </w:numPr>
        <w:bidi w:val="0"/>
        <w:jc w:val="center"/>
        <w:rPr>
          <w:rFonts w:hint="default"/>
        </w:rPr>
      </w:pPr>
      <w:bookmarkStart w:id="21" w:name="_Toc2592"/>
      <w:r>
        <w:rPr>
          <w:rFonts w:hint="default"/>
          <w:lang w:val="en-US" w:eastAsia="zh-CN"/>
        </w:rPr>
        <w:t xml:space="preserve"> </w:t>
      </w:r>
      <w:r>
        <w:rPr>
          <w:rFonts w:hint="eastAsia"/>
          <w:lang w:val="en-US" w:eastAsia="zh-CN"/>
        </w:rPr>
        <w:t>采购需求</w:t>
      </w:r>
      <w:bookmarkEnd w:id="21"/>
    </w:p>
    <w:p>
      <w:pPr>
        <w:rPr>
          <w:rFonts w:hint="default"/>
          <w:lang w:val="en-US"/>
        </w:rPr>
      </w:pPr>
      <w:r>
        <w:rPr>
          <w:rFonts w:hint="eastAsia"/>
          <w:lang w:val="en-US" w:eastAsia="zh-CN"/>
        </w:rPr>
        <w:t>详见附件</w:t>
      </w:r>
    </w:p>
    <w:p>
      <w:pPr>
        <w:numPr>
          <w:ilvl w:val="0"/>
          <w:numId w:val="4"/>
        </w:numPr>
        <w:autoSpaceDE w:val="0"/>
        <w:autoSpaceDN w:val="0"/>
        <w:adjustRightInd w:val="0"/>
        <w:jc w:val="left"/>
        <w:rPr>
          <w:rFonts w:hint="eastAsia" w:ascii="宋体" w:hAnsi="宋体" w:cs="宋体"/>
          <w:sz w:val="21"/>
          <w:szCs w:val="21"/>
          <w:lang w:val="en-US" w:eastAsia="zh-CN"/>
        </w:rPr>
      </w:pPr>
      <w:r>
        <w:rPr>
          <w:rFonts w:hint="eastAsia" w:ascii="宋体" w:hAnsi="宋体" w:cs="宋体"/>
          <w:sz w:val="21"/>
          <w:szCs w:val="21"/>
          <w:lang w:val="en-US" w:eastAsia="zh-CN"/>
        </w:rPr>
        <w:br w:type="page"/>
      </w:r>
    </w:p>
    <w:p>
      <w:pPr>
        <w:pStyle w:val="4"/>
        <w:bidi w:val="0"/>
        <w:jc w:val="center"/>
        <w:rPr>
          <w:rFonts w:hint="default"/>
        </w:rPr>
      </w:pPr>
      <w:bookmarkStart w:id="22" w:name="_Toc28095"/>
      <w:r>
        <w:rPr>
          <w:rFonts w:hint="eastAsia"/>
          <w:lang w:val="en-US" w:eastAsia="zh-CN"/>
        </w:rPr>
        <w:t>第五章</w:t>
      </w:r>
      <w:r>
        <w:rPr>
          <w:rFonts w:hint="default"/>
          <w:lang w:val="en-US" w:eastAsia="zh-CN"/>
        </w:rPr>
        <w:t xml:space="preserve"> </w:t>
      </w:r>
      <w:r>
        <w:rPr>
          <w:rFonts w:hint="eastAsia"/>
          <w:lang w:val="en-US" w:eastAsia="zh-CN"/>
        </w:rPr>
        <w:t>合同条款及格式</w:t>
      </w:r>
      <w:bookmarkEnd w:id="22"/>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Calibri" w:hAnsi="Calibri" w:eastAsia="宋体" w:cs="Times New Roman"/>
          <w:b w:val="0"/>
          <w:bCs w:val="0"/>
          <w:caps w:val="0"/>
          <w:color w:val="auto"/>
          <w:kern w:val="2"/>
          <w:sz w:val="21"/>
          <w:szCs w:val="21"/>
          <w:highlight w:val="none"/>
          <w:vertAlign w:val="baseline"/>
          <w:lang w:val="en-US" w:eastAsia="zh-CN" w:bidi="ar"/>
        </w:rPr>
        <w:t>以实际签订的合同为准</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pStyle w:val="4"/>
        <w:bidi w:val="0"/>
        <w:jc w:val="center"/>
        <w:rPr>
          <w:rFonts w:hint="default" w:ascii="Calibri" w:hAnsi="Calibri" w:eastAsia="宋体" w:cs="Times New Roman"/>
          <w:b/>
          <w:bCs/>
          <w:caps w:val="0"/>
          <w:color w:val="auto"/>
          <w:kern w:val="2"/>
          <w:sz w:val="44"/>
          <w:szCs w:val="44"/>
          <w:highlight w:val="none"/>
          <w:vertAlign w:val="baseline"/>
          <w:lang w:bidi="ar"/>
        </w:rPr>
      </w:pPr>
      <w:bookmarkStart w:id="23" w:name="_Toc16556"/>
      <w:r>
        <w:rPr>
          <w:rFonts w:hint="eastAsia" w:ascii="宋体" w:hAnsi="宋体" w:eastAsia="宋体" w:cs="Times New Roman"/>
          <w:b/>
          <w:bCs/>
          <w:caps w:val="0"/>
          <w:color w:val="auto"/>
          <w:kern w:val="2"/>
          <w:sz w:val="44"/>
          <w:szCs w:val="44"/>
          <w:highlight w:val="none"/>
          <w:vertAlign w:val="baseline"/>
          <w:lang w:val="en-US" w:eastAsia="zh-CN" w:bidi="ar"/>
        </w:rPr>
        <w:t>第六章</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投标文件格式</w:t>
      </w:r>
      <w:bookmarkEnd w:id="23"/>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44"/>
          <w:szCs w:val="44"/>
          <w:highlight w:val="none"/>
          <w:vertAlign w:val="baseline"/>
          <w:lang w:bidi="ar"/>
        </w:rPr>
      </w:pPr>
      <w:r>
        <w:rPr>
          <w:rFonts w:hint="eastAsia" w:ascii="宋体" w:hAnsi="宋体" w:eastAsia="宋体" w:cs="Times New Roman"/>
          <w:b w:val="0"/>
          <w:bCs w:val="0"/>
          <w:caps w:val="0"/>
          <w:color w:val="auto"/>
          <w:kern w:val="2"/>
          <w:sz w:val="44"/>
          <w:szCs w:val="44"/>
          <w:highlight w:val="none"/>
          <w:vertAlign w:val="baseline"/>
          <w:lang w:val="en-US" w:eastAsia="zh-CN" w:bidi="ar"/>
        </w:rPr>
        <w:t>（项目名称）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44"/>
          <w:szCs w:val="44"/>
          <w:highlight w:val="none"/>
          <w:vertAlign w:val="baseline"/>
          <w:lang w:bidi="ar"/>
        </w:rPr>
      </w:pPr>
      <w:r>
        <w:rPr>
          <w:rFonts w:hint="eastAsia" w:ascii="宋体" w:hAnsi="宋体" w:eastAsia="宋体" w:cs="Times New Roman"/>
          <w:b w:val="0"/>
          <w:bCs w:val="0"/>
          <w:caps w:val="0"/>
          <w:color w:val="auto"/>
          <w:kern w:val="2"/>
          <w:sz w:val="44"/>
          <w:szCs w:val="44"/>
          <w:highlight w:val="none"/>
          <w:vertAlign w:val="baseline"/>
          <w:lang w:val="en-US" w:eastAsia="zh-CN" w:bidi="ar"/>
        </w:rPr>
        <w:t>投</w:t>
      </w: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标</w:t>
      </w: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文</w:t>
      </w: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32"/>
          <w:szCs w:val="32"/>
          <w:highlight w:val="none"/>
          <w:vertAlign w:val="baseline"/>
          <w:lang w:bidi="ar"/>
        </w:rPr>
      </w:pPr>
      <w:r>
        <w:rPr>
          <w:rFonts w:hint="eastAsia" w:ascii="宋体" w:hAnsi="宋体" w:eastAsia="宋体" w:cs="Times New Roman"/>
          <w:b w:val="0"/>
          <w:bCs w:val="0"/>
          <w:caps w:val="0"/>
          <w:color w:val="auto"/>
          <w:kern w:val="2"/>
          <w:sz w:val="32"/>
          <w:szCs w:val="32"/>
          <w:highlight w:val="none"/>
          <w:vertAlign w:val="baseline"/>
          <w:lang w:val="en-US" w:eastAsia="zh-CN" w:bidi="ar"/>
        </w:rPr>
        <w:t>供应商：</w:t>
      </w: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（盖单位章）</w:t>
      </w: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32"/>
          <w:szCs w:val="32"/>
          <w:highlight w:val="none"/>
          <w:vertAlign w:val="baseline"/>
          <w:lang w:bidi="ar"/>
        </w:rPr>
      </w:pPr>
      <w:r>
        <w:rPr>
          <w:rFonts w:hint="eastAsia" w:ascii="宋体" w:hAnsi="宋体" w:eastAsia="宋体" w:cs="Times New Roman"/>
          <w:b w:val="0"/>
          <w:bCs w:val="0"/>
          <w:caps w:val="0"/>
          <w:color w:val="auto"/>
          <w:kern w:val="2"/>
          <w:sz w:val="32"/>
          <w:szCs w:val="32"/>
          <w:highlight w:val="none"/>
          <w:vertAlign w:val="baseline"/>
          <w:lang w:val="en-US" w:eastAsia="zh-CN" w:bidi="ar"/>
        </w:rPr>
        <w:t>法定代表人或其委托代理人：</w:t>
      </w: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（签字）</w:t>
      </w: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32"/>
          <w:szCs w:val="32"/>
          <w:highlight w:val="none"/>
          <w:vertAlign w:val="baseline"/>
          <w:lang w:bidi="ar"/>
        </w:rPr>
      </w:pP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年</w:t>
      </w: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月</w:t>
      </w: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日</w:t>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bookmarkEnd w:id="0"/>
      <w:bookmarkEnd w:id="1"/>
      <w:bookmarkEnd w:id="2"/>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一、法定代表人身份证明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投标人名称：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单位性质：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地址：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成立时间：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经营期限：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姓名：         性别：         年龄：        职务：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系                             （投标人名称）的法定代表人。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特此证明。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供应商：  （盖单位章）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年       月       日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注：本法定代表人身份证明后必须附上法定代表人的身份证复印件。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二、授权委托书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本人       （姓名）系        （投标人名称）的法定代表人，现委托        （姓名）为我方代理人。代理人根据授权，以我方名义签署、澄清、说明、补正、递交、撤回、修改           （项目名称）投标文件、签订合同和处理有关事宜，其法律后果由我方承担。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委托期限：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代理人无转委托权。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附：法定代表人身份证明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供应商：                          （盖单位章）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法定代表人：                      （签字）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身份证号码：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委托代理人：                       （签字）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身份证号码：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注：本授权委托书后必须附上获授权代理人的身份证复印件。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1"/>
          <w:szCs w:val="21"/>
          <w:highlight w:val="none"/>
          <w:vertAlign w:val="baseline"/>
          <w:lang w:bidi="ar"/>
          <w14:textFill>
            <w14:solidFill>
              <w14:schemeClr w14:val="tx1"/>
            </w14:solidFill>
          </w14:textFill>
        </w:rPr>
      </w:pPr>
    </w:p>
    <w:p>
      <w:pPr>
        <w:spacing w:line="360" w:lineRule="auto"/>
        <w:jc w:val="center"/>
        <w:outlineLvl w:val="2"/>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br w:type="page"/>
      </w: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三、投  标  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致：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    1．根据你方招标的            的招标文件，遵照《中华人民共和国政府采购法》等有关规定，经研究上述招标文件的投标须知、合同条款、技术需求标准及其他有关文件后，我方愿以             （大写）             （小写）      的投标报价，并按上述招标文件条款、合同条款和技术标准的条件等要求承包上述项目的全部内容，并承担任何质量缺陷保修责任。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2．我方已详细审核全部招标文件，包括修改文件（如有时）及有关附件。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3．一旦我方中标，我方保证按合同协议书中规定的供货期        日内完成并移交全部货物并安装调试完成。质量按现行的相标准，达到“合格”。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4．我方同意所提交的投标文件在招标文件的投标须知中规定的投标有效期内有效，在此期间内如果中标，我方将受此约束。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5. 除非另外达成协议并生效，你方的中标通知书和本投标文件将成为约束双方的合同文件的组成部分。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6．我方将与本投标函一起，提交人民币           元正作为投标保证金。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供应商：                                              （盖章）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单位地址：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法定代表人或其委托代理人：            （签字或盖章）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邮政编码：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电话：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传真：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4"/>
          <w:szCs w:val="24"/>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日期：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四、投标一览表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5" w:beforeAutospacing="0" w:after="0" w:afterAutospacing="0" w:line="240" w:lineRule="auto"/>
        <w:ind w:left="3688"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3"/>
          <w:kern w:val="0"/>
          <w:sz w:val="24"/>
          <w:szCs w:val="24"/>
          <w:highlight w:val="none"/>
          <w:vertAlign w:val="baseline"/>
          <w:lang w:val="en-US" w:eastAsia="zh-CN" w:bidi="ar"/>
          <w14:textFill>
            <w14:solidFill>
              <w14:schemeClr w14:val="tx1"/>
            </w14:solidFill>
          </w14:textFill>
        </w:rPr>
        <w:t>开</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标一览表 (格式)</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468" w:lineRule="exact"/>
        <w:ind w:left="605" w:leftChars="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position w:val="17"/>
          <w:sz w:val="24"/>
          <w:szCs w:val="24"/>
          <w:highlight w:val="none"/>
          <w:vertAlign w:val="baseline"/>
          <w:lang w:val="en-US" w:eastAsia="zh-CN" w:bidi="ar"/>
          <w14:textFill>
            <w14:solidFill>
              <w14:schemeClr w14:val="tx1"/>
            </w14:solidFill>
          </w14:textFill>
        </w:rPr>
        <w:t>项</w:t>
      </w:r>
      <w:r>
        <w:rPr>
          <w:rFonts w:hint="eastAsia" w:ascii="宋体" w:hAnsi="宋体" w:eastAsia="宋体" w:cs="宋体"/>
          <w:b w:val="0"/>
          <w:bCs w:val="0"/>
          <w:caps w:val="0"/>
          <w:color w:val="000000" w:themeColor="text1"/>
          <w:spacing w:val="5"/>
          <w:kern w:val="0"/>
          <w:position w:val="17"/>
          <w:sz w:val="24"/>
          <w:szCs w:val="24"/>
          <w:highlight w:val="none"/>
          <w:vertAlign w:val="baseline"/>
          <w:lang w:val="en-US" w:eastAsia="zh-CN" w:bidi="ar"/>
          <w14:textFill>
            <w14:solidFill>
              <w14:schemeClr w14:val="tx1"/>
            </w14:solidFill>
          </w14:textFill>
        </w:rPr>
        <w:t>目名称：</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605" w:leftChars="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项</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目编号：</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240" w:lineRule="auto"/>
        <w:ind w:left="604" w:leftChars="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标人名称 (加盖公章)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5" w:beforeAutospacing="0" w:after="0" w:afterAutospacing="0" w:line="240" w:lineRule="auto"/>
        <w:ind w:left="603" w:leftChars="0" w:right="0" w:firstLine="0"/>
        <w:jc w:val="left"/>
        <w:textAlignment w:val="baseline"/>
        <w:outlineLvl w:val="9"/>
        <w:rPr>
          <w:rFonts w:hint="eastAsia" w:ascii="宋体" w:hAnsi="宋体" w:eastAsia="宋体" w:cs="宋体"/>
          <w:caps w:val="0"/>
          <w:color w:val="000000" w:themeColor="text1"/>
          <w:kern w:val="0"/>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单</w:t>
      </w:r>
      <w:r>
        <w:rPr>
          <w:rFonts w:hint="eastAsia" w:ascii="宋体" w:hAnsi="宋体" w:eastAsia="宋体" w:cs="宋体"/>
          <w:b w:val="0"/>
          <w:bCs w:val="0"/>
          <w:caps w:val="0"/>
          <w:color w:val="000000" w:themeColor="text1"/>
          <w:spacing w:val="13"/>
          <w:kern w:val="0"/>
          <w:sz w:val="24"/>
          <w:szCs w:val="24"/>
          <w:highlight w:val="none"/>
          <w:vertAlign w:val="baseline"/>
          <w:lang w:val="en-US" w:eastAsia="zh-CN" w:bidi="ar"/>
          <w14:textFill>
            <w14:solidFill>
              <w14:schemeClr w14:val="tx1"/>
            </w14:solidFill>
          </w14:textFill>
        </w:rPr>
        <w:t>位</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8" w:beforeAutospacing="0" w:after="0" w:afterAutospacing="0" w:line="240" w:lineRule="auto"/>
        <w:ind w:left="612" w:leftChars="0" w:right="0" w:firstLine="0"/>
        <w:jc w:val="left"/>
        <w:textAlignment w:val="baseline"/>
        <w:outlineLvl w:val="9"/>
        <w:rPr>
          <w:rFonts w:hint="eastAsia" w:ascii="宋体" w:hAnsi="宋体" w:eastAsia="宋体" w:cs="宋体"/>
          <w:caps w:val="0"/>
          <w:color w:val="000000" w:themeColor="text1"/>
          <w:kern w:val="0"/>
          <w:sz w:val="24"/>
          <w:szCs w:val="24"/>
          <w:highlight w:val="none"/>
          <w:u w:val="single"/>
          <w:vertAlign w:val="baseline"/>
          <w14:textFill>
            <w14:solidFill>
              <w14:schemeClr w14:val="tx1"/>
            </w14:solidFill>
          </w14:textFill>
        </w:rPr>
      </w:pPr>
      <w:r>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t xml:space="preserve">时间：    年    月   日           </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货币单位:</w:t>
      </w:r>
      <w:r>
        <w:rPr>
          <w:rFonts w:hint="eastAsia" w:ascii="宋体" w:hAnsi="宋体" w:eastAsia="宋体" w:cs="宋体"/>
          <w:b w:val="0"/>
          <w:bCs w:val="0"/>
          <w:caps w:val="0"/>
          <w:color w:val="000000" w:themeColor="text1"/>
          <w:kern w:val="0"/>
          <w:sz w:val="24"/>
          <w:szCs w:val="24"/>
          <w:highlight w:val="none"/>
          <w:u w:val="single"/>
          <w:vertAlign w:val="baseline"/>
          <w:lang w:val="en-US" w:eastAsia="zh-CN" w:bidi="ar"/>
          <w14:textFill>
            <w14:solidFill>
              <w14:schemeClr w14:val="tx1"/>
            </w14:solidFill>
          </w14:textFill>
        </w:rPr>
        <w:t>元（保留小数点后2位）</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43" w:lineRule="exact"/>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bl>
      <w:tblPr>
        <w:tblStyle w:val="25"/>
        <w:tblW w:w="9317" w:type="dxa"/>
        <w:tblInd w:w="13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870"/>
        <w:gridCol w:w="2831"/>
        <w:gridCol w:w="2430"/>
        <w:gridCol w:w="2351"/>
        <w:gridCol w:w="83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327" w:hRule="atLeast"/>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序号</w:t>
            </w:r>
          </w:p>
        </w:tc>
        <w:tc>
          <w:tcPr>
            <w:tcW w:w="2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投标报价</w:t>
            </w:r>
          </w:p>
        </w:tc>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质量标准</w:t>
            </w:r>
          </w:p>
        </w:tc>
        <w:tc>
          <w:tcPr>
            <w:tcW w:w="2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合同履行期限</w:t>
            </w:r>
          </w:p>
        </w:tc>
        <w:tc>
          <w:tcPr>
            <w:tcW w:w="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bCs w:val="0"/>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bCs w:val="0"/>
                <w:caps w:val="0"/>
                <w:color w:val="000000" w:themeColor="text1"/>
                <w:kern w:val="2"/>
                <w:sz w:val="24"/>
                <w:szCs w:val="24"/>
                <w:highlight w:val="none"/>
                <w:vertAlign w:val="baseli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064" w:hRule="atLeast"/>
        </w:trPr>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c>
          <w:tcPr>
            <w:tcW w:w="28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c>
          <w:tcPr>
            <w:tcW w:w="2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c>
          <w:tcPr>
            <w:tcW w:w="23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000000" w:themeColor="text1"/>
                <w:kern w:val="2"/>
                <w:sz w:val="24"/>
                <w:szCs w:val="24"/>
                <w:highlight w:val="none"/>
                <w:vertAlign w:val="baseline"/>
                <w14:textFill>
                  <w14:solidFill>
                    <w14:schemeClr w14:val="tx1"/>
                  </w14:solidFill>
                </w14:textFill>
              </w:rPr>
            </w:pP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0"/>
        <w:jc w:val="left"/>
        <w:textAlignment w:val="baseline"/>
        <w:outlineLvl w:val="9"/>
        <w:rPr>
          <w:rFonts w:hint="eastAsia" w:ascii="宋体" w:hAnsi="宋体" w:eastAsia="宋体" w:cs="宋体"/>
          <w:caps w:val="0"/>
          <w:color w:val="000000" w:themeColor="text1"/>
          <w:spacing w:val="3"/>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0"/>
        <w:jc w:val="left"/>
        <w:textAlignment w:val="baseline"/>
        <w:outlineLvl w:val="9"/>
        <w:rPr>
          <w:rFonts w:hint="eastAsia" w:ascii="宋体" w:hAnsi="宋体" w:eastAsia="宋体" w:cs="宋体"/>
          <w:caps w:val="0"/>
          <w:color w:val="000000" w:themeColor="text1"/>
          <w:spacing w:val="3"/>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0"/>
        <w:jc w:val="left"/>
        <w:textAlignment w:val="baseline"/>
        <w:outlineLvl w:val="9"/>
        <w:rPr>
          <w:rFonts w:hint="eastAsia" w:ascii="宋体" w:hAnsi="宋体" w:eastAsia="宋体" w:cs="宋体"/>
          <w:caps w:val="0"/>
          <w:color w:val="000000" w:themeColor="text1"/>
          <w:spacing w:val="2"/>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说</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明：</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536" w:firstLineChars="20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position w:val="17"/>
          <w:sz w:val="24"/>
          <w:szCs w:val="24"/>
          <w:highlight w:val="none"/>
          <w:vertAlign w:val="baseline"/>
          <w:lang w:val="en-US" w:eastAsia="zh-CN" w:bidi="ar"/>
          <w14:textFill>
            <w14:solidFill>
              <w14:schemeClr w14:val="tx1"/>
            </w14:solidFill>
          </w14:textFill>
        </w:rPr>
        <w:t>1</w:t>
      </w:r>
      <w:r>
        <w:rPr>
          <w:rFonts w:hint="eastAsia" w:ascii="宋体" w:hAnsi="宋体" w:eastAsia="宋体" w:cs="宋体"/>
          <w:b w:val="0"/>
          <w:bCs w:val="0"/>
          <w:caps w:val="0"/>
          <w:color w:val="000000" w:themeColor="text1"/>
          <w:spacing w:val="12"/>
          <w:kern w:val="0"/>
          <w:position w:val="17"/>
          <w:sz w:val="24"/>
          <w:szCs w:val="24"/>
          <w:highlight w:val="none"/>
          <w:vertAlign w:val="baseline"/>
          <w:lang w:val="en-US" w:eastAsia="zh-CN" w:bidi="ar"/>
          <w14:textFill>
            <w14:solidFill>
              <w14:schemeClr w14:val="tx1"/>
            </w14:solidFill>
          </w14:textFill>
        </w:rPr>
        <w:t>.</w:t>
      </w:r>
      <w:r>
        <w:rPr>
          <w:rFonts w:hint="eastAsia" w:ascii="宋体" w:hAnsi="宋体" w:eastAsia="宋体" w:cs="宋体"/>
          <w:b w:val="0"/>
          <w:bCs w:val="0"/>
          <w:caps w:val="0"/>
          <w:color w:val="000000" w:themeColor="text1"/>
          <w:spacing w:val="7"/>
          <w:kern w:val="0"/>
          <w:position w:val="17"/>
          <w:sz w:val="24"/>
          <w:szCs w:val="24"/>
          <w:highlight w:val="none"/>
          <w:vertAlign w:val="baseline"/>
          <w:lang w:val="en-US" w:eastAsia="zh-CN" w:bidi="ar"/>
          <w14:textFill>
            <w14:solidFill>
              <w14:schemeClr w14:val="tx1"/>
            </w14:solidFill>
          </w14:textFill>
        </w:rPr>
        <w:t>本“开标一览表”用于开标时唱标使用。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11" w:lineRule="exact"/>
        <w:ind w:left="604"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6"/>
          <w:kern w:val="0"/>
          <w:position w:val="1"/>
          <w:sz w:val="24"/>
          <w:szCs w:val="24"/>
          <w:highlight w:val="none"/>
          <w:vertAlign w:val="baseline"/>
          <w:lang w:val="en-US" w:eastAsia="zh-CN" w:bidi="ar"/>
          <w14:textFill>
            <w14:solidFill>
              <w14:schemeClr w14:val="tx1"/>
            </w14:solidFill>
          </w14:textFill>
        </w:rPr>
        <w:t>2</w:t>
      </w:r>
      <w:r>
        <w:rPr>
          <w:rFonts w:hint="eastAsia" w:ascii="宋体" w:hAnsi="宋体" w:eastAsia="宋体" w:cs="宋体"/>
          <w:b w:val="0"/>
          <w:bCs w:val="0"/>
          <w:caps w:val="0"/>
          <w:color w:val="000000" w:themeColor="text1"/>
          <w:spacing w:val="15"/>
          <w:kern w:val="0"/>
          <w:position w:val="1"/>
          <w:sz w:val="24"/>
          <w:szCs w:val="24"/>
          <w:highlight w:val="none"/>
          <w:vertAlign w:val="baseline"/>
          <w:lang w:val="en-US" w:eastAsia="zh-CN" w:bidi="ar"/>
          <w14:textFill>
            <w14:solidFill>
              <w14:schemeClr w14:val="tx1"/>
            </w14:solidFill>
          </w14:textFill>
        </w:rPr>
        <w:t>.</w:t>
      </w:r>
      <w:r>
        <w:rPr>
          <w:rFonts w:hint="eastAsia" w:ascii="宋体" w:hAnsi="宋体" w:eastAsia="宋体" w:cs="宋体"/>
          <w:b w:val="0"/>
          <w:bCs w:val="0"/>
          <w:caps w:val="0"/>
          <w:color w:val="000000" w:themeColor="text1"/>
          <w:spacing w:val="8"/>
          <w:kern w:val="0"/>
          <w:position w:val="1"/>
          <w:sz w:val="24"/>
          <w:szCs w:val="24"/>
          <w:highlight w:val="none"/>
          <w:vertAlign w:val="baseline"/>
          <w:lang w:val="en-US" w:eastAsia="zh-CN" w:bidi="ar"/>
          <w14:textFill>
            <w14:solidFill>
              <w14:schemeClr w14:val="tx1"/>
            </w14:solidFill>
          </w14:textFill>
        </w:rPr>
        <w:t>此表中的各项内容应与投标文件的相应内容一致。</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54" w:beforeAutospacing="0" w:after="0" w:afterAutospacing="0" w:line="340" w:lineRule="auto"/>
        <w:ind w:left="111" w:right="2" w:firstLine="494"/>
        <w:jc w:val="left"/>
        <w:textAlignment w:val="baseline"/>
        <w:outlineLvl w:val="9"/>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bCs/>
          <w:caps w:val="0"/>
          <w:color w:val="000000" w:themeColor="text1"/>
          <w:spacing w:val="-18"/>
          <w:kern w:val="0"/>
          <w:sz w:val="24"/>
          <w:szCs w:val="24"/>
          <w:highlight w:val="none"/>
          <w:vertAlign w:val="baseline"/>
          <w:lang w:val="en-US" w:eastAsia="zh-CN" w:bidi="ar"/>
          <w14:textFill>
            <w14:solidFill>
              <w14:schemeClr w14:val="tx1"/>
            </w14:solidFill>
          </w14:textFill>
        </w:rPr>
        <w:t>3.</w:t>
      </w:r>
      <w:r>
        <w:rPr>
          <w:rFonts w:hint="eastAsia" w:ascii="宋体" w:hAnsi="宋体" w:eastAsia="宋体" w:cs="宋体"/>
          <w:b/>
          <w:bCs/>
          <w:i/>
          <w:iCs/>
          <w:caps w:val="0"/>
          <w:color w:val="000000" w:themeColor="text1"/>
          <w:spacing w:val="-10"/>
          <w:kern w:val="0"/>
          <w:sz w:val="24"/>
          <w:szCs w:val="24"/>
          <w:highlight w:val="none"/>
          <w:u w:val="single"/>
          <w:vertAlign w:val="baseline"/>
          <w:lang w:val="en-US" w:eastAsia="zh-CN" w:bidi="ar"/>
          <w14:textFill>
            <w14:solidFill>
              <w14:schemeClr w14:val="tx1"/>
            </w14:solidFill>
          </w14:textFill>
        </w:rPr>
        <w:t>此</w:t>
      </w:r>
      <w:r>
        <w:rPr>
          <w:rFonts w:hint="eastAsia" w:ascii="宋体" w:hAnsi="宋体" w:eastAsia="宋体" w:cs="宋体"/>
          <w:b/>
          <w:bCs/>
          <w:i/>
          <w:iCs/>
          <w:caps w:val="0"/>
          <w:color w:val="000000" w:themeColor="text1"/>
          <w:spacing w:val="-9"/>
          <w:kern w:val="0"/>
          <w:sz w:val="24"/>
          <w:szCs w:val="24"/>
          <w:highlight w:val="none"/>
          <w:u w:val="single"/>
          <w:vertAlign w:val="baseline"/>
          <w:lang w:val="en-US" w:eastAsia="zh-CN" w:bidi="ar"/>
          <w14:textFill>
            <w14:solidFill>
              <w14:schemeClr w14:val="tx1"/>
            </w14:solidFill>
          </w14:textFill>
        </w:rPr>
        <w:t>表应按投标人须知的要求单独密封和标记，并按目录顺序加入投标文件中，与</w:t>
      </w:r>
      <w:r>
        <w:rPr>
          <w:rFonts w:hint="eastAsia" w:ascii="宋体" w:hAnsi="宋体" w:eastAsia="宋体" w:cs="宋体"/>
          <w:b/>
          <w:bCs/>
          <w:i/>
          <w:iCs/>
          <w:caps w:val="0"/>
          <w:color w:val="000000" w:themeColor="text1"/>
          <w:spacing w:val="-9"/>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bCs/>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bCs/>
          <w:i/>
          <w:iCs/>
          <w:caps w:val="0"/>
          <w:color w:val="000000" w:themeColor="text1"/>
          <w:spacing w:val="-1"/>
          <w:kern w:val="0"/>
          <w:sz w:val="24"/>
          <w:szCs w:val="24"/>
          <w:highlight w:val="none"/>
          <w:u w:val="single"/>
          <w:vertAlign w:val="baseline"/>
          <w:lang w:val="en-US" w:eastAsia="zh-CN" w:bidi="ar"/>
          <w14:textFill>
            <w14:solidFill>
              <w14:schemeClr w14:val="tx1"/>
            </w14:solidFill>
          </w14:textFill>
        </w:rPr>
        <w:t>标文件同</w:t>
      </w:r>
      <w:r>
        <w:rPr>
          <w:rFonts w:hint="eastAsia" w:ascii="宋体" w:hAnsi="宋体" w:eastAsia="宋体" w:cs="宋体"/>
          <w:b/>
          <w:bCs/>
          <w:i/>
          <w:iCs/>
          <w:caps w:val="0"/>
          <w:color w:val="000000" w:themeColor="text1"/>
          <w:kern w:val="0"/>
          <w:sz w:val="24"/>
          <w:szCs w:val="24"/>
          <w:highlight w:val="none"/>
          <w:u w:val="single"/>
          <w:vertAlign w:val="baseline"/>
          <w:lang w:val="en-US" w:eastAsia="zh-CN" w:bidi="ar"/>
          <w14:textFill>
            <w14:solidFill>
              <w14:schemeClr w14:val="tx1"/>
            </w14:solidFill>
          </w14:textFill>
        </w:rPr>
        <w:t>时递交。</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60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24" w:name="_Toc4771"/>
      <w:bookmarkStart w:id="25" w:name="_Toc23632"/>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4.</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此</w:t>
      </w: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表可根据需要自行拉长加宽。  (可根据实际情况调整)</w:t>
      </w:r>
      <w:bookmarkEnd w:id="24"/>
      <w:bookmarkEnd w:id="25"/>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9" w:beforeAutospacing="0" w:after="0" w:afterAutospacing="0" w:line="309" w:lineRule="exact"/>
        <w:ind w:left="606"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position w:val="1"/>
          <w:sz w:val="24"/>
          <w:szCs w:val="24"/>
          <w:highlight w:val="none"/>
          <w:vertAlign w:val="baseline"/>
          <w:lang w:val="en-US" w:eastAsia="zh-CN" w:bidi="ar"/>
          <w14:textFill>
            <w14:solidFill>
              <w14:schemeClr w14:val="tx1"/>
            </w14:solidFill>
          </w14:textFill>
        </w:rPr>
        <w:t>5.投</w:t>
      </w:r>
      <w:r>
        <w:rPr>
          <w:rFonts w:hint="eastAsia" w:ascii="宋体" w:hAnsi="宋体" w:eastAsia="宋体" w:cs="宋体"/>
          <w:b w:val="0"/>
          <w:bCs w:val="0"/>
          <w:caps w:val="0"/>
          <w:color w:val="000000" w:themeColor="text1"/>
          <w:spacing w:val="13"/>
          <w:kern w:val="0"/>
          <w:position w:val="1"/>
          <w:sz w:val="24"/>
          <w:szCs w:val="24"/>
          <w:highlight w:val="none"/>
          <w:vertAlign w:val="baseline"/>
          <w:lang w:val="en-US" w:eastAsia="zh-CN" w:bidi="ar"/>
          <w14:textFill>
            <w14:solidFill>
              <w14:schemeClr w14:val="tx1"/>
            </w14:solidFill>
          </w14:textFill>
        </w:rPr>
        <w:t>标</w:t>
      </w:r>
      <w:r>
        <w:rPr>
          <w:rFonts w:hint="eastAsia" w:ascii="宋体" w:hAnsi="宋体" w:eastAsia="宋体" w:cs="宋体"/>
          <w:b w:val="0"/>
          <w:bCs w:val="0"/>
          <w:caps w:val="0"/>
          <w:color w:val="000000" w:themeColor="text1"/>
          <w:spacing w:val="7"/>
          <w:kern w:val="0"/>
          <w:position w:val="1"/>
          <w:sz w:val="24"/>
          <w:szCs w:val="24"/>
          <w:highlight w:val="none"/>
          <w:vertAlign w:val="baseline"/>
          <w:lang w:val="en-US" w:eastAsia="zh-CN" w:bidi="ar"/>
          <w14:textFill>
            <w14:solidFill>
              <w14:schemeClr w14:val="tx1"/>
            </w14:solidFill>
          </w14:textFill>
        </w:rPr>
        <w:t>人报价应为优惠条件折算后的最终价格。评标过程中不再接受价优惠条件的价</w:t>
      </w:r>
      <w:bookmarkStart w:id="26" w:name="_Toc5583"/>
      <w:bookmarkStart w:id="27" w:name="_Toc2329"/>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格折算。</w:t>
      </w:r>
      <w:bookmarkEnd w:id="26"/>
      <w:bookmarkEnd w:id="27"/>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4" w:beforeAutospacing="0" w:after="0" w:afterAutospacing="0" w:line="310" w:lineRule="exact"/>
        <w:ind w:left="603" w:right="0" w:firstLine="0"/>
        <w:jc w:val="left"/>
        <w:textAlignment w:val="baseline"/>
        <w:outlineLvl w:val="9"/>
        <w:rPr>
          <w:rFonts w:hint="eastAsia" w:ascii="宋体" w:hAnsi="宋体" w:eastAsia="宋体" w:cs="宋体"/>
          <w:caps w:val="0"/>
          <w:color w:val="000000" w:themeColor="text1"/>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22"/>
          <w:kern w:val="0"/>
          <w:position w:val="1"/>
          <w:sz w:val="24"/>
          <w:szCs w:val="24"/>
          <w:highlight w:val="none"/>
          <w:vertAlign w:val="baseline"/>
          <w:lang w:val="en-US" w:eastAsia="zh-CN" w:bidi="ar"/>
          <w14:textFill>
            <w14:solidFill>
              <w14:schemeClr w14:val="tx1"/>
            </w14:solidFill>
          </w14:textFill>
        </w:rPr>
        <w:t>6</w:t>
      </w:r>
      <w:r>
        <w:rPr>
          <w:rFonts w:hint="eastAsia" w:ascii="宋体" w:hAnsi="宋体" w:eastAsia="宋体" w:cs="宋体"/>
          <w:b w:val="0"/>
          <w:bCs w:val="0"/>
          <w:caps w:val="0"/>
          <w:color w:val="000000" w:themeColor="text1"/>
          <w:spacing w:val="14"/>
          <w:kern w:val="0"/>
          <w:position w:val="1"/>
          <w:sz w:val="24"/>
          <w:szCs w:val="24"/>
          <w:highlight w:val="none"/>
          <w:vertAlign w:val="baseline"/>
          <w:lang w:val="en-US" w:eastAsia="zh-CN" w:bidi="ar"/>
          <w14:textFill>
            <w14:solidFill>
              <w14:schemeClr w14:val="tx1"/>
            </w14:solidFill>
          </w14:textFill>
        </w:rPr>
        <w:t>.只允许有一个报价，任何有选择性的报价或者有附加条件的报价采购人将不予接</w:t>
      </w: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受</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w:t>
      </w:r>
    </w:p>
    <w:p>
      <w:pPr>
        <w:rPr>
          <w:rFonts w:hint="eastAsia" w:ascii="宋体" w:hAnsi="宋体" w:eastAsia="宋体" w:cs="宋体"/>
          <w:color w:val="000000" w:themeColor="text1"/>
          <w:sz w:val="24"/>
          <w:szCs w:val="24"/>
          <w:highlight w:val="none"/>
          <w14:textFill>
            <w14:solidFill>
              <w14:schemeClr w14:val="tx1"/>
            </w14:solidFill>
          </w14:textFill>
        </w:rPr>
        <w:sectPr>
          <w:footerReference r:id="rId3" w:type="default"/>
          <w:pgSz w:w="11906" w:h="16839"/>
          <w:pgMar w:top="1440" w:right="1800" w:bottom="1440" w:left="1800" w:header="1" w:footer="660" w:gutter="1"/>
          <w:pgBorders w:offsetFrom="page">
            <w:top w:val="none" w:sz="0" w:space="0"/>
            <w:left w:val="none" w:sz="0" w:space="0"/>
            <w:bottom w:val="none" w:sz="0" w:space="0"/>
            <w:right w:val="none" w:sz="0" w:space="0"/>
          </w:pgBorders>
          <w:pgNumType w:fmt="decimal" w:start="1"/>
          <w:cols w:space="425" w:num="1"/>
          <w:docGrid w:type="lines" w:linePitch="312" w:charSpace="0"/>
        </w:sectPr>
      </w:pP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五、投标分项报价表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1"/>
          <w:szCs w:val="21"/>
          <w:highlight w:val="none"/>
          <w:vertAlign w:val="baseline"/>
          <w:lang w:bidi="ar"/>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4" w:beforeAutospacing="0" w:after="0" w:afterAutospacing="0" w:line="240" w:lineRule="auto"/>
        <w:ind w:left="355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标报价明细表 (格式)</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78"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spacing w:before="156" w:line="218" w:lineRule="auto"/>
        <w:ind w:left="4341"/>
        <w:rPr>
          <w:rFonts w:ascii="宋体" w:hAnsi="宋体" w:eastAsia="宋体" w:cs="宋体"/>
          <w:lang w:eastAsia="zh-CN"/>
        </w:rPr>
      </w:pPr>
      <w:r>
        <w:rPr>
          <w:rFonts w:hint="eastAsia" w:ascii="宋体" w:hAnsi="宋体" w:eastAsia="宋体" w:cs="宋体"/>
          <w:spacing w:val="-3"/>
          <w:sz w:val="30"/>
          <w:szCs w:val="30"/>
          <w:lang w:eastAsia="zh-CN"/>
        </w:rPr>
        <w:t>投标报价明细表</w:t>
      </w:r>
    </w:p>
    <w:p>
      <w:pPr>
        <w:spacing w:before="78" w:line="219" w:lineRule="auto"/>
        <w:ind w:left="807"/>
        <w:rPr>
          <w:rFonts w:ascii="宋体" w:hAnsi="宋体" w:eastAsia="宋体" w:cs="宋体"/>
          <w:sz w:val="24"/>
          <w:szCs w:val="24"/>
          <w:lang w:eastAsia="zh-CN"/>
        </w:rPr>
      </w:pPr>
      <w:r>
        <w:rPr>
          <w:rFonts w:hint="eastAsia" w:ascii="宋体" w:hAnsi="宋体" w:eastAsia="宋体" w:cs="宋体"/>
          <w:spacing w:val="-2"/>
          <w:sz w:val="24"/>
          <w:szCs w:val="24"/>
          <w:lang w:eastAsia="zh-CN"/>
        </w:rPr>
        <w:t>项目名称：       项目编号：</w:t>
      </w:r>
    </w:p>
    <w:p>
      <w:pPr>
        <w:spacing w:line="230" w:lineRule="exact"/>
        <w:rPr>
          <w:rFonts w:ascii="宋体" w:hAnsi="宋体" w:eastAsia="宋体" w:cs="宋体"/>
          <w:lang w:eastAsia="zh-CN"/>
        </w:rPr>
      </w:pPr>
    </w:p>
    <w:tbl>
      <w:tblPr>
        <w:tblStyle w:val="49"/>
        <w:tblW w:w="92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9"/>
        <w:gridCol w:w="1688"/>
        <w:gridCol w:w="994"/>
        <w:gridCol w:w="1164"/>
        <w:gridCol w:w="811"/>
        <w:gridCol w:w="693"/>
        <w:gridCol w:w="1070"/>
        <w:gridCol w:w="1200"/>
        <w:gridCol w:w="9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699" w:type="dxa"/>
          </w:tcPr>
          <w:p>
            <w:pPr>
              <w:pStyle w:val="50"/>
              <w:spacing w:before="217" w:line="222" w:lineRule="auto"/>
              <w:ind w:left="189"/>
            </w:pPr>
            <w:r>
              <w:rPr>
                <w:rFonts w:hint="eastAsia"/>
                <w:spacing w:val="-3"/>
              </w:rPr>
              <w:t>序号</w:t>
            </w:r>
          </w:p>
        </w:tc>
        <w:tc>
          <w:tcPr>
            <w:tcW w:w="1688" w:type="dxa"/>
          </w:tcPr>
          <w:p>
            <w:pPr>
              <w:pStyle w:val="50"/>
              <w:spacing w:before="218" w:line="219" w:lineRule="auto"/>
              <w:ind w:left="548"/>
            </w:pPr>
            <w:r>
              <w:rPr>
                <w:rFonts w:hint="eastAsia"/>
                <w:spacing w:val="-4"/>
              </w:rPr>
              <w:t>货物名称</w:t>
            </w:r>
          </w:p>
        </w:tc>
        <w:tc>
          <w:tcPr>
            <w:tcW w:w="994" w:type="dxa"/>
          </w:tcPr>
          <w:p>
            <w:pPr>
              <w:pStyle w:val="50"/>
              <w:spacing w:before="218" w:line="220" w:lineRule="auto"/>
              <w:ind w:left="379"/>
            </w:pPr>
            <w:r>
              <w:rPr>
                <w:rFonts w:hint="eastAsia"/>
                <w:spacing w:val="-13"/>
              </w:rPr>
              <w:t>品牌</w:t>
            </w:r>
          </w:p>
        </w:tc>
        <w:tc>
          <w:tcPr>
            <w:tcW w:w="1164" w:type="dxa"/>
          </w:tcPr>
          <w:p>
            <w:pPr>
              <w:pStyle w:val="50"/>
              <w:spacing w:before="218" w:line="220" w:lineRule="auto"/>
              <w:ind w:left="138"/>
            </w:pPr>
            <w:r>
              <w:rPr>
                <w:rFonts w:hint="eastAsia"/>
                <w:spacing w:val="-3"/>
              </w:rPr>
              <w:t>型号和规格</w:t>
            </w:r>
          </w:p>
        </w:tc>
        <w:tc>
          <w:tcPr>
            <w:tcW w:w="811" w:type="dxa"/>
          </w:tcPr>
          <w:p>
            <w:pPr>
              <w:pStyle w:val="50"/>
              <w:spacing w:before="218" w:line="221" w:lineRule="auto"/>
              <w:ind w:left="259"/>
            </w:pPr>
            <w:r>
              <w:rPr>
                <w:rFonts w:hint="eastAsia"/>
                <w:spacing w:val="-5"/>
              </w:rPr>
              <w:t>单位</w:t>
            </w:r>
          </w:p>
        </w:tc>
        <w:tc>
          <w:tcPr>
            <w:tcW w:w="693" w:type="dxa"/>
          </w:tcPr>
          <w:p>
            <w:pPr>
              <w:pStyle w:val="50"/>
              <w:spacing w:before="218" w:line="220" w:lineRule="auto"/>
              <w:ind w:left="189"/>
            </w:pPr>
            <w:r>
              <w:rPr>
                <w:rFonts w:hint="eastAsia"/>
                <w:spacing w:val="-5"/>
              </w:rPr>
              <w:t>数量</w:t>
            </w:r>
          </w:p>
        </w:tc>
        <w:tc>
          <w:tcPr>
            <w:tcW w:w="1070" w:type="dxa"/>
          </w:tcPr>
          <w:p>
            <w:pPr>
              <w:pStyle w:val="50"/>
              <w:spacing w:before="218" w:line="221" w:lineRule="auto"/>
              <w:ind w:left="296"/>
            </w:pPr>
            <w:r>
              <w:rPr>
                <w:rFonts w:hint="eastAsia"/>
                <w:spacing w:val="-3"/>
              </w:rPr>
              <w:t>制造商</w:t>
            </w:r>
          </w:p>
        </w:tc>
        <w:tc>
          <w:tcPr>
            <w:tcW w:w="1200" w:type="dxa"/>
          </w:tcPr>
          <w:p>
            <w:pPr>
              <w:pStyle w:val="50"/>
              <w:spacing w:before="218" w:line="219" w:lineRule="auto"/>
              <w:ind w:left="154"/>
            </w:pPr>
            <w:r>
              <w:rPr>
                <w:rFonts w:hint="eastAsia"/>
                <w:spacing w:val="-2"/>
              </w:rPr>
              <w:t>单价（元）</w:t>
            </w:r>
          </w:p>
        </w:tc>
        <w:tc>
          <w:tcPr>
            <w:tcW w:w="956" w:type="dxa"/>
          </w:tcPr>
          <w:p>
            <w:pPr>
              <w:pStyle w:val="50"/>
              <w:spacing w:before="218" w:line="219" w:lineRule="auto"/>
              <w:jc w:val="right"/>
            </w:pPr>
            <w:r>
              <w:rPr>
                <w:rFonts w:hint="eastAsia"/>
                <w:spacing w:val="-27"/>
              </w:rPr>
              <w:t>总价（元）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99" w:type="dxa"/>
          </w:tcPr>
          <w:p>
            <w:pPr>
              <w:pStyle w:val="50"/>
              <w:spacing w:before="131" w:line="184" w:lineRule="auto"/>
              <w:ind w:left="372"/>
            </w:pPr>
            <w:r>
              <w:rPr>
                <w:rFonts w:hint="eastAsia"/>
              </w:rPr>
              <w:t>1</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0"/>
              <w:spacing w:before="131" w:line="184" w:lineRule="auto"/>
              <w:ind w:left="358"/>
            </w:pPr>
            <w:r>
              <w:rPr>
                <w:rFonts w:hint="eastAsia"/>
              </w:rPr>
              <w:t>2</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99" w:type="dxa"/>
          </w:tcPr>
          <w:p>
            <w:pPr>
              <w:pStyle w:val="50"/>
              <w:spacing w:before="133" w:line="184" w:lineRule="auto"/>
              <w:ind w:left="360"/>
            </w:pPr>
            <w:r>
              <w:rPr>
                <w:rFonts w:hint="eastAsia"/>
              </w:rPr>
              <w:t>3</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99" w:type="dxa"/>
          </w:tcPr>
          <w:p>
            <w:pPr>
              <w:pStyle w:val="50"/>
              <w:spacing w:before="133" w:line="184" w:lineRule="auto"/>
              <w:ind w:left="354"/>
            </w:pPr>
            <w:r>
              <w:rPr>
                <w:rFonts w:hint="eastAsia"/>
              </w:rPr>
              <w:t>4</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0"/>
              <w:spacing w:before="136" w:line="182" w:lineRule="auto"/>
              <w:ind w:left="360"/>
            </w:pPr>
            <w:r>
              <w:rPr>
                <w:rFonts w:hint="eastAsia"/>
              </w:rPr>
              <w:t>5</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0"/>
              <w:spacing w:before="133" w:line="184" w:lineRule="auto"/>
              <w:ind w:left="357"/>
            </w:pPr>
            <w:r>
              <w:rPr>
                <w:rFonts w:hint="eastAsia"/>
              </w:rPr>
              <w:t>6</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0"/>
              <w:spacing w:before="137" w:line="182" w:lineRule="auto"/>
              <w:ind w:left="361"/>
            </w:pPr>
            <w:r>
              <w:rPr>
                <w:rFonts w:hint="eastAsia"/>
              </w:rPr>
              <w:t>7</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99" w:type="dxa"/>
          </w:tcPr>
          <w:p>
            <w:pPr>
              <w:pStyle w:val="50"/>
              <w:spacing w:before="134" w:line="184" w:lineRule="auto"/>
              <w:ind w:left="356"/>
            </w:pPr>
            <w:r>
              <w:rPr>
                <w:rFonts w:hint="eastAsia"/>
              </w:rPr>
              <w:t>8</w:t>
            </w:r>
          </w:p>
        </w:tc>
        <w:tc>
          <w:tcPr>
            <w:tcW w:w="1688" w:type="dxa"/>
          </w:tcPr>
          <w:p>
            <w:pPr>
              <w:rPr>
                <w:rFonts w:ascii="宋体" w:hAnsi="宋体" w:eastAsia="宋体" w:cs="宋体"/>
              </w:rPr>
            </w:pP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699" w:type="dxa"/>
          </w:tcPr>
          <w:p>
            <w:pPr>
              <w:pStyle w:val="50"/>
              <w:spacing w:before="135" w:line="184" w:lineRule="auto"/>
              <w:ind w:left="356"/>
            </w:pPr>
            <w:r>
              <w:rPr>
                <w:rFonts w:hint="eastAsia"/>
              </w:rPr>
              <w:t>9</w:t>
            </w:r>
          </w:p>
        </w:tc>
        <w:tc>
          <w:tcPr>
            <w:tcW w:w="1688" w:type="dxa"/>
          </w:tcPr>
          <w:p>
            <w:pPr>
              <w:pStyle w:val="50"/>
              <w:spacing w:before="263" w:line="91" w:lineRule="exact"/>
              <w:ind w:left="657"/>
            </w:pPr>
            <w:r>
              <w:rPr>
                <w:rFonts w:hint="eastAsia"/>
                <w:position w:val="1"/>
              </w:rPr>
              <w:t>......</w:t>
            </w:r>
          </w:p>
        </w:tc>
        <w:tc>
          <w:tcPr>
            <w:tcW w:w="994" w:type="dxa"/>
          </w:tcPr>
          <w:p>
            <w:pPr>
              <w:rPr>
                <w:rFonts w:ascii="宋体" w:hAnsi="宋体" w:eastAsia="宋体" w:cs="宋体"/>
              </w:rPr>
            </w:pPr>
          </w:p>
        </w:tc>
        <w:tc>
          <w:tcPr>
            <w:tcW w:w="1164" w:type="dxa"/>
          </w:tcPr>
          <w:p>
            <w:pPr>
              <w:rPr>
                <w:rFonts w:ascii="宋体" w:hAnsi="宋体" w:eastAsia="宋体" w:cs="宋体"/>
              </w:rPr>
            </w:pPr>
          </w:p>
        </w:tc>
        <w:tc>
          <w:tcPr>
            <w:tcW w:w="811" w:type="dxa"/>
          </w:tcPr>
          <w:p>
            <w:pPr>
              <w:rPr>
                <w:rFonts w:ascii="宋体" w:hAnsi="宋体" w:eastAsia="宋体" w:cs="宋体"/>
              </w:rPr>
            </w:pPr>
          </w:p>
        </w:tc>
        <w:tc>
          <w:tcPr>
            <w:tcW w:w="693" w:type="dxa"/>
          </w:tcPr>
          <w:p>
            <w:pPr>
              <w:rPr>
                <w:rFonts w:ascii="宋体" w:hAnsi="宋体" w:eastAsia="宋体" w:cs="宋体"/>
              </w:rPr>
            </w:pPr>
          </w:p>
        </w:tc>
        <w:tc>
          <w:tcPr>
            <w:tcW w:w="1070" w:type="dxa"/>
          </w:tcPr>
          <w:p>
            <w:pPr>
              <w:rPr>
                <w:rFonts w:ascii="宋体" w:hAnsi="宋体" w:eastAsia="宋体" w:cs="宋体"/>
              </w:rPr>
            </w:pPr>
          </w:p>
        </w:tc>
        <w:tc>
          <w:tcPr>
            <w:tcW w:w="1200" w:type="dxa"/>
          </w:tcPr>
          <w:p>
            <w:pPr>
              <w:rPr>
                <w:rFonts w:ascii="宋体" w:hAnsi="宋体" w:eastAsia="宋体" w:cs="宋体"/>
              </w:rPr>
            </w:pPr>
          </w:p>
        </w:tc>
        <w:tc>
          <w:tcPr>
            <w:tcW w:w="956" w:type="dxa"/>
          </w:tcPr>
          <w:p>
            <w:pPr>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9275" w:type="dxa"/>
            <w:gridSpan w:val="9"/>
          </w:tcPr>
          <w:p>
            <w:pPr>
              <w:pStyle w:val="50"/>
              <w:spacing w:before="171" w:line="222" w:lineRule="auto"/>
              <w:ind w:left="121"/>
              <w:rPr>
                <w:lang w:eastAsia="zh-CN"/>
              </w:rPr>
            </w:pPr>
            <w:r>
              <w:rPr>
                <w:rFonts w:hint="eastAsia"/>
                <w:spacing w:val="-7"/>
              </w:rPr>
              <w:t>总计</w:t>
            </w:r>
            <w:r>
              <w:rPr>
                <w:rFonts w:hint="eastAsia"/>
                <w:spacing w:val="-7"/>
                <w:lang w:eastAsia="zh-CN"/>
              </w:rPr>
              <w:t>（元）</w:t>
            </w: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6" w:beforeAutospacing="0" w:after="0" w:afterAutospacing="0" w:line="240" w:lineRule="auto"/>
        <w:ind w:left="706"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2"/>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人全称 (公章)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单</w:t>
      </w:r>
      <w:r>
        <w:rPr>
          <w:rFonts w:hint="eastAsia" w:ascii="宋体" w:hAnsi="宋体" w:eastAsia="宋体" w:cs="宋体"/>
          <w:b w:val="0"/>
          <w:bCs w:val="0"/>
          <w:caps w:val="0"/>
          <w:color w:val="000000" w:themeColor="text1"/>
          <w:spacing w:val="13"/>
          <w:kern w:val="0"/>
          <w:sz w:val="24"/>
          <w:szCs w:val="24"/>
          <w:highlight w:val="none"/>
          <w:vertAlign w:val="baseline"/>
          <w:lang w:val="en-US" w:eastAsia="zh-CN" w:bidi="ar"/>
          <w14:textFill>
            <w14:solidFill>
              <w14:schemeClr w14:val="tx1"/>
            </w14:solidFill>
          </w14:textFill>
        </w:rPr>
        <w:t>位</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7" w:beforeAutospacing="0" w:after="0" w:afterAutospacing="0" w:line="466" w:lineRule="exact"/>
        <w:ind w:left="714"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9"/>
          <w:kern w:val="0"/>
          <w:position w:val="17"/>
          <w:sz w:val="24"/>
          <w:szCs w:val="24"/>
          <w:highlight w:val="none"/>
          <w:vertAlign w:val="baseline"/>
          <w:lang w:val="en-US" w:eastAsia="zh-CN" w:bidi="ar"/>
          <w14:textFill>
            <w14:solidFill>
              <w14:schemeClr w14:val="tx1"/>
            </w14:solidFill>
          </w14:textFill>
        </w:rPr>
        <w:t>时</w:t>
      </w:r>
      <w:r>
        <w:rPr>
          <w:rFonts w:hint="eastAsia" w:ascii="宋体" w:hAnsi="宋体" w:eastAsia="宋体" w:cs="宋体"/>
          <w:b w:val="0"/>
          <w:bCs w:val="0"/>
          <w:caps w:val="0"/>
          <w:color w:val="000000" w:themeColor="text1"/>
          <w:spacing w:val="6"/>
          <w:kern w:val="0"/>
          <w:position w:val="17"/>
          <w:sz w:val="24"/>
          <w:szCs w:val="24"/>
          <w:highlight w:val="none"/>
          <w:vertAlign w:val="baseline"/>
          <w:lang w:val="en-US" w:eastAsia="zh-CN" w:bidi="ar"/>
          <w14:textFill>
            <w14:solidFill>
              <w14:schemeClr w14:val="tx1"/>
            </w14:solidFill>
          </w14:textFill>
        </w:rPr>
        <w:t>间：年月日</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226"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说</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明：</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1.与本项目有关的各种费用均应包含在总报价中。</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2.如果投标人提供价格折扣优惠，应在表中明确填列。</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3.要说明的问题可另附页说明并签字和加盖公章。</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4.此表可根据需要自行拉长加宽。</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5.清单中各项必须填写完整，不能以空格、斜杠等其它形式代替，不能有合并单元格。</w:t>
      </w:r>
    </w:p>
    <w:p>
      <w:pPr>
        <w:pStyle w:val="2"/>
        <w:rPr>
          <w:rFonts w:hint="eastAsia"/>
          <w:lang w:val="en-US" w:eastAsia="zh-CN"/>
        </w:rPr>
      </w:pPr>
      <w:r>
        <w:rPr>
          <w:rFonts w:hint="eastAsia" w:ascii="宋体" w:hAnsi="宋体" w:eastAsia="宋体" w:cs="宋体"/>
          <w:b/>
          <w:bCs/>
          <w:caps w:val="0"/>
          <w:color w:val="000000" w:themeColor="text1"/>
          <w:spacing w:val="-16"/>
          <w:kern w:val="2"/>
          <w:sz w:val="24"/>
          <w:szCs w:val="24"/>
          <w:highlight w:val="none"/>
          <w:vertAlign w:val="baseline"/>
          <w:lang w:val="en-US" w:eastAsia="zh-CN" w:bidi="ar"/>
          <w14:textFill>
            <w14:solidFill>
              <w14:schemeClr w14:val="tx1"/>
            </w14:solidFill>
          </w14:textFill>
        </w:rPr>
        <w:t>报价说明：供应商的报价应当包含为完成本项目全部工作所需的一切费用，包括成本、利润、税金及其他伴随费用。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1"/>
          <w:szCs w:val="21"/>
          <w:highlight w:val="none"/>
          <w:vertAlign w:val="baseline"/>
          <w:lang w:bidi="ar"/>
          <w14:textFill>
            <w14:solidFill>
              <w14:schemeClr w14:val="tx1"/>
            </w14:solidFill>
          </w14:textFill>
        </w:rPr>
      </w:pPr>
      <w:r>
        <w:rPr>
          <w:rFonts w:hint="eastAsia" w:ascii="宋体" w:hAnsi="宋体" w:eastAsia="宋体" w:cs="宋体"/>
          <w:b w:val="0"/>
          <w:bCs w:val="0"/>
          <w:caps w:val="0"/>
          <w:color w:val="000000" w:themeColor="text1"/>
          <w:kern w:val="2"/>
          <w:sz w:val="21"/>
          <w:szCs w:val="21"/>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color w:val="000000" w:themeColor="text1"/>
          <w:sz w:val="24"/>
          <w:highlight w:val="none"/>
          <w:lang w:val="en-US" w:eastAsia="zh-CN"/>
          <w14:textFill>
            <w14:solidFill>
              <w14:schemeClr w14:val="tx1"/>
            </w14:solidFill>
          </w14:textFill>
        </w:rPr>
      </w:pPr>
      <w:bookmarkStart w:id="28" w:name="_Toc2403"/>
      <w:bookmarkStart w:id="29" w:name="_Toc27681"/>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六、承诺函</w:t>
      </w:r>
    </w:p>
    <w:bookmarkEnd w:id="28"/>
    <w:bookmarkEnd w:id="29"/>
    <w:p>
      <w:pPr>
        <w:adjustRightInd w:val="0"/>
        <w:snapToGrid w:val="0"/>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pacing w:val="4"/>
          <w:sz w:val="24"/>
          <w:szCs w:val="24"/>
          <w:highlight w:val="none"/>
          <w:lang w:eastAsia="zh-CN"/>
          <w14:textFill>
            <w14:solidFill>
              <w14:schemeClr w14:val="tx1"/>
            </w14:solidFill>
          </w14:textFill>
        </w:rPr>
        <w:t>资格条件承诺函</w:t>
      </w:r>
    </w:p>
    <w:p>
      <w:pPr>
        <w:adjustRightInd w:val="0"/>
        <w:snapToGrid w:val="0"/>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p>
    <w:p>
      <w:pPr>
        <w:adjustRightInd w:val="0"/>
        <w:snapToGrid w:val="0"/>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 xml:space="preserve">致 ： </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 xml:space="preserve">( 采 购 人 、 采 购 代 理 机 构 )  </w:t>
      </w:r>
      <w:r>
        <w:rPr>
          <w:rFonts w:hint="eastAsia" w:ascii="宋体" w:hAnsi="宋体" w:eastAsia="宋体" w:cs="宋体"/>
          <w:color w:val="000000" w:themeColor="text1"/>
          <w:sz w:val="24"/>
          <w:szCs w:val="24"/>
          <w:highlight w:val="none"/>
          <w:lang w:eastAsia="zh-CN"/>
          <w14:textFill>
            <w14:solidFill>
              <w14:schemeClr w14:val="tx1"/>
            </w14:solidFill>
          </w14:textFill>
        </w:rPr>
        <w:t xml:space="preserve"> :</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我单位(公司)参与</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 xml:space="preserve">    ( 采 购项目名称、项目编号 )</w:t>
      </w:r>
      <w:r>
        <w:rPr>
          <w:rFonts w:hint="eastAsia" w:ascii="宋体" w:hAnsi="宋体" w:eastAsia="宋体" w:cs="宋体"/>
          <w:color w:val="000000" w:themeColor="text1"/>
          <w:sz w:val="24"/>
          <w:szCs w:val="24"/>
          <w:highlight w:val="none"/>
          <w:lang w:eastAsia="zh-CN"/>
          <w14:textFill>
            <w14:solidFill>
              <w14:schemeClr w14:val="tx1"/>
            </w14:solidFill>
          </w14:textFill>
        </w:rPr>
        <w:t>采购项目的政府采购活动，现承诺如下：</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 具有良好的商业信誉和健全的财务会计制度；</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 具有依法缴纳税收的良好记录；</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3.具有依法缴纳社会保障金的良好记录。</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我方在采购项目评审(评标)环节结束后，随时接受采购人、采购代理机构的检查验证，配合提供相关证明材料，证明符合《中华人民共和国政府采购法》规定的供应商基本资格条件。</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我单位(公司)对上述承诺的真实性负责。如有虚假，将依法承担相应责任。</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特此承诺。</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p>
    <w:p>
      <w:pPr>
        <w:spacing w:line="480" w:lineRule="auto"/>
        <w:ind w:firstLine="420" w:firstLineChars="0"/>
        <w:jc w:val="both"/>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kern w:val="2"/>
          <w:sz w:val="24"/>
          <w:szCs w:val="24"/>
          <w:highlight w:val="none"/>
          <w:lang w:eastAsia="zh-CN"/>
          <w14:textFill>
            <w14:solidFill>
              <w14:schemeClr w14:val="tx1"/>
            </w14:solidFill>
          </w14:textFill>
        </w:rPr>
        <w:t>投标人名称：</w:t>
      </w:r>
      <w:r>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t xml:space="preserve">                       （公章）</w:t>
      </w:r>
    </w:p>
    <w:p>
      <w:pPr>
        <w:spacing w:line="480" w:lineRule="auto"/>
        <w:ind w:firstLine="420" w:firstLineChars="0"/>
        <w:jc w:val="both"/>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kern w:val="2"/>
          <w:sz w:val="24"/>
          <w:szCs w:val="24"/>
          <w:highlight w:val="none"/>
          <w:lang w:eastAsia="zh-CN"/>
          <w14:textFill>
            <w14:solidFill>
              <w14:schemeClr w14:val="tx1"/>
            </w14:solidFill>
          </w14:textFill>
        </w:rPr>
        <w:t>法定代表人或授权代表</w:t>
      </w:r>
      <w:r>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t>：                     （签字）</w:t>
      </w:r>
    </w:p>
    <w:p>
      <w:pPr>
        <w:spacing w:line="480" w:lineRule="auto"/>
        <w:ind w:firstLine="420" w:firstLineChars="0"/>
        <w:jc w:val="both"/>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kern w:val="2"/>
          <w:sz w:val="24"/>
          <w:szCs w:val="24"/>
          <w:highlight w:val="none"/>
          <w:lang w:eastAsia="zh-CN"/>
          <w14:textFill>
            <w14:solidFill>
              <w14:schemeClr w14:val="tx1"/>
            </w14:solidFill>
          </w14:textFill>
        </w:rPr>
        <w:t>日期 ：</w:t>
      </w:r>
      <w:r>
        <w:rPr>
          <w:rFonts w:hint="eastAsia" w:ascii="宋体" w:hAnsi="宋体" w:eastAsia="宋体" w:cs="宋体"/>
          <w:color w:val="000000" w:themeColor="text1"/>
          <w:kern w:val="2"/>
          <w:sz w:val="24"/>
          <w:szCs w:val="24"/>
          <w:highlight w:val="none"/>
          <w:u w:val="single"/>
          <w:lang w:eastAsia="zh-CN"/>
          <w14:textFill>
            <w14:solidFill>
              <w14:schemeClr w14:val="tx1"/>
            </w14:solidFill>
          </w14:textFill>
        </w:rPr>
        <w:t xml:space="preserve">                                            </w:t>
      </w:r>
    </w:p>
    <w:p>
      <w:pPr>
        <w:spacing w:line="480" w:lineRule="auto"/>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注：不适用信用承诺的情形：</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1.被列入政府采购不良行为记录名单的，被禁止参加政府采购活动且尚在处罚有效期内的；</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2.被有关部门列入失信被执行人、联合惩戒对象、严重违法失信行为记录等情形的；</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3.其他法律法规规定的不适用于资格条件信用承诺的情。</w:t>
      </w:r>
    </w:p>
    <w:p>
      <w:pPr>
        <w:widowControl/>
        <w:topLinePunct/>
        <w:spacing w:line="360" w:lineRule="auto"/>
        <w:ind w:firstLine="480"/>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4.不适用于信用承诺的企业应按要求提供其他证明文件，以证明其资格符合招标文件规定。</w:t>
      </w:r>
      <w:bookmarkStart w:id="30" w:name="_Toc29052"/>
    </w:p>
    <w:p>
      <w:pPr>
        <w:widowControl/>
        <w:topLinePunct/>
        <w:spacing w:line="360" w:lineRule="auto"/>
        <w:ind w:firstLine="480"/>
        <w:jc w:val="both"/>
        <w:rPr>
          <w:rFonts w:hint="eastAsia" w:ascii="宋体" w:hAnsi="宋体" w:eastAsia="宋体" w:cs="宋体"/>
          <w:b/>
          <w:color w:val="000000" w:themeColor="text1"/>
          <w:sz w:val="24"/>
          <w:szCs w:val="24"/>
          <w:highlight w:val="none"/>
          <w:lang w:eastAsia="zh-CN"/>
          <w14:textFill>
            <w14:solidFill>
              <w14:schemeClr w14:val="tx1"/>
            </w14:solidFill>
          </w14:textFill>
        </w:rPr>
        <w:sectPr>
          <w:footerReference r:id="rId4" w:type="default"/>
          <w:pgSz w:w="11849" w:h="16781"/>
          <w:pgMar w:top="1134" w:right="1134" w:bottom="1134" w:left="1417" w:header="850" w:footer="692" w:gutter="0"/>
          <w:pgNumType w:fmt="decimal"/>
          <w:cols w:space="720" w:num="1"/>
          <w:titlePg/>
          <w:rtlGutter w:val="0"/>
          <w:docGrid w:type="lines" w:linePitch="316" w:charSpace="0"/>
        </w:sectPr>
      </w:pPr>
    </w:p>
    <w:bookmarkEnd w:id="30"/>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 xml:space="preserve">七、技术需求偏离表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01" w:lineRule="exact"/>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48"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31" w:name="_Toc18838"/>
      <w:bookmarkStart w:id="32" w:name="_Toc3419"/>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项</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目名称：</w:t>
      </w:r>
      <w:bookmarkEnd w:id="31"/>
      <w:bookmarkEnd w:id="32"/>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47"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项</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目编号：</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91" w:lineRule="exact"/>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bl>
      <w:tblPr>
        <w:tblStyle w:val="25"/>
        <w:tblW w:w="9332" w:type="dxa"/>
        <w:tblInd w:w="110" w:type="dxa"/>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6"/>
        <w:gridCol w:w="1241"/>
        <w:gridCol w:w="2717"/>
        <w:gridCol w:w="2718"/>
        <w:gridCol w:w="817"/>
        <w:gridCol w:w="983"/>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rPr>
        <w:tc>
          <w:tcPr>
            <w:tcW w:w="85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67" w:beforeAutospacing="0" w:after="0" w:afterAutospacing="0" w:line="240" w:lineRule="auto"/>
              <w:ind w:left="195"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33" w:name="_Toc3091"/>
            <w:bookmarkStart w:id="34" w:name="_Toc15342"/>
            <w:r>
              <w:rPr>
                <w:rFonts w:hint="eastAsia" w:ascii="宋体" w:hAnsi="宋体" w:eastAsia="宋体" w:cs="宋体"/>
                <w:b/>
                <w:bCs/>
                <w:caps w:val="0"/>
                <w:color w:val="000000" w:themeColor="text1"/>
                <w:spacing w:val="6"/>
                <w:kern w:val="0"/>
                <w:sz w:val="24"/>
                <w:szCs w:val="24"/>
                <w:highlight w:val="none"/>
                <w:vertAlign w:val="baseline"/>
                <w:lang w:val="en-US" w:eastAsia="zh-CN" w:bidi="ar"/>
                <w14:textFill>
                  <w14:solidFill>
                    <w14:schemeClr w14:val="tx1"/>
                  </w14:solidFill>
                </w14:textFill>
              </w:rPr>
              <w:t>序</w:t>
            </w:r>
            <w:r>
              <w:rPr>
                <w:rFonts w:hint="eastAsia" w:ascii="宋体" w:hAnsi="宋体" w:eastAsia="宋体" w:cs="宋体"/>
                <w:b/>
                <w:bCs/>
                <w:caps w:val="0"/>
                <w:color w:val="000000" w:themeColor="text1"/>
                <w:spacing w:val="5"/>
                <w:kern w:val="0"/>
                <w:sz w:val="24"/>
                <w:szCs w:val="24"/>
                <w:highlight w:val="none"/>
                <w:vertAlign w:val="baseline"/>
                <w:lang w:val="en-US" w:eastAsia="zh-CN" w:bidi="ar"/>
                <w14:textFill>
                  <w14:solidFill>
                    <w14:schemeClr w14:val="tx1"/>
                  </w14:solidFill>
                </w14:textFill>
              </w:rPr>
              <w:t>号</w:t>
            </w:r>
            <w:bookmarkEnd w:id="33"/>
            <w:bookmarkEnd w:id="34"/>
          </w:p>
        </w:tc>
        <w:tc>
          <w:tcPr>
            <w:tcW w:w="124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68" w:beforeAutospacing="0" w:after="0" w:afterAutospacing="0" w:line="240" w:lineRule="auto"/>
              <w:ind w:left="152"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35" w:name="_Toc11418"/>
            <w:bookmarkStart w:id="36" w:name="_Toc10769"/>
            <w:r>
              <w:rPr>
                <w:rFonts w:hint="eastAsia" w:ascii="宋体" w:hAnsi="宋体" w:eastAsia="宋体" w:cs="宋体"/>
                <w:b/>
                <w:bCs/>
                <w:caps w:val="0"/>
                <w:color w:val="000000" w:themeColor="text1"/>
                <w:spacing w:val="6"/>
                <w:kern w:val="0"/>
                <w:sz w:val="24"/>
                <w:szCs w:val="24"/>
                <w:highlight w:val="none"/>
                <w:vertAlign w:val="baseline"/>
                <w:lang w:val="en-US" w:eastAsia="zh-CN" w:bidi="ar"/>
                <w14:textFill>
                  <w14:solidFill>
                    <w14:schemeClr w14:val="tx1"/>
                  </w14:solidFill>
                </w14:textFill>
              </w:rPr>
              <w:t>货物名称</w:t>
            </w:r>
            <w:bookmarkEnd w:id="35"/>
            <w:bookmarkEnd w:id="36"/>
          </w:p>
        </w:tc>
        <w:tc>
          <w:tcPr>
            <w:tcW w:w="27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66"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37" w:name="_Toc25316"/>
            <w:bookmarkStart w:id="38" w:name="_Toc6678"/>
            <w:r>
              <w:rPr>
                <w:rFonts w:hint="eastAsia" w:ascii="宋体" w:hAnsi="宋体" w:eastAsia="宋体" w:cs="宋体"/>
                <w:b/>
                <w:bCs/>
                <w:caps w:val="0"/>
                <w:color w:val="000000" w:themeColor="text1"/>
                <w:spacing w:val="9"/>
                <w:kern w:val="0"/>
                <w:sz w:val="24"/>
                <w:szCs w:val="24"/>
                <w:highlight w:val="none"/>
                <w:vertAlign w:val="baseline"/>
                <w:lang w:val="en-US" w:eastAsia="zh-CN" w:bidi="ar"/>
                <w14:textFill>
                  <w14:solidFill>
                    <w14:schemeClr w14:val="tx1"/>
                  </w14:solidFill>
                </w14:textFill>
              </w:rPr>
              <w:t>招标文件规定的货物</w:t>
            </w:r>
            <w:r>
              <w:rPr>
                <w:rFonts w:hint="eastAsia" w:ascii="宋体" w:hAnsi="宋体" w:eastAsia="宋体" w:cs="宋体"/>
                <w:b/>
                <w:bCs/>
                <w:caps w:val="0"/>
                <w:color w:val="000000" w:themeColor="text1"/>
                <w:spacing w:val="8"/>
                <w:kern w:val="0"/>
                <w:sz w:val="24"/>
                <w:szCs w:val="24"/>
                <w:highlight w:val="none"/>
                <w:vertAlign w:val="baseline"/>
                <w:lang w:val="en-US" w:eastAsia="zh-CN" w:bidi="ar"/>
                <w14:textFill>
                  <w14:solidFill>
                    <w14:schemeClr w14:val="tx1"/>
                  </w14:solidFill>
                </w14:textFill>
              </w:rPr>
              <w:t>需求、技术规格</w:t>
            </w:r>
            <w:bookmarkEnd w:id="37"/>
            <w:bookmarkEnd w:id="38"/>
          </w:p>
        </w:tc>
        <w:tc>
          <w:tcPr>
            <w:tcW w:w="271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70"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39" w:name="_Toc13588"/>
            <w:bookmarkStart w:id="40" w:name="_Toc30329"/>
            <w:r>
              <w:rPr>
                <w:rFonts w:hint="eastAsia" w:ascii="宋体" w:hAnsi="宋体" w:eastAsia="宋体" w:cs="宋体"/>
                <w:b/>
                <w:bCs/>
                <w:caps w:val="0"/>
                <w:color w:val="000000" w:themeColor="text1"/>
                <w:spacing w:val="15"/>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bCs/>
                <w:caps w:val="0"/>
                <w:color w:val="000000" w:themeColor="text1"/>
                <w:spacing w:val="8"/>
                <w:kern w:val="0"/>
                <w:sz w:val="24"/>
                <w:szCs w:val="24"/>
                <w:highlight w:val="none"/>
                <w:vertAlign w:val="baseline"/>
                <w:lang w:val="en-US" w:eastAsia="zh-CN" w:bidi="ar"/>
                <w14:textFill>
                  <w14:solidFill>
                    <w14:schemeClr w14:val="tx1"/>
                  </w14:solidFill>
                </w14:textFill>
              </w:rPr>
              <w:t>标文件对应的货物情况、技术规格</w:t>
            </w:r>
            <w:bookmarkEnd w:id="39"/>
            <w:bookmarkEnd w:id="40"/>
          </w:p>
        </w:tc>
        <w:tc>
          <w:tcPr>
            <w:tcW w:w="8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80"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41" w:name="_Toc5112"/>
            <w:bookmarkStart w:id="42" w:name="_Toc24124"/>
            <w:r>
              <w:rPr>
                <w:rFonts w:hint="eastAsia" w:ascii="宋体" w:hAnsi="宋体" w:eastAsia="宋体" w:cs="宋体"/>
                <w:b/>
                <w:bCs/>
                <w:caps w:val="0"/>
                <w:color w:val="000000" w:themeColor="text1"/>
                <w:spacing w:val="3"/>
                <w:kern w:val="0"/>
                <w:sz w:val="24"/>
                <w:szCs w:val="24"/>
                <w:highlight w:val="none"/>
                <w:vertAlign w:val="baseline"/>
                <w:lang w:val="en-US" w:eastAsia="zh-CN" w:bidi="ar"/>
                <w14:textFill>
                  <w14:solidFill>
                    <w14:schemeClr w14:val="tx1"/>
                  </w14:solidFill>
                </w14:textFill>
              </w:rPr>
              <w:t>是否</w:t>
            </w:r>
            <w:bookmarkEnd w:id="41"/>
            <w:bookmarkEnd w:id="42"/>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176" w:right="0" w:firstLine="0"/>
              <w:jc w:val="center"/>
              <w:textAlignment w:val="baseline"/>
              <w:outlineLvl w:val="9"/>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bCs/>
                <w:caps w:val="0"/>
                <w:color w:val="000000" w:themeColor="text1"/>
                <w:spacing w:val="5"/>
                <w:kern w:val="0"/>
                <w:sz w:val="24"/>
                <w:szCs w:val="24"/>
                <w:highlight w:val="none"/>
                <w:vertAlign w:val="baseline"/>
                <w:lang w:val="en-US" w:eastAsia="zh-CN" w:bidi="ar"/>
                <w14:textFill>
                  <w14:solidFill>
                    <w14:schemeClr w14:val="tx1"/>
                  </w14:solidFill>
                </w14:textFill>
              </w:rPr>
              <w:t>偏离</w:t>
            </w:r>
          </w:p>
        </w:tc>
        <w:tc>
          <w:tcPr>
            <w:tcW w:w="983"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67" w:beforeAutospacing="0" w:after="0" w:afterAutospacing="0" w:line="240" w:lineRule="auto"/>
              <w:ind w:left="262" w:right="0" w:firstLine="0"/>
              <w:jc w:val="center"/>
              <w:textAlignment w:val="baseline"/>
              <w:outlineLvl w:val="0"/>
              <w:rPr>
                <w:rFonts w:hint="eastAsia" w:ascii="宋体" w:hAnsi="宋体" w:eastAsia="宋体" w:cs="宋体"/>
                <w:b/>
                <w:bCs/>
                <w:caps w:val="0"/>
                <w:color w:val="000000" w:themeColor="text1"/>
                <w:kern w:val="0"/>
                <w:sz w:val="24"/>
                <w:szCs w:val="24"/>
                <w:highlight w:val="none"/>
                <w:vertAlign w:val="baseline"/>
                <w14:textFill>
                  <w14:solidFill>
                    <w14:schemeClr w14:val="tx1"/>
                  </w14:solidFill>
                </w14:textFill>
              </w:rPr>
            </w:pPr>
            <w:bookmarkStart w:id="43" w:name="_Toc6434"/>
            <w:bookmarkStart w:id="44" w:name="_Toc26974"/>
            <w:r>
              <w:rPr>
                <w:rFonts w:hint="eastAsia" w:ascii="宋体" w:hAnsi="宋体" w:eastAsia="宋体" w:cs="宋体"/>
                <w:b/>
                <w:bCs/>
                <w:caps w:val="0"/>
                <w:color w:val="000000" w:themeColor="text1"/>
                <w:spacing w:val="4"/>
                <w:kern w:val="0"/>
                <w:sz w:val="24"/>
                <w:szCs w:val="24"/>
                <w:highlight w:val="none"/>
                <w:vertAlign w:val="baseline"/>
                <w:lang w:val="en-US" w:eastAsia="zh-CN" w:bidi="ar"/>
                <w14:textFill>
                  <w14:solidFill>
                    <w14:schemeClr w14:val="tx1"/>
                  </w14:solidFill>
                </w14:textFill>
              </w:rPr>
              <w:t>备</w:t>
            </w:r>
            <w:r>
              <w:rPr>
                <w:rFonts w:hint="eastAsia" w:ascii="宋体" w:hAnsi="宋体" w:eastAsia="宋体" w:cs="宋体"/>
                <w:b/>
                <w:bCs/>
                <w:caps w:val="0"/>
                <w:color w:val="000000" w:themeColor="text1"/>
                <w:spacing w:val="3"/>
                <w:kern w:val="0"/>
                <w:sz w:val="24"/>
                <w:szCs w:val="24"/>
                <w:highlight w:val="none"/>
                <w:vertAlign w:val="baseline"/>
                <w:lang w:val="en-US" w:eastAsia="zh-CN" w:bidi="ar"/>
                <w14:textFill>
                  <w14:solidFill>
                    <w14:schemeClr w14:val="tx1"/>
                  </w14:solidFill>
                </w14:textFill>
              </w:rPr>
              <w:t>注</w:t>
            </w:r>
            <w:bookmarkEnd w:id="43"/>
            <w:bookmarkEnd w:id="44"/>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01" w:hRule="atLeast"/>
        </w:trPr>
        <w:tc>
          <w:tcPr>
            <w:tcW w:w="85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24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8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983"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01" w:hRule="atLeast"/>
        </w:trPr>
        <w:tc>
          <w:tcPr>
            <w:tcW w:w="85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24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8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983"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05" w:hRule="atLeast"/>
        </w:trPr>
        <w:tc>
          <w:tcPr>
            <w:tcW w:w="85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24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271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8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983"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6" w:beforeAutospacing="0" w:after="0" w:afterAutospacing="0" w:line="240" w:lineRule="auto"/>
        <w:ind w:left="31"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说</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600" w:firstLineChars="250"/>
        <w:jc w:val="both"/>
        <w:outlineLvl w:val="9"/>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1、供应商应对照招标文件技术要求，逐条说明所提供服务技术标准已对招标文件的技术要求做出了实质性的响应，并申明与技术要求条文的偏差和例外。投标人应在“偏离情况”栏中，说明投标货物与招标货物的偏离情况，分正偏离、无偏离、负偏离三种情况描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600" w:firstLineChars="25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2、表内如果填列不全，可另外附页说明并按规定签字和加盖公章。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00" w:firstLineChars="250"/>
        <w:jc w:val="both"/>
        <w:outlineLvl w:val="9"/>
        <w:rPr>
          <w:rFonts w:hint="eastAsia" w:ascii="宋体" w:hAnsi="宋体" w:eastAsia="宋体" w:cs="宋体"/>
          <w:caps w:val="0"/>
          <w:color w:val="000000" w:themeColor="text1"/>
          <w:sz w:val="21"/>
          <w:szCs w:val="21"/>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3、此表可根据需要自行拉长加宽（或格式自拟）。</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5"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8"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511"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2"/>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人全称 (公章)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468" w:lineRule="exact"/>
        <w:ind w:left="51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position w:val="17"/>
          <w:sz w:val="24"/>
          <w:szCs w:val="24"/>
          <w:highlight w:val="none"/>
          <w:vertAlign w:val="baseline"/>
          <w:lang w:val="en-US" w:eastAsia="zh-CN" w:bidi="ar"/>
          <w14:textFill>
            <w14:solidFill>
              <w14:schemeClr w14:val="tx1"/>
            </w14:solidFill>
          </w14:textFill>
        </w:rPr>
        <w:t>单</w:t>
      </w:r>
      <w:r>
        <w:rPr>
          <w:rFonts w:hint="eastAsia" w:ascii="宋体" w:hAnsi="宋体" w:eastAsia="宋体" w:cs="宋体"/>
          <w:b w:val="0"/>
          <w:bCs w:val="0"/>
          <w:caps w:val="0"/>
          <w:color w:val="000000" w:themeColor="text1"/>
          <w:spacing w:val="13"/>
          <w:kern w:val="0"/>
          <w:position w:val="17"/>
          <w:sz w:val="24"/>
          <w:szCs w:val="24"/>
          <w:highlight w:val="none"/>
          <w:vertAlign w:val="baseline"/>
          <w:lang w:val="en-US" w:eastAsia="zh-CN" w:bidi="ar"/>
          <w14:textFill>
            <w14:solidFill>
              <w14:schemeClr w14:val="tx1"/>
            </w14:solidFill>
          </w14:textFill>
        </w:rPr>
        <w:t>位</w:t>
      </w:r>
      <w:r>
        <w:rPr>
          <w:rFonts w:hint="eastAsia" w:ascii="宋体" w:hAnsi="宋体" w:eastAsia="宋体" w:cs="宋体"/>
          <w:b w:val="0"/>
          <w:bCs w:val="0"/>
          <w:caps w:val="0"/>
          <w:color w:val="000000" w:themeColor="text1"/>
          <w:spacing w:val="7"/>
          <w:kern w:val="0"/>
          <w:position w:val="17"/>
          <w:sz w:val="24"/>
          <w:szCs w:val="24"/>
          <w:highlight w:val="none"/>
          <w:vertAlign w:val="baseline"/>
          <w:lang w:val="en-US" w:eastAsia="zh-CN" w:bidi="ar"/>
          <w14:textFill>
            <w14:solidFill>
              <w14:schemeClr w14:val="tx1"/>
            </w14:solidFill>
          </w14:textFill>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519" w:right="0" w:firstLine="0"/>
        <w:jc w:val="left"/>
        <w:textAlignment w:val="baseline"/>
        <w:outlineLvl w:val="9"/>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时</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间：年月日</w:t>
      </w:r>
    </w:p>
    <w:p>
      <w:pP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八、商务条款偏离表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9"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right="0"/>
        <w:jc w:val="left"/>
        <w:textAlignment w:val="baseline"/>
        <w:outlineLvl w:val="9"/>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pPr>
      <w:bookmarkStart w:id="45" w:name="_Toc17129"/>
      <w:bookmarkStart w:id="46" w:name="_Toc20430"/>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项目名称</w:t>
      </w:r>
      <w:r>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t xml:space="preserve">：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right="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t>项目编号：</w:t>
      </w:r>
      <w:bookmarkEnd w:id="45"/>
      <w:bookmarkEnd w:id="46"/>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47" w:lineRule="exact"/>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bl>
      <w:tblPr>
        <w:tblStyle w:val="25"/>
        <w:tblW w:w="4999" w:type="pct"/>
        <w:tblInd w:w="0" w:type="dxa"/>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1"/>
        <w:gridCol w:w="2737"/>
        <w:gridCol w:w="2727"/>
        <w:gridCol w:w="1177"/>
        <w:gridCol w:w="698"/>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742" w:hRule="atLeast"/>
        </w:trPr>
        <w:tc>
          <w:tcPr>
            <w:tcW w:w="584"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296"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47" w:name="_Toc16104"/>
            <w:bookmarkStart w:id="48" w:name="_Toc5691"/>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序</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号</w:t>
            </w:r>
            <w:bookmarkEnd w:id="47"/>
            <w:bookmarkEnd w:id="48"/>
          </w:p>
        </w:tc>
        <w:tc>
          <w:tcPr>
            <w:tcW w:w="1646"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79"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49" w:name="_Toc28640"/>
            <w:bookmarkStart w:id="50" w:name="_Toc1208"/>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招标文件规定的商务条款</w:t>
            </w:r>
            <w:bookmarkEnd w:id="49"/>
            <w:bookmarkEnd w:id="50"/>
          </w:p>
        </w:tc>
        <w:tc>
          <w:tcPr>
            <w:tcW w:w="164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76"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51" w:name="_Toc19153"/>
            <w:bookmarkStart w:id="52" w:name="_Toc17642"/>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投标文件对应的商务条</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款</w:t>
            </w:r>
            <w:bookmarkEnd w:id="51"/>
            <w:bookmarkEnd w:id="52"/>
          </w:p>
        </w:tc>
        <w:tc>
          <w:tcPr>
            <w:tcW w:w="708"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76"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53" w:name="_Toc8982"/>
            <w:bookmarkStart w:id="54" w:name="_Toc4904"/>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是</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否偏离</w:t>
            </w:r>
            <w:bookmarkEnd w:id="53"/>
            <w:bookmarkEnd w:id="54"/>
          </w:p>
        </w:tc>
        <w:tc>
          <w:tcPr>
            <w:tcW w:w="42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51" w:right="0" w:firstLine="0"/>
              <w:jc w:val="left"/>
              <w:textAlignment w:val="baseline"/>
              <w:outlineLvl w:val="0"/>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55" w:name="_Toc10378"/>
            <w:bookmarkStart w:id="56" w:name="_Toc1800"/>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备</w:t>
            </w: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注</w:t>
            </w:r>
            <w:bookmarkEnd w:id="55"/>
            <w:bookmarkEnd w:id="56"/>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trPr>
        <w:tc>
          <w:tcPr>
            <w:tcW w:w="584"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646" w:type="pct"/>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60" w:lineRule="auto"/>
              <w:ind w:left="0" w:right="0" w:firstLine="0"/>
              <w:jc w:val="center"/>
              <w:textAlignment w:val="baseline"/>
              <w:outlineLvl w:val="9"/>
              <w:rPr>
                <w:rFonts w:hint="eastAsia" w:ascii="宋体" w:hAnsi="宋体" w:eastAsia="宋体" w:cs="宋体"/>
                <w:bCs/>
                <w:caps w:val="0"/>
                <w:color w:val="000000" w:themeColor="text1"/>
                <w:kern w:val="0"/>
                <w:sz w:val="24"/>
                <w:szCs w:val="24"/>
                <w:highlight w:val="none"/>
                <w:vertAlign w:val="baseline"/>
                <w14:textFill>
                  <w14:solidFill>
                    <w14:schemeClr w14:val="tx1"/>
                  </w14:solidFill>
                </w14:textFill>
              </w:rPr>
            </w:pPr>
          </w:p>
        </w:tc>
        <w:tc>
          <w:tcPr>
            <w:tcW w:w="164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708"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42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trPr>
        <w:tc>
          <w:tcPr>
            <w:tcW w:w="584"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646" w:type="pct"/>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60" w:lineRule="auto"/>
              <w:ind w:left="0" w:right="0" w:firstLine="0"/>
              <w:jc w:val="center"/>
              <w:textAlignment w:val="baseline"/>
              <w:outlineLvl w:val="9"/>
              <w:rPr>
                <w:rFonts w:hint="eastAsia" w:ascii="宋体" w:hAnsi="宋体" w:eastAsia="宋体" w:cs="宋体"/>
                <w:bCs/>
                <w:caps w:val="0"/>
                <w:color w:val="000000" w:themeColor="text1"/>
                <w:kern w:val="0"/>
                <w:sz w:val="24"/>
                <w:szCs w:val="24"/>
                <w:highlight w:val="none"/>
                <w:vertAlign w:val="baseline"/>
                <w14:textFill>
                  <w14:solidFill>
                    <w14:schemeClr w14:val="tx1"/>
                  </w14:solidFill>
                </w14:textFill>
              </w:rPr>
            </w:pPr>
          </w:p>
        </w:tc>
        <w:tc>
          <w:tcPr>
            <w:tcW w:w="164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708"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42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27" w:hRule="atLeast"/>
        </w:trPr>
        <w:tc>
          <w:tcPr>
            <w:tcW w:w="584"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1646" w:type="pct"/>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60" w:lineRule="auto"/>
              <w:ind w:left="0" w:right="0" w:firstLine="0"/>
              <w:jc w:val="center"/>
              <w:textAlignment w:val="baseline"/>
              <w:outlineLvl w:val="9"/>
              <w:rPr>
                <w:rFonts w:hint="eastAsia" w:ascii="宋体" w:hAnsi="宋体" w:eastAsia="宋体" w:cs="宋体"/>
                <w:bCs/>
                <w:caps w:val="0"/>
                <w:color w:val="000000" w:themeColor="text1"/>
                <w:kern w:val="0"/>
                <w:sz w:val="24"/>
                <w:szCs w:val="24"/>
                <w:highlight w:val="none"/>
                <w:vertAlign w:val="baseline"/>
                <w14:textFill>
                  <w14:solidFill>
                    <w14:schemeClr w14:val="tx1"/>
                  </w14:solidFill>
                </w14:textFill>
              </w:rPr>
            </w:pPr>
          </w:p>
        </w:tc>
        <w:tc>
          <w:tcPr>
            <w:tcW w:w="164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708"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c>
          <w:tcPr>
            <w:tcW w:w="420" w:type="pct"/>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3"/>
          <w:kern w:val="0"/>
          <w:sz w:val="24"/>
          <w:szCs w:val="24"/>
          <w:highlight w:val="none"/>
          <w:vertAlign w:val="baseline"/>
          <w:lang w:val="en-US" w:eastAsia="zh-CN" w:bidi="ar"/>
          <w14:textFill>
            <w14:solidFill>
              <w14:schemeClr w14:val="tx1"/>
            </w14:solidFill>
          </w14:textFill>
        </w:rPr>
        <w:t>说</w:t>
      </w: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1、 供应商应对照招标文件商务要求，逐条说明已对招标文件的商务内容做出了实质性的响应，并申明与招标文件的偏差和例外。投标人应在“偏离情况”栏中，说明投标货物与招标货物的偏离情况，分正偏离、无偏离、负偏离三种情况描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2、商务条款主要填列付款方式、合同履行期限 、服务地点、售后服务、服务质量保证、违约责任等重要条款方面的偏离情况。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3、“投标服务商务条款偏离表”是评审的重要依据，无论所提供的服务与竞争性投标文件的要求是否有偏离，供应商均须详细填报“商务条款偏离表”。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000000" w:themeColor="text1"/>
          <w:kern w:val="2"/>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 xml:space="preserve">4、表内如果填列不全，可另外附页说明并按规定签字和加盖公章。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57" w:beforeAutospacing="0" w:after="0" w:afterAutospacing="0" w:line="311" w:lineRule="exact"/>
        <w:ind w:left="477"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bookmarkStart w:id="57" w:name="_Toc4006"/>
      <w:bookmarkStart w:id="58" w:name="_Toc28547"/>
      <w:r>
        <w:rPr>
          <w:rFonts w:hint="eastAsia" w:ascii="宋体" w:hAnsi="宋体" w:eastAsia="宋体" w:cs="宋体"/>
          <w:b w:val="0"/>
          <w:bCs w:val="0"/>
          <w:caps w:val="0"/>
          <w:color w:val="000000" w:themeColor="text1"/>
          <w:kern w:val="2"/>
          <w:sz w:val="24"/>
          <w:szCs w:val="24"/>
          <w:highlight w:val="none"/>
          <w:vertAlign w:val="baseline"/>
          <w:lang w:val="en-US" w:eastAsia="zh-CN" w:bidi="ar"/>
          <w14:textFill>
            <w14:solidFill>
              <w14:schemeClr w14:val="tx1"/>
            </w14:solidFill>
          </w14:textFill>
        </w:rPr>
        <w:t>5、此表可根据需要自行拉长加宽。</w:t>
      </w:r>
      <w:bookmarkEnd w:id="57"/>
      <w:bookmarkEnd w:id="58"/>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71"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48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2"/>
          <w:kern w:val="0"/>
          <w:sz w:val="24"/>
          <w:szCs w:val="24"/>
          <w:highlight w:val="none"/>
          <w:vertAlign w:val="baseline"/>
          <w:lang w:val="en-US" w:eastAsia="zh-CN" w:bidi="ar"/>
          <w14:textFill>
            <w14:solidFill>
              <w14:schemeClr w14:val="tx1"/>
            </w14:solidFill>
          </w14:textFill>
        </w:rPr>
        <w:t>投</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标</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人全称 (公章)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5" w:beforeAutospacing="0" w:after="0" w:afterAutospacing="0" w:line="466" w:lineRule="exact"/>
        <w:ind w:left="48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position w:val="17"/>
          <w:sz w:val="24"/>
          <w:szCs w:val="24"/>
          <w:highlight w:val="none"/>
          <w:vertAlign w:val="baseline"/>
          <w:lang w:val="en-US" w:eastAsia="zh-CN" w:bidi="ar"/>
          <w14:textFill>
            <w14:solidFill>
              <w14:schemeClr w14:val="tx1"/>
            </w14:solidFill>
          </w14:textFill>
        </w:rPr>
        <w:t>单</w:t>
      </w:r>
      <w:r>
        <w:rPr>
          <w:rFonts w:hint="eastAsia" w:ascii="宋体" w:hAnsi="宋体" w:eastAsia="宋体" w:cs="宋体"/>
          <w:b w:val="0"/>
          <w:bCs w:val="0"/>
          <w:caps w:val="0"/>
          <w:color w:val="000000" w:themeColor="text1"/>
          <w:spacing w:val="13"/>
          <w:kern w:val="0"/>
          <w:position w:val="17"/>
          <w:sz w:val="24"/>
          <w:szCs w:val="24"/>
          <w:highlight w:val="none"/>
          <w:vertAlign w:val="baseline"/>
          <w:lang w:val="en-US" w:eastAsia="zh-CN" w:bidi="ar"/>
          <w14:textFill>
            <w14:solidFill>
              <w14:schemeClr w14:val="tx1"/>
            </w14:solidFill>
          </w14:textFill>
        </w:rPr>
        <w:t>位</w:t>
      </w:r>
      <w:r>
        <w:rPr>
          <w:rFonts w:hint="eastAsia" w:ascii="宋体" w:hAnsi="宋体" w:eastAsia="宋体" w:cs="宋体"/>
          <w:b w:val="0"/>
          <w:bCs w:val="0"/>
          <w:caps w:val="0"/>
          <w:color w:val="000000" w:themeColor="text1"/>
          <w:spacing w:val="7"/>
          <w:kern w:val="0"/>
          <w:position w:val="17"/>
          <w:sz w:val="24"/>
          <w:szCs w:val="24"/>
          <w:highlight w:val="none"/>
          <w:vertAlign w:val="baseline"/>
          <w:lang w:val="en-US" w:eastAsia="zh-CN" w:bidi="ar"/>
          <w14:textFill>
            <w14:solidFill>
              <w14:schemeClr w14:val="tx1"/>
            </w14:solidFill>
          </w14:textFill>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489"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时</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间：年月日</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九、技术部分内容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供应商应按照招标文件要求，根据“技术需求”内容作出全面响应。编制和提交的内容应包括但不限于以下各项。对必须满足的内容，必须完全满足。对响应有差异的，则说明差异的内容。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（一） 投标货物说明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供应商必须对应本次招标货物的技术要求，提交投标拟提供的各投标货物的（包括但不限于）以下内容：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1.1投标货物的结构特点、性能、功能或特性的说明。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（二）技术服务方案等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（三）进度计划</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本项目总进度计划响应：供应商应根据项目计划的要求，对应投标的实际情况，提交具体的响应，差异时作出说明。供应商应根据总体计划的要求，参照以下表格，提交各阶段的进度计划。</w:t>
      </w:r>
    </w:p>
    <w:tbl>
      <w:tblPr>
        <w:tblStyle w:val="25"/>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608"/>
        <w:gridCol w:w="1363"/>
        <w:gridCol w:w="1363"/>
        <w:gridCol w:w="1363"/>
        <w:gridCol w:w="1666"/>
        <w:gridCol w:w="158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51"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项目货物名称</w:t>
            </w: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货到现场</w:t>
            </w: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安装调试</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开始</w:t>
            </w: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检验</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验收</w:t>
            </w: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投入使用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供应商（法人公章）：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授权代表（签名或盖章）：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日        期：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十、资格审查资料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（一）供应商情况表</w:t>
      </w:r>
    </w:p>
    <w:tbl>
      <w:tblPr>
        <w:tblStyle w:val="25"/>
        <w:tblW w:w="910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988"/>
        <w:gridCol w:w="1503"/>
        <w:gridCol w:w="2018"/>
        <w:gridCol w:w="259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82"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法定代表人</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成立日期</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73"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企业地址</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注册资本</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63"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经营范围</w:t>
            </w:r>
          </w:p>
        </w:tc>
        <w:tc>
          <w:tcPr>
            <w:tcW w:w="612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职工人数</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其中：中高级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以上职称的人数</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97"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资产总计</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万元</w:t>
            </w: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净资产</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股东权益</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万元</w:t>
            </w: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收入</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1400" w:firstLineChars="50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17"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实现利润</w:t>
            </w:r>
          </w:p>
        </w:tc>
        <w:tc>
          <w:tcPr>
            <w:tcW w:w="612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20 年     万元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20 年     万元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20 年     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318"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营业面积</w:t>
            </w:r>
          </w:p>
        </w:tc>
        <w:tc>
          <w:tcPr>
            <w:tcW w:w="15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平方米</w:t>
            </w:r>
          </w:p>
        </w:tc>
        <w:tc>
          <w:tcPr>
            <w:tcW w:w="20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其中：</w:t>
            </w:r>
          </w:p>
        </w:tc>
        <w:tc>
          <w:tcPr>
            <w:tcW w:w="25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自有面积   平方米</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承租面积   平方米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120"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单位简历及内设机构及生产设备情况</w:t>
            </w:r>
          </w:p>
        </w:tc>
        <w:tc>
          <w:tcPr>
            <w:tcW w:w="612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（代理经销商不需填写生产设备情况）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851" w:hRule="atLeast"/>
          <w:jc w:val="center"/>
        </w:trPr>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其他需要说明的情况</w:t>
            </w:r>
          </w:p>
        </w:tc>
        <w:tc>
          <w:tcPr>
            <w:tcW w:w="6120"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注：如填写不真实，将导致废标；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numPr>
          <w:ilvl w:val="0"/>
          <w:numId w:val="5"/>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信誉承诺书</w:t>
      </w: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Chars="0" w:right="0" w:rightChars="0"/>
        <w:jc w:val="center"/>
        <w:outlineLvl w:val="9"/>
        <w:rPr>
          <w:rFonts w:hint="eastAsia" w:ascii="宋体" w:hAnsi="宋体" w:eastAsia="宋体" w:cs="宋体"/>
          <w:b/>
          <w:bCs/>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有关提交资料的承诺书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为表我司对本项目的诚意，我司承诺如我单位中标：我单位将配合采购人要求提供投标文件中提及的所有资料（如：业绩等）及资格审查文件中要求的资料（如营业执照等）等原件供采购人核实审查，我公司无企业不良行为记录，不是政府取消投标资格记录期间的企业。能够自觉遵守国家法律法规、执业准则和职业道德，近三年内没有因违法违规受过行政主管部门和行业协会的行政处罚。不是被列入失信被执行人，重大税收违法案件当事人名单、政府采购严重违法失信行为记录名单的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如发现提供的资料虚假资料的，采购人有权取消我司中标资格，没收投标保证金，由此对采购人造成的一切损失由我司承担。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eastAsia="zh-CN"/>
          <w14:textFill>
            <w14:solidFill>
              <w14:schemeClr w14:val="tx1"/>
            </w14:solidFill>
          </w14:textFill>
        </w:rPr>
      </w:pPr>
    </w:p>
    <w:p>
      <w:pPr>
        <w:rPr>
          <w:rFonts w:hint="eastAsia" w:ascii="宋体" w:hAnsi="宋体" w:eastAsia="宋体" w:cs="宋体"/>
          <w:color w:val="000000" w:themeColor="text1"/>
          <w:highlight w:val="none"/>
          <w:lang w:eastAsia="zh-CN"/>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投标单位：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法人代表或授权委托人（签字或盖章）：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                             日期：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Chars="0" w:right="0" w:rightChars="0"/>
        <w:jc w:val="center"/>
        <w:outlineLvl w:val="9"/>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28"/>
          <w:szCs w:val="28"/>
          <w:highlight w:val="none"/>
          <w:vertAlign w:val="baseline"/>
          <w:lang w:val="en-US" w:eastAsia="zh-CN" w:bidi="ar"/>
          <w14:textFill>
            <w14:solidFill>
              <w14:schemeClr w14:val="tx1"/>
            </w14:solidFill>
          </w14:textFill>
        </w:rPr>
        <w:t>有关相应技术需求承诺书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我司承诺我单位编制的投标文件必须严格响应技术需求中的技术参数、功能等要求，如经采购人或评标专家发现投标文件没有完全响应招标文件及技术需求要求的，评委可对我单位的投标文件作废标处理。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投标单位：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法人代表或授权委托人（签字或盖章）：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                         日期：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（九）类似项目经验（汇总表）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附表1-1</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投标人名称：                           </w:t>
      </w:r>
    </w:p>
    <w:tbl>
      <w:tblPr>
        <w:tblStyle w:val="25"/>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301"/>
        <w:gridCol w:w="764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序号</w:t>
            </w: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项目名称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c>
          <w:tcPr>
            <w:tcW w:w="76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注：在本汇总表中所填列的项目须另外单独填写附表1-2，并按要求附相关的业绩证明资料。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附表1-2  类似项目经验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 xml:space="preserve">投标人名称：                           </w:t>
      </w:r>
    </w:p>
    <w:tbl>
      <w:tblPr>
        <w:tblStyle w:val="25"/>
        <w:tblW w:w="8946"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109"/>
        <w:gridCol w:w="3742"/>
        <w:gridCol w:w="409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40"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序号</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条款</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24" w:hRule="atLeast"/>
        </w:trPr>
        <w:tc>
          <w:tcPr>
            <w:tcW w:w="11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1</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合同号</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24" w:hRule="atLeast"/>
        </w:trPr>
        <w:tc>
          <w:tcPr>
            <w:tcW w:w="110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合同名称</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24" w:hRule="atLeast"/>
        </w:trPr>
        <w:tc>
          <w:tcPr>
            <w:tcW w:w="110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项目地址</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24"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2</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业主名称</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53"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3</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业主负责人姓名及联系电话</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30"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4</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与投标申请人所申请的合同相类似的性质和特点</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30"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5</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合同身份（注明其中之一）</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□独立承包人  □分包人 □联合体成员</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24"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6</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合同总价</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24"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7</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合同授予时间</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24"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8</w:t>
            </w:r>
          </w:p>
        </w:tc>
        <w:tc>
          <w:tcPr>
            <w:tcW w:w="3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完成时间</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注：1.如供应商提供了虚假的证明材料，一经查实，除没收投标保证金外，还将依法追究相应的责任；若在中标之后查出有虚假，还应取消供应商的中标资格。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t>（三）供应商资格证明文件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lang w:eastAsia="zh-CN"/>
          <w14:textFill>
            <w14:solidFill>
              <w14:schemeClr w14:val="tx1"/>
            </w14:solidFill>
          </w14:textFill>
        </w:rPr>
      </w:pPr>
      <w:r>
        <w:rPr>
          <w:rFonts w:hint="eastAsia" w:ascii="宋体" w:hAnsi="宋体" w:eastAsia="宋体" w:cs="宋体"/>
          <w:caps w:val="0"/>
          <w:color w:val="000000" w:themeColor="text1"/>
          <w:kern w:val="2"/>
          <w:sz w:val="28"/>
          <w:szCs w:val="28"/>
          <w:highlight w:val="none"/>
          <w:vertAlign w:val="baseline"/>
          <w:lang w:eastAsia="zh-CN"/>
          <w14:textFill>
            <w14:solidFill>
              <w14:schemeClr w14:val="tx1"/>
            </w14:solidFill>
          </w14:textFill>
        </w:rPr>
        <w:t>招标文件要求提交的其他证明文件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000000" w:themeColor="text1"/>
          <w:kern w:val="2"/>
          <w:sz w:val="28"/>
          <w:szCs w:val="28"/>
          <w:highlight w:val="none"/>
          <w:vertAlign w:val="baseline"/>
          <w14:textFill>
            <w14:solidFill>
              <w14:schemeClr w14:val="tx1"/>
            </w14:solidFill>
          </w14:textFill>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kern w:val="2"/>
          <w:sz w:val="28"/>
          <w:szCs w:val="28"/>
          <w:highlight w:val="none"/>
          <w:vertAlign w:val="baseline"/>
          <w:lang w:val="en-US" w:eastAsia="zh-CN" w:bidi="ar"/>
          <w14:textFill>
            <w14:solidFill>
              <w14:schemeClr w14:val="tx1"/>
            </w14:solidFill>
          </w14:textFill>
        </w:rPr>
        <w:br w:type="page"/>
      </w: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十一、其它</w:t>
      </w:r>
    </w:p>
    <w:p>
      <w:pPr>
        <w:snapToGrid/>
        <w:spacing w:before="0" w:beforeAutospacing="0" w:after="0" w:afterAutospacing="0" w:line="240" w:lineRule="auto"/>
        <w:jc w:val="both"/>
        <w:textAlignment w:val="baseline"/>
        <w:rPr>
          <w:rFonts w:hint="eastAsia" w:ascii="宋体" w:hAnsi="宋体" w:eastAsia="宋体" w:cs="宋体"/>
          <w:b/>
          <w:bCs/>
          <w:i w:val="0"/>
          <w:caps w:val="0"/>
          <w:color w:val="000000" w:themeColor="text1"/>
          <w:spacing w:val="0"/>
          <w:w w:val="100"/>
          <w:sz w:val="32"/>
          <w:szCs w:val="32"/>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附件1中小企业声明函</w:t>
      </w:r>
    </w:p>
    <w:p>
      <w:pPr>
        <w:numPr>
          <w:ilvl w:val="0"/>
          <w:numId w:val="0"/>
        </w:numPr>
        <w:rPr>
          <w:rFonts w:hint="eastAsia" w:ascii="宋体" w:hAnsi="宋体" w:eastAsia="宋体" w:cs="宋体"/>
          <w:color w:val="000000" w:themeColor="text1"/>
          <w:highlight w:val="none"/>
          <w:lang w:val="en-US" w:eastAsia="zh-CN"/>
          <w14:textFill>
            <w14:solidFill>
              <w14:schemeClr w14:val="tx1"/>
            </w14:solidFill>
          </w14:textFill>
        </w:rPr>
      </w:pPr>
    </w:p>
    <w:p>
      <w:pPr>
        <w:snapToGrid/>
        <w:spacing w:before="0" w:beforeAutospacing="0" w:after="0" w:afterAutospacing="0" w:line="240" w:lineRule="auto"/>
        <w:jc w:val="center"/>
        <w:textAlignment w:val="baseline"/>
        <w:rPr>
          <w:rFonts w:hint="eastAsia" w:ascii="宋体" w:hAnsi="宋体" w:eastAsia="宋体" w:cs="宋体"/>
          <w:b/>
          <w:bCs/>
          <w:i w:val="0"/>
          <w:caps w:val="0"/>
          <w:color w:val="000000" w:themeColor="text1"/>
          <w:spacing w:val="0"/>
          <w:w w:val="100"/>
          <w:sz w:val="32"/>
          <w:szCs w:val="32"/>
          <w:highlight w:val="none"/>
          <w:lang w:eastAsia="zh-CN"/>
          <w14:textFill>
            <w14:solidFill>
              <w14:schemeClr w14:val="tx1"/>
            </w14:solidFill>
          </w14:textFill>
        </w:rPr>
      </w:pPr>
      <w:r>
        <w:rPr>
          <w:rFonts w:hint="eastAsia" w:ascii="宋体" w:hAnsi="宋体" w:eastAsia="宋体" w:cs="宋体"/>
          <w:b/>
          <w:bCs/>
          <w:i w:val="0"/>
          <w:caps w:val="0"/>
          <w:color w:val="000000" w:themeColor="text1"/>
          <w:spacing w:val="0"/>
          <w:w w:val="100"/>
          <w:sz w:val="32"/>
          <w:szCs w:val="32"/>
          <w:highlight w:val="none"/>
          <w:lang w:eastAsia="zh-CN"/>
          <w14:textFill>
            <w14:solidFill>
              <w14:schemeClr w14:val="tx1"/>
            </w14:solidFill>
          </w14:textFill>
        </w:rPr>
        <w:t>中小企业声明函</w:t>
      </w:r>
    </w:p>
    <w:p>
      <w:pPr>
        <w:pStyle w:val="11"/>
        <w:snapToGrid/>
        <w:spacing w:before="0" w:beforeAutospacing="0" w:after="120" w:afterAutospacing="0" w:line="360" w:lineRule="auto"/>
        <w:ind w:left="0" w:right="0" w:firstLine="420" w:firstLineChars="200"/>
        <w:jc w:val="both"/>
        <w:textAlignment w:val="baseline"/>
        <w:rPr>
          <w:rFonts w:hint="eastAsia" w:ascii="宋体" w:hAnsi="宋体" w:eastAsia="宋体" w:cs="宋体"/>
          <w:b w:val="0"/>
          <w:i w:val="0"/>
          <w:caps w:val="0"/>
          <w:color w:val="000000" w:themeColor="text1"/>
          <w:spacing w:val="0"/>
          <w:w w:val="100"/>
          <w:sz w:val="21"/>
          <w:highlight w:val="no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4" w:beforeAutospacing="0" w:after="0" w:afterAutospacing="0" w:line="240" w:lineRule="auto"/>
        <w:ind w:left="481"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本公司 (联合体) 郑重声明，根据《政府采购促进中小企业发展管理办法》 (财</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库</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6" w:beforeAutospacing="0" w:after="0" w:afterAutospacing="0" w:line="372" w:lineRule="auto"/>
        <w:ind w:left="1" w:right="56" w:firstLine="74"/>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 2020 ﹞ 46 号) 的规定，本公司 (联合体) 参加 (单位名称) 的 (项目名称) 采购活动，</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2"/>
          <w:kern w:val="0"/>
          <w:sz w:val="24"/>
          <w:szCs w:val="24"/>
          <w:highlight w:val="none"/>
          <w:vertAlign w:val="baseline"/>
          <w:lang w:val="en-US" w:eastAsia="zh-CN" w:bidi="ar"/>
          <w14:textFill>
            <w14:solidFill>
              <w14:schemeClr w14:val="tx1"/>
            </w14:solidFill>
          </w14:textFill>
        </w:rPr>
        <w:t>提供的</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货</w:t>
      </w: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物全部由符合政策要求的中小企业制造。相关企业 (含联合体中的中小企业、签</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6"/>
          <w:kern w:val="0"/>
          <w:sz w:val="24"/>
          <w:szCs w:val="24"/>
          <w:highlight w:val="none"/>
          <w:vertAlign w:val="baseline"/>
          <w:lang w:val="en-US" w:eastAsia="zh-CN" w:bidi="ar"/>
          <w14:textFill>
            <w14:solidFill>
              <w14:schemeClr w14:val="tx1"/>
            </w14:solidFill>
          </w14:textFill>
        </w:rPr>
        <w:t>订</w:t>
      </w:r>
      <w:r>
        <w:rPr>
          <w:rFonts w:hint="eastAsia" w:ascii="宋体" w:hAnsi="宋体" w:eastAsia="宋体" w:cs="宋体"/>
          <w:b w:val="0"/>
          <w:bCs w:val="0"/>
          <w:caps w:val="0"/>
          <w:color w:val="000000" w:themeColor="text1"/>
          <w:spacing w:val="13"/>
          <w:kern w:val="0"/>
          <w:sz w:val="24"/>
          <w:szCs w:val="24"/>
          <w:highlight w:val="none"/>
          <w:vertAlign w:val="baseline"/>
          <w:lang w:val="en-US" w:eastAsia="zh-CN" w:bidi="ar"/>
          <w14:textFill>
            <w14:solidFill>
              <w14:schemeClr w14:val="tx1"/>
            </w14:solidFill>
          </w14:textFill>
        </w:rPr>
        <w:t>分</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包意向协议的中小企业) 的具体情况如下：</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 w:beforeAutospacing="0" w:after="0" w:afterAutospacing="0" w:line="324" w:lineRule="auto"/>
        <w:ind w:left="0" w:right="119" w:firstLine="18"/>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 xml:space="preserve">1. </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(标</w:t>
      </w:r>
      <w:r>
        <w:rPr>
          <w:rFonts w:hint="eastAsia" w:ascii="宋体" w:hAnsi="宋体" w:eastAsia="宋体" w:cs="宋体"/>
          <w:b w:val="0"/>
          <w:bCs w:val="0"/>
          <w:caps w:val="0"/>
          <w:color w:val="000000" w:themeColor="text1"/>
          <w:spacing w:val="6"/>
          <w:kern w:val="0"/>
          <w:sz w:val="24"/>
          <w:szCs w:val="24"/>
          <w:highlight w:val="none"/>
          <w:u w:val="single"/>
          <w:vertAlign w:val="baseline"/>
          <w:lang w:val="en-US" w:eastAsia="zh-CN" w:bidi="ar"/>
          <w14:textFill>
            <w14:solidFill>
              <w14:schemeClr w14:val="tx1"/>
            </w14:solidFill>
          </w14:textFill>
        </w:rPr>
        <w:t>的</w:t>
      </w:r>
      <w:r>
        <w:rPr>
          <w:rFonts w:hint="eastAsia" w:ascii="宋体" w:hAnsi="宋体" w:eastAsia="宋体" w:cs="宋体"/>
          <w:b w:val="0"/>
          <w:bCs w:val="0"/>
          <w:caps w:val="0"/>
          <w:color w:val="000000" w:themeColor="text1"/>
          <w:spacing w:val="4"/>
          <w:kern w:val="0"/>
          <w:sz w:val="24"/>
          <w:szCs w:val="24"/>
          <w:highlight w:val="none"/>
          <w:u w:val="single"/>
          <w:vertAlign w:val="baseline"/>
          <w:lang w:val="en-US" w:eastAsia="zh-CN" w:bidi="ar"/>
          <w14:textFill>
            <w14:solidFill>
              <w14:schemeClr w14:val="tx1"/>
            </w14:solidFill>
          </w14:textFill>
        </w:rPr>
        <w:t xml:space="preserve">名称) </w:t>
      </w: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，属于</w:t>
      </w:r>
      <w:r>
        <w:rPr>
          <w:rFonts w:hint="eastAsia" w:ascii="宋体" w:hAnsi="宋体" w:eastAsia="宋体" w:cs="宋体"/>
          <w:b w:val="0"/>
          <w:bCs w:val="0"/>
          <w:caps w:val="0"/>
          <w:color w:val="000000" w:themeColor="text1"/>
          <w:spacing w:val="4"/>
          <w:kern w:val="0"/>
          <w:sz w:val="24"/>
          <w:szCs w:val="24"/>
          <w:highlight w:val="none"/>
          <w:u w:val="single"/>
          <w:vertAlign w:val="baseline"/>
          <w:lang w:val="en-US" w:eastAsia="zh-CN" w:bidi="ar"/>
          <w14:textFill>
            <w14:solidFill>
              <w14:schemeClr w14:val="tx1"/>
            </w14:solidFill>
          </w14:textFill>
        </w:rPr>
        <w:t xml:space="preserve">    (采购文件中明确的所属行业) </w:t>
      </w: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 xml:space="preserve">行业；制造商为 </w:t>
      </w:r>
      <w:r>
        <w:rPr>
          <w:rFonts w:hint="eastAsia" w:ascii="宋体" w:hAnsi="宋体" w:eastAsia="宋体" w:cs="宋体"/>
          <w:b w:val="0"/>
          <w:bCs w:val="0"/>
          <w:caps w:val="0"/>
          <w:color w:val="000000" w:themeColor="text1"/>
          <w:spacing w:val="4"/>
          <w:kern w:val="0"/>
          <w:sz w:val="24"/>
          <w:szCs w:val="24"/>
          <w:highlight w:val="none"/>
          <w:u w:val="single"/>
          <w:vertAlign w:val="baseline"/>
          <w:lang w:val="en-US" w:eastAsia="zh-CN" w:bidi="ar"/>
          <w14:textFill>
            <w14:solidFill>
              <w14:schemeClr w14:val="tx1"/>
            </w14:solidFill>
          </w14:textFill>
        </w:rPr>
        <w:t xml:space="preserve">  (企</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6"/>
          <w:kern w:val="0"/>
          <w:sz w:val="24"/>
          <w:szCs w:val="24"/>
          <w:highlight w:val="none"/>
          <w:u w:val="single"/>
          <w:vertAlign w:val="baseline"/>
          <w:lang w:val="en-US" w:eastAsia="zh-CN" w:bidi="ar"/>
          <w14:textFill>
            <w14:solidFill>
              <w14:schemeClr w14:val="tx1"/>
            </w14:solidFill>
          </w14:textFill>
        </w:rPr>
        <w:t>业</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名称) </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，从业人员</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人</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，营业收入为</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万元</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，资产总额为</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万元</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，属于</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(中型企</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业、小型企业、微型企业</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79" w:beforeAutospacing="0" w:after="0" w:afterAutospacing="0" w:line="326" w:lineRule="auto"/>
        <w:ind w:left="0" w:right="119" w:firstLine="3"/>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2</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5"/>
          <w:kern w:val="0"/>
          <w:sz w:val="24"/>
          <w:szCs w:val="24"/>
          <w:highlight w:val="none"/>
          <w:u w:val="single"/>
          <w:vertAlign w:val="baseline"/>
          <w:lang w:val="en-US" w:eastAsia="zh-CN" w:bidi="ar"/>
          <w14:textFill>
            <w14:solidFill>
              <w14:schemeClr w14:val="tx1"/>
            </w14:solidFill>
          </w14:textFill>
        </w:rPr>
        <w:t xml:space="preserve">   (标的名称) </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 xml:space="preserve">，属于 </w:t>
      </w:r>
      <w:r>
        <w:rPr>
          <w:rFonts w:hint="eastAsia" w:ascii="宋体" w:hAnsi="宋体" w:eastAsia="宋体" w:cs="宋体"/>
          <w:b w:val="0"/>
          <w:bCs w:val="0"/>
          <w:caps w:val="0"/>
          <w:color w:val="000000" w:themeColor="text1"/>
          <w:spacing w:val="5"/>
          <w:kern w:val="0"/>
          <w:sz w:val="24"/>
          <w:szCs w:val="24"/>
          <w:highlight w:val="none"/>
          <w:u w:val="single"/>
          <w:vertAlign w:val="baseline"/>
          <w:lang w:val="en-US" w:eastAsia="zh-CN" w:bidi="ar"/>
          <w14:textFill>
            <w14:solidFill>
              <w14:schemeClr w14:val="tx1"/>
            </w14:solidFill>
          </w14:textFill>
        </w:rPr>
        <w:t xml:space="preserve">     (采购文件中明确的所属行业) </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行业；制造商为</w:t>
      </w:r>
      <w:r>
        <w:rPr>
          <w:rFonts w:hint="eastAsia" w:ascii="宋体" w:hAnsi="宋体" w:eastAsia="宋体" w:cs="宋体"/>
          <w:b w:val="0"/>
          <w:bCs w:val="0"/>
          <w:caps w:val="0"/>
          <w:color w:val="000000" w:themeColor="text1"/>
          <w:spacing w:val="5"/>
          <w:kern w:val="0"/>
          <w:sz w:val="24"/>
          <w:szCs w:val="24"/>
          <w:highlight w:val="none"/>
          <w:u w:val="single"/>
          <w:vertAlign w:val="baseline"/>
          <w:lang w:val="en-US" w:eastAsia="zh-CN" w:bidi="ar"/>
          <w14:textFill>
            <w14:solidFill>
              <w14:schemeClr w14:val="tx1"/>
            </w14:solidFill>
          </w14:textFill>
        </w:rPr>
        <w:t xml:space="preserve">     (企</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业名称) </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，从业人员</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人</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，营业收入为</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万元</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 xml:space="preserve">，资产总额为 </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万元</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，属于</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    (中型</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0"/>
          <w:kern w:val="0"/>
          <w:sz w:val="24"/>
          <w:szCs w:val="24"/>
          <w:highlight w:val="none"/>
          <w:u w:val="single"/>
          <w:vertAlign w:val="baseline"/>
          <w:lang w:val="en-US" w:eastAsia="zh-CN" w:bidi="ar"/>
          <w14:textFill>
            <w14:solidFill>
              <w14:schemeClr w14:val="tx1"/>
            </w14:solidFill>
          </w14:textFill>
        </w:rPr>
        <w:t>企</w:t>
      </w:r>
      <w:r>
        <w:rPr>
          <w:rFonts w:hint="eastAsia" w:ascii="宋体" w:hAnsi="宋体" w:eastAsia="宋体" w:cs="宋体"/>
          <w:b w:val="0"/>
          <w:bCs w:val="0"/>
          <w:caps w:val="0"/>
          <w:color w:val="000000" w:themeColor="text1"/>
          <w:spacing w:val="8"/>
          <w:kern w:val="0"/>
          <w:sz w:val="24"/>
          <w:szCs w:val="24"/>
          <w:highlight w:val="none"/>
          <w:u w:val="single"/>
          <w:vertAlign w:val="baseline"/>
          <w:lang w:val="en-US" w:eastAsia="zh-CN" w:bidi="ar"/>
          <w14:textFill>
            <w14:solidFill>
              <w14:schemeClr w14:val="tx1"/>
            </w14:solidFill>
          </w14:textFill>
        </w:rPr>
        <w:t xml:space="preserve">业、小型企业、微型企业) </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79" w:beforeAutospacing="0" w:after="0" w:afterAutospacing="0" w:line="371" w:lineRule="exact"/>
        <w:ind w:left="3136"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5"/>
          <w:kern w:val="0"/>
          <w:position w:val="3"/>
          <w:sz w:val="24"/>
          <w:szCs w:val="24"/>
          <w:highlight w:val="none"/>
          <w:vertAlign w:val="baseline"/>
          <w:lang w:val="en-US" w:eastAsia="zh-CN" w:bidi="ar"/>
          <w14:textFill>
            <w14:solidFill>
              <w14:schemeClr w14:val="tx1"/>
            </w14:solidFill>
          </w14:textFill>
        </w:rPr>
        <w:t>……</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96" w:beforeAutospacing="0" w:after="0" w:afterAutospacing="0" w:line="372" w:lineRule="auto"/>
        <w:ind w:left="0" w:right="119" w:firstLine="28"/>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6"/>
          <w:kern w:val="0"/>
          <w:sz w:val="24"/>
          <w:szCs w:val="24"/>
          <w:highlight w:val="none"/>
          <w:vertAlign w:val="baseline"/>
          <w:lang w:val="en-US" w:eastAsia="zh-CN" w:bidi="ar"/>
          <w14:textFill>
            <w14:solidFill>
              <w14:schemeClr w14:val="tx1"/>
            </w14:solidFill>
          </w14:textFill>
        </w:rPr>
        <w:t>以上企业，不属于大企业的分支机构，不存在控股股东为大企业的情形，也不存在与大</w:t>
      </w:r>
      <w:r>
        <w:rPr>
          <w:rFonts w:hint="eastAsia" w:ascii="宋体" w:hAnsi="宋体" w:eastAsia="宋体" w:cs="宋体"/>
          <w:b w:val="0"/>
          <w:bCs w:val="0"/>
          <w:caps w:val="0"/>
          <w:color w:val="000000" w:themeColor="text1"/>
          <w:spacing w:val="5"/>
          <w:kern w:val="0"/>
          <w:sz w:val="24"/>
          <w:szCs w:val="24"/>
          <w:highlight w:val="none"/>
          <w:vertAlign w:val="baseline"/>
          <w:lang w:val="en-US" w:eastAsia="zh-CN" w:bidi="ar"/>
          <w14:textFill>
            <w14:solidFill>
              <w14:schemeClr w14:val="tx1"/>
            </w14:solidFill>
          </w14:textFill>
        </w:rPr>
        <w:t>企</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15"/>
          <w:kern w:val="0"/>
          <w:sz w:val="24"/>
          <w:szCs w:val="24"/>
          <w:highlight w:val="none"/>
          <w:vertAlign w:val="baseline"/>
          <w:lang w:val="en-US" w:eastAsia="zh-CN" w:bidi="ar"/>
          <w14:textFill>
            <w14:solidFill>
              <w14:schemeClr w14:val="tx1"/>
            </w14:solidFill>
          </w14:textFill>
        </w:rPr>
        <w:t>业</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的负责人为同一人的情形。</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 w:beforeAutospacing="0" w:after="0" w:afterAutospacing="0" w:line="240" w:lineRule="auto"/>
        <w:ind w:left="1"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8"/>
          <w:kern w:val="0"/>
          <w:sz w:val="24"/>
          <w:szCs w:val="24"/>
          <w:highlight w:val="none"/>
          <w:vertAlign w:val="baseline"/>
          <w:lang w:val="en-US" w:eastAsia="zh-CN" w:bidi="ar"/>
          <w14:textFill>
            <w14:solidFill>
              <w14:schemeClr w14:val="tx1"/>
            </w14:solidFill>
          </w14:textFill>
        </w:rPr>
        <w:t>本</w:t>
      </w:r>
      <w:r>
        <w:rPr>
          <w:rFonts w:hint="eastAsia" w:ascii="宋体" w:hAnsi="宋体" w:eastAsia="宋体" w:cs="宋体"/>
          <w:b w:val="0"/>
          <w:bCs w:val="0"/>
          <w:caps w:val="0"/>
          <w:color w:val="000000" w:themeColor="text1"/>
          <w:spacing w:val="11"/>
          <w:kern w:val="0"/>
          <w:sz w:val="24"/>
          <w:szCs w:val="24"/>
          <w:highlight w:val="none"/>
          <w:vertAlign w:val="baseline"/>
          <w:lang w:val="en-US" w:eastAsia="zh-CN" w:bidi="ar"/>
          <w14:textFill>
            <w14:solidFill>
              <w14:schemeClr w14:val="tx1"/>
            </w14:solidFill>
          </w14:textFill>
        </w:rPr>
        <w:t>企</w:t>
      </w:r>
      <w:r>
        <w:rPr>
          <w:rFonts w:hint="eastAsia" w:ascii="宋体" w:hAnsi="宋体" w:eastAsia="宋体" w:cs="宋体"/>
          <w:b w:val="0"/>
          <w:bCs w:val="0"/>
          <w:caps w:val="0"/>
          <w:color w:val="000000" w:themeColor="text1"/>
          <w:spacing w:val="9"/>
          <w:kern w:val="0"/>
          <w:sz w:val="24"/>
          <w:szCs w:val="24"/>
          <w:highlight w:val="none"/>
          <w:vertAlign w:val="baseline"/>
          <w:lang w:val="en-US" w:eastAsia="zh-CN" w:bidi="ar"/>
          <w14:textFill>
            <w14:solidFill>
              <w14:schemeClr w14:val="tx1"/>
            </w14:solidFill>
          </w14:textFill>
        </w:rPr>
        <w:t>业对上述声明内容的真实性负责。如有虚假，将依法承担相应责任。</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5"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5"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381" w:lineRule="auto"/>
        <w:ind w:left="5680" w:right="1620" w:hanging="37"/>
        <w:jc w:val="left"/>
        <w:textAlignment w:val="baseline"/>
        <w:outlineLvl w:val="9"/>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pPr>
      <w:r>
        <w:rPr>
          <w:rFonts w:hint="eastAsia" w:ascii="宋体" w:hAnsi="宋体" w:eastAsia="宋体" w:cs="宋体"/>
          <w:b w:val="0"/>
          <w:bCs w:val="0"/>
          <w:caps w:val="0"/>
          <w:color w:val="000000" w:themeColor="text1"/>
          <w:spacing w:val="2"/>
          <w:kern w:val="0"/>
          <w:sz w:val="24"/>
          <w:szCs w:val="24"/>
          <w:highlight w:val="none"/>
          <w:vertAlign w:val="baseline"/>
          <w:lang w:val="en-US" w:eastAsia="zh-CN" w:bidi="ar"/>
          <w14:textFill>
            <w14:solidFill>
              <w14:schemeClr w14:val="tx1"/>
            </w14:solidFill>
          </w14:textFill>
        </w:rPr>
        <w:t xml:space="preserve">企业名称 </w:t>
      </w:r>
      <w:r>
        <w:rPr>
          <w:rFonts w:hint="eastAsia" w:ascii="宋体" w:hAnsi="宋体" w:eastAsia="宋体" w:cs="宋体"/>
          <w:b w:val="0"/>
          <w:bCs w:val="0"/>
          <w:caps w:val="0"/>
          <w:color w:val="000000" w:themeColor="text1"/>
          <w:spacing w:val="1"/>
          <w:kern w:val="0"/>
          <w:sz w:val="24"/>
          <w:szCs w:val="24"/>
          <w:highlight w:val="none"/>
          <w:vertAlign w:val="baseline"/>
          <w:lang w:val="en-US" w:eastAsia="zh-CN" w:bidi="ar"/>
          <w14:textFill>
            <w14:solidFill>
              <w14:schemeClr w14:val="tx1"/>
            </w14:solidFill>
          </w14:textFill>
        </w:rPr>
        <w:t>(盖章) ：</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381" w:lineRule="auto"/>
        <w:ind w:left="5680" w:right="1620" w:hanging="37"/>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1"/>
          <w:kern w:val="0"/>
          <w:sz w:val="24"/>
          <w:szCs w:val="24"/>
          <w:highlight w:val="none"/>
          <w:vertAlign w:val="baseline"/>
          <w:lang w:val="en-US" w:eastAsia="zh-CN" w:bidi="ar"/>
          <w14:textFill>
            <w14:solidFill>
              <w14:schemeClr w14:val="tx1"/>
            </w14:solidFill>
          </w14:textFill>
        </w:rPr>
        <w:t>日</w:t>
      </w:r>
      <w:r>
        <w:rPr>
          <w:rFonts w:hint="eastAsia" w:ascii="宋体" w:hAnsi="宋体" w:eastAsia="宋体" w:cs="宋体"/>
          <w:b w:val="0"/>
          <w:bCs w:val="0"/>
          <w:caps w:val="0"/>
          <w:color w:val="000000" w:themeColor="text1"/>
          <w:spacing w:val="-10"/>
          <w:kern w:val="0"/>
          <w:sz w:val="24"/>
          <w:szCs w:val="24"/>
          <w:highlight w:val="none"/>
          <w:vertAlign w:val="baseline"/>
          <w:lang w:val="en-US" w:eastAsia="zh-CN" w:bidi="ar"/>
          <w14:textFill>
            <w14:solidFill>
              <w14:schemeClr w14:val="tx1"/>
            </w14:solidFill>
          </w14:textFill>
        </w:rPr>
        <w:t>期：</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0" w:right="0" w:firstLine="0"/>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297" w:lineRule="auto"/>
        <w:ind w:left="4" w:right="167" w:firstLine="13"/>
        <w:jc w:val="left"/>
        <w:textAlignment w:val="baseline"/>
        <w:outlineLvl w:val="9"/>
        <w:rPr>
          <w:rFonts w:hint="eastAsia" w:ascii="宋体" w:hAnsi="宋体" w:eastAsia="宋体" w:cs="宋体"/>
          <w:caps w:val="0"/>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b w:val="0"/>
          <w:bCs w:val="0"/>
          <w:caps w:val="0"/>
          <w:color w:val="000000" w:themeColor="text1"/>
          <w:spacing w:val="14"/>
          <w:kern w:val="0"/>
          <w:sz w:val="24"/>
          <w:szCs w:val="24"/>
          <w:highlight w:val="none"/>
          <w:vertAlign w:val="baseline"/>
          <w:lang w:val="en-US" w:eastAsia="zh-CN" w:bidi="ar"/>
          <w14:textFill>
            <w14:solidFill>
              <w14:schemeClr w14:val="tx1"/>
            </w14:solidFill>
          </w14:textFill>
        </w:rPr>
        <w:t>1. 从</w:t>
      </w:r>
      <w:r>
        <w:rPr>
          <w:rFonts w:hint="eastAsia" w:ascii="宋体" w:hAnsi="宋体" w:eastAsia="宋体" w:cs="宋体"/>
          <w:b w:val="0"/>
          <w:bCs w:val="0"/>
          <w:caps w:val="0"/>
          <w:color w:val="000000" w:themeColor="text1"/>
          <w:spacing w:val="8"/>
          <w:kern w:val="0"/>
          <w:sz w:val="24"/>
          <w:szCs w:val="24"/>
          <w:highlight w:val="none"/>
          <w:vertAlign w:val="baseline"/>
          <w:lang w:val="en-US" w:eastAsia="zh-CN" w:bidi="ar"/>
          <w14:textFill>
            <w14:solidFill>
              <w14:schemeClr w14:val="tx1"/>
            </w14:solidFill>
          </w14:textFill>
        </w:rPr>
        <w:t>业</w:t>
      </w:r>
      <w:r>
        <w:rPr>
          <w:rFonts w:hint="eastAsia" w:ascii="宋体" w:hAnsi="宋体" w:eastAsia="宋体" w:cs="宋体"/>
          <w:b w:val="0"/>
          <w:bCs w:val="0"/>
          <w:caps w:val="0"/>
          <w:color w:val="000000" w:themeColor="text1"/>
          <w:spacing w:val="7"/>
          <w:kern w:val="0"/>
          <w:sz w:val="24"/>
          <w:szCs w:val="24"/>
          <w:highlight w:val="none"/>
          <w:vertAlign w:val="baseline"/>
          <w:lang w:val="en-US" w:eastAsia="zh-CN" w:bidi="ar"/>
          <w14:textFill>
            <w14:solidFill>
              <w14:schemeClr w14:val="tx1"/>
            </w14:solidFill>
          </w14:textFill>
        </w:rPr>
        <w:t>人员、营业收入、资产总额填报上一年度数据，无上一年度数据的新成立企业可</w:t>
      </w:r>
      <w:r>
        <w:rPr>
          <w:rFonts w:hint="eastAsia" w:ascii="宋体" w:hAnsi="宋体" w:eastAsia="宋体" w:cs="宋体"/>
          <w:b w:val="0"/>
          <w:bCs w:val="0"/>
          <w:caps w:val="0"/>
          <w:color w:val="000000" w:themeColor="text1"/>
          <w:kern w:val="0"/>
          <w:sz w:val="24"/>
          <w:szCs w:val="24"/>
          <w:highlight w:val="none"/>
          <w:vertAlign w:val="baseline"/>
          <w:lang w:val="en-US" w:eastAsia="zh-CN" w:bidi="ar"/>
          <w14:textFill>
            <w14:solidFill>
              <w14:schemeClr w14:val="tx1"/>
            </w14:solidFill>
          </w14:textFill>
        </w:rPr>
        <w:t xml:space="preserve"> </w:t>
      </w:r>
      <w:r>
        <w:rPr>
          <w:rFonts w:hint="eastAsia" w:ascii="宋体" w:hAnsi="宋体" w:eastAsia="宋体" w:cs="宋体"/>
          <w:b w:val="0"/>
          <w:bCs w:val="0"/>
          <w:caps w:val="0"/>
          <w:color w:val="000000" w:themeColor="text1"/>
          <w:spacing w:val="4"/>
          <w:kern w:val="0"/>
          <w:sz w:val="24"/>
          <w:szCs w:val="24"/>
          <w:highlight w:val="none"/>
          <w:vertAlign w:val="baseline"/>
          <w:lang w:val="en-US" w:eastAsia="zh-CN" w:bidi="ar"/>
          <w14:textFill>
            <w14:solidFill>
              <w14:schemeClr w14:val="tx1"/>
            </w14:solidFill>
          </w14:textFill>
        </w:rPr>
        <w:t>不填报。</w:t>
      </w:r>
    </w:p>
    <w:p>
      <w:pPr>
        <w:pStyle w:val="11"/>
        <w:keepNext w:val="0"/>
        <w:keepLines w:val="0"/>
        <w:pageBreakBefore w:val="0"/>
        <w:widowControl w:val="0"/>
        <w:kinsoku/>
        <w:wordWrap/>
        <w:overflowPunct/>
        <w:topLinePunct w:val="0"/>
        <w:autoSpaceDE/>
        <w:autoSpaceDN/>
        <w:bidi w:val="0"/>
        <w:adjustRightInd/>
        <w:snapToGrid w:val="0"/>
        <w:spacing w:before="0" w:beforeAutospacing="0" w:afterAutospacing="0" w:line="480" w:lineRule="auto"/>
        <w:ind w:left="0" w:right="0" w:firstLine="422" w:firstLineChars="200"/>
        <w:jc w:val="both"/>
        <w:textAlignment w:val="baseline"/>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pPr>
      <w:r>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t>注：1</w:t>
      </w:r>
      <w:r>
        <w:rPr>
          <w:rFonts w:hint="eastAsia" w:ascii="宋体" w:hAnsi="宋体" w:eastAsia="宋体" w:cs="宋体"/>
          <w:b/>
          <w:i w:val="0"/>
          <w:caps w:val="0"/>
          <w:color w:val="000000" w:themeColor="text1"/>
          <w:spacing w:val="0"/>
          <w:w w:val="10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t>本次采购项目采购标的对应的中小企业划分标准所属行业为</w:t>
      </w:r>
      <w:r>
        <w:rPr>
          <w:rFonts w:hint="eastAsia" w:ascii="宋体" w:hAnsi="宋体" w:cs="宋体"/>
          <w:b/>
          <w:i w:val="0"/>
          <w:caps w:val="0"/>
          <w:color w:val="000000" w:themeColor="text1"/>
          <w:spacing w:val="0"/>
          <w:w w:val="100"/>
          <w:sz w:val="21"/>
          <w:szCs w:val="21"/>
          <w:highlight w:val="none"/>
          <w:lang w:val="en-US" w:eastAsia="zh-CN"/>
          <w14:textFill>
            <w14:solidFill>
              <w14:schemeClr w14:val="tx1"/>
            </w14:solidFill>
          </w14:textFill>
        </w:rPr>
        <w:t>制造业</w:t>
      </w:r>
      <w:r>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t>。</w:t>
      </w:r>
    </w:p>
    <w:p>
      <w:pPr>
        <w:pStyle w:val="11"/>
        <w:keepNext w:val="0"/>
        <w:keepLines w:val="0"/>
        <w:pageBreakBefore w:val="0"/>
        <w:widowControl w:val="0"/>
        <w:kinsoku/>
        <w:wordWrap/>
        <w:overflowPunct/>
        <w:topLinePunct w:val="0"/>
        <w:autoSpaceDE/>
        <w:autoSpaceDN/>
        <w:bidi w:val="0"/>
        <w:adjustRightInd/>
        <w:snapToGrid w:val="0"/>
        <w:spacing w:before="0" w:beforeAutospacing="0" w:afterAutospacing="0" w:line="480" w:lineRule="auto"/>
        <w:ind w:left="0" w:right="0" w:firstLine="422" w:firstLineChars="200"/>
        <w:jc w:val="both"/>
        <w:textAlignment w:val="baseline"/>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pPr>
      <w:r>
        <w:rPr>
          <w:rFonts w:hint="eastAsia" w:ascii="宋体" w:hAnsi="宋体" w:eastAsia="宋体" w:cs="宋体"/>
          <w:b/>
          <w:i w:val="0"/>
          <w:caps w:val="0"/>
          <w:color w:val="000000" w:themeColor="text1"/>
          <w:spacing w:val="0"/>
          <w:w w:val="100"/>
          <w:sz w:val="21"/>
          <w:szCs w:val="21"/>
          <w:highlight w:val="none"/>
          <w:lang w:val="en-US" w:eastAsia="zh-CN"/>
          <w14:textFill>
            <w14:solidFill>
              <w14:schemeClr w14:val="tx1"/>
            </w14:solidFill>
          </w14:textFill>
        </w:rPr>
        <w:t>2</w:t>
      </w:r>
      <w:r>
        <w:rPr>
          <w:rFonts w:hint="eastAsia" w:ascii="宋体" w:hAnsi="宋体" w:eastAsia="宋体" w:cs="宋体"/>
          <w:b/>
          <w:i w:val="0"/>
          <w:caps w:val="0"/>
          <w:color w:val="000000" w:themeColor="text1"/>
          <w:spacing w:val="0"/>
          <w:w w:val="10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w w:val="100"/>
          <w:sz w:val="21"/>
          <w:szCs w:val="21"/>
          <w:highlight w:val="none"/>
          <w14:textFill>
            <w14:solidFill>
              <w14:schemeClr w14:val="tx1"/>
            </w14:solidFill>
          </w14:textFill>
        </w:rPr>
        <w:t>从业人员、营业收入、资产总额填报上一年度数据，无上一年度数据的新成立企业可不填报。</w:t>
      </w:r>
    </w:p>
    <w:p>
      <w:pPr>
        <w:adjustRightInd w:val="0"/>
        <w:snapToGrid w:val="0"/>
        <w:spacing w:line="360" w:lineRule="auto"/>
        <w:ind w:firstLine="420" w:firstLineChars="200"/>
        <w:rPr>
          <w:rFonts w:hint="eastAsia" w:ascii="宋体" w:hAnsi="宋体" w:eastAsia="宋体" w:cs="宋体"/>
          <w:bCs/>
          <w:color w:val="000000" w:themeColor="text1"/>
          <w:szCs w:val="21"/>
          <w:highlight w:val="none"/>
          <w14:textFill>
            <w14:solidFill>
              <w14:schemeClr w14:val="tx1"/>
            </w14:solidFill>
          </w14:textFill>
        </w:rPr>
      </w:pPr>
    </w:p>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br w:type="page"/>
      </w:r>
    </w:p>
    <w:p>
      <w:pPr>
        <w:pStyle w:val="2"/>
        <w:ind w:left="0" w:leftChars="0" w:firstLine="0" w:firstLineChars="0"/>
        <w:outlineLvl w:val="3"/>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附2 残疾人福利性单位声明</w:t>
      </w:r>
    </w:p>
    <w:p>
      <w:pPr>
        <w:spacing w:line="588" w:lineRule="exact"/>
        <w:jc w:val="center"/>
        <w:rPr>
          <w:rFonts w:hint="eastAsia" w:ascii="宋体" w:hAnsi="宋体" w:eastAsia="宋体" w:cs="宋体"/>
          <w:b/>
          <w:color w:val="000000" w:themeColor="text1"/>
          <w:spacing w:val="6"/>
          <w:sz w:val="32"/>
          <w:szCs w:val="32"/>
          <w:highlight w:val="none"/>
          <w14:textFill>
            <w14:solidFill>
              <w14:schemeClr w14:val="tx1"/>
            </w14:solidFill>
          </w14:textFill>
        </w:rPr>
      </w:pPr>
      <w:bookmarkStart w:id="59" w:name="OLE_LINK14"/>
      <w:bookmarkStart w:id="60" w:name="OLE_LINK13"/>
      <w:r>
        <w:rPr>
          <w:rFonts w:hint="eastAsia" w:ascii="宋体" w:hAnsi="宋体" w:eastAsia="宋体" w:cs="宋体"/>
          <w:b/>
          <w:color w:val="000000" w:themeColor="text1"/>
          <w:spacing w:val="6"/>
          <w:sz w:val="32"/>
          <w:szCs w:val="32"/>
          <w:highlight w:val="none"/>
          <w14:textFill>
            <w14:solidFill>
              <w14:schemeClr w14:val="tx1"/>
            </w14:solidFill>
          </w14:textFill>
        </w:rPr>
        <w:t>残疾人福利性单位声明函</w:t>
      </w:r>
    </w:p>
    <w:bookmarkEnd w:id="59"/>
    <w:bookmarkEnd w:id="60"/>
    <w:p>
      <w:pPr>
        <w:jc w:val="center"/>
        <w:rPr>
          <w:rFonts w:hint="eastAsia" w:ascii="宋体" w:hAnsi="宋体" w:eastAsia="宋体" w:cs="宋体"/>
          <w:color w:val="000000" w:themeColor="text1"/>
          <w:szCs w:val="21"/>
          <w:highlight w:val="none"/>
          <w:u w:val="single"/>
          <w14:textFill>
            <w14:solidFill>
              <w14:schemeClr w14:val="tx1"/>
            </w14:solidFill>
          </w14:textFill>
        </w:rPr>
      </w:pPr>
    </w:p>
    <w:p>
      <w:pPr>
        <w:jc w:val="center"/>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【不属于残疾人福利性单位的无需填写】</w:t>
      </w:r>
    </w:p>
    <w:p>
      <w:pPr>
        <w:spacing w:line="588" w:lineRule="exact"/>
        <w:rPr>
          <w:rFonts w:hint="eastAsia" w:ascii="宋体" w:hAnsi="宋体" w:eastAsia="宋体" w:cs="宋体"/>
          <w:b/>
          <w:color w:val="000000" w:themeColor="text1"/>
          <w:spacing w:val="6"/>
          <w:sz w:val="30"/>
          <w:szCs w:val="30"/>
          <w:highlight w:val="none"/>
          <w14:textFill>
            <w14:solidFill>
              <w14:schemeClr w14:val="tx1"/>
            </w14:solidFill>
          </w14:textFill>
        </w:rPr>
      </w:pPr>
    </w:p>
    <w:p>
      <w:pPr>
        <w:spacing w:line="588" w:lineRule="exact"/>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szCs w:val="24"/>
          <w:highlight w:val="none"/>
          <w14:textFill>
            <w14:solidFill>
              <w14:schemeClr w14:val="tx1"/>
            </w14:solidFill>
          </w14:textFill>
        </w:rPr>
        <w:t>〔2017〕 141</w:t>
      </w:r>
      <w:r>
        <w:rPr>
          <w:rFonts w:hint="eastAsia" w:ascii="宋体" w:hAnsi="宋体" w:eastAsia="宋体" w:cs="宋体"/>
          <w:color w:val="000000" w:themeColor="text1"/>
          <w:spacing w:val="6"/>
          <w:sz w:val="24"/>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本单位对上述声明的真实性负责。如有虚假，将依法承担相应责任。</w:t>
      </w:r>
    </w:p>
    <w:p>
      <w:pPr>
        <w:spacing w:line="588" w:lineRule="exact"/>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bookmarkStart w:id="61" w:name="_Toc16061_WPSOffice_Level1"/>
      <w:r>
        <w:rPr>
          <w:rFonts w:hint="eastAsia" w:ascii="宋体" w:hAnsi="宋体" w:eastAsia="宋体" w:cs="宋体"/>
          <w:color w:val="000000" w:themeColor="text1"/>
          <w:spacing w:val="6"/>
          <w:sz w:val="24"/>
          <w:szCs w:val="24"/>
          <w:highlight w:val="none"/>
          <w14:textFill>
            <w14:solidFill>
              <w14:schemeClr w14:val="tx1"/>
            </w14:solidFill>
          </w14:textFill>
        </w:rPr>
        <w:t>单位名称（盖章）：</w:t>
      </w:r>
      <w:bookmarkEnd w:id="61"/>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bookmarkStart w:id="62" w:name="_Toc32569_WPSOffice_Level1"/>
      <w:r>
        <w:rPr>
          <w:rFonts w:hint="eastAsia" w:ascii="宋体" w:hAnsi="宋体" w:eastAsia="宋体" w:cs="宋体"/>
          <w:color w:val="000000" w:themeColor="text1"/>
          <w:spacing w:val="6"/>
          <w:sz w:val="24"/>
          <w:szCs w:val="24"/>
          <w:highlight w:val="none"/>
          <w14:textFill>
            <w14:solidFill>
              <w14:schemeClr w14:val="tx1"/>
            </w14:solidFill>
          </w14:textFill>
        </w:rPr>
        <w:t>日  期：</w:t>
      </w:r>
      <w:bookmarkEnd w:id="62"/>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2"/>
        <w:ind w:left="0" w:leftChars="0" w:firstLine="0" w:firstLineChars="0"/>
        <w:outlineLvl w:val="3"/>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附3 监狱企业的证明文件</w:t>
      </w:r>
    </w:p>
    <w:p>
      <w:pPr>
        <w:snapToGrid/>
        <w:spacing w:before="0" w:beforeAutospacing="0" w:after="0" w:afterAutospacing="0" w:line="240" w:lineRule="auto"/>
        <w:jc w:val="both"/>
        <w:textAlignment w:val="baseline"/>
        <w:rPr>
          <w:rFonts w:hint="eastAsia" w:ascii="宋体" w:hAnsi="宋体" w:eastAsia="宋体" w:cs="宋体"/>
          <w:b w:val="0"/>
          <w:i w:val="0"/>
          <w:caps w:val="0"/>
          <w:color w:val="000000" w:themeColor="text1"/>
          <w:spacing w:val="0"/>
          <w:w w:val="100"/>
          <w:sz w:val="20"/>
          <w:highlight w:val="none"/>
          <w14:textFill>
            <w14:solidFill>
              <w14:schemeClr w14:val="tx1"/>
            </w14:solidFill>
          </w14:textFill>
        </w:rPr>
      </w:pPr>
    </w:p>
    <w:p>
      <w:pPr>
        <w:snapToGrid/>
        <w:spacing w:before="312" w:beforeAutospacing="0" w:after="312" w:afterAutospacing="0" w:line="360" w:lineRule="auto"/>
        <w:jc w:val="center"/>
        <w:textAlignment w:val="baseline"/>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r>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t>（如适用填写，不适用无须填写，只填写不适用即可）</w:t>
      </w:r>
    </w:p>
    <w:p>
      <w:pPr>
        <w:snapToGrid/>
        <w:spacing w:before="312" w:beforeAutospacing="0" w:after="312" w:afterAutospacing="0" w:line="360" w:lineRule="auto"/>
        <w:jc w:val="center"/>
        <w:textAlignment w:val="baseline"/>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r>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t>监狱企业的证明文件</w:t>
      </w:r>
    </w:p>
    <w:p>
      <w:pPr>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p>
    <w:p>
      <w:pPr>
        <w:rPr>
          <w:rFonts w:hint="eastAsia" w:ascii="宋体" w:hAnsi="宋体" w:eastAsia="宋体" w:cs="宋体"/>
          <w:b/>
          <w:i w:val="0"/>
          <w:caps w:val="0"/>
          <w:color w:val="000000" w:themeColor="text1"/>
          <w:spacing w:val="20"/>
          <w:w w:val="100"/>
          <w:sz w:val="30"/>
          <w:szCs w:val="30"/>
          <w:highlight w:val="none"/>
          <w14:textFill>
            <w14:solidFill>
              <w14:schemeClr w14:val="tx1"/>
            </w14:solidFill>
          </w14:textFill>
        </w:rPr>
      </w:pPr>
    </w:p>
    <w:p>
      <w:pPr>
        <w:snapToGrid/>
        <w:spacing w:before="0" w:beforeAutospacing="0" w:after="0" w:afterAutospacing="0" w:line="440" w:lineRule="exact"/>
        <w:jc w:val="both"/>
        <w:textAlignment w:val="baseline"/>
        <w:rPr>
          <w:rFonts w:hint="eastAsia" w:ascii="宋体" w:hAnsi="宋体" w:eastAsia="宋体" w:cs="宋体"/>
          <w:b w:val="0"/>
          <w:bCs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szCs w:val="24"/>
          <w:highlight w:val="none"/>
          <w14:textFill>
            <w14:solidFill>
              <w14:schemeClr w14:val="tx1"/>
            </w14:solidFill>
          </w14:textFill>
        </w:rPr>
        <w:t>说明：监狱企业参加政府采购活动时，应当提供由省级以上监狱管理局、戒毒管理局（含新疆生产建设兵团）出具的属于监狱企业的证明文件并加盖单位公章。</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523" w:right="0" w:firstLine="0"/>
        <w:jc w:val="left"/>
        <w:textAlignment w:val="baseline"/>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pStyle w:val="32"/>
        <w:widowControl w:val="0"/>
        <w:numPr>
          <w:ilvl w:val="0"/>
          <w:numId w:val="0"/>
        </w:numPr>
        <w:spacing w:line="360" w:lineRule="auto"/>
        <w:jc w:val="both"/>
        <w:outlineLvl w:val="9"/>
        <w:rPr>
          <w:highlight w:val="none"/>
        </w:rPr>
      </w:pPr>
    </w:p>
    <w:p>
      <w:pP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br w:type="page"/>
      </w:r>
    </w:p>
    <w:p>
      <w:pPr>
        <w:spacing w:line="360" w:lineRule="auto"/>
        <w:jc w:val="center"/>
        <w:outlineLvl w:val="2"/>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pPr>
      <w:r>
        <w:rPr>
          <w:rFonts w:hint="eastAsia" w:ascii="宋体" w:hAnsi="宋体" w:eastAsia="宋体" w:cs="宋体"/>
          <w:b/>
          <w:bCs/>
          <w:caps w:val="0"/>
          <w:color w:val="000000" w:themeColor="text1"/>
          <w:kern w:val="2"/>
          <w:sz w:val="32"/>
          <w:szCs w:val="32"/>
          <w:highlight w:val="none"/>
          <w:vertAlign w:val="baseline"/>
          <w:lang w:val="en-US" w:eastAsia="zh-CN" w:bidi="ar"/>
          <w14:textFill>
            <w14:solidFill>
              <w14:schemeClr w14:val="tx1"/>
            </w14:solidFill>
          </w14:textFill>
        </w:rPr>
        <w:t>十二、优惠条件及服务承诺</w:t>
      </w:r>
    </w:p>
    <w:p>
      <w:pPr>
        <w:rPr>
          <w:highlight w:val="none"/>
        </w:rPr>
      </w:pPr>
    </w:p>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sz w:val="27"/>
        <w:szCs w:val="27"/>
      </w:rPr>
    </w:pPr>
    <w:r>
      <w:rPr>
        <w:sz w:val="2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89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A2678"/>
    <w:multiLevelType w:val="singleLevel"/>
    <w:tmpl w:val="C5AA2678"/>
    <w:lvl w:ilvl="0" w:tentative="0">
      <w:start w:val="2"/>
      <w:numFmt w:val="chineseCounting"/>
      <w:suff w:val="nothing"/>
      <w:lvlText w:val="（%1）"/>
      <w:lvlJc w:val="left"/>
      <w:rPr>
        <w:rFonts w:hint="eastAsia"/>
      </w:rPr>
    </w:lvl>
  </w:abstractNum>
  <w:abstractNum w:abstractNumId="1">
    <w:nsid w:val="CF278D78"/>
    <w:multiLevelType w:val="singleLevel"/>
    <w:tmpl w:val="CF278D78"/>
    <w:lvl w:ilvl="0" w:tentative="0">
      <w:start w:val="4"/>
      <w:numFmt w:val="chineseCounting"/>
      <w:suff w:val="space"/>
      <w:lvlText w:val="第%1章"/>
      <w:lvlJc w:val="left"/>
      <w:rPr>
        <w:rFonts w:hint="eastAsia"/>
      </w:rPr>
    </w:lvl>
  </w:abstractNum>
  <w:abstractNum w:abstractNumId="2">
    <w:nsid w:val="0000000E"/>
    <w:multiLevelType w:val="multilevel"/>
    <w:tmpl w:val="0000000E"/>
    <w:lvl w:ilvl="0" w:tentative="0">
      <w:start w:val="1"/>
      <w:numFmt w:val="bullet"/>
      <w:pStyle w:val="3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3">
    <w:nsid w:val="0AA2243A"/>
    <w:multiLevelType w:val="multilevel"/>
    <w:tmpl w:val="0AA2243A"/>
    <w:lvl w:ilvl="0"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1"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2"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3"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4"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5"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6"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7" w:tentative="0">
      <w:start w:val="3"/>
      <w:numFmt w:val="decimal"/>
      <w:suff w:val="nothing"/>
      <w:lvlText w:val="%1、"/>
      <w:lvlJc w:val="left"/>
      <w:pPr>
        <w:tabs>
          <w:tab w:val="left" w:pos="0"/>
        </w:tabs>
        <w:ind w:left="0" w:firstLine="0"/>
      </w:pPr>
      <w:rPr>
        <w:rFonts w:hint="default" w:ascii="Times New Roman" w:hAnsi="Times New Roman" w:cs="Times New Roman"/>
        <w:caps w:val="0"/>
      </w:rPr>
    </w:lvl>
    <w:lvl w:ilvl="8" w:tentative="0">
      <w:start w:val="3"/>
      <w:numFmt w:val="decimal"/>
      <w:suff w:val="nothing"/>
      <w:lvlText w:val="%1、"/>
      <w:lvlJc w:val="left"/>
      <w:pPr>
        <w:tabs>
          <w:tab w:val="left" w:pos="0"/>
        </w:tabs>
        <w:ind w:left="0" w:firstLine="0"/>
      </w:pPr>
      <w:rPr>
        <w:rFonts w:hint="default" w:ascii="Times New Roman" w:hAnsi="Times New Roman" w:cs="Times New Roman"/>
        <w:caps w:val="0"/>
      </w:rPr>
    </w:lvl>
  </w:abstractNum>
  <w:abstractNum w:abstractNumId="4">
    <w:nsid w:val="2B68C211"/>
    <w:multiLevelType w:val="singleLevel"/>
    <w:tmpl w:val="2B68C211"/>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MzJmZWU5ODA2NzFlZWYwZTMyZWJjYzE2NjdkZWMifQ=="/>
    <w:docVar w:name="KSO_WPS_MARK_KEY" w:val="1e751a80-7c93-4c8f-addb-31c7daabee5c"/>
  </w:docVars>
  <w:rsids>
    <w:rsidRoot w:val="00000000"/>
    <w:rsid w:val="00950484"/>
    <w:rsid w:val="01DE00E2"/>
    <w:rsid w:val="028C00D2"/>
    <w:rsid w:val="04A364E6"/>
    <w:rsid w:val="05C8537B"/>
    <w:rsid w:val="06185872"/>
    <w:rsid w:val="07E64E03"/>
    <w:rsid w:val="08191430"/>
    <w:rsid w:val="08BB31C9"/>
    <w:rsid w:val="0B3A2110"/>
    <w:rsid w:val="0B3F1A9F"/>
    <w:rsid w:val="0BD53BE7"/>
    <w:rsid w:val="0C37664F"/>
    <w:rsid w:val="0C425DB8"/>
    <w:rsid w:val="0C8B1DD4"/>
    <w:rsid w:val="0CF62EFE"/>
    <w:rsid w:val="0DFD10FE"/>
    <w:rsid w:val="10190550"/>
    <w:rsid w:val="10556864"/>
    <w:rsid w:val="11994D85"/>
    <w:rsid w:val="12053D17"/>
    <w:rsid w:val="12735D90"/>
    <w:rsid w:val="134254FC"/>
    <w:rsid w:val="13B22621"/>
    <w:rsid w:val="14744CBF"/>
    <w:rsid w:val="160C46A9"/>
    <w:rsid w:val="16BF171B"/>
    <w:rsid w:val="174C0276"/>
    <w:rsid w:val="18CB1E5D"/>
    <w:rsid w:val="19B5163C"/>
    <w:rsid w:val="19F22477"/>
    <w:rsid w:val="1A0674FC"/>
    <w:rsid w:val="1A143CE1"/>
    <w:rsid w:val="1B207BE3"/>
    <w:rsid w:val="1BCA64B0"/>
    <w:rsid w:val="1E8E0351"/>
    <w:rsid w:val="1EAD68A3"/>
    <w:rsid w:val="1EEB7549"/>
    <w:rsid w:val="1F535FB2"/>
    <w:rsid w:val="217A36FF"/>
    <w:rsid w:val="22BB6C0F"/>
    <w:rsid w:val="256A7931"/>
    <w:rsid w:val="269E208E"/>
    <w:rsid w:val="284B72B3"/>
    <w:rsid w:val="289756FD"/>
    <w:rsid w:val="28EF757E"/>
    <w:rsid w:val="29CC34C0"/>
    <w:rsid w:val="2AEE793F"/>
    <w:rsid w:val="2B091ACE"/>
    <w:rsid w:val="2B945B7A"/>
    <w:rsid w:val="2C523826"/>
    <w:rsid w:val="2D031FB1"/>
    <w:rsid w:val="2D256134"/>
    <w:rsid w:val="2D6C56AA"/>
    <w:rsid w:val="2DCA60AA"/>
    <w:rsid w:val="2E522239"/>
    <w:rsid w:val="2F132EBB"/>
    <w:rsid w:val="30EC454F"/>
    <w:rsid w:val="31C13159"/>
    <w:rsid w:val="322003B0"/>
    <w:rsid w:val="327968C0"/>
    <w:rsid w:val="327B55A3"/>
    <w:rsid w:val="334101CB"/>
    <w:rsid w:val="33F24B50"/>
    <w:rsid w:val="34936F1D"/>
    <w:rsid w:val="35FC3AC2"/>
    <w:rsid w:val="367B6F56"/>
    <w:rsid w:val="36977049"/>
    <w:rsid w:val="38112365"/>
    <w:rsid w:val="381C76D3"/>
    <w:rsid w:val="384A0B45"/>
    <w:rsid w:val="387E21D8"/>
    <w:rsid w:val="39135550"/>
    <w:rsid w:val="3AB475ED"/>
    <w:rsid w:val="3B20012B"/>
    <w:rsid w:val="3CF6476A"/>
    <w:rsid w:val="3D0B67B5"/>
    <w:rsid w:val="4019298E"/>
    <w:rsid w:val="4053079A"/>
    <w:rsid w:val="40A03A1A"/>
    <w:rsid w:val="425007FB"/>
    <w:rsid w:val="425206D8"/>
    <w:rsid w:val="440920A4"/>
    <w:rsid w:val="441141CF"/>
    <w:rsid w:val="4424768B"/>
    <w:rsid w:val="444A7FC7"/>
    <w:rsid w:val="44E43F70"/>
    <w:rsid w:val="45596D73"/>
    <w:rsid w:val="46B25A7C"/>
    <w:rsid w:val="480A2040"/>
    <w:rsid w:val="48704C8A"/>
    <w:rsid w:val="4A1315B5"/>
    <w:rsid w:val="4A5A25AF"/>
    <w:rsid w:val="4AB20A6E"/>
    <w:rsid w:val="4BF45A95"/>
    <w:rsid w:val="4BFA562C"/>
    <w:rsid w:val="4CAB6AC5"/>
    <w:rsid w:val="4D5076E6"/>
    <w:rsid w:val="50352523"/>
    <w:rsid w:val="50477880"/>
    <w:rsid w:val="50EA0B67"/>
    <w:rsid w:val="51446453"/>
    <w:rsid w:val="517E5372"/>
    <w:rsid w:val="519D6907"/>
    <w:rsid w:val="51A52CBB"/>
    <w:rsid w:val="553928F3"/>
    <w:rsid w:val="566542C7"/>
    <w:rsid w:val="56AB75A2"/>
    <w:rsid w:val="57391A37"/>
    <w:rsid w:val="579058E5"/>
    <w:rsid w:val="58100B38"/>
    <w:rsid w:val="5A5B48F7"/>
    <w:rsid w:val="5AFE4B5E"/>
    <w:rsid w:val="5B8C20DA"/>
    <w:rsid w:val="5BF16F63"/>
    <w:rsid w:val="5C9F72F5"/>
    <w:rsid w:val="5D1B0F08"/>
    <w:rsid w:val="5E0E0069"/>
    <w:rsid w:val="5FEA6FBF"/>
    <w:rsid w:val="6339083A"/>
    <w:rsid w:val="645B4E3C"/>
    <w:rsid w:val="64D15E6F"/>
    <w:rsid w:val="671A2875"/>
    <w:rsid w:val="671C422C"/>
    <w:rsid w:val="67C83682"/>
    <w:rsid w:val="68CF6B69"/>
    <w:rsid w:val="6A437B6F"/>
    <w:rsid w:val="6C596787"/>
    <w:rsid w:val="6D7C3506"/>
    <w:rsid w:val="6E917A12"/>
    <w:rsid w:val="6ED44ED9"/>
    <w:rsid w:val="71285068"/>
    <w:rsid w:val="725B146D"/>
    <w:rsid w:val="742575DB"/>
    <w:rsid w:val="756F6F1F"/>
    <w:rsid w:val="7629619E"/>
    <w:rsid w:val="770E389B"/>
    <w:rsid w:val="77AA075E"/>
    <w:rsid w:val="781F395A"/>
    <w:rsid w:val="78ED1162"/>
    <w:rsid w:val="79D46B59"/>
    <w:rsid w:val="7A462A03"/>
    <w:rsid w:val="7A71681A"/>
    <w:rsid w:val="7B93681B"/>
    <w:rsid w:val="7BFC0690"/>
    <w:rsid w:val="7C9B27E7"/>
    <w:rsid w:val="7CA26BC3"/>
    <w:rsid w:val="7CF63139"/>
    <w:rsid w:val="7D692C90"/>
    <w:rsid w:val="7DAE0FEB"/>
    <w:rsid w:val="7E587B8B"/>
    <w:rsid w:val="7E802CE1"/>
    <w:rsid w:val="7F052B36"/>
    <w:rsid w:val="7FA03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45"/>
    <w:qFormat/>
    <w:uiPriority w:val="0"/>
    <w:pPr>
      <w:keepNext/>
      <w:keepLines/>
      <w:widowControl w:val="0"/>
      <w:suppressLineNumbers w:val="0"/>
      <w:spacing w:before="340" w:beforeAutospacing="0" w:after="330" w:afterAutospacing="0" w:line="576" w:lineRule="auto"/>
      <w:ind w:left="0" w:firstLine="0"/>
      <w:jc w:val="both"/>
      <w:outlineLvl w:val="0"/>
    </w:pPr>
    <w:rPr>
      <w:rFonts w:hint="default" w:ascii="Times New Roman" w:hAnsi="Times New Roman" w:eastAsia="宋体" w:cs="Times New Roman"/>
      <w:b/>
      <w:bCs/>
      <w:kern w:val="44"/>
      <w:sz w:val="44"/>
      <w:szCs w:val="44"/>
      <w:lang w:val="en-US" w:eastAsia="zh-CN" w:bidi="ar"/>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6">
    <w:name w:val="heading 4"/>
    <w:basedOn w:val="1"/>
    <w:next w:val="1"/>
    <w:qFormat/>
    <w:uiPriority w:val="0"/>
    <w:pPr>
      <w:keepNext/>
      <w:keepLines/>
      <w:spacing w:line="240" w:lineRule="exact"/>
      <w:outlineLvl w:val="3"/>
    </w:pPr>
    <w:rPr>
      <w:rFonts w:ascii="Arial" w:hAnsi="Arial" w:eastAsia="仿宋_GB2312"/>
      <w:b/>
      <w:sz w:val="18"/>
      <w:szCs w:val="32"/>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keepNext w:val="0"/>
      <w:keepLines w:val="0"/>
      <w:widowControl w:val="0"/>
      <w:suppressLineNumbers w:val="0"/>
      <w:spacing w:before="0" w:beforeAutospacing="1" w:after="120" w:afterAutospacing="0" w:line="240" w:lineRule="auto"/>
      <w:ind w:left="420" w:leftChars="200" w:firstLine="0"/>
      <w:jc w:val="both"/>
    </w:pPr>
    <w:rPr>
      <w:rFonts w:ascii="Calibri" w:hAnsi="Calibri" w:eastAsia="宋体" w:cs="Times New Roman"/>
      <w:kern w:val="2"/>
      <w:sz w:val="21"/>
      <w:szCs w:val="21"/>
      <w:lang w:val="en-US" w:eastAsia="zh-CN" w:bidi="ar"/>
    </w:rPr>
  </w:style>
  <w:style w:type="paragraph" w:styleId="7">
    <w:name w:val="index 8"/>
    <w:basedOn w:val="1"/>
    <w:next w:val="1"/>
    <w:qFormat/>
    <w:uiPriority w:val="0"/>
    <w:pPr>
      <w:ind w:left="1400" w:leftChars="1400"/>
    </w:pPr>
  </w:style>
  <w:style w:type="paragraph" w:styleId="8">
    <w:name w:val="index 5"/>
    <w:basedOn w:val="1"/>
    <w:next w:val="1"/>
    <w:qFormat/>
    <w:uiPriority w:val="0"/>
    <w:pPr>
      <w:ind w:left="800" w:leftChars="800"/>
    </w:pPr>
  </w:style>
  <w:style w:type="paragraph" w:styleId="9">
    <w:name w:val="annotation text"/>
    <w:basedOn w:val="1"/>
    <w:qFormat/>
    <w:uiPriority w:val="99"/>
    <w:pPr>
      <w:jc w:val="left"/>
    </w:pPr>
  </w:style>
  <w:style w:type="paragraph" w:styleId="10">
    <w:name w:val="index 6"/>
    <w:basedOn w:val="1"/>
    <w:next w:val="1"/>
    <w:qFormat/>
    <w:uiPriority w:val="0"/>
    <w:pPr>
      <w:ind w:left="1000" w:leftChars="1000"/>
    </w:pPr>
  </w:style>
  <w:style w:type="paragraph" w:styleId="11">
    <w:name w:val="Body Text"/>
    <w:basedOn w:val="1"/>
    <w:next w:val="1"/>
    <w:qFormat/>
    <w:uiPriority w:val="0"/>
    <w:pPr>
      <w:keepNext w:val="0"/>
      <w:keepLines w:val="0"/>
      <w:widowControl w:val="0"/>
      <w:suppressLineNumbers w:val="0"/>
      <w:spacing w:before="0" w:beforeAutospacing="0" w:after="120" w:afterAutospacing="0" w:line="240" w:lineRule="auto"/>
      <w:ind w:left="0" w:firstLine="0"/>
      <w:jc w:val="both"/>
    </w:pPr>
    <w:rPr>
      <w:rFonts w:hint="default" w:ascii="Times New Roman" w:hAnsi="Times New Roman" w:eastAsia="宋体" w:cs="Times New Roman"/>
      <w:kern w:val="2"/>
      <w:sz w:val="21"/>
      <w:szCs w:val="24"/>
      <w:lang w:val="en-US" w:eastAsia="zh-CN" w:bidi="ar"/>
    </w:rPr>
  </w:style>
  <w:style w:type="paragraph" w:styleId="12">
    <w:name w:val="List 2"/>
    <w:basedOn w:val="1"/>
    <w:qFormat/>
    <w:uiPriority w:val="0"/>
    <w:pPr>
      <w:widowControl w:val="0"/>
      <w:adjustRightInd w:val="0"/>
      <w:spacing w:line="360" w:lineRule="auto"/>
      <w:jc w:val="both"/>
      <w:textAlignment w:val="baseline"/>
    </w:pPr>
    <w:rPr>
      <w:sz w:val="24"/>
    </w:rPr>
  </w:style>
  <w:style w:type="paragraph" w:styleId="13">
    <w:name w:val="toc 5"/>
    <w:basedOn w:val="1"/>
    <w:next w:val="1"/>
    <w:qFormat/>
    <w:uiPriority w:val="0"/>
    <w:pPr>
      <w:ind w:left="800"/>
    </w:pPr>
    <w:rPr>
      <w:rFonts w:ascii="Calibri" w:hAnsi="Calibri" w:cs="Calibri"/>
      <w:sz w:val="18"/>
      <w:szCs w:val="18"/>
    </w:rPr>
  </w:style>
  <w:style w:type="paragraph" w:styleId="14">
    <w:name w:val="Plain Text"/>
    <w:basedOn w:val="1"/>
    <w:qFormat/>
    <w:uiPriority w:val="0"/>
    <w:rPr>
      <w:rFonts w:ascii="Courier New" w:hAnsi="Courier New"/>
      <w:szCs w:val="20"/>
    </w:rPr>
  </w:style>
  <w:style w:type="paragraph" w:styleId="15">
    <w:name w:val="Date"/>
    <w:basedOn w:val="1"/>
    <w:next w:val="1"/>
    <w:qFormat/>
    <w:uiPriority w:val="0"/>
    <w:rPr>
      <w:sz w:val="24"/>
      <w:szCs w:val="20"/>
    </w:rPr>
  </w:style>
  <w:style w:type="paragraph" w:styleId="16">
    <w:name w:val="Body Text Indent 2"/>
    <w:basedOn w:val="1"/>
    <w:next w:val="7"/>
    <w:qFormat/>
    <w:uiPriority w:val="0"/>
    <w:pPr>
      <w:keepNext w:val="0"/>
      <w:keepLines w:val="0"/>
      <w:widowControl w:val="0"/>
      <w:suppressLineNumbers w:val="0"/>
      <w:spacing w:before="0" w:beforeAutospacing="1" w:after="0" w:afterAutospacing="0" w:line="480" w:lineRule="auto"/>
      <w:ind w:left="420" w:leftChars="200" w:firstLine="0"/>
      <w:jc w:val="both"/>
    </w:pPr>
    <w:rPr>
      <w:rFonts w:hint="default" w:ascii="Calibri" w:hAnsi="Calibri" w:eastAsia="宋体" w:cs="Times New Roman"/>
      <w:kern w:val="2"/>
      <w:sz w:val="21"/>
      <w:szCs w:val="21"/>
      <w:lang w:val="en-US" w:eastAsia="zh-CN" w:bidi="ar"/>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qFormat/>
    <w:uiPriority w:val="0"/>
    <w:pPr>
      <w:keepNext w:val="0"/>
      <w:keepLines w:val="0"/>
      <w:widowControl w:val="0"/>
      <w:suppressLineNumbers w:val="0"/>
      <w:spacing w:before="120" w:beforeAutospacing="0" w:after="120" w:afterAutospacing="0" w:line="240" w:lineRule="auto"/>
      <w:ind w:left="0" w:firstLine="0"/>
      <w:jc w:val="left"/>
    </w:pPr>
    <w:rPr>
      <w:rFonts w:hint="default" w:ascii="Times New Roman" w:hAnsi="Times New Roman" w:eastAsia="宋体" w:cs="Times New Roman"/>
      <w:b/>
      <w:bCs/>
      <w:caps/>
      <w:kern w:val="2"/>
      <w:sz w:val="20"/>
      <w:szCs w:val="20"/>
      <w:lang w:val="en-US" w:eastAsia="zh-CN" w:bidi="ar"/>
    </w:rPr>
  </w:style>
  <w:style w:type="paragraph" w:styleId="20">
    <w:name w:val="Body Text Indent 3"/>
    <w:basedOn w:val="1"/>
    <w:qFormat/>
    <w:uiPriority w:val="0"/>
    <w:pPr>
      <w:spacing w:after="120"/>
      <w:ind w:left="420" w:leftChars="200"/>
      <w:jc w:val="left"/>
    </w:pPr>
    <w:rPr>
      <w:kern w:val="0"/>
      <w:sz w:val="16"/>
      <w:szCs w:val="16"/>
    </w:rPr>
  </w:style>
  <w:style w:type="paragraph" w:styleId="21">
    <w:name w:val="index 9"/>
    <w:basedOn w:val="1"/>
    <w:next w:val="1"/>
    <w:qFormat/>
    <w:uiPriority w:val="0"/>
    <w:pPr>
      <w:ind w:left="1600" w:leftChars="1600"/>
    </w:pPr>
  </w:style>
  <w:style w:type="paragraph" w:styleId="22">
    <w:name w:val="toc 2"/>
    <w:basedOn w:val="1"/>
    <w:next w:val="1"/>
    <w:qFormat/>
    <w:uiPriority w:val="99"/>
    <w:pPr>
      <w:ind w:left="210"/>
      <w:jc w:val="left"/>
    </w:pPr>
    <w:rPr>
      <w:smallCaps/>
      <w:sz w:val="20"/>
      <w:szCs w:val="20"/>
    </w:rPr>
  </w:style>
  <w:style w:type="paragraph" w:styleId="23">
    <w:name w:val="Normal (Web)"/>
    <w:basedOn w:val="1"/>
    <w:qFormat/>
    <w:uiPriority w:val="0"/>
    <w:pPr>
      <w:keepNext w:val="0"/>
      <w:keepLines w:val="0"/>
      <w:widowControl/>
      <w:suppressLineNumbers w:val="0"/>
      <w:spacing w:before="0" w:beforeAutospacing="1" w:after="0" w:afterAutospacing="1" w:line="240" w:lineRule="auto"/>
      <w:ind w:left="0" w:right="0" w:firstLine="0"/>
      <w:jc w:val="left"/>
    </w:pPr>
    <w:rPr>
      <w:rFonts w:ascii="??" w:hAnsi="??" w:eastAsia="宋体" w:cs="宋体"/>
      <w:kern w:val="0"/>
      <w:sz w:val="24"/>
      <w:szCs w:val="24"/>
      <w:lang w:val="en-US" w:eastAsia="zh-CN" w:bidi="ar"/>
    </w:rPr>
  </w:style>
  <w:style w:type="paragraph" w:styleId="24">
    <w:name w:val="Body Text First Indent"/>
    <w:basedOn w:val="1"/>
    <w:next w:val="8"/>
    <w:qFormat/>
    <w:uiPriority w:val="0"/>
    <w:pPr>
      <w:keepNext w:val="0"/>
      <w:keepLines w:val="0"/>
      <w:widowControl w:val="0"/>
      <w:suppressLineNumbers w:val="0"/>
      <w:spacing w:before="0" w:beforeAutospacing="0" w:after="120" w:afterAutospacing="0" w:line="312" w:lineRule="auto"/>
      <w:ind w:left="0" w:firstLine="420"/>
      <w:jc w:val="both"/>
    </w:pPr>
    <w:rPr>
      <w:rFonts w:hint="default" w:ascii="Times New Roman" w:hAnsi="Times New Roman" w:eastAsia="宋体" w:cs="Times New Roman"/>
      <w:kern w:val="2"/>
      <w:sz w:val="21"/>
      <w:szCs w:val="24"/>
      <w:lang w:val="en-US" w:eastAsia="zh-CN" w:bidi="ar"/>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0"/>
    <w:rPr>
      <w:color w:val="0000FF"/>
      <w:u w:val="single"/>
    </w:rPr>
  </w:style>
  <w:style w:type="paragraph" w:customStyle="1" w:styleId="29">
    <w:name w:val="Default"/>
    <w:next w:val="15"/>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0">
    <w:name w:val="章节题目"/>
    <w:basedOn w:val="31"/>
    <w:next w:val="1"/>
    <w:qFormat/>
    <w:uiPriority w:val="0"/>
    <w:pPr>
      <w:keepNext/>
      <w:keepLines/>
      <w:spacing w:before="720" w:beforeLines="0" w:after="400" w:afterLines="0" w:line="540" w:lineRule="atLeast"/>
      <w:ind w:right="2160"/>
    </w:pPr>
    <w:rPr>
      <w:spacing w:val="-40"/>
      <w:kern w:val="28"/>
      <w:sz w:val="60"/>
    </w:rPr>
  </w:style>
  <w:style w:type="paragraph" w:customStyle="1" w:styleId="31">
    <w:name w:val="基准标题"/>
    <w:basedOn w:val="1"/>
    <w:next w:val="11"/>
    <w:qFormat/>
    <w:uiPriority w:val="0"/>
    <w:pPr>
      <w:keepNext/>
      <w:keepLines/>
      <w:spacing w:before="140" w:beforeLines="0" w:line="220" w:lineRule="atLeast"/>
    </w:pPr>
    <w:rPr>
      <w:rFonts w:ascii="Arial" w:hAnsi="Arial"/>
      <w:spacing w:val="-4"/>
      <w:kern w:val="28"/>
      <w:sz w:val="22"/>
    </w:rPr>
  </w:style>
  <w:style w:type="paragraph" w:customStyle="1" w:styleId="32">
    <w:name w:val="首行缩进"/>
    <w:basedOn w:val="1"/>
    <w:qFormat/>
    <w:uiPriority w:val="0"/>
    <w:pPr>
      <w:numPr>
        <w:ilvl w:val="0"/>
        <w:numId w:val="1"/>
      </w:numPr>
      <w:spacing w:line="360" w:lineRule="auto"/>
    </w:pPr>
    <w:rPr>
      <w:rFonts w:eastAsia="仿宋_GB2312"/>
    </w:rPr>
  </w:style>
  <w:style w:type="paragraph" w:customStyle="1" w:styleId="33">
    <w:name w:val="Normal_718"/>
    <w:basedOn w:val="1"/>
    <w:qFormat/>
    <w:uiPriority w:val="0"/>
    <w:pPr>
      <w:keepNext w:val="0"/>
      <w:keepLines w:val="0"/>
      <w:widowControl w:val="0"/>
      <w:suppressLineNumbers w:val="0"/>
      <w:spacing w:before="0" w:beforeAutospacing="0" w:after="0" w:afterAutospacing="0" w:line="240" w:lineRule="auto"/>
      <w:ind w:left="0" w:firstLine="0"/>
      <w:jc w:val="both"/>
    </w:pPr>
    <w:rPr>
      <w:rFonts w:hint="default" w:ascii="Times New Roman" w:hAnsi="Times New Roman" w:eastAsia="宋体" w:cs="Times New Roman"/>
      <w:kern w:val="2"/>
      <w:sz w:val="21"/>
      <w:szCs w:val="21"/>
      <w:lang w:val="en-US" w:eastAsia="zh-CN" w:bidi="ar"/>
    </w:rPr>
  </w:style>
  <w:style w:type="paragraph" w:customStyle="1" w:styleId="34">
    <w:name w:val="Table Paragraph"/>
    <w:basedOn w:val="1"/>
    <w:qFormat/>
    <w:uiPriority w:val="0"/>
    <w:pPr>
      <w:keepNext w:val="0"/>
      <w:keepLines w:val="0"/>
      <w:widowControl w:val="0"/>
      <w:suppressLineNumbers w:val="0"/>
      <w:spacing w:before="0" w:beforeAutospacing="0" w:after="0" w:afterAutospacing="0" w:line="240" w:lineRule="auto"/>
      <w:ind w:left="0" w:firstLine="0"/>
      <w:jc w:val="both"/>
    </w:pPr>
    <w:rPr>
      <w:rFonts w:hint="default" w:ascii="Calibri" w:hAnsi="Calibri" w:eastAsia="宋体" w:cs="Times New Roman"/>
      <w:kern w:val="2"/>
      <w:sz w:val="21"/>
      <w:szCs w:val="21"/>
      <w:lang w:val="en-US" w:eastAsia="zh-CN" w:bidi="ar"/>
    </w:rPr>
  </w:style>
  <w:style w:type="character" w:customStyle="1" w:styleId="35">
    <w:name w:val="font81"/>
    <w:basedOn w:val="27"/>
    <w:qFormat/>
    <w:uiPriority w:val="0"/>
    <w:rPr>
      <w:rFonts w:hint="eastAsia" w:ascii="宋体" w:hAnsi="宋体" w:eastAsia="宋体" w:cs="宋体"/>
      <w:b/>
      <w:bCs/>
      <w:color w:val="000000"/>
      <w:sz w:val="18"/>
      <w:szCs w:val="18"/>
      <w:u w:val="none"/>
    </w:rPr>
  </w:style>
  <w:style w:type="character" w:customStyle="1" w:styleId="36">
    <w:name w:val="font71"/>
    <w:basedOn w:val="27"/>
    <w:qFormat/>
    <w:uiPriority w:val="0"/>
    <w:rPr>
      <w:rFonts w:hint="eastAsia" w:ascii="宋体" w:hAnsi="宋体" w:eastAsia="宋体" w:cs="宋体"/>
      <w:color w:val="000000"/>
      <w:sz w:val="18"/>
      <w:szCs w:val="18"/>
      <w:u w:val="none"/>
    </w:rPr>
  </w:style>
  <w:style w:type="character" w:customStyle="1" w:styleId="37">
    <w:name w:val="font41"/>
    <w:basedOn w:val="27"/>
    <w:qFormat/>
    <w:uiPriority w:val="0"/>
    <w:rPr>
      <w:rFonts w:hint="eastAsia" w:ascii="宋体" w:hAnsi="宋体" w:eastAsia="宋体" w:cs="宋体"/>
      <w:color w:val="000000"/>
      <w:sz w:val="18"/>
      <w:szCs w:val="18"/>
      <w:u w:val="none"/>
    </w:rPr>
  </w:style>
  <w:style w:type="character" w:customStyle="1" w:styleId="38">
    <w:name w:val="font51"/>
    <w:basedOn w:val="27"/>
    <w:qFormat/>
    <w:uiPriority w:val="0"/>
    <w:rPr>
      <w:rFonts w:hint="eastAsia" w:ascii="宋体" w:hAnsi="宋体" w:eastAsia="宋体" w:cs="宋体"/>
      <w:b/>
      <w:bCs/>
      <w:color w:val="000000"/>
      <w:sz w:val="18"/>
      <w:szCs w:val="18"/>
      <w:u w:val="none"/>
    </w:rPr>
  </w:style>
  <w:style w:type="character" w:customStyle="1" w:styleId="39">
    <w:name w:val="font21"/>
    <w:basedOn w:val="27"/>
    <w:qFormat/>
    <w:uiPriority w:val="0"/>
    <w:rPr>
      <w:rFonts w:hint="eastAsia" w:ascii="宋体" w:hAnsi="宋体" w:eastAsia="宋体" w:cs="宋体"/>
      <w:color w:val="000000"/>
      <w:sz w:val="18"/>
      <w:szCs w:val="18"/>
      <w:u w:val="none"/>
    </w:rPr>
  </w:style>
  <w:style w:type="character" w:customStyle="1" w:styleId="40">
    <w:name w:val="font61"/>
    <w:basedOn w:val="27"/>
    <w:qFormat/>
    <w:uiPriority w:val="0"/>
    <w:rPr>
      <w:rFonts w:hint="eastAsia" w:ascii="宋体" w:hAnsi="宋体" w:eastAsia="宋体" w:cs="宋体"/>
      <w:color w:val="000000"/>
      <w:sz w:val="18"/>
      <w:szCs w:val="18"/>
      <w:u w:val="none"/>
    </w:rPr>
  </w:style>
  <w:style w:type="character" w:customStyle="1" w:styleId="41">
    <w:name w:val="font31"/>
    <w:basedOn w:val="27"/>
    <w:qFormat/>
    <w:uiPriority w:val="0"/>
    <w:rPr>
      <w:rFonts w:hint="eastAsia" w:ascii="宋体" w:hAnsi="宋体" w:eastAsia="宋体" w:cs="宋体"/>
      <w:b/>
      <w:bCs/>
      <w:color w:val="000000"/>
      <w:sz w:val="18"/>
      <w:szCs w:val="18"/>
      <w:u w:val="none"/>
    </w:rPr>
  </w:style>
  <w:style w:type="character" w:customStyle="1" w:styleId="42">
    <w:name w:val="font101"/>
    <w:basedOn w:val="27"/>
    <w:qFormat/>
    <w:uiPriority w:val="0"/>
    <w:rPr>
      <w:rFonts w:hint="eastAsia" w:ascii="宋体" w:hAnsi="宋体" w:eastAsia="宋体" w:cs="宋体"/>
      <w:color w:val="000000"/>
      <w:sz w:val="18"/>
      <w:szCs w:val="18"/>
      <w:u w:val="none"/>
    </w:rPr>
  </w:style>
  <w:style w:type="character" w:customStyle="1" w:styleId="43">
    <w:name w:val="font01"/>
    <w:basedOn w:val="27"/>
    <w:qFormat/>
    <w:uiPriority w:val="0"/>
    <w:rPr>
      <w:rFonts w:hint="eastAsia" w:ascii="宋体" w:hAnsi="宋体" w:eastAsia="宋体" w:cs="宋体"/>
      <w:color w:val="000000"/>
      <w:sz w:val="18"/>
      <w:szCs w:val="18"/>
      <w:u w:val="none"/>
    </w:rPr>
  </w:style>
  <w:style w:type="character" w:customStyle="1" w:styleId="44">
    <w:name w:val="NormalCharacter"/>
    <w:qFormat/>
    <w:uiPriority w:val="0"/>
  </w:style>
  <w:style w:type="character" w:customStyle="1" w:styleId="45">
    <w:name w:val="标题 1 Char"/>
    <w:link w:val="4"/>
    <w:qFormat/>
    <w:uiPriority w:val="0"/>
    <w:rPr>
      <w:rFonts w:hint="default" w:ascii="Times New Roman" w:hAnsi="Times New Roman" w:eastAsia="宋体" w:cs="Times New Roman"/>
      <w:b/>
      <w:bCs/>
      <w:kern w:val="44"/>
      <w:sz w:val="44"/>
      <w:szCs w:val="44"/>
      <w:lang w:val="en-US" w:eastAsia="zh-CN" w:bidi="ar"/>
    </w:rPr>
  </w:style>
  <w:style w:type="paragraph" w:styleId="46">
    <w:name w:val="List Paragraph"/>
    <w:basedOn w:val="1"/>
    <w:qFormat/>
    <w:uiPriority w:val="1"/>
    <w:pPr>
      <w:widowControl w:val="0"/>
      <w:spacing w:line="360" w:lineRule="auto"/>
      <w:ind w:left="720" w:firstLine="420" w:firstLineChars="200"/>
      <w:jc w:val="both"/>
    </w:pPr>
    <w:rPr>
      <w:rFonts w:ascii="Calibri" w:hAnsi="Calibri"/>
      <w:kern w:val="2"/>
      <w:sz w:val="21"/>
      <w:szCs w:val="22"/>
    </w:rPr>
  </w:style>
  <w:style w:type="character" w:customStyle="1" w:styleId="47">
    <w:name w:val="font11"/>
    <w:basedOn w:val="27"/>
    <w:qFormat/>
    <w:uiPriority w:val="0"/>
    <w:rPr>
      <w:rFonts w:hint="eastAsia" w:ascii="黑体" w:hAnsi="宋体" w:eastAsia="黑体" w:cs="黑体"/>
      <w:color w:val="000000"/>
      <w:sz w:val="21"/>
      <w:szCs w:val="21"/>
      <w:u w:val="none"/>
    </w:rPr>
  </w:style>
  <w:style w:type="paragraph" w:customStyle="1" w:styleId="48">
    <w:name w:val="样式2"/>
    <w:basedOn w:val="1"/>
    <w:qFormat/>
    <w:uiPriority w:val="0"/>
    <w:pPr>
      <w:widowControl w:val="0"/>
      <w:jc w:val="both"/>
    </w:pPr>
    <w:rPr>
      <w:rFonts w:ascii="仿宋_GB2312" w:eastAsia="仿宋_GB2312"/>
      <w:kern w:val="2"/>
      <w:sz w:val="32"/>
    </w:rPr>
  </w:style>
  <w:style w:type="table" w:customStyle="1" w:styleId="49">
    <w:name w:val="Table Normal"/>
    <w:semiHidden/>
    <w:unhideWhenUsed/>
    <w:qFormat/>
    <w:uiPriority w:val="0"/>
    <w:tblPr>
      <w:tblCellMar>
        <w:top w:w="0" w:type="dxa"/>
        <w:left w:w="0" w:type="dxa"/>
        <w:bottom w:w="0" w:type="dxa"/>
        <w:right w:w="0" w:type="dxa"/>
      </w:tblCellMar>
    </w:tblPr>
  </w:style>
  <w:style w:type="paragraph" w:customStyle="1" w:styleId="50">
    <w:name w:val="Table Text"/>
    <w:basedOn w:val="1"/>
    <w:semiHidden/>
    <w:qFormat/>
    <w:uiPriority w:val="0"/>
    <w:rPr>
      <w:rFonts w:ascii="宋体" w:hAnsi="宋体" w:eastAsia="宋体" w:cs="宋体"/>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24727</Words>
  <Characters>25954</Characters>
  <Lines>0</Lines>
  <Paragraphs>0</Paragraphs>
  <TotalTime>30</TotalTime>
  <ScaleCrop>false</ScaleCrop>
  <LinksUpToDate>false</LinksUpToDate>
  <CharactersWithSpaces>27739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2022-11-04T01:10:00Z</dcterms:created>
  <dc:creator>Administrator</dc:creator>
  <cp:lastModifiedBy>  谜</cp:lastModifiedBy>
  <dcterms:modified xsi:type="dcterms:W3CDTF">2024-02-02T05:32:33Z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0ABFA12AA7F14BD09141793A131BD29F_13</vt:lpwstr>
  </property>
</Properties>
</file>