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黑体" w:hAnsi="宋体" w:eastAsia="黑体" w:cs="黑体"/>
          <w:b/>
          <w:bCs/>
          <w:caps w:val="0"/>
          <w:color w:val="000000"/>
          <w:sz w:val="32"/>
          <w:szCs w:val="32"/>
          <w:highlight w:val="none"/>
          <w:vertAlign w:val="baseline"/>
        </w:rPr>
      </w:pPr>
      <w:bookmarkStart w:id="0" w:name="_Toc98580390"/>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黑体" w:hAnsi="宋体" w:eastAsia="黑体" w:cs="黑体"/>
          <w:b/>
          <w:bCs/>
          <w:caps w:val="0"/>
          <w:color w:val="000000"/>
          <w:sz w:val="32"/>
          <w:szCs w:val="32"/>
          <w:highlight w:val="none"/>
          <w:vertAlign w:val="baseline"/>
        </w:rPr>
      </w:pP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黑体" w:hAnsi="宋体" w:eastAsia="黑体" w:cs="黑体"/>
          <w:b/>
          <w:bCs/>
          <w:caps w:val="0"/>
          <w:color w:val="000000"/>
          <w:sz w:val="32"/>
          <w:szCs w:val="32"/>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32"/>
          <w:szCs w:val="32"/>
          <w:highlight w:val="none"/>
          <w:vertAlign w:val="baseline"/>
        </w:rPr>
      </w:pPr>
      <w:bookmarkStart w:id="1" w:name="_Hlk64874400"/>
      <w:bookmarkEnd w:id="1"/>
      <w:r>
        <w:rPr>
          <w:rFonts w:hint="eastAsia" w:ascii="宋体" w:hAnsi="宋体" w:eastAsia="宋体" w:cs="Times New Roman"/>
          <w:b/>
          <w:bCs/>
          <w:caps w:val="0"/>
          <w:snapToGrid/>
          <w:color w:val="000000"/>
          <w:spacing w:val="0"/>
          <w:w w:val="100"/>
          <w:kern w:val="0"/>
          <w:position w:val="0"/>
          <w:sz w:val="44"/>
          <w:szCs w:val="44"/>
          <w:highlight w:val="none"/>
          <w:u w:val="none" w:color="auto"/>
          <w:vertAlign w:val="baseline"/>
          <w:lang w:val="en-US" w:eastAsia="zh-CN" w:bidi="ar"/>
        </w:rPr>
        <w:t>双辽市中心医院采购医保DRG运营管理系统</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黑体" w:hAnsi="宋体" w:eastAsia="黑体" w:cs="黑体"/>
          <w:b/>
          <w:bCs/>
          <w:caps w:val="0"/>
          <w:color w:val="000000"/>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黑体" w:hAnsi="宋体" w:eastAsia="黑体" w:cs="黑体"/>
          <w:b/>
          <w:bCs/>
          <w:caps w:val="0"/>
          <w:color w:val="000000"/>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8"/>
          <w:szCs w:val="28"/>
          <w:highlight w:val="none"/>
          <w:vertAlign w:val="baseline"/>
        </w:rPr>
      </w:pPr>
    </w:p>
    <w:p>
      <w:pPr>
        <w:pStyle w:val="2"/>
        <w:numPr>
          <w:ilvl w:val="-1"/>
          <w:numId w:val="0"/>
        </w:numPr>
        <w:ind w:left="540"/>
        <w:rPr>
          <w:rFonts w:hint="eastAsia"/>
          <w:highlight w:val="no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32"/>
          <w:szCs w:val="32"/>
          <w:highlight w:val="none"/>
          <w:vertAlign w:val="baseline"/>
        </w:rPr>
      </w:pP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b/>
          <w:bCs/>
          <w:caps w:val="0"/>
          <w:color w:val="000000"/>
          <w:spacing w:val="0"/>
          <w:kern w:val="0"/>
          <w:sz w:val="52"/>
          <w:szCs w:val="52"/>
          <w:highlight w:val="none"/>
          <w:u w:val="none" w:color="auto"/>
          <w:vertAlign w:val="baseline"/>
          <w:lang w:val="en-US" w:eastAsia="zh-CN" w:bidi="ar"/>
        </w:rPr>
      </w:pPr>
      <w:r>
        <w:rPr>
          <w:rFonts w:hint="eastAsia" w:ascii="宋体" w:hAnsi="宋体" w:eastAsia="宋体" w:cs="Times New Roman"/>
          <w:b/>
          <w:bCs/>
          <w:caps w:val="0"/>
          <w:color w:val="000000"/>
          <w:spacing w:val="0"/>
          <w:kern w:val="0"/>
          <w:sz w:val="52"/>
          <w:szCs w:val="52"/>
          <w:highlight w:val="none"/>
          <w:u w:val="none" w:color="auto"/>
          <w:vertAlign w:val="baseline"/>
          <w:lang w:val="en-US" w:eastAsia="zh-CN" w:bidi="ar"/>
        </w:rPr>
        <w:t>竞争性磋商文件</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华文行楷" w:hAnsi="华文行楷" w:eastAsia="华文行楷" w:cs="华文行楷"/>
          <w:b/>
          <w:bCs/>
          <w:caps w:val="0"/>
          <w:color w:val="000000"/>
          <w:spacing w:val="360"/>
          <w:kern w:val="0"/>
          <w:sz w:val="72"/>
          <w:szCs w:val="72"/>
          <w:highlight w:val="none"/>
          <w:vertAlign w:val="baseline"/>
          <w:lang w:val="en-US" w:eastAsia="zh-CN" w:bidi="ar"/>
        </w:rPr>
      </w:pPr>
      <w:r>
        <w:rPr>
          <w:rFonts w:hint="eastAsia" w:ascii="宋体" w:hAnsi="宋体" w:eastAsia="宋体" w:cs="宋体"/>
          <w:b/>
          <w:bCs/>
          <w:caps w:val="0"/>
          <w:color w:val="000000"/>
          <w:kern w:val="0"/>
          <w:sz w:val="32"/>
          <w:szCs w:val="32"/>
          <w:highlight w:val="none"/>
          <w:vertAlign w:val="baseline"/>
          <w:lang w:val="en-US" w:eastAsia="zh-CN" w:bidi="ar"/>
        </w:rPr>
        <w:t>项目编号：</w:t>
      </w:r>
      <w:bookmarkStart w:id="2" w:name="_Hlk64874388"/>
      <w:bookmarkEnd w:id="2"/>
      <w:r>
        <w:rPr>
          <w:rFonts w:hint="eastAsia" w:ascii="宋体" w:hAnsi="宋体" w:cs="Times New Roman"/>
          <w:b/>
          <w:bCs/>
          <w:caps w:val="0"/>
          <w:snapToGrid/>
          <w:color w:val="000000"/>
          <w:spacing w:val="0"/>
          <w:w w:val="100"/>
          <w:kern w:val="0"/>
          <w:position w:val="0"/>
          <w:sz w:val="32"/>
          <w:szCs w:val="20"/>
          <w:highlight w:val="none"/>
          <w:u w:val="none" w:color="auto"/>
          <w:vertAlign w:val="baseline"/>
          <w:lang w:val="en-US" w:eastAsia="zh-CN" w:bidi="ar"/>
        </w:rPr>
        <w:t>采购计划-[2023]-00002号-2023JLKR1104</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黑体" w:hAnsi="宋体" w:eastAsia="黑体" w:cs="黑体"/>
          <w:b/>
          <w:bCs/>
          <w:caps w:val="0"/>
          <w:color w:val="000000"/>
          <w:sz w:val="32"/>
          <w:szCs w:val="32"/>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32"/>
          <w:szCs w:val="32"/>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highlight w:val="none"/>
          <w:vertAlign w:val="baseline"/>
        </w:rPr>
      </w:pPr>
    </w:p>
    <w:p>
      <w:pPr>
        <w:pStyle w:val="2"/>
        <w:numPr>
          <w:ilvl w:val="-1"/>
          <w:numId w:val="0"/>
        </w:numPr>
        <w:ind w:left="540"/>
        <w:rPr>
          <w:rFonts w:hint="eastAsia"/>
          <w:highlight w:val="no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0"/>
        <w:jc w:val="center"/>
        <w:outlineLvl w:val="9"/>
        <w:rPr>
          <w:rFonts w:hint="eastAsia" w:ascii="宋体" w:hAnsi="宋体" w:eastAsia="宋体" w:cs="宋体"/>
          <w:caps w:val="0"/>
          <w:color w:val="000000"/>
          <w:sz w:val="18"/>
          <w:szCs w:val="1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0"/>
        <w:jc w:val="center"/>
        <w:outlineLvl w:val="9"/>
        <w:rPr>
          <w:rFonts w:hint="eastAsia" w:ascii="宋体" w:hAnsi="宋体" w:eastAsia="宋体" w:cs="宋体"/>
          <w:caps w:val="0"/>
          <w:color w:val="000000"/>
          <w:sz w:val="18"/>
          <w:szCs w:val="1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562" w:firstLineChars="200"/>
        <w:jc w:val="left"/>
        <w:outlineLvl w:val="9"/>
        <w:rPr>
          <w:rFonts w:hint="eastAsia" w:ascii="宋体" w:hAnsi="宋体" w:eastAsia="宋体" w:cs="宋体"/>
          <w:b/>
          <w:bCs/>
          <w:caps w:val="0"/>
          <w:color w:val="000000"/>
          <w:kern w:val="0"/>
          <w:sz w:val="28"/>
          <w:szCs w:val="28"/>
          <w:highlight w:val="none"/>
          <w:vertAlign w:val="baseline"/>
          <w:lang w:val="en-US"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562" w:firstLineChars="200"/>
        <w:jc w:val="left"/>
        <w:outlineLvl w:val="9"/>
        <w:rPr>
          <w:rFonts w:hint="eastAsia" w:ascii="宋体" w:hAnsi="宋体" w:eastAsia="宋体" w:cs="宋体"/>
          <w:b/>
          <w:bCs/>
          <w:caps w:val="0"/>
          <w:color w:val="000000"/>
          <w:sz w:val="28"/>
          <w:szCs w:val="28"/>
          <w:highlight w:val="none"/>
          <w:u w:val="single"/>
          <w:vertAlign w:val="baseline"/>
        </w:rPr>
      </w:pPr>
      <w:r>
        <w:rPr>
          <w:rFonts w:hint="eastAsia" w:ascii="宋体" w:hAnsi="宋体" w:eastAsia="宋体" w:cs="宋体"/>
          <w:b/>
          <w:bCs/>
          <w:caps w:val="0"/>
          <w:color w:val="000000"/>
          <w:kern w:val="0"/>
          <w:sz w:val="28"/>
          <w:szCs w:val="28"/>
          <w:highlight w:val="none"/>
          <w:vertAlign w:val="baseline"/>
          <w:lang w:val="en-US" w:eastAsia="zh-CN" w:bidi="ar"/>
        </w:rPr>
        <w:t>采   购   人：</w:t>
      </w:r>
      <w:r>
        <w:rPr>
          <w:rFonts w:hint="eastAsia" w:ascii="宋体" w:hAnsi="宋体" w:eastAsia="宋体" w:cs="宋体"/>
          <w:b/>
          <w:bCs/>
          <w:caps w:val="0"/>
          <w:color w:val="000000"/>
          <w:kern w:val="0"/>
          <w:sz w:val="28"/>
          <w:szCs w:val="28"/>
          <w:highlight w:val="none"/>
          <w:u w:val="single"/>
          <w:vertAlign w:val="baseline"/>
          <w:lang w:val="en-US" w:eastAsia="zh-CN" w:bidi="ar"/>
        </w:rPr>
        <w:t xml:space="preserve"> </w:t>
      </w:r>
      <w:r>
        <w:rPr>
          <w:rFonts w:hint="eastAsia" w:ascii="宋体" w:hAnsi="宋体" w:eastAsia="宋体" w:cs="宋体"/>
          <w:b/>
          <w:bCs/>
          <w:caps w:val="0"/>
          <w:snapToGrid/>
          <w:color w:val="000000"/>
          <w:spacing w:val="0"/>
          <w:w w:val="100"/>
          <w:kern w:val="0"/>
          <w:position w:val="0"/>
          <w:sz w:val="28"/>
          <w:szCs w:val="28"/>
          <w:highlight w:val="none"/>
          <w:u w:val="single" w:color="auto"/>
          <w:vertAlign w:val="baseline"/>
          <w:lang w:val="en-US" w:eastAsia="zh-CN" w:bidi="ar"/>
        </w:rPr>
        <w:t>双辽市中心医院</w:t>
      </w:r>
      <w:r>
        <w:rPr>
          <w:rFonts w:hint="eastAsia" w:ascii="宋体" w:hAnsi="宋体" w:eastAsia="宋体" w:cs="宋体"/>
          <w:b/>
          <w:bCs/>
          <w:caps w:val="0"/>
          <w:color w:val="000000"/>
          <w:kern w:val="0"/>
          <w:sz w:val="28"/>
          <w:szCs w:val="28"/>
          <w:highlight w:val="none"/>
          <w:u w:val="single"/>
          <w:vertAlign w:val="baseline"/>
          <w:lang w:val="en-US" w:eastAsia="zh-CN" w:bidi="ar"/>
        </w:rPr>
        <w:t>（盖章）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562" w:firstLineChars="200"/>
        <w:jc w:val="left"/>
        <w:outlineLvl w:val="9"/>
        <w:rPr>
          <w:rFonts w:hint="eastAsia" w:ascii="宋体" w:hAnsi="宋体" w:eastAsia="宋体" w:cs="宋体"/>
          <w:b/>
          <w:bCs/>
          <w:caps w:val="0"/>
          <w:color w:val="000000"/>
          <w:sz w:val="28"/>
          <w:szCs w:val="28"/>
          <w:highlight w:val="none"/>
          <w:u w:val="single"/>
          <w:vertAlign w:val="baseline"/>
        </w:rPr>
      </w:pPr>
      <w:r>
        <w:rPr>
          <w:rFonts w:hint="eastAsia" w:ascii="宋体" w:hAnsi="宋体" w:eastAsia="宋体" w:cs="宋体"/>
          <w:b/>
          <w:bCs/>
          <w:caps w:val="0"/>
          <w:color w:val="000000"/>
          <w:kern w:val="0"/>
          <w:sz w:val="28"/>
          <w:szCs w:val="28"/>
          <w:highlight w:val="none"/>
          <w:vertAlign w:val="baseline"/>
          <w:lang w:val="en-US" w:eastAsia="zh-CN" w:bidi="ar"/>
        </w:rPr>
        <w:t>采购代理机构：</w:t>
      </w:r>
      <w:r>
        <w:rPr>
          <w:rFonts w:hint="eastAsia" w:ascii="宋体" w:hAnsi="宋体" w:eastAsia="宋体" w:cs="宋体"/>
          <w:b/>
          <w:bCs/>
          <w:caps w:val="0"/>
          <w:color w:val="000000"/>
          <w:kern w:val="0"/>
          <w:sz w:val="28"/>
          <w:szCs w:val="28"/>
          <w:highlight w:val="none"/>
          <w:u w:val="single"/>
          <w:vertAlign w:val="baseline"/>
          <w:lang w:val="en-US" w:eastAsia="zh-CN" w:bidi="ar"/>
        </w:rPr>
        <w:t xml:space="preserve"> </w:t>
      </w:r>
      <w:bookmarkStart w:id="3" w:name="sendDeptName"/>
      <w:r>
        <w:rPr>
          <w:rFonts w:hint="eastAsia" w:ascii="宋体" w:hAnsi="宋体" w:eastAsia="宋体" w:cs="宋体"/>
          <w:b/>
          <w:bCs/>
          <w:caps w:val="0"/>
          <w:snapToGrid/>
          <w:color w:val="000000"/>
          <w:spacing w:val="0"/>
          <w:w w:val="100"/>
          <w:kern w:val="0"/>
          <w:position w:val="0"/>
          <w:sz w:val="28"/>
          <w:szCs w:val="28"/>
          <w:highlight w:val="none"/>
          <w:u w:val="single" w:color="auto"/>
          <w:vertAlign w:val="baseline"/>
          <w:lang w:val="en-US" w:eastAsia="zh-CN" w:bidi="ar"/>
        </w:rPr>
        <w:t>吉林省铠融项目管理咨询有限公司</w:t>
      </w:r>
      <w:bookmarkEnd w:id="3"/>
      <w:r>
        <w:rPr>
          <w:rFonts w:hint="eastAsia" w:ascii="宋体" w:hAnsi="宋体" w:eastAsia="宋体" w:cs="宋体"/>
          <w:b/>
          <w:bCs/>
          <w:caps w:val="0"/>
          <w:color w:val="000000"/>
          <w:kern w:val="0"/>
          <w:sz w:val="28"/>
          <w:szCs w:val="28"/>
          <w:highlight w:val="none"/>
          <w:u w:val="single"/>
          <w:vertAlign w:val="baseline"/>
          <w:lang w:val="en-US" w:eastAsia="zh-CN" w:bidi="ar"/>
        </w:rPr>
        <w:t xml:space="preserve"> （盖章）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562" w:firstLineChars="200"/>
        <w:jc w:val="center"/>
        <w:outlineLvl w:val="9"/>
        <w:rPr>
          <w:rFonts w:hint="eastAsia" w:ascii="宋体" w:hAnsi="宋体" w:eastAsia="宋体" w:cs="宋体"/>
          <w:b/>
          <w:bCs/>
          <w:caps w:val="0"/>
          <w:color w:val="000000"/>
          <w:kern w:val="0"/>
          <w:sz w:val="28"/>
          <w:szCs w:val="28"/>
          <w:highlight w:val="none"/>
          <w:u w:val="single" w:color="auto"/>
          <w:vertAlign w:val="baseline"/>
          <w:lang w:bidi="ar"/>
        </w:rPr>
      </w:pPr>
      <w:r>
        <w:rPr>
          <w:rFonts w:hint="eastAsia" w:ascii="宋体" w:hAnsi="宋体" w:eastAsia="宋体" w:cs="宋体"/>
          <w:b/>
          <w:bCs/>
          <w:caps w:val="0"/>
          <w:color w:val="000000"/>
          <w:kern w:val="0"/>
          <w:sz w:val="28"/>
          <w:szCs w:val="28"/>
          <w:highlight w:val="none"/>
          <w:u w:val="single" w:color="auto"/>
          <w:vertAlign w:val="baseline"/>
          <w:lang w:val="en-US" w:eastAsia="zh-CN" w:bidi="ar"/>
        </w:rPr>
        <w:t xml:space="preserve">日     期： </w:t>
      </w:r>
      <w:bookmarkStart w:id="4" w:name="receiveDate"/>
      <w:r>
        <w:rPr>
          <w:rFonts w:hint="eastAsia" w:ascii="宋体" w:hAnsi="宋体" w:eastAsia="宋体" w:cs="宋体"/>
          <w:b/>
          <w:bCs/>
          <w:caps w:val="0"/>
          <w:snapToGrid/>
          <w:color w:val="000000"/>
          <w:spacing w:val="0"/>
          <w:w w:val="100"/>
          <w:kern w:val="0"/>
          <w:position w:val="0"/>
          <w:sz w:val="28"/>
          <w:szCs w:val="28"/>
          <w:highlight w:val="none"/>
          <w:u w:val="single" w:color="auto"/>
          <w:vertAlign w:val="baseline"/>
          <w:lang w:val="en-US" w:eastAsia="zh-CN" w:bidi="ar"/>
        </w:rPr>
        <w:t>2023年1</w:t>
      </w:r>
      <w:r>
        <w:rPr>
          <w:rFonts w:hint="eastAsia" w:ascii="宋体" w:hAnsi="宋体" w:eastAsia="宋体" w:cs="宋体"/>
          <w:b/>
          <w:bCs/>
          <w:caps w:val="0"/>
          <w:snapToGrid/>
          <w:color w:val="000000"/>
          <w:spacing w:val="0"/>
          <w:w w:val="100"/>
          <w:kern w:val="0"/>
          <w:position w:val="0"/>
          <w:sz w:val="28"/>
          <w:szCs w:val="28"/>
          <w:highlight w:val="none"/>
          <w:u w:val="single" w:color="auto"/>
          <w:vertAlign w:val="baseline"/>
          <w:lang w:val="en-US" w:eastAsia="zh-CN" w:bidi="ar"/>
        </w:rPr>
        <w:t>2</w:t>
      </w:r>
      <w:r>
        <w:rPr>
          <w:rFonts w:hint="eastAsia" w:ascii="宋体" w:hAnsi="宋体" w:eastAsia="宋体" w:cs="宋体"/>
          <w:b/>
          <w:bCs/>
          <w:caps w:val="0"/>
          <w:snapToGrid/>
          <w:color w:val="000000"/>
          <w:spacing w:val="0"/>
          <w:w w:val="100"/>
          <w:kern w:val="0"/>
          <w:position w:val="0"/>
          <w:sz w:val="28"/>
          <w:szCs w:val="28"/>
          <w:highlight w:val="none"/>
          <w:u w:val="single" w:color="auto"/>
          <w:vertAlign w:val="baseline"/>
          <w:lang w:val="en-US" w:eastAsia="zh-CN" w:bidi="ar"/>
        </w:rPr>
        <w:t>月</w:t>
      </w:r>
      <w:bookmarkEnd w:id="4"/>
    </w:p>
    <w:p>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60" w:lineRule="auto"/>
        <w:ind w:left="0" w:right="521" w:rightChars="248" w:firstLine="0"/>
        <w:jc w:val="center"/>
        <w:outlineLvl w:val="9"/>
        <w:rPr>
          <w:rFonts w:hint="default" w:ascii="Times New Roman" w:hAnsi="Times New Roman" w:eastAsia="华文中宋" w:cs="Times New Roman"/>
          <w:b/>
          <w:bCs/>
          <w:caps w:val="0"/>
          <w:color w:val="000000"/>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32"/>
          <w:szCs w:val="32"/>
          <w:highlight w:val="none"/>
          <w:vertAlign w:val="baseline"/>
        </w:rPr>
      </w:pPr>
    </w:p>
    <w:p>
      <w:pPr>
        <w:keepNext w:val="0"/>
        <w:keepLines w:val="0"/>
        <w:pageBreakBefore w:val="0"/>
        <w:widowControl/>
        <w:suppressLineNumbers w:val="0"/>
        <w:tabs>
          <w:tab w:val="left" w:pos="9379"/>
        </w:tabs>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36"/>
          <w:szCs w:val="36"/>
          <w:highlight w:val="none"/>
          <w:vertAlign w:val="baseline"/>
        </w:rPr>
      </w:pPr>
      <w:bookmarkStart w:id="5" w:name="_Toc98580389"/>
    </w:p>
    <w:p>
      <w:pPr>
        <w:keepNext w:val="0"/>
        <w:keepLines w:val="0"/>
        <w:pageBreakBefore w:val="0"/>
        <w:widowControl/>
        <w:suppressLineNumbers w:val="0"/>
        <w:tabs>
          <w:tab w:val="left" w:pos="9379"/>
        </w:tabs>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36"/>
          <w:szCs w:val="36"/>
          <w:highlight w:val="none"/>
          <w:vertAlign w:val="baseline"/>
        </w:rPr>
      </w:pPr>
      <w:r>
        <w:rPr>
          <w:rFonts w:hint="eastAsia" w:ascii="宋体" w:hAnsi="宋体" w:eastAsia="宋体" w:cs="宋体"/>
          <w:b/>
          <w:bCs/>
          <w:caps w:val="0"/>
          <w:color w:val="000000"/>
          <w:kern w:val="0"/>
          <w:sz w:val="36"/>
          <w:szCs w:val="36"/>
          <w:highlight w:val="none"/>
          <w:vertAlign w:val="baseline"/>
          <w:lang w:val="en-US" w:eastAsia="zh-CN" w:bidi="ar"/>
        </w:rPr>
        <w:t>目　　录</w:t>
      </w:r>
    </w:p>
    <w:p>
      <w:pPr>
        <w:pStyle w:val="18"/>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eastAsia" w:ascii="宋体" w:hAnsi="宋体" w:eastAsia="宋体" w:cs="Arial"/>
          <w:b w:val="0"/>
          <w:bCs w:val="0"/>
          <w:caps/>
          <w:color w:val="000000"/>
          <w:kern w:val="2"/>
          <w:sz w:val="32"/>
          <w:szCs w:val="32"/>
          <w:highlight w:val="none"/>
          <w:u w:val="none"/>
          <w:vertAlign w:val="baseline"/>
          <w:lang w:bidi="ar"/>
        </w:rPr>
      </w:pPr>
      <w:r>
        <w:rPr>
          <w:rFonts w:hint="eastAsia" w:ascii="宋体" w:hAnsi="宋体" w:eastAsia="宋体" w:cs="宋体"/>
          <w:b w:val="0"/>
          <w:bCs w:val="0"/>
          <w:caps/>
          <w:color w:val="000000"/>
          <w:kern w:val="0"/>
          <w:sz w:val="32"/>
          <w:szCs w:val="32"/>
          <w:highlight w:val="none"/>
          <w:u w:val="none"/>
          <w:vertAlign w:val="baseline"/>
          <w:lang w:val="en-US" w:eastAsia="zh-CN" w:bidi="ar"/>
        </w:rPr>
        <w:fldChar w:fldCharType="begin"/>
      </w:r>
      <w:r>
        <w:rPr>
          <w:rFonts w:hint="eastAsia" w:ascii="宋体" w:hAnsi="宋体" w:eastAsia="宋体" w:cs="宋体"/>
          <w:b w:val="0"/>
          <w:bCs w:val="0"/>
          <w:caps/>
          <w:color w:val="000000"/>
          <w:kern w:val="0"/>
          <w:sz w:val="32"/>
          <w:szCs w:val="32"/>
          <w:highlight w:val="none"/>
          <w:u w:val="none"/>
          <w:vertAlign w:val="baseline"/>
          <w:lang w:val="en-US" w:eastAsia="zh-CN" w:bidi="ar"/>
        </w:rPr>
        <w:instrText xml:space="preserve">TOC \o "1-1" \h \z \u </w:instrText>
      </w:r>
      <w:r>
        <w:rPr>
          <w:rFonts w:hint="eastAsia" w:ascii="宋体" w:hAnsi="宋体" w:eastAsia="宋体" w:cs="宋体"/>
          <w:b w:val="0"/>
          <w:bCs w:val="0"/>
          <w:caps/>
          <w:color w:val="000000"/>
          <w:kern w:val="0"/>
          <w:sz w:val="32"/>
          <w:szCs w:val="32"/>
          <w:highlight w:val="none"/>
          <w:u w:val="none"/>
          <w:vertAlign w:val="baseline"/>
          <w:lang w:val="en-US" w:eastAsia="zh-CN" w:bidi="ar"/>
        </w:rPr>
        <w:fldChar w:fldCharType="separate"/>
      </w:r>
      <w:r>
        <w:rPr>
          <w:rFonts w:ascii="Calibri" w:hAnsi="Calibri" w:eastAsia="宋体" w:cs="Calibri"/>
          <w:b/>
          <w:bCs/>
          <w:caps/>
          <w:snapToGrid/>
          <w:kern w:val="0"/>
          <w:sz w:val="20"/>
          <w:szCs w:val="20"/>
          <w:highlight w:val="none"/>
          <w:lang w:val="en-US" w:eastAsia="zh-CN" w:bidi="ar"/>
        </w:rPr>
        <w:fldChar w:fldCharType="begin"/>
      </w:r>
      <w:r>
        <w:rPr>
          <w:rFonts w:ascii="Calibri" w:hAnsi="Calibri" w:eastAsia="宋体" w:cs="Calibri"/>
          <w:b/>
          <w:bCs/>
          <w:caps/>
          <w:snapToGrid/>
          <w:kern w:val="0"/>
          <w:sz w:val="20"/>
          <w:szCs w:val="20"/>
          <w:highlight w:val="none"/>
          <w:lang w:val="en-US" w:eastAsia="zh-CN" w:bidi="ar"/>
        </w:rPr>
        <w:instrText xml:space="preserve"> HYPERLINK "" \l "_Toc54891392" </w:instrText>
      </w:r>
      <w:r>
        <w:rPr>
          <w:rFonts w:ascii="Calibri" w:hAnsi="Calibri" w:eastAsia="宋体" w:cs="Calibri"/>
          <w:b/>
          <w:bCs/>
          <w:caps/>
          <w:snapToGrid/>
          <w:kern w:val="0"/>
          <w:sz w:val="20"/>
          <w:szCs w:val="20"/>
          <w:highlight w:val="none"/>
          <w:lang w:val="en-US" w:eastAsia="zh-CN" w:bidi="ar"/>
        </w:rPr>
        <w:fldChar w:fldCharType="separate"/>
      </w:r>
      <w:r>
        <w:rPr>
          <w:rStyle w:val="27"/>
          <w:rFonts w:hint="eastAsia" w:ascii="宋体" w:hAnsi="宋体" w:eastAsia="宋体" w:cs="宋体"/>
          <w:b/>
          <w:bCs/>
          <w:caps/>
          <w:color w:val="000000"/>
          <w:sz w:val="32"/>
          <w:szCs w:val="32"/>
          <w:highlight w:val="none"/>
          <w:u w:val="none"/>
          <w:vertAlign w:val="baseline"/>
        </w:rPr>
        <w:t>第一部分  招标公告</w:t>
      </w:r>
      <w:r>
        <w:rPr>
          <w:rStyle w:val="27"/>
          <w:rFonts w:hint="eastAsia" w:ascii="宋体" w:hAnsi="宋体" w:eastAsia="宋体" w:cs="宋体"/>
          <w:b/>
          <w:bCs/>
          <w:caps/>
          <w:color w:val="000000"/>
          <w:sz w:val="32"/>
          <w:szCs w:val="32"/>
          <w:highlight w:val="none"/>
          <w:u w:val="none"/>
          <w:vertAlign w:val="baseline"/>
        </w:rPr>
        <w:tab/>
      </w:r>
      <w:r>
        <w:rPr>
          <w:rStyle w:val="27"/>
          <w:rFonts w:hint="eastAsia" w:ascii="宋体" w:hAnsi="宋体" w:cs="宋体"/>
          <w:b/>
          <w:bCs/>
          <w:caps/>
          <w:vanish w:val="0"/>
          <w:color w:val="000000"/>
          <w:sz w:val="32"/>
          <w:szCs w:val="32"/>
          <w:highlight w:val="none"/>
          <w:u w:val="none"/>
          <w:vertAlign w:val="baseline"/>
          <w:lang w:val="en-US" w:eastAsia="zh-CN"/>
        </w:rPr>
        <w:t>1</w:t>
      </w:r>
      <w:r>
        <w:rPr>
          <w:rFonts w:ascii="Calibri" w:hAnsi="Calibri" w:eastAsia="宋体" w:cs="Calibri"/>
          <w:b/>
          <w:bCs/>
          <w:caps/>
          <w:snapToGrid/>
          <w:kern w:val="0"/>
          <w:sz w:val="20"/>
          <w:szCs w:val="20"/>
          <w:highlight w:val="none"/>
          <w:lang w:val="en-US" w:eastAsia="zh-CN" w:bidi="ar"/>
        </w:rPr>
        <w:fldChar w:fldCharType="end"/>
      </w:r>
    </w:p>
    <w:p>
      <w:pPr>
        <w:pStyle w:val="18"/>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eastAsia" w:ascii="宋体" w:hAnsi="宋体" w:eastAsia="宋体" w:cs="Arial"/>
          <w:b w:val="0"/>
          <w:bCs w:val="0"/>
          <w:caps/>
          <w:color w:val="000000"/>
          <w:kern w:val="2"/>
          <w:sz w:val="32"/>
          <w:szCs w:val="32"/>
          <w:highlight w:val="none"/>
          <w:u w:val="none"/>
          <w:vertAlign w:val="baseline"/>
          <w:lang w:bidi="ar"/>
        </w:rPr>
      </w:pPr>
      <w:r>
        <w:rPr>
          <w:rFonts w:ascii="Calibri" w:hAnsi="Calibri" w:eastAsia="宋体" w:cs="Calibri"/>
          <w:b/>
          <w:bCs/>
          <w:caps/>
          <w:snapToGrid/>
          <w:kern w:val="0"/>
          <w:sz w:val="20"/>
          <w:szCs w:val="20"/>
          <w:highlight w:val="none"/>
          <w:lang w:val="en-US" w:eastAsia="zh-CN" w:bidi="ar"/>
        </w:rPr>
        <w:fldChar w:fldCharType="begin"/>
      </w:r>
      <w:r>
        <w:rPr>
          <w:rFonts w:ascii="Calibri" w:hAnsi="Calibri" w:eastAsia="宋体" w:cs="Calibri"/>
          <w:b/>
          <w:bCs/>
          <w:caps/>
          <w:snapToGrid/>
          <w:kern w:val="0"/>
          <w:sz w:val="20"/>
          <w:szCs w:val="20"/>
          <w:highlight w:val="none"/>
          <w:lang w:val="en-US" w:eastAsia="zh-CN" w:bidi="ar"/>
        </w:rPr>
        <w:instrText xml:space="preserve"> HYPERLINK "" \l "_Toc54891393" </w:instrText>
      </w:r>
      <w:r>
        <w:rPr>
          <w:rFonts w:ascii="Calibri" w:hAnsi="Calibri" w:eastAsia="宋体" w:cs="Calibri"/>
          <w:b/>
          <w:bCs/>
          <w:caps/>
          <w:snapToGrid/>
          <w:kern w:val="0"/>
          <w:sz w:val="20"/>
          <w:szCs w:val="20"/>
          <w:highlight w:val="none"/>
          <w:lang w:val="en-US" w:eastAsia="zh-CN" w:bidi="ar"/>
        </w:rPr>
        <w:fldChar w:fldCharType="separate"/>
      </w:r>
      <w:r>
        <w:rPr>
          <w:rStyle w:val="27"/>
          <w:rFonts w:hint="eastAsia" w:ascii="宋体" w:hAnsi="宋体" w:eastAsia="宋体" w:cs="宋体"/>
          <w:b/>
          <w:bCs/>
          <w:caps/>
          <w:color w:val="000000"/>
          <w:sz w:val="32"/>
          <w:szCs w:val="32"/>
          <w:highlight w:val="none"/>
          <w:u w:val="none"/>
          <w:vertAlign w:val="baseline"/>
        </w:rPr>
        <w:t>第二部分  供应商须知</w:t>
      </w:r>
      <w:r>
        <w:rPr>
          <w:rStyle w:val="27"/>
          <w:rFonts w:hint="eastAsia" w:ascii="宋体" w:hAnsi="宋体" w:eastAsia="宋体" w:cs="宋体"/>
          <w:b/>
          <w:bCs/>
          <w:caps/>
          <w:color w:val="000000"/>
          <w:sz w:val="32"/>
          <w:szCs w:val="32"/>
          <w:highlight w:val="none"/>
          <w:u w:val="none"/>
          <w:vertAlign w:val="baseline"/>
        </w:rPr>
        <w:tab/>
      </w:r>
      <w:r>
        <w:rPr>
          <w:rStyle w:val="27"/>
          <w:rFonts w:hint="eastAsia" w:ascii="宋体" w:hAnsi="宋体" w:eastAsia="宋体" w:cs="宋体"/>
          <w:b/>
          <w:bCs/>
          <w:caps/>
          <w:vanish w:val="0"/>
          <w:color w:val="000000"/>
          <w:sz w:val="32"/>
          <w:szCs w:val="32"/>
          <w:highlight w:val="none"/>
          <w:u w:val="none"/>
          <w:vertAlign w:val="baseline"/>
        </w:rPr>
        <w:fldChar w:fldCharType="begin"/>
      </w:r>
      <w:r>
        <w:rPr>
          <w:rStyle w:val="27"/>
          <w:rFonts w:hint="eastAsia" w:ascii="宋体" w:hAnsi="宋体" w:eastAsia="宋体" w:cs="宋体"/>
          <w:b/>
          <w:bCs/>
          <w:caps/>
          <w:vanish w:val="0"/>
          <w:color w:val="000000"/>
          <w:sz w:val="32"/>
          <w:szCs w:val="32"/>
          <w:highlight w:val="none"/>
          <w:u w:val="none"/>
          <w:vertAlign w:val="baseline"/>
        </w:rPr>
        <w:instrText xml:space="preserve"> PAGEREF _Toc54891393 \h </w:instrText>
      </w:r>
      <w:r>
        <w:rPr>
          <w:rStyle w:val="27"/>
          <w:rFonts w:hint="eastAsia" w:ascii="宋体" w:hAnsi="宋体" w:eastAsia="宋体" w:cs="宋体"/>
          <w:b/>
          <w:bCs/>
          <w:caps/>
          <w:vanish w:val="0"/>
          <w:color w:val="000000"/>
          <w:sz w:val="32"/>
          <w:szCs w:val="32"/>
          <w:highlight w:val="none"/>
          <w:u w:val="none"/>
          <w:vertAlign w:val="baseline"/>
        </w:rPr>
        <w:fldChar w:fldCharType="separate"/>
      </w:r>
      <w:r>
        <w:rPr>
          <w:rStyle w:val="27"/>
          <w:rFonts w:hint="eastAsia" w:ascii="宋体" w:hAnsi="宋体" w:eastAsia="宋体" w:cs="宋体"/>
          <w:b/>
          <w:bCs/>
          <w:caps/>
          <w:vanish w:val="0"/>
          <w:color w:val="000000"/>
          <w:sz w:val="32"/>
          <w:szCs w:val="32"/>
          <w:highlight w:val="none"/>
          <w:u w:val="none"/>
          <w:vertAlign w:val="baseline"/>
        </w:rPr>
        <w:t>4</w:t>
      </w:r>
      <w:r>
        <w:rPr>
          <w:rStyle w:val="27"/>
          <w:rFonts w:hint="eastAsia" w:ascii="宋体" w:hAnsi="宋体" w:eastAsia="宋体" w:cs="宋体"/>
          <w:b/>
          <w:bCs/>
          <w:caps/>
          <w:color w:val="000000"/>
          <w:sz w:val="32"/>
          <w:szCs w:val="32"/>
          <w:highlight w:val="none"/>
          <w:u w:val="none"/>
          <w:vertAlign w:val="baseline"/>
        </w:rPr>
        <w:fldChar w:fldCharType="end"/>
      </w:r>
      <w:r>
        <w:rPr>
          <w:rFonts w:ascii="Calibri" w:hAnsi="Calibri" w:eastAsia="宋体" w:cs="Calibri"/>
          <w:b/>
          <w:bCs/>
          <w:caps/>
          <w:snapToGrid/>
          <w:kern w:val="0"/>
          <w:sz w:val="20"/>
          <w:szCs w:val="20"/>
          <w:highlight w:val="none"/>
          <w:lang w:val="en-US" w:eastAsia="zh-CN" w:bidi="ar"/>
        </w:rPr>
        <w:fldChar w:fldCharType="end"/>
      </w:r>
    </w:p>
    <w:p>
      <w:pPr>
        <w:pStyle w:val="18"/>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eastAsia" w:ascii="宋体" w:hAnsi="宋体" w:eastAsia="宋体" w:cs="Arial"/>
          <w:b w:val="0"/>
          <w:bCs w:val="0"/>
          <w:caps/>
          <w:color w:val="000000"/>
          <w:kern w:val="2"/>
          <w:sz w:val="32"/>
          <w:szCs w:val="32"/>
          <w:highlight w:val="none"/>
          <w:u w:val="none"/>
          <w:vertAlign w:val="baseline"/>
          <w:lang w:bidi="ar"/>
        </w:rPr>
      </w:pPr>
      <w:r>
        <w:rPr>
          <w:rFonts w:ascii="Calibri" w:hAnsi="Calibri" w:eastAsia="宋体" w:cs="Calibri"/>
          <w:b/>
          <w:bCs/>
          <w:caps/>
          <w:snapToGrid/>
          <w:kern w:val="0"/>
          <w:sz w:val="20"/>
          <w:szCs w:val="20"/>
          <w:highlight w:val="none"/>
          <w:lang w:val="en-US" w:eastAsia="zh-CN" w:bidi="ar"/>
        </w:rPr>
        <w:fldChar w:fldCharType="begin"/>
      </w:r>
      <w:r>
        <w:rPr>
          <w:rFonts w:ascii="Calibri" w:hAnsi="Calibri" w:eastAsia="宋体" w:cs="Calibri"/>
          <w:b/>
          <w:bCs/>
          <w:caps/>
          <w:snapToGrid/>
          <w:kern w:val="0"/>
          <w:sz w:val="20"/>
          <w:szCs w:val="20"/>
          <w:highlight w:val="none"/>
          <w:lang w:val="en-US" w:eastAsia="zh-CN" w:bidi="ar"/>
        </w:rPr>
        <w:instrText xml:space="preserve"> HYPERLINK "" \l "_Toc54891394" </w:instrText>
      </w:r>
      <w:r>
        <w:rPr>
          <w:rFonts w:ascii="Calibri" w:hAnsi="Calibri" w:eastAsia="宋体" w:cs="Calibri"/>
          <w:b/>
          <w:bCs/>
          <w:caps/>
          <w:snapToGrid/>
          <w:kern w:val="0"/>
          <w:sz w:val="20"/>
          <w:szCs w:val="20"/>
          <w:highlight w:val="none"/>
          <w:lang w:val="en-US" w:eastAsia="zh-CN" w:bidi="ar"/>
        </w:rPr>
        <w:fldChar w:fldCharType="separate"/>
      </w:r>
      <w:r>
        <w:rPr>
          <w:rStyle w:val="27"/>
          <w:rFonts w:hint="eastAsia" w:ascii="宋体" w:hAnsi="宋体" w:eastAsia="宋体" w:cs="宋体"/>
          <w:b/>
          <w:bCs/>
          <w:caps/>
          <w:color w:val="000000"/>
          <w:sz w:val="32"/>
          <w:szCs w:val="32"/>
          <w:highlight w:val="none"/>
          <w:u w:val="none"/>
          <w:vertAlign w:val="baseline"/>
        </w:rPr>
        <w:t>第三部分  评标办法</w:t>
      </w:r>
      <w:r>
        <w:rPr>
          <w:rStyle w:val="27"/>
          <w:rFonts w:hint="eastAsia" w:ascii="宋体" w:hAnsi="宋体" w:eastAsia="宋体" w:cs="宋体"/>
          <w:b/>
          <w:bCs/>
          <w:caps/>
          <w:color w:val="000000"/>
          <w:sz w:val="32"/>
          <w:szCs w:val="32"/>
          <w:highlight w:val="none"/>
          <w:u w:val="none"/>
          <w:vertAlign w:val="baseline"/>
        </w:rPr>
        <w:tab/>
      </w:r>
      <w:r>
        <w:rPr>
          <w:rStyle w:val="27"/>
          <w:rFonts w:hint="eastAsia" w:ascii="宋体" w:hAnsi="宋体" w:eastAsia="宋体" w:cs="宋体"/>
          <w:b/>
          <w:bCs/>
          <w:caps/>
          <w:vanish w:val="0"/>
          <w:color w:val="000000"/>
          <w:sz w:val="32"/>
          <w:szCs w:val="32"/>
          <w:highlight w:val="none"/>
          <w:u w:val="none"/>
          <w:vertAlign w:val="baseline"/>
        </w:rPr>
        <w:fldChar w:fldCharType="begin"/>
      </w:r>
      <w:r>
        <w:rPr>
          <w:rStyle w:val="27"/>
          <w:rFonts w:hint="eastAsia" w:ascii="宋体" w:hAnsi="宋体" w:eastAsia="宋体" w:cs="宋体"/>
          <w:b/>
          <w:bCs/>
          <w:caps/>
          <w:vanish w:val="0"/>
          <w:color w:val="000000"/>
          <w:sz w:val="32"/>
          <w:szCs w:val="32"/>
          <w:highlight w:val="none"/>
          <w:u w:val="none"/>
          <w:vertAlign w:val="baseline"/>
        </w:rPr>
        <w:instrText xml:space="preserve"> PAGEREF _Toc54891394 \h </w:instrText>
      </w:r>
      <w:r>
        <w:rPr>
          <w:rStyle w:val="27"/>
          <w:rFonts w:hint="eastAsia" w:ascii="宋体" w:hAnsi="宋体" w:eastAsia="宋体" w:cs="宋体"/>
          <w:b/>
          <w:bCs/>
          <w:caps/>
          <w:vanish w:val="0"/>
          <w:color w:val="000000"/>
          <w:sz w:val="32"/>
          <w:szCs w:val="32"/>
          <w:highlight w:val="none"/>
          <w:u w:val="none"/>
          <w:vertAlign w:val="baseline"/>
        </w:rPr>
        <w:fldChar w:fldCharType="separate"/>
      </w:r>
      <w:r>
        <w:rPr>
          <w:rStyle w:val="27"/>
          <w:rFonts w:hint="eastAsia" w:ascii="宋体" w:hAnsi="宋体" w:eastAsia="宋体" w:cs="宋体"/>
          <w:b/>
          <w:bCs/>
          <w:caps/>
          <w:vanish w:val="0"/>
          <w:color w:val="000000"/>
          <w:sz w:val="32"/>
          <w:szCs w:val="32"/>
          <w:highlight w:val="none"/>
          <w:u w:val="none"/>
          <w:vertAlign w:val="baseline"/>
        </w:rPr>
        <w:t>17</w:t>
      </w:r>
      <w:r>
        <w:rPr>
          <w:rStyle w:val="27"/>
          <w:rFonts w:hint="eastAsia" w:ascii="宋体" w:hAnsi="宋体" w:eastAsia="宋体" w:cs="宋体"/>
          <w:b/>
          <w:bCs/>
          <w:caps/>
          <w:color w:val="000000"/>
          <w:sz w:val="32"/>
          <w:szCs w:val="32"/>
          <w:highlight w:val="none"/>
          <w:u w:val="none"/>
          <w:vertAlign w:val="baseline"/>
        </w:rPr>
        <w:fldChar w:fldCharType="end"/>
      </w:r>
      <w:r>
        <w:rPr>
          <w:rFonts w:ascii="Calibri" w:hAnsi="Calibri" w:eastAsia="宋体" w:cs="Calibri"/>
          <w:b/>
          <w:bCs/>
          <w:caps/>
          <w:snapToGrid/>
          <w:kern w:val="0"/>
          <w:sz w:val="20"/>
          <w:szCs w:val="20"/>
          <w:highlight w:val="none"/>
          <w:lang w:val="en-US" w:eastAsia="zh-CN" w:bidi="ar"/>
        </w:rPr>
        <w:fldChar w:fldCharType="end"/>
      </w:r>
    </w:p>
    <w:p>
      <w:pPr>
        <w:pStyle w:val="18"/>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eastAsia" w:ascii="宋体" w:hAnsi="宋体" w:eastAsia="宋体" w:cs="Arial"/>
          <w:b w:val="0"/>
          <w:bCs w:val="0"/>
          <w:caps/>
          <w:color w:val="000000"/>
          <w:kern w:val="2"/>
          <w:sz w:val="32"/>
          <w:szCs w:val="32"/>
          <w:highlight w:val="none"/>
          <w:u w:val="none"/>
          <w:vertAlign w:val="baseline"/>
          <w:lang w:bidi="ar"/>
        </w:rPr>
      </w:pPr>
      <w:r>
        <w:rPr>
          <w:rFonts w:ascii="Calibri" w:hAnsi="Calibri" w:eastAsia="宋体" w:cs="Calibri"/>
          <w:b/>
          <w:bCs/>
          <w:caps/>
          <w:snapToGrid/>
          <w:kern w:val="0"/>
          <w:sz w:val="20"/>
          <w:szCs w:val="20"/>
          <w:highlight w:val="none"/>
          <w:lang w:val="en-US" w:eastAsia="zh-CN" w:bidi="ar"/>
        </w:rPr>
        <w:fldChar w:fldCharType="begin"/>
      </w:r>
      <w:r>
        <w:rPr>
          <w:rFonts w:ascii="Calibri" w:hAnsi="Calibri" w:eastAsia="宋体" w:cs="Calibri"/>
          <w:b/>
          <w:bCs/>
          <w:caps/>
          <w:snapToGrid/>
          <w:kern w:val="0"/>
          <w:sz w:val="20"/>
          <w:szCs w:val="20"/>
          <w:highlight w:val="none"/>
          <w:lang w:val="en-US" w:eastAsia="zh-CN" w:bidi="ar"/>
        </w:rPr>
        <w:instrText xml:space="preserve"> HYPERLINK "" \l "_Toc54891395" </w:instrText>
      </w:r>
      <w:r>
        <w:rPr>
          <w:rFonts w:ascii="Calibri" w:hAnsi="Calibri" w:eastAsia="宋体" w:cs="Calibri"/>
          <w:b/>
          <w:bCs/>
          <w:caps/>
          <w:snapToGrid/>
          <w:kern w:val="0"/>
          <w:sz w:val="20"/>
          <w:szCs w:val="20"/>
          <w:highlight w:val="none"/>
          <w:lang w:val="en-US" w:eastAsia="zh-CN" w:bidi="ar"/>
        </w:rPr>
        <w:fldChar w:fldCharType="separate"/>
      </w:r>
      <w:r>
        <w:rPr>
          <w:rStyle w:val="27"/>
          <w:rFonts w:hint="eastAsia" w:ascii="宋体" w:hAnsi="宋体" w:eastAsia="宋体" w:cs="宋体"/>
          <w:b/>
          <w:bCs/>
          <w:caps/>
          <w:color w:val="000000"/>
          <w:sz w:val="32"/>
          <w:szCs w:val="32"/>
          <w:highlight w:val="none"/>
          <w:u w:val="none"/>
          <w:vertAlign w:val="baseline"/>
        </w:rPr>
        <w:t>第四部分  采购需求</w:t>
      </w:r>
      <w:r>
        <w:rPr>
          <w:rStyle w:val="27"/>
          <w:rFonts w:hint="eastAsia" w:ascii="宋体" w:hAnsi="宋体" w:eastAsia="宋体" w:cs="宋体"/>
          <w:b/>
          <w:bCs/>
          <w:caps/>
          <w:color w:val="000000"/>
          <w:sz w:val="32"/>
          <w:szCs w:val="32"/>
          <w:highlight w:val="none"/>
          <w:u w:val="none"/>
          <w:vertAlign w:val="baseline"/>
        </w:rPr>
        <w:tab/>
      </w:r>
      <w:r>
        <w:rPr>
          <w:rStyle w:val="27"/>
          <w:rFonts w:hint="eastAsia" w:ascii="宋体" w:hAnsi="宋体" w:eastAsia="宋体" w:cs="宋体"/>
          <w:b/>
          <w:bCs/>
          <w:caps/>
          <w:vanish w:val="0"/>
          <w:color w:val="000000"/>
          <w:sz w:val="32"/>
          <w:szCs w:val="32"/>
          <w:highlight w:val="none"/>
          <w:u w:val="none"/>
          <w:vertAlign w:val="baseline"/>
        </w:rPr>
        <w:fldChar w:fldCharType="begin"/>
      </w:r>
      <w:r>
        <w:rPr>
          <w:rStyle w:val="27"/>
          <w:rFonts w:hint="eastAsia" w:ascii="宋体" w:hAnsi="宋体" w:eastAsia="宋体" w:cs="宋体"/>
          <w:b/>
          <w:bCs/>
          <w:caps/>
          <w:vanish w:val="0"/>
          <w:color w:val="000000"/>
          <w:sz w:val="32"/>
          <w:szCs w:val="32"/>
          <w:highlight w:val="none"/>
          <w:u w:val="none"/>
          <w:vertAlign w:val="baseline"/>
        </w:rPr>
        <w:instrText xml:space="preserve"> PAGEREF _Toc54891395 \h </w:instrText>
      </w:r>
      <w:r>
        <w:rPr>
          <w:rStyle w:val="27"/>
          <w:rFonts w:hint="eastAsia" w:ascii="宋体" w:hAnsi="宋体" w:eastAsia="宋体" w:cs="宋体"/>
          <w:b/>
          <w:bCs/>
          <w:caps/>
          <w:vanish w:val="0"/>
          <w:color w:val="000000"/>
          <w:sz w:val="32"/>
          <w:szCs w:val="32"/>
          <w:highlight w:val="none"/>
          <w:u w:val="none"/>
          <w:vertAlign w:val="baseline"/>
        </w:rPr>
        <w:fldChar w:fldCharType="separate"/>
      </w:r>
      <w:r>
        <w:rPr>
          <w:rStyle w:val="27"/>
          <w:rFonts w:hint="eastAsia" w:ascii="宋体" w:hAnsi="宋体" w:eastAsia="宋体" w:cs="宋体"/>
          <w:b/>
          <w:bCs/>
          <w:caps/>
          <w:vanish w:val="0"/>
          <w:color w:val="000000"/>
          <w:sz w:val="32"/>
          <w:szCs w:val="32"/>
          <w:highlight w:val="none"/>
          <w:u w:val="none"/>
          <w:vertAlign w:val="baseline"/>
        </w:rPr>
        <w:t>31</w:t>
      </w:r>
      <w:r>
        <w:rPr>
          <w:rStyle w:val="27"/>
          <w:rFonts w:hint="eastAsia" w:ascii="宋体" w:hAnsi="宋体" w:eastAsia="宋体" w:cs="宋体"/>
          <w:b/>
          <w:bCs/>
          <w:caps/>
          <w:color w:val="000000"/>
          <w:sz w:val="32"/>
          <w:szCs w:val="32"/>
          <w:highlight w:val="none"/>
          <w:u w:val="none"/>
          <w:vertAlign w:val="baseline"/>
        </w:rPr>
        <w:fldChar w:fldCharType="end"/>
      </w:r>
      <w:r>
        <w:rPr>
          <w:rFonts w:ascii="Calibri" w:hAnsi="Calibri" w:eastAsia="宋体" w:cs="Calibri"/>
          <w:b/>
          <w:bCs/>
          <w:caps/>
          <w:snapToGrid/>
          <w:kern w:val="0"/>
          <w:sz w:val="20"/>
          <w:szCs w:val="20"/>
          <w:highlight w:val="none"/>
          <w:lang w:val="en-US" w:eastAsia="zh-CN" w:bidi="ar"/>
        </w:rPr>
        <w:fldChar w:fldCharType="end"/>
      </w:r>
    </w:p>
    <w:p>
      <w:pPr>
        <w:pStyle w:val="18"/>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default" w:ascii="宋体" w:hAnsi="宋体" w:eastAsia="宋体" w:cs="Arial"/>
          <w:b w:val="0"/>
          <w:bCs w:val="0"/>
          <w:caps/>
          <w:color w:val="000000"/>
          <w:kern w:val="2"/>
          <w:sz w:val="32"/>
          <w:szCs w:val="32"/>
          <w:highlight w:val="none"/>
          <w:u w:val="none"/>
          <w:vertAlign w:val="baseline"/>
          <w:lang w:val="en-US" w:bidi="ar"/>
        </w:rPr>
      </w:pPr>
      <w:r>
        <w:rPr>
          <w:rFonts w:ascii="Calibri" w:hAnsi="Calibri" w:eastAsia="宋体" w:cs="Calibri"/>
          <w:b/>
          <w:bCs/>
          <w:caps/>
          <w:snapToGrid/>
          <w:kern w:val="0"/>
          <w:sz w:val="20"/>
          <w:szCs w:val="20"/>
          <w:highlight w:val="none"/>
          <w:lang w:val="en-US" w:eastAsia="zh-CN" w:bidi="ar"/>
        </w:rPr>
        <w:fldChar w:fldCharType="begin"/>
      </w:r>
      <w:r>
        <w:rPr>
          <w:rFonts w:ascii="Calibri" w:hAnsi="Calibri" w:eastAsia="宋体" w:cs="Calibri"/>
          <w:b/>
          <w:bCs/>
          <w:caps/>
          <w:snapToGrid/>
          <w:kern w:val="0"/>
          <w:sz w:val="20"/>
          <w:szCs w:val="20"/>
          <w:highlight w:val="none"/>
          <w:lang w:val="en-US" w:eastAsia="zh-CN" w:bidi="ar"/>
        </w:rPr>
        <w:instrText xml:space="preserve"> HYPERLINK "" \l "_Toc54891396" </w:instrText>
      </w:r>
      <w:r>
        <w:rPr>
          <w:rFonts w:ascii="Calibri" w:hAnsi="Calibri" w:eastAsia="宋体" w:cs="Calibri"/>
          <w:b/>
          <w:bCs/>
          <w:caps/>
          <w:snapToGrid/>
          <w:kern w:val="0"/>
          <w:sz w:val="20"/>
          <w:szCs w:val="20"/>
          <w:highlight w:val="none"/>
          <w:lang w:val="en-US" w:eastAsia="zh-CN" w:bidi="ar"/>
        </w:rPr>
        <w:fldChar w:fldCharType="separate"/>
      </w:r>
      <w:r>
        <w:rPr>
          <w:rStyle w:val="27"/>
          <w:rFonts w:hint="eastAsia" w:ascii="宋体" w:hAnsi="宋体" w:eastAsia="宋体" w:cs="宋体"/>
          <w:b/>
          <w:bCs/>
          <w:caps/>
          <w:color w:val="000000"/>
          <w:sz w:val="32"/>
          <w:szCs w:val="32"/>
          <w:highlight w:val="none"/>
          <w:u w:val="none"/>
          <w:vertAlign w:val="baseline"/>
        </w:rPr>
        <w:t>第五部分  合同条款</w:t>
      </w:r>
      <w:r>
        <w:rPr>
          <w:rStyle w:val="27"/>
          <w:rFonts w:hint="eastAsia" w:ascii="宋体" w:hAnsi="宋体" w:eastAsia="宋体" w:cs="宋体"/>
          <w:b/>
          <w:bCs/>
          <w:caps/>
          <w:color w:val="000000"/>
          <w:sz w:val="32"/>
          <w:szCs w:val="32"/>
          <w:highlight w:val="none"/>
          <w:u w:val="none"/>
          <w:vertAlign w:val="baseline"/>
        </w:rPr>
        <w:tab/>
      </w:r>
      <w:r>
        <w:rPr>
          <w:rStyle w:val="27"/>
          <w:rFonts w:hint="eastAsia" w:ascii="宋体" w:hAnsi="宋体" w:cs="宋体"/>
          <w:b/>
          <w:bCs/>
          <w:caps/>
          <w:color w:val="000000"/>
          <w:sz w:val="32"/>
          <w:szCs w:val="32"/>
          <w:highlight w:val="none"/>
          <w:u w:val="none"/>
          <w:vertAlign w:val="baseline"/>
          <w:lang w:val="en-US" w:eastAsia="zh-CN"/>
        </w:rPr>
        <w:t>32</w:t>
      </w:r>
      <w:r>
        <w:rPr>
          <w:rFonts w:ascii="Calibri" w:hAnsi="Calibri" w:eastAsia="宋体" w:cs="Calibri"/>
          <w:b/>
          <w:bCs/>
          <w:caps/>
          <w:snapToGrid/>
          <w:kern w:val="0"/>
          <w:sz w:val="20"/>
          <w:szCs w:val="20"/>
          <w:highlight w:val="none"/>
          <w:lang w:val="en-US" w:eastAsia="zh-CN" w:bidi="ar"/>
        </w:rPr>
        <w:fldChar w:fldCharType="end"/>
      </w:r>
    </w:p>
    <w:p>
      <w:pPr>
        <w:pStyle w:val="18"/>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eastAsia" w:ascii="宋体" w:hAnsi="宋体" w:eastAsia="宋体" w:cs="Arial"/>
          <w:b w:val="0"/>
          <w:bCs w:val="0"/>
          <w:caps/>
          <w:color w:val="000000"/>
          <w:kern w:val="2"/>
          <w:sz w:val="32"/>
          <w:szCs w:val="32"/>
          <w:highlight w:val="none"/>
          <w:u w:val="none"/>
          <w:vertAlign w:val="baseline"/>
          <w:lang w:bidi="ar"/>
        </w:rPr>
      </w:pPr>
      <w:r>
        <w:rPr>
          <w:rFonts w:ascii="Calibri" w:hAnsi="Calibri" w:eastAsia="宋体" w:cs="Calibri"/>
          <w:b/>
          <w:bCs/>
          <w:caps/>
          <w:snapToGrid/>
          <w:kern w:val="0"/>
          <w:sz w:val="20"/>
          <w:szCs w:val="20"/>
          <w:highlight w:val="none"/>
          <w:lang w:val="en-US" w:eastAsia="zh-CN" w:bidi="ar"/>
        </w:rPr>
        <w:fldChar w:fldCharType="begin"/>
      </w:r>
      <w:r>
        <w:rPr>
          <w:rFonts w:ascii="Calibri" w:hAnsi="Calibri" w:eastAsia="宋体" w:cs="Calibri"/>
          <w:b/>
          <w:bCs/>
          <w:caps/>
          <w:snapToGrid/>
          <w:kern w:val="0"/>
          <w:sz w:val="20"/>
          <w:szCs w:val="20"/>
          <w:highlight w:val="none"/>
          <w:lang w:val="en-US" w:eastAsia="zh-CN" w:bidi="ar"/>
        </w:rPr>
        <w:instrText xml:space="preserve"> HYPERLINK "" \l "_Toc54891397" </w:instrText>
      </w:r>
      <w:r>
        <w:rPr>
          <w:rFonts w:ascii="Calibri" w:hAnsi="Calibri" w:eastAsia="宋体" w:cs="Calibri"/>
          <w:b/>
          <w:bCs/>
          <w:caps/>
          <w:snapToGrid/>
          <w:kern w:val="0"/>
          <w:sz w:val="20"/>
          <w:szCs w:val="20"/>
          <w:highlight w:val="none"/>
          <w:lang w:val="en-US" w:eastAsia="zh-CN" w:bidi="ar"/>
        </w:rPr>
        <w:fldChar w:fldCharType="separate"/>
      </w:r>
      <w:r>
        <w:rPr>
          <w:rStyle w:val="27"/>
          <w:rFonts w:hint="eastAsia" w:ascii="宋体" w:hAnsi="宋体" w:eastAsia="宋体" w:cs="宋体"/>
          <w:b/>
          <w:bCs/>
          <w:caps/>
          <w:color w:val="000000"/>
          <w:sz w:val="32"/>
          <w:szCs w:val="32"/>
          <w:highlight w:val="none"/>
          <w:u w:val="none"/>
          <w:vertAlign w:val="baseline"/>
        </w:rPr>
        <w:t xml:space="preserve">第六部分  </w:t>
      </w:r>
      <w:r>
        <w:rPr>
          <w:rStyle w:val="27"/>
          <w:rFonts w:hint="eastAsia" w:ascii="宋体" w:hAnsi="宋体" w:cs="宋体"/>
          <w:b/>
          <w:bCs/>
          <w:caps/>
          <w:color w:val="000000"/>
          <w:sz w:val="32"/>
          <w:szCs w:val="32"/>
          <w:highlight w:val="none"/>
          <w:u w:val="none"/>
          <w:vertAlign w:val="baseline"/>
          <w:lang w:eastAsia="zh-CN"/>
        </w:rPr>
        <w:t>响应文件</w:t>
      </w:r>
      <w:r>
        <w:rPr>
          <w:rStyle w:val="27"/>
          <w:rFonts w:hint="eastAsia" w:ascii="宋体" w:hAnsi="宋体" w:eastAsia="宋体" w:cs="宋体"/>
          <w:b/>
          <w:bCs/>
          <w:caps/>
          <w:color w:val="000000"/>
          <w:sz w:val="32"/>
          <w:szCs w:val="32"/>
          <w:highlight w:val="none"/>
          <w:u w:val="none"/>
          <w:vertAlign w:val="baseline"/>
        </w:rPr>
        <w:t>格式</w:t>
      </w:r>
      <w:r>
        <w:rPr>
          <w:rStyle w:val="27"/>
          <w:rFonts w:hint="eastAsia" w:ascii="宋体" w:hAnsi="宋体" w:eastAsia="宋体" w:cs="宋体"/>
          <w:b/>
          <w:bCs/>
          <w:caps/>
          <w:color w:val="000000"/>
          <w:sz w:val="32"/>
          <w:szCs w:val="32"/>
          <w:highlight w:val="none"/>
          <w:u w:val="none"/>
          <w:vertAlign w:val="baseline"/>
        </w:rPr>
        <w:tab/>
      </w:r>
      <w:r>
        <w:rPr>
          <w:rStyle w:val="27"/>
          <w:rFonts w:hint="eastAsia" w:ascii="宋体" w:hAnsi="宋体" w:eastAsia="宋体" w:cs="宋体"/>
          <w:b/>
          <w:bCs/>
          <w:caps/>
          <w:vanish w:val="0"/>
          <w:color w:val="000000"/>
          <w:sz w:val="32"/>
          <w:szCs w:val="32"/>
          <w:highlight w:val="none"/>
          <w:u w:val="none"/>
          <w:vertAlign w:val="baseline"/>
        </w:rPr>
        <w:fldChar w:fldCharType="begin"/>
      </w:r>
      <w:r>
        <w:rPr>
          <w:rStyle w:val="27"/>
          <w:rFonts w:hint="eastAsia" w:ascii="宋体" w:hAnsi="宋体" w:eastAsia="宋体" w:cs="宋体"/>
          <w:b/>
          <w:bCs/>
          <w:caps/>
          <w:vanish w:val="0"/>
          <w:color w:val="000000"/>
          <w:sz w:val="32"/>
          <w:szCs w:val="32"/>
          <w:highlight w:val="none"/>
          <w:u w:val="none"/>
          <w:vertAlign w:val="baseline"/>
        </w:rPr>
        <w:instrText xml:space="preserve"> PAGEREF _Toc54891397 \h </w:instrText>
      </w:r>
      <w:r>
        <w:rPr>
          <w:rStyle w:val="27"/>
          <w:rFonts w:hint="eastAsia" w:ascii="宋体" w:hAnsi="宋体" w:eastAsia="宋体" w:cs="宋体"/>
          <w:b/>
          <w:bCs/>
          <w:caps/>
          <w:vanish w:val="0"/>
          <w:color w:val="000000"/>
          <w:sz w:val="32"/>
          <w:szCs w:val="32"/>
          <w:highlight w:val="none"/>
          <w:u w:val="none"/>
          <w:vertAlign w:val="baseline"/>
        </w:rPr>
        <w:fldChar w:fldCharType="separate"/>
      </w:r>
      <w:r>
        <w:rPr>
          <w:rStyle w:val="27"/>
          <w:rFonts w:hint="eastAsia" w:ascii="宋体" w:hAnsi="宋体" w:eastAsia="宋体" w:cs="宋体"/>
          <w:b/>
          <w:bCs/>
          <w:caps/>
          <w:vanish w:val="0"/>
          <w:color w:val="000000"/>
          <w:sz w:val="32"/>
          <w:szCs w:val="32"/>
          <w:highlight w:val="none"/>
          <w:u w:val="none"/>
          <w:vertAlign w:val="baseline"/>
        </w:rPr>
        <w:t>36</w:t>
      </w:r>
      <w:r>
        <w:rPr>
          <w:rStyle w:val="27"/>
          <w:rFonts w:hint="eastAsia" w:ascii="宋体" w:hAnsi="宋体" w:eastAsia="宋体" w:cs="宋体"/>
          <w:b/>
          <w:bCs/>
          <w:caps/>
          <w:color w:val="000000"/>
          <w:sz w:val="32"/>
          <w:szCs w:val="32"/>
          <w:highlight w:val="none"/>
          <w:u w:val="none"/>
          <w:vertAlign w:val="baseline"/>
        </w:rPr>
        <w:fldChar w:fldCharType="end"/>
      </w:r>
      <w:r>
        <w:rPr>
          <w:rFonts w:ascii="Calibri" w:hAnsi="Calibri" w:eastAsia="宋体" w:cs="Calibri"/>
          <w:b/>
          <w:bCs/>
          <w:caps/>
          <w:snapToGrid/>
          <w:kern w:val="0"/>
          <w:sz w:val="20"/>
          <w:szCs w:val="20"/>
          <w:highlight w:val="none"/>
          <w:lang w:val="en-US" w:eastAsia="zh-CN" w:bidi="ar"/>
        </w:rPr>
        <w:fldChar w:fldCharType="end"/>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420" w:rightChars="200" w:firstLine="0"/>
        <w:jc w:val="left"/>
        <w:outlineLvl w:val="9"/>
        <w:rPr>
          <w:rFonts w:hint="eastAsia" w:ascii="宋体" w:hAnsi="宋体" w:eastAsia="宋体" w:cs="宋体"/>
          <w:caps w:val="0"/>
          <w:color w:val="000000"/>
          <w:sz w:val="32"/>
          <w:szCs w:val="32"/>
          <w:highlight w:val="none"/>
          <w:vertAlign w:val="baseline"/>
        </w:rPr>
      </w:pPr>
      <w:r>
        <w:rPr>
          <w:rFonts w:hint="eastAsia" w:ascii="宋体" w:hAnsi="宋体" w:eastAsia="宋体" w:cs="宋体"/>
          <w:b w:val="0"/>
          <w:bCs w:val="0"/>
          <w:caps w:val="0"/>
          <w:color w:val="000000"/>
          <w:kern w:val="0"/>
          <w:sz w:val="32"/>
          <w:szCs w:val="32"/>
          <w:highlight w:val="none"/>
          <w:vertAlign w:val="baseline"/>
          <w:lang w:val="en-US" w:eastAsia="zh-CN" w:bidi="ar"/>
        </w:rPr>
        <w:fldChar w:fldCharType="end"/>
      </w:r>
      <w:bookmarkEnd w:id="5"/>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000000"/>
          <w:sz w:val="20"/>
          <w:szCs w:val="20"/>
          <w:highlight w:val="none"/>
          <w:vertAlign w:val="baseline"/>
        </w:rPr>
        <w:sectPr>
          <w:pgSz w:w="11906" w:h="16838"/>
          <w:pgMar w:top="1304" w:right="1361" w:bottom="1304" w:left="1361" w:header="851" w:footer="992" w:gutter="1"/>
          <w:pgBorders w:offsetFrom="page">
            <w:top w:val="none" w:sz="0" w:space="0"/>
            <w:left w:val="none" w:sz="0" w:space="0"/>
            <w:bottom w:val="none" w:sz="0" w:space="0"/>
            <w:right w:val="none" w:sz="0" w:space="0"/>
          </w:pgBorders>
          <w:pgNumType w:fmt="decimal"/>
          <w:cols w:space="425" w:num="1"/>
          <w:titlePg/>
          <w:docGrid w:type="lines" w:linePitch="312" w:charSpace="0"/>
        </w:sect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000000"/>
          <w:sz w:val="20"/>
          <w:szCs w:val="20"/>
          <w:highlight w:val="none"/>
          <w:vertAlign w:val="baseline"/>
        </w:rPr>
      </w:pPr>
    </w:p>
    <w:p>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default" w:ascii="Times New Roman" w:hAnsi="Times New Roman" w:eastAsia="宋体" w:cs="Times New Roman"/>
          <w:b/>
          <w:bCs/>
          <w:caps w:val="0"/>
          <w:color w:val="000000"/>
          <w:sz w:val="44"/>
          <w:szCs w:val="44"/>
          <w:highlight w:val="none"/>
          <w:vertAlign w:val="baseline"/>
        </w:rPr>
      </w:pPr>
      <w:bookmarkStart w:id="6" w:name="_Toc54891392"/>
      <w:r>
        <w:rPr>
          <w:rFonts w:hint="eastAsia" w:ascii="Times New Roman" w:hAnsi="宋体" w:eastAsia="宋体" w:cs="宋体"/>
          <w:b/>
          <w:bCs/>
          <w:caps w:val="0"/>
          <w:color w:val="000000"/>
          <w:sz w:val="44"/>
          <w:szCs w:val="44"/>
          <w:highlight w:val="none"/>
          <w:vertAlign w:val="baseline"/>
        </w:rPr>
        <w:t>第一部分</w:t>
      </w:r>
      <w:r>
        <w:rPr>
          <w:rFonts w:hint="default" w:ascii="Times New Roman" w:hAnsi="Times New Roman" w:eastAsia="宋体" w:cs="Times New Roman"/>
          <w:b/>
          <w:bCs/>
          <w:caps w:val="0"/>
          <w:color w:val="000000"/>
          <w:sz w:val="44"/>
          <w:szCs w:val="44"/>
          <w:highlight w:val="none"/>
          <w:vertAlign w:val="baseline"/>
        </w:rPr>
        <w:t xml:space="preserve">  </w:t>
      </w:r>
      <w:bookmarkEnd w:id="6"/>
      <w:r>
        <w:rPr>
          <w:rFonts w:hint="eastAsia" w:cs="Times New Roman"/>
          <w:b/>
          <w:bCs/>
          <w:caps w:val="0"/>
          <w:color w:val="000000"/>
          <w:sz w:val="44"/>
          <w:szCs w:val="44"/>
          <w:highlight w:val="none"/>
          <w:vertAlign w:val="baseline"/>
          <w:lang w:val="en-US" w:eastAsia="zh-CN"/>
        </w:rPr>
        <w:t>竞争性磋商</w:t>
      </w:r>
      <w:r>
        <w:rPr>
          <w:rFonts w:hint="eastAsia" w:ascii="Times New Roman" w:hAnsi="宋体" w:eastAsia="宋体" w:cs="宋体"/>
          <w:b/>
          <w:bCs/>
          <w:caps w:val="0"/>
          <w:color w:val="000000"/>
          <w:sz w:val="44"/>
          <w:szCs w:val="44"/>
          <w:highlight w:val="none"/>
          <w:vertAlign w:val="baseline"/>
        </w:rPr>
        <w:t>公告</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w:t>
      </w:r>
      <w:bookmarkStart w:id="7" w:name="blank24_copy_1619581275000"/>
      <w:r>
        <w:rPr>
          <w:rFonts w:hint="eastAsia" w:ascii="宋体" w:hAnsi="宋体" w:eastAsia="宋体" w:cs="Times New Roman"/>
          <w:b/>
          <w:bCs/>
          <w:caps w:val="0"/>
          <w:snapToGrid/>
          <w:color w:val="000000"/>
          <w:spacing w:val="0"/>
          <w:w w:val="100"/>
          <w:kern w:val="0"/>
          <w:position w:val="0"/>
          <w:sz w:val="21"/>
          <w:szCs w:val="21"/>
          <w:highlight w:val="none"/>
          <w:u w:val="none" w:color="auto"/>
          <w:vertAlign w:val="baseline"/>
          <w:lang w:val="en-US" w:eastAsia="zh-CN" w:bidi="ar"/>
        </w:rPr>
        <w:t>资格后审</w:t>
      </w:r>
      <w:bookmarkEnd w:id="7"/>
      <w:r>
        <w:rPr>
          <w:rFonts w:hint="eastAsia" w:ascii="宋体" w:hAnsi="宋体" w:eastAsia="宋体" w:cs="宋体"/>
          <w:b/>
          <w:bCs/>
          <w:caps w:val="0"/>
          <w:color w:val="000000"/>
          <w:kern w:val="0"/>
          <w:sz w:val="21"/>
          <w:szCs w:val="21"/>
          <w:highlight w:val="none"/>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auto"/>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项目概况</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双辽市中心医院采购医保DRG运营管理系统已由双辽市政府采购管理工作办公室以</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采购计划-[2023]-00002号</w:t>
      </w:r>
      <w:r>
        <w:rPr>
          <w:rFonts w:hint="eastAsia" w:ascii="宋体" w:hAnsi="宋体" w:eastAsia="宋体" w:cs="宋体"/>
          <w:b w:val="0"/>
          <w:bCs w:val="0"/>
          <w:caps w:val="0"/>
          <w:color w:val="000000"/>
          <w:kern w:val="0"/>
          <w:sz w:val="21"/>
          <w:szCs w:val="21"/>
          <w:highlight w:val="none"/>
          <w:vertAlign w:val="baseline"/>
          <w:lang w:val="en-US" w:eastAsia="zh-CN" w:bidi="ar"/>
        </w:rPr>
        <w:t>批准采购。采购人为</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双辽市中心医院</w:t>
      </w:r>
      <w:r>
        <w:rPr>
          <w:rFonts w:hint="eastAsia" w:ascii="宋体" w:hAnsi="宋体" w:eastAsia="宋体" w:cs="宋体"/>
          <w:b w:val="0"/>
          <w:bCs w:val="0"/>
          <w:caps w:val="0"/>
          <w:color w:val="000000"/>
          <w:kern w:val="0"/>
          <w:sz w:val="21"/>
          <w:szCs w:val="21"/>
          <w:highlight w:val="none"/>
          <w:vertAlign w:val="baseline"/>
          <w:lang w:val="en-US" w:eastAsia="zh-CN" w:bidi="ar"/>
        </w:rPr>
        <w:t>，采购代理机构为</w:t>
      </w:r>
      <w:bookmarkStart w:id="8" w:name="sendDeptName_copy_1619576880000"/>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吉林省铠融项目管理咨询有限公司</w:t>
      </w:r>
      <w:bookmarkEnd w:id="8"/>
      <w:r>
        <w:rPr>
          <w:rFonts w:hint="eastAsia" w:ascii="宋体" w:hAnsi="宋体" w:eastAsia="宋体" w:cs="宋体"/>
          <w:b w:val="0"/>
          <w:bCs w:val="0"/>
          <w:caps w:val="0"/>
          <w:color w:val="000000"/>
          <w:kern w:val="0"/>
          <w:sz w:val="21"/>
          <w:szCs w:val="21"/>
          <w:highlight w:val="none"/>
          <w:vertAlign w:val="baseline"/>
          <w:lang w:val="en-US" w:eastAsia="zh-CN" w:bidi="ar"/>
        </w:rPr>
        <w:t>，采购资金为财政资金，项目已具备采购条件，双辽市中心医院采购医保DRG运营管理系统的潜在供应商应在</w:t>
      </w:r>
      <w:bookmarkStart w:id="9" w:name="blank7"/>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在“政采云”平台网址（http：//www.zcygov.cn）获取采购文件</w:t>
      </w:r>
      <w:bookmarkEnd w:id="9"/>
      <w:r>
        <w:rPr>
          <w:rFonts w:hint="eastAsia" w:ascii="宋体" w:hAnsi="宋体" w:eastAsia="宋体" w:cs="宋体"/>
          <w:b w:val="0"/>
          <w:bCs w:val="0"/>
          <w:caps w:val="0"/>
          <w:color w:val="000000"/>
          <w:kern w:val="0"/>
          <w:sz w:val="21"/>
          <w:szCs w:val="21"/>
          <w:highlight w:val="none"/>
          <w:vertAlign w:val="baseline"/>
          <w:lang w:val="en-US" w:eastAsia="zh-CN" w:bidi="ar"/>
        </w:rPr>
        <w:t>，并于</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2</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023年12月19日10时00分</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en-US" w:eastAsia="zh-CN" w:bidi="ar"/>
        </w:rPr>
        <w:t>北京时间）前提交响应文件。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一、项目基本情况</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项目编号：</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采购计划-[2023]-00002号-</w:t>
      </w:r>
      <w:r>
        <w:rPr>
          <w:rFonts w:hint="eastAsia" w:ascii="宋体" w:hAnsi="宋体" w:eastAsia="宋体" w:cs="Times New Roman"/>
          <w:i w:val="0"/>
          <w:iCs w:val="0"/>
          <w:caps w:val="0"/>
          <w:color w:val="000000"/>
          <w:spacing w:val="0"/>
          <w:kern w:val="0"/>
          <w:sz w:val="21"/>
          <w:szCs w:val="21"/>
          <w:highlight w:val="none"/>
          <w:u w:val="none" w:color="auto"/>
          <w:shd w:val="clear"/>
          <w:lang w:bidi="ar"/>
        </w:rPr>
        <w:t>2023JLKR1104</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项目名称：</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双辽市中心医院采购医保DRG运营管理系统</w:t>
      </w:r>
      <w:r>
        <w:rPr>
          <w:rFonts w:hint="eastAsia" w:ascii="宋体" w:hAnsi="宋体" w:eastAsia="宋体" w:cs="宋体"/>
          <w:b w:val="0"/>
          <w:bCs w:val="0"/>
          <w:caps w:val="0"/>
          <w:color w:val="000000"/>
          <w:kern w:val="0"/>
          <w:sz w:val="21"/>
          <w:szCs w:val="21"/>
          <w:highlight w:val="none"/>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预算金额：</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1250000元</w:t>
      </w:r>
      <w:r>
        <w:rPr>
          <w:rFonts w:hint="eastAsia" w:ascii="宋体" w:hAnsi="宋体" w:eastAsia="宋体" w:cs="宋体"/>
          <w:b w:val="0"/>
          <w:bCs w:val="0"/>
          <w:caps w:val="0"/>
          <w:color w:val="000000"/>
          <w:kern w:val="0"/>
          <w:sz w:val="21"/>
          <w:szCs w:val="21"/>
          <w:highlight w:val="none"/>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最高投标限价：</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1250000元</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采购需求：</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双辽市中心医院采购医保DRG运营管理系统</w:t>
      </w:r>
      <w:r>
        <w:rPr>
          <w:rFonts w:hint="eastAsia" w:ascii="宋体" w:hAnsi="宋体" w:eastAsia="宋体" w:cs="宋体"/>
          <w:caps w:val="0"/>
          <w:color w:val="000000"/>
          <w:sz w:val="21"/>
          <w:szCs w:val="21"/>
          <w:highlight w:val="none"/>
          <w:vertAlign w:val="baseline"/>
          <w:lang w:eastAsia="zh-CN"/>
        </w:rPr>
        <w:t>，</w:t>
      </w:r>
      <w:r>
        <w:rPr>
          <w:rFonts w:hint="eastAsia" w:ascii="宋体" w:hAnsi="宋体" w:eastAsia="宋体" w:cs="宋体"/>
          <w:caps w:val="0"/>
          <w:color w:val="000000"/>
          <w:sz w:val="21"/>
          <w:szCs w:val="21"/>
          <w:highlight w:val="none"/>
          <w:vertAlign w:val="baseline"/>
          <w:lang w:val="en-US" w:eastAsia="zh-CN"/>
        </w:rPr>
        <w:t>具体内容及参数详见招标文件。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合同履行期限：根据甲方需求，以实际签订合同为准</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snapToGrid/>
          <w:color w:val="auto"/>
          <w:spacing w:val="0"/>
          <w:w w:val="100"/>
          <w:kern w:val="0"/>
          <w:position w:val="0"/>
          <w:sz w:val="21"/>
          <w:szCs w:val="21"/>
          <w:highlight w:val="none"/>
          <w:u w:val="none" w:color="auto"/>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本项目是否接受联合体：</w:t>
      </w:r>
      <w:bookmarkStart w:id="10" w:name="blank35_copy_1629683397000"/>
      <w:r>
        <w:rPr>
          <w:rFonts w:hint="eastAsia" w:ascii="宋体" w:hAnsi="宋体" w:eastAsia="宋体" w:cs="宋体"/>
          <w:b w:val="0"/>
          <w:bCs w:val="0"/>
          <w:caps w:val="0"/>
          <w:snapToGrid/>
          <w:color w:val="auto"/>
          <w:spacing w:val="0"/>
          <w:w w:val="100"/>
          <w:kern w:val="0"/>
          <w:position w:val="0"/>
          <w:sz w:val="21"/>
          <w:szCs w:val="21"/>
          <w:highlight w:val="none"/>
          <w:u w:val="none" w:color="auto"/>
          <w:vertAlign w:val="baseline"/>
          <w:lang w:val="en-US" w:eastAsia="zh-CN" w:bidi="ar"/>
        </w:rPr>
        <w:t>否</w:t>
      </w:r>
      <w:bookmarkEnd w:id="10"/>
    </w:p>
    <w:p>
      <w:pPr>
        <w:keepNext w:val="0"/>
        <w:keepLines w:val="0"/>
        <w:pageBreakBefore w:val="0"/>
        <w:widowControl/>
        <w:numPr>
          <w:ilvl w:val="0"/>
          <w:numId w:val="0"/>
        </w:numPr>
        <w:suppressLineNumbers w:val="0"/>
        <w:tabs>
          <w:tab w:val="left" w:pos="0"/>
        </w:tabs>
        <w:suppressAutoHyphens w:val="0"/>
        <w:kinsoku/>
        <w:wordWrap/>
        <w:overflowPunct/>
        <w:topLinePunct w:val="0"/>
        <w:autoSpaceDE/>
        <w:autoSpaceDN w:val="0"/>
        <w:bidi w:val="0"/>
        <w:adjustRightInd/>
        <w:snapToGrid/>
        <w:spacing w:before="0" w:beforeAutospacing="0" w:after="0" w:afterAutospacing="0" w:line="380" w:lineRule="exact"/>
        <w:ind w:leftChars="0" w:right="0" w:rightChars="0"/>
        <w:jc w:val="left"/>
        <w:outlineLvl w:val="9"/>
        <w:rPr>
          <w:rFonts w:hint="eastAsia" w:ascii="宋体" w:hAnsi="宋体" w:eastAsia="宋体" w:cs="宋体"/>
          <w:b/>
          <w:bCs/>
          <w:caps w:val="0"/>
          <w:color w:val="000000"/>
          <w:sz w:val="21"/>
          <w:szCs w:val="21"/>
          <w:highlight w:val="none"/>
          <w:vertAlign w:val="baseline"/>
        </w:rPr>
      </w:pPr>
      <w:bookmarkStart w:id="11" w:name="_Toc35393622"/>
      <w:bookmarkStart w:id="12" w:name="_Toc35393791"/>
      <w:bookmarkStart w:id="13" w:name="_Toc28359003"/>
      <w:bookmarkStart w:id="14" w:name="_Toc28359080"/>
      <w:r>
        <w:rPr>
          <w:rFonts w:hint="eastAsia" w:ascii="宋体" w:hAnsi="宋体" w:eastAsia="宋体" w:cs="宋体"/>
          <w:b/>
          <w:bCs/>
          <w:caps w:val="0"/>
          <w:color w:val="000000"/>
          <w:kern w:val="0"/>
          <w:sz w:val="21"/>
          <w:szCs w:val="21"/>
          <w:highlight w:val="none"/>
          <w:vertAlign w:val="baseline"/>
          <w:lang w:val="en-US" w:eastAsia="zh-CN" w:bidi="ar"/>
        </w:rPr>
        <w:t>二、申请人的资格要求：</w:t>
      </w:r>
      <w:bookmarkEnd w:id="11"/>
      <w:bookmarkEnd w:id="12"/>
      <w:bookmarkEnd w:id="13"/>
      <w:bookmarkEnd w:id="14"/>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shd w:val="clear" w:color="auto" w:fill="FFFFFF"/>
          <w:vertAlign w:val="baseline"/>
          <w:lang w:val="en-US" w:eastAsia="zh-CN" w:bidi="ar"/>
        </w:rPr>
        <w:t>2.1供应商应符合《中华人民共和国政府采购法》第二</w:t>
      </w:r>
      <w:r>
        <w:rPr>
          <w:rFonts w:hint="eastAsia" w:ascii="宋体" w:hAnsi="宋体" w:eastAsia="宋体" w:cs="宋体"/>
          <w:b w:val="0"/>
          <w:bCs w:val="0"/>
          <w:caps w:val="0"/>
          <w:color w:val="000000"/>
          <w:kern w:val="0"/>
          <w:sz w:val="21"/>
          <w:szCs w:val="21"/>
          <w:highlight w:val="none"/>
          <w:vertAlign w:val="baseline"/>
          <w:lang w:val="en-US" w:eastAsia="zh-CN" w:bidi="ar"/>
        </w:rPr>
        <w:t>十二条和《中华人民共和国政府采购法实施条例》第十七条的规定；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具有独立承担民事责任的能力；</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具有良好的商业信誉和健全的财务会计制度，近三年（2020年至2022年）财务状况良好；须提供经会计师事务所审计的财务审计报告（当投标单位成立日期在2020年至2022年之间的，提供2020至2022年之间的经会计师事务所审计的财务审计报告，2023年或以后新成立的公司无财务审计报告的，需提供自成立之日起至今的财务报表及财务状况良好承诺书）；</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（3）具有履行合同所必需的设备和专业技术能力；</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4）依法缴纳税收和社会保障资金的良好记录，提供近半年内任意一个月企业依法缴纳税收及社保的相关材料（依法免税或无欠税、依法不需要缴纳社会保险的，应提供相应文件证明其依法免税或无欠税、依法不需要缴纳社会保险），并加盖本单位公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（5）参加政府采购活动前三年内，在经营活动中没有重大违法记录；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（6）法律、行政法规规定的其他条件。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2.2在中国裁判文书网上，近三年无行贿受贿犯罪记录；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2.3近三年内（截止到本项目公告发布之日）不得为“信用中国”网站（www.creditchina.gov.cn）中列入失信被执行人和重大税收违法案件当事人名单供应商，不得为中国政府采购网（www.ccgp.gov.cn）政府采购严重违法失信行为记录名单中被财政部门禁止参加政府采购活动的供应商（在处罚决定规定的时间和地域范围内）；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2.4本项目不接受被列入失信被执人、重大税收违法案件当事人名单、政府采购严重违法失信行为记录名单的供应商参与投标（详见财库【2017】125号文件）；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2.5单位负责人为同一人或者存在控股、管理关系的不同单位，不得参加同一标段投标或者未划分标段的同一招标项目投标。违反这两款规定的，相关投标均无效；</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2.6拒绝列入政府取消投标资格记录期间的企业或个人投标。</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2.7落实政府采购政策需满足的资格要求：</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bookmarkStart w:id="15" w:name="blank20"/>
      <w:r>
        <w:rPr>
          <w:rFonts w:hint="eastAsia" w:ascii="宋体" w:hAnsi="宋体" w:eastAsia="宋体" w:cs="宋体"/>
          <w:b w:val="0"/>
          <w:bCs w:val="0"/>
          <w:caps w:val="0"/>
          <w:color w:val="000000"/>
          <w:kern w:val="0"/>
          <w:sz w:val="21"/>
          <w:szCs w:val="21"/>
          <w:highlight w:val="none"/>
          <w:vertAlign w:val="baseline"/>
          <w:lang w:val="en-US" w:eastAsia="zh-CN" w:bidi="ar"/>
        </w:rPr>
        <w:t>（1）依据《中华人民共和国政府采购法》及《中华人民共和国政府采购法实施条例》的有关规定，落实政府采购政策,详见招标文件。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（2）《政府采购促进中小企业发展暂行办法》（财库[2011]181 号）；</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（3）《财政部司法部关于政府采购支持监狱企业发展有关问题的通知》（财库[2014]68 号）；</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（4）《关于促进残疾人就业政府采购政策的通知》（财库〔2017〕141 号）；</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（5）《环境标志产品政府采购实施意见》（财库[2006]90 号）等国家最新政策。</w:t>
      </w:r>
      <w:bookmarkEnd w:id="15"/>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2.8本项目的特定资格要求：</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w:t>
      </w:r>
      <w:bookmarkStart w:id="16" w:name="blank21"/>
      <w:r>
        <w:rPr>
          <w:rFonts w:hint="eastAsia" w:ascii="宋体" w:hAnsi="宋体" w:eastAsia="宋体" w:cs="宋体"/>
          <w:b w:val="0"/>
          <w:bCs w:val="0"/>
          <w:caps w:val="0"/>
          <w:color w:val="000000"/>
          <w:kern w:val="0"/>
          <w:sz w:val="21"/>
          <w:szCs w:val="21"/>
          <w:highlight w:val="none"/>
          <w:vertAlign w:val="baseline"/>
          <w:lang w:val="en-US" w:eastAsia="zh-CN" w:bidi="ar"/>
        </w:rPr>
        <w:t>本项目非专门面向中小企业采购</w:t>
      </w:r>
      <w:bookmarkEnd w:id="16"/>
      <w:r>
        <w:rPr>
          <w:rFonts w:hint="eastAsia" w:ascii="宋体" w:hAnsi="宋体" w:eastAsia="宋体" w:cs="宋体"/>
          <w:b w:val="0"/>
          <w:bCs w:val="0"/>
          <w:caps w:val="0"/>
          <w:color w:val="000000"/>
          <w:kern w:val="0"/>
          <w:sz w:val="21"/>
          <w:szCs w:val="21"/>
          <w:highlight w:val="none"/>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招投标过程中，投标单位所提供的所有证件均需在有效期内且注册单位名称与投标单位的名称一致，如企业名称发生变更，需提供主管部门出具的变更证明材料，否则不接受其供应商参与本次招标项目的投标。</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highlight w:val="none"/>
          <w:vertAlign w:val="baseline"/>
        </w:rPr>
      </w:pPr>
      <w:bookmarkStart w:id="17" w:name="_Toc28359081"/>
      <w:bookmarkStart w:id="18" w:name="_Toc28359004"/>
      <w:bookmarkStart w:id="19" w:name="_Toc35393623"/>
      <w:bookmarkStart w:id="20" w:name="_Toc35393792"/>
      <w:r>
        <w:rPr>
          <w:rFonts w:hint="eastAsia" w:ascii="宋体" w:hAnsi="宋体" w:eastAsia="宋体" w:cs="宋体"/>
          <w:b/>
          <w:bCs/>
          <w:caps w:val="0"/>
          <w:color w:val="000000"/>
          <w:kern w:val="0"/>
          <w:sz w:val="21"/>
          <w:szCs w:val="21"/>
          <w:highlight w:val="none"/>
          <w:vertAlign w:val="baseline"/>
          <w:lang w:val="en-US" w:eastAsia="zh-CN" w:bidi="ar"/>
        </w:rPr>
        <w:t>三、获取竞争性磋商文件</w:t>
      </w:r>
      <w:bookmarkEnd w:id="17"/>
      <w:bookmarkEnd w:id="18"/>
      <w:bookmarkEnd w:id="19"/>
      <w:bookmarkEnd w:id="20"/>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时间：</w:t>
      </w:r>
      <w:bookmarkStart w:id="21" w:name="blank22"/>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2023年12月8日</w:t>
      </w:r>
      <w:bookmarkEnd w:id="21"/>
      <w:r>
        <w:rPr>
          <w:rFonts w:hint="eastAsia" w:ascii="宋体" w:hAnsi="宋体" w:eastAsia="宋体" w:cs="宋体"/>
          <w:b w:val="0"/>
          <w:bCs w:val="0"/>
          <w:caps w:val="0"/>
          <w:color w:val="000000"/>
          <w:kern w:val="0"/>
          <w:sz w:val="21"/>
          <w:szCs w:val="21"/>
          <w:highlight w:val="none"/>
          <w:vertAlign w:val="baseline"/>
          <w:lang w:val="en-US" w:eastAsia="zh-CN" w:bidi="ar"/>
        </w:rPr>
        <w:t>至</w:t>
      </w:r>
      <w:bookmarkStart w:id="22" w:name="blank50"/>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2023年12月14日</w:t>
      </w:r>
      <w:bookmarkEnd w:id="22"/>
      <w:r>
        <w:rPr>
          <w:rFonts w:hint="eastAsia" w:ascii="宋体" w:hAnsi="宋体" w:eastAsia="宋体" w:cs="宋体"/>
          <w:b w:val="0"/>
          <w:bCs w:val="0"/>
          <w:caps w:val="0"/>
          <w:color w:val="000000"/>
          <w:kern w:val="0"/>
          <w:sz w:val="21"/>
          <w:szCs w:val="21"/>
          <w:highlight w:val="none"/>
          <w:vertAlign w:val="baseline"/>
          <w:lang w:val="en-US" w:eastAsia="zh-CN" w:bidi="ar"/>
        </w:rPr>
        <w:t>，每天上午</w:t>
      </w:r>
      <w:bookmarkStart w:id="23" w:name="blank51"/>
      <w:r>
        <w:rPr>
          <w:rFonts w:hint="eastAsia" w:ascii="宋体" w:hAnsi="宋体" w:eastAsia="宋体" w:cs="宋体"/>
          <w:b w:val="0"/>
          <w:bCs w:val="0"/>
          <w:caps w:val="0"/>
          <w:color w:val="000000"/>
          <w:kern w:val="0"/>
          <w:sz w:val="21"/>
          <w:szCs w:val="21"/>
          <w:highlight w:val="none"/>
          <w:vertAlign w:val="baseline"/>
          <w:lang w:val="en-US" w:eastAsia="zh-CN" w:bidi="ar"/>
        </w:rPr>
        <w:t>09时00分</w:t>
      </w:r>
      <w:bookmarkEnd w:id="23"/>
      <w:r>
        <w:rPr>
          <w:rFonts w:hint="eastAsia" w:ascii="宋体" w:hAnsi="宋体" w:eastAsia="宋体" w:cs="宋体"/>
          <w:b w:val="0"/>
          <w:bCs w:val="0"/>
          <w:caps w:val="0"/>
          <w:color w:val="000000"/>
          <w:kern w:val="0"/>
          <w:sz w:val="21"/>
          <w:szCs w:val="21"/>
          <w:highlight w:val="none"/>
          <w:vertAlign w:val="baseline"/>
          <w:lang w:val="en-US" w:eastAsia="zh-CN" w:bidi="ar"/>
        </w:rPr>
        <w:t>至</w:t>
      </w:r>
      <w:bookmarkStart w:id="24" w:name="blank52"/>
      <w:r>
        <w:rPr>
          <w:rFonts w:hint="eastAsia" w:ascii="宋体" w:hAnsi="宋体" w:eastAsia="宋体" w:cs="宋体"/>
          <w:b w:val="0"/>
          <w:bCs w:val="0"/>
          <w:caps w:val="0"/>
          <w:color w:val="000000"/>
          <w:kern w:val="0"/>
          <w:sz w:val="21"/>
          <w:szCs w:val="21"/>
          <w:highlight w:val="none"/>
          <w:vertAlign w:val="baseline"/>
          <w:lang w:val="en-US" w:eastAsia="zh-CN" w:bidi="ar"/>
        </w:rPr>
        <w:t>11时30分</w:t>
      </w:r>
      <w:bookmarkEnd w:id="24"/>
      <w:r>
        <w:rPr>
          <w:rFonts w:hint="eastAsia" w:ascii="宋体" w:hAnsi="宋体" w:eastAsia="宋体" w:cs="宋体"/>
          <w:b w:val="0"/>
          <w:bCs w:val="0"/>
          <w:caps w:val="0"/>
          <w:color w:val="000000"/>
          <w:kern w:val="0"/>
          <w:sz w:val="21"/>
          <w:szCs w:val="21"/>
          <w:highlight w:val="none"/>
          <w:vertAlign w:val="baseline"/>
          <w:lang w:val="en-US" w:eastAsia="zh-CN" w:bidi="ar"/>
        </w:rPr>
        <w:t>，下午</w:t>
      </w:r>
      <w:bookmarkStart w:id="25" w:name="blank53"/>
      <w:r>
        <w:rPr>
          <w:rFonts w:hint="eastAsia" w:ascii="宋体" w:hAnsi="宋体" w:eastAsia="宋体" w:cs="宋体"/>
          <w:b w:val="0"/>
          <w:bCs w:val="0"/>
          <w:caps w:val="0"/>
          <w:color w:val="000000"/>
          <w:kern w:val="0"/>
          <w:sz w:val="21"/>
          <w:szCs w:val="21"/>
          <w:highlight w:val="none"/>
          <w:vertAlign w:val="baseline"/>
          <w:lang w:val="en-US" w:eastAsia="zh-CN" w:bidi="ar"/>
        </w:rPr>
        <w:t>13时30分</w:t>
      </w:r>
      <w:bookmarkEnd w:id="25"/>
      <w:r>
        <w:rPr>
          <w:rFonts w:hint="eastAsia" w:ascii="宋体" w:hAnsi="宋体" w:eastAsia="宋体" w:cs="宋体"/>
          <w:b w:val="0"/>
          <w:bCs w:val="0"/>
          <w:caps w:val="0"/>
          <w:color w:val="000000"/>
          <w:kern w:val="0"/>
          <w:sz w:val="21"/>
          <w:szCs w:val="21"/>
          <w:highlight w:val="none"/>
          <w:vertAlign w:val="baseline"/>
          <w:lang w:val="en-US" w:eastAsia="zh-CN" w:bidi="ar"/>
        </w:rPr>
        <w:t>至</w:t>
      </w:r>
      <w:bookmarkStart w:id="26" w:name="blank54"/>
      <w:r>
        <w:rPr>
          <w:rFonts w:hint="eastAsia" w:ascii="宋体" w:hAnsi="宋体" w:eastAsia="宋体" w:cs="宋体"/>
          <w:b w:val="0"/>
          <w:bCs w:val="0"/>
          <w:caps w:val="0"/>
          <w:color w:val="000000"/>
          <w:kern w:val="0"/>
          <w:sz w:val="21"/>
          <w:szCs w:val="21"/>
          <w:highlight w:val="none"/>
          <w:vertAlign w:val="baseline"/>
          <w:lang w:val="en-US" w:eastAsia="zh-CN" w:bidi="ar"/>
        </w:rPr>
        <w:t>16时00分</w:t>
      </w:r>
      <w:bookmarkEnd w:id="26"/>
      <w:r>
        <w:rPr>
          <w:rFonts w:hint="eastAsia" w:ascii="宋体" w:hAnsi="宋体" w:eastAsia="宋体" w:cs="宋体"/>
          <w:b w:val="0"/>
          <w:bCs w:val="0"/>
          <w:caps w:val="0"/>
          <w:color w:val="000000"/>
          <w:kern w:val="0"/>
          <w:sz w:val="21"/>
          <w:szCs w:val="21"/>
          <w:highlight w:val="none"/>
          <w:vertAlign w:val="baseline"/>
          <w:lang w:val="en-US" w:eastAsia="zh-CN" w:bidi="ar"/>
        </w:rPr>
        <w:t>（北京时间，法定节假日除外）；</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获取方式：网上下载。本项目不发放纸质文件，投标人可自行在“政采云”平台（http：//www.zcygov.cn）下载招标文件（操作路径：登录“政采云”平台-项目采购-获取采购文件-找到本项目-点击“申请获取采购文件”），电子响应文件制作需要基于“政采云”平台获取的招标文件编制。未进行网上注册并办理CA认证的投标人将无法参与本次招标活动。咨询电话：0431-81697018</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售价：</w:t>
      </w:r>
      <w:bookmarkStart w:id="27" w:name="blank23"/>
      <w:r>
        <w:rPr>
          <w:rFonts w:hint="eastAsia" w:ascii="宋体" w:hAnsi="宋体" w:eastAsia="宋体" w:cs="宋体"/>
          <w:b w:val="0"/>
          <w:bCs w:val="0"/>
          <w:caps w:val="0"/>
          <w:color w:val="000000"/>
          <w:kern w:val="0"/>
          <w:sz w:val="21"/>
          <w:szCs w:val="21"/>
          <w:highlight w:val="none"/>
          <w:vertAlign w:val="baseline"/>
          <w:lang w:val="en-US" w:eastAsia="zh-CN" w:bidi="ar"/>
        </w:rPr>
        <w:t>0</w:t>
      </w:r>
      <w:bookmarkEnd w:id="27"/>
      <w:r>
        <w:rPr>
          <w:rFonts w:hint="eastAsia" w:ascii="宋体" w:hAnsi="宋体" w:eastAsia="宋体" w:cs="宋体"/>
          <w:b w:val="0"/>
          <w:bCs w:val="0"/>
          <w:caps w:val="0"/>
          <w:color w:val="000000"/>
          <w:kern w:val="0"/>
          <w:sz w:val="21"/>
          <w:szCs w:val="21"/>
          <w:highlight w:val="none"/>
          <w:vertAlign w:val="baseline"/>
          <w:lang w:val="en-US" w:eastAsia="zh-CN" w:bidi="ar"/>
        </w:rPr>
        <w:t>元。</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highlight w:val="none"/>
          <w:vertAlign w:val="baseline"/>
        </w:rPr>
      </w:pPr>
      <w:bookmarkStart w:id="28" w:name="_Toc28359005"/>
      <w:bookmarkStart w:id="29" w:name="_Toc28359082"/>
      <w:bookmarkStart w:id="30" w:name="_Toc35393793"/>
      <w:bookmarkStart w:id="31" w:name="_Toc35393624"/>
      <w:r>
        <w:rPr>
          <w:rFonts w:hint="eastAsia" w:ascii="宋体" w:hAnsi="宋体" w:eastAsia="宋体" w:cs="宋体"/>
          <w:b/>
          <w:bCs/>
          <w:caps w:val="0"/>
          <w:color w:val="000000"/>
          <w:kern w:val="0"/>
          <w:sz w:val="21"/>
          <w:szCs w:val="21"/>
          <w:highlight w:val="none"/>
          <w:vertAlign w:val="baseline"/>
          <w:lang w:val="en-US" w:eastAsia="zh-CN" w:bidi="ar"/>
        </w:rPr>
        <w:t>四、提交</w:t>
      </w:r>
      <w:bookmarkEnd w:id="28"/>
      <w:bookmarkEnd w:id="29"/>
      <w:r>
        <w:rPr>
          <w:rFonts w:hint="eastAsia" w:ascii="宋体" w:hAnsi="宋体" w:eastAsia="宋体" w:cs="宋体"/>
          <w:b/>
          <w:bCs/>
          <w:caps w:val="0"/>
          <w:color w:val="000000"/>
          <w:kern w:val="0"/>
          <w:sz w:val="21"/>
          <w:szCs w:val="21"/>
          <w:highlight w:val="none"/>
          <w:vertAlign w:val="baseline"/>
          <w:lang w:val="en-US" w:eastAsia="zh-CN" w:bidi="ar"/>
        </w:rPr>
        <w:t>响应文件截止时间、开标时间和地点</w:t>
      </w:r>
      <w:bookmarkEnd w:id="30"/>
      <w:bookmarkEnd w:id="31"/>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    时间：</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2023年12月19日10时00分</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en-US" w:eastAsia="zh-CN" w:bidi="ar"/>
        </w:rPr>
        <w:t>北京时间）；</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地点</w:t>
      </w:r>
      <w:r>
        <w:rPr>
          <w:rFonts w:hint="eastAsia" w:ascii="宋体" w:hAnsi="宋体" w:eastAsia="宋体" w:cs="宋体"/>
          <w:b w:val="0"/>
          <w:bCs w:val="0"/>
          <w:caps w:val="0"/>
          <w:color w:val="000000"/>
          <w:kern w:val="0"/>
          <w:sz w:val="21"/>
          <w:szCs w:val="21"/>
          <w:highlight w:val="none"/>
          <w:vertAlign w:val="baseline"/>
          <w:lang w:val="en-US" w:eastAsia="zh-CN" w:bidi="ar"/>
        </w:rPr>
        <w:t>：四平市人和政府采购全流程电子化服务平台开标室（四平市铁西区北沟街北新华大街102号1-4层101）</w:t>
      </w:r>
      <w:r>
        <w:rPr>
          <w:rFonts w:hint="eastAsia" w:ascii="宋体" w:hAnsi="宋体" w:eastAsia="宋体" w:cs="宋体"/>
          <w:b w:val="0"/>
          <w:bCs w:val="0"/>
          <w:caps w:val="0"/>
          <w:color w:val="auto"/>
          <w:kern w:val="0"/>
          <w:sz w:val="21"/>
          <w:szCs w:val="21"/>
          <w:highlight w:val="none"/>
          <w:vertAlign w:val="baseline"/>
          <w:lang w:val="en-US" w:eastAsia="zh-CN" w:bidi="ar"/>
        </w:rPr>
        <w:t>，</w:t>
      </w:r>
      <w:r>
        <w:rPr>
          <w:rFonts w:hint="eastAsia" w:ascii="宋体" w:hAnsi="宋体" w:eastAsia="宋体" w:cs="宋体"/>
          <w:b w:val="0"/>
          <w:bCs w:val="0"/>
          <w:caps w:val="0"/>
          <w:color w:val="auto"/>
          <w:kern w:val="0"/>
          <w:sz w:val="21"/>
          <w:szCs w:val="21"/>
          <w:highlight w:val="none"/>
          <w:vertAlign w:val="baseline"/>
          <w:lang w:val="en-US" w:eastAsia="zh-CN" w:bidi="ar"/>
        </w:rPr>
        <w:t>本项目为全流程电</w:t>
      </w:r>
      <w:r>
        <w:rPr>
          <w:rFonts w:hint="eastAsia" w:ascii="宋体" w:hAnsi="宋体" w:eastAsia="宋体" w:cs="宋体"/>
          <w:b w:val="0"/>
          <w:bCs w:val="0"/>
          <w:caps w:val="0"/>
          <w:color w:val="000000"/>
          <w:kern w:val="0"/>
          <w:sz w:val="21"/>
          <w:szCs w:val="21"/>
          <w:highlight w:val="none"/>
          <w:vertAlign w:val="baseline"/>
          <w:lang w:val="en-US" w:eastAsia="zh-CN" w:bidi="ar"/>
        </w:rPr>
        <w:t>子化项目潜在投标人须在提交响应文件截止时间前远程开标（开标时远程开标、解密响应文件）</w:t>
      </w:r>
    </w:p>
    <w:p>
      <w:pPr>
        <w:pStyle w:val="18"/>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360" w:lineRule="atLeast"/>
        <w:ind w:left="0" w:right="0" w:firstLine="480"/>
        <w:jc w:val="both"/>
        <w:rPr>
          <w:rFonts w:ascii="微软雅黑" w:hAnsi="微软雅黑" w:eastAsia="微软雅黑" w:cs="微软雅黑"/>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shd w:val="clear" w:fill="FFFFFF"/>
          <w:lang w:val="en-US" w:eastAsia="zh-CN"/>
        </w:rPr>
        <w:t>1</w:t>
      </w:r>
      <w:r>
        <w:rPr>
          <w:rFonts w:hint="eastAsia" w:ascii="宋体" w:hAnsi="宋体" w:eastAsia="宋体" w:cs="宋体"/>
          <w:i w:val="0"/>
          <w:iCs w:val="0"/>
          <w:caps w:val="0"/>
          <w:color w:val="000000"/>
          <w:spacing w:val="0"/>
          <w:sz w:val="21"/>
          <w:szCs w:val="21"/>
          <w:highlight w:val="none"/>
          <w:shd w:val="clear" w:fill="FFFFFF"/>
        </w:rPr>
        <w:t>、本项目为全流程电子化项目，通过“政采云”平台（http：//www.zcygov.cn）实行在线电子投标，供应商应先安装“政采云投标客户端”（请自行前往“政采云”平台进行下载），并按照本项目招标文件和“政采云”平台的要求编制、加密后在投标截止时间前通过网络上传至“政采云”平台，供应商在“政采云”平台提交电子版投标文件时，请填写参加开标活动经办人联系方式。</w:t>
      </w:r>
    </w:p>
    <w:p>
      <w:pPr>
        <w:pStyle w:val="18"/>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360" w:lineRule="atLeast"/>
        <w:ind w:left="0" w:right="0" w:firstLine="480"/>
        <w:jc w:val="both"/>
        <w:rPr>
          <w:rFonts w:hint="eastAsia" w:ascii="微软雅黑" w:hAnsi="微软雅黑" w:eastAsia="微软雅黑" w:cs="微软雅黑"/>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shd w:val="clear" w:fill="FFFFFF"/>
          <w:lang w:val="en-US" w:eastAsia="zh-CN"/>
        </w:rPr>
        <w:t>2</w:t>
      </w:r>
      <w:r>
        <w:rPr>
          <w:rFonts w:hint="eastAsia" w:ascii="宋体" w:hAnsi="宋体" w:eastAsia="宋体" w:cs="宋体"/>
          <w:i w:val="0"/>
          <w:iCs w:val="0"/>
          <w:caps w:val="0"/>
          <w:color w:val="000000"/>
          <w:spacing w:val="0"/>
          <w:sz w:val="21"/>
          <w:szCs w:val="21"/>
          <w:highlight w:val="none"/>
          <w:shd w:val="clear" w:fill="FFFFFF"/>
        </w:rPr>
        <w:t>、电子投标文件解密期限及方式：开启时间后</w:t>
      </w:r>
      <w:r>
        <w:rPr>
          <w:rFonts w:hint="eastAsia" w:ascii="宋体" w:hAnsi="宋体" w:eastAsia="宋体" w:cs="宋体"/>
          <w:i w:val="0"/>
          <w:iCs w:val="0"/>
          <w:caps w:val="0"/>
          <w:color w:val="000000"/>
          <w:spacing w:val="0"/>
          <w:sz w:val="21"/>
          <w:szCs w:val="21"/>
          <w:highlight w:val="none"/>
          <w:shd w:val="clear" w:fill="FFFFFF"/>
          <w:lang w:val="en-US" w:eastAsia="zh-CN"/>
        </w:rPr>
        <w:t>3</w:t>
      </w:r>
      <w:r>
        <w:rPr>
          <w:rFonts w:hint="eastAsia" w:ascii="宋体" w:hAnsi="宋体" w:eastAsia="宋体" w:cs="宋体"/>
          <w:i w:val="0"/>
          <w:iCs w:val="0"/>
          <w:caps w:val="0"/>
          <w:color w:val="000000"/>
          <w:spacing w:val="0"/>
          <w:sz w:val="21"/>
          <w:szCs w:val="21"/>
          <w:highlight w:val="none"/>
          <w:shd w:val="clear" w:fill="FFFFFF"/>
        </w:rPr>
        <w:t>0分钟内，由供应商持制作该电子投标文件的同一数字证书（CA锁）及电脑进行远程解密（各供应商开标前及网上开评标系统公布供应商名单前，不要提前进行远程解密；具体解密时间在开标直播时采购代理机构工作人员会进行通知）。</w:t>
      </w:r>
    </w:p>
    <w:p>
      <w:pPr>
        <w:pStyle w:val="18"/>
        <w:widowControl/>
        <w:pBdr>
          <w:top w:val="none" w:color="auto" w:sz="0" w:space="0"/>
          <w:left w:val="none" w:color="auto" w:sz="0" w:space="0"/>
          <w:bottom w:val="none" w:color="auto" w:sz="0" w:space="0"/>
          <w:right w:val="none" w:color="auto" w:sz="0" w:space="0"/>
        </w:pBdr>
        <w:spacing w:line="360" w:lineRule="atLeast"/>
        <w:ind w:left="0" w:firstLine="480"/>
        <w:rPr>
          <w:rFonts w:hint="eastAsia"/>
          <w:highlight w:val="none"/>
          <w:lang w:val="en-US" w:eastAsia="zh-CN"/>
        </w:rPr>
      </w:pPr>
      <w:r>
        <w:rPr>
          <w:rFonts w:hint="eastAsia" w:ascii="宋体" w:hAnsi="宋体" w:eastAsia="宋体" w:cs="宋体"/>
          <w:i w:val="0"/>
          <w:iCs w:val="0"/>
          <w:caps w:val="0"/>
          <w:color w:val="000000"/>
          <w:spacing w:val="0"/>
          <w:sz w:val="21"/>
          <w:szCs w:val="21"/>
          <w:highlight w:val="none"/>
          <w:shd w:val="clear" w:fill="FFFFFF"/>
          <w:lang w:val="en-US" w:eastAsia="zh-CN"/>
        </w:rPr>
        <w:t>3</w:t>
      </w:r>
      <w:r>
        <w:rPr>
          <w:rFonts w:hint="eastAsia" w:ascii="宋体" w:hAnsi="宋体" w:eastAsia="宋体" w:cs="宋体"/>
          <w:i w:val="0"/>
          <w:iCs w:val="0"/>
          <w:caps w:val="0"/>
          <w:color w:val="000000"/>
          <w:spacing w:val="0"/>
          <w:sz w:val="21"/>
          <w:szCs w:val="21"/>
          <w:highlight w:val="none"/>
          <w:shd w:val="clear" w:fill="FFFFFF"/>
        </w:rPr>
        <w:t>、投标文件开标方式：投标文件解密截止时间后，“政采云”平台手动公布投标报价信息，供应商持企业数字证书登录“政采云”平台在线查询投标报价信息。</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highlight w:val="none"/>
          <w:vertAlign w:val="baseline"/>
        </w:rPr>
      </w:pPr>
      <w:bookmarkStart w:id="32" w:name="_Toc35393625"/>
      <w:bookmarkStart w:id="33" w:name="_Toc35393794"/>
      <w:bookmarkStart w:id="34" w:name="_Toc28359084"/>
      <w:bookmarkStart w:id="35" w:name="_Toc28359007"/>
      <w:r>
        <w:rPr>
          <w:rFonts w:hint="eastAsia" w:ascii="宋体" w:hAnsi="宋体" w:eastAsia="宋体" w:cs="宋体"/>
          <w:b/>
          <w:bCs/>
          <w:caps w:val="0"/>
          <w:color w:val="000000"/>
          <w:kern w:val="0"/>
          <w:sz w:val="21"/>
          <w:szCs w:val="21"/>
          <w:highlight w:val="none"/>
          <w:vertAlign w:val="baseline"/>
          <w:lang w:val="en-US" w:eastAsia="zh-CN" w:bidi="ar"/>
        </w:rPr>
        <w:t>五、公告期限</w:t>
      </w:r>
      <w:bookmarkEnd w:id="32"/>
      <w:bookmarkEnd w:id="33"/>
      <w:bookmarkEnd w:id="34"/>
      <w:bookmarkEnd w:id="35"/>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自本公告发布之日起</w:t>
      </w:r>
      <w:bookmarkStart w:id="36" w:name="blank65"/>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5</w:t>
      </w:r>
      <w:bookmarkEnd w:id="36"/>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个工作日</w:t>
      </w:r>
      <w:r>
        <w:rPr>
          <w:rFonts w:hint="eastAsia" w:ascii="宋体" w:hAnsi="宋体" w:eastAsia="宋体" w:cs="宋体"/>
          <w:b w:val="0"/>
          <w:bCs w:val="0"/>
          <w:caps w:val="0"/>
          <w:color w:val="000000"/>
          <w:kern w:val="0"/>
          <w:sz w:val="21"/>
          <w:szCs w:val="21"/>
          <w:highlight w:val="none"/>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highlight w:val="none"/>
          <w:vertAlign w:val="baseline"/>
        </w:rPr>
      </w:pPr>
      <w:bookmarkStart w:id="37" w:name="_Hlk64709943"/>
      <w:bookmarkEnd w:id="37"/>
      <w:bookmarkStart w:id="38" w:name="_Toc35393626"/>
      <w:bookmarkStart w:id="39" w:name="_Toc35393795"/>
      <w:r>
        <w:rPr>
          <w:rFonts w:hint="eastAsia" w:ascii="宋体" w:hAnsi="宋体" w:eastAsia="宋体" w:cs="宋体"/>
          <w:b/>
          <w:bCs/>
          <w:caps w:val="0"/>
          <w:color w:val="000000"/>
          <w:kern w:val="0"/>
          <w:sz w:val="21"/>
          <w:szCs w:val="21"/>
          <w:highlight w:val="none"/>
          <w:vertAlign w:val="baseline"/>
          <w:lang w:val="en-US" w:eastAsia="zh-CN" w:bidi="ar"/>
        </w:rPr>
        <w:t>六、其他补充事宜</w:t>
      </w:r>
      <w:bookmarkEnd w:id="38"/>
      <w:bookmarkEnd w:id="39"/>
    </w:p>
    <w:p>
      <w:pPr>
        <w:pStyle w:val="18"/>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360" w:lineRule="atLeast"/>
        <w:ind w:left="0" w:right="0" w:firstLine="480"/>
        <w:jc w:val="both"/>
        <w:rPr>
          <w:rFonts w:ascii="微软雅黑" w:hAnsi="微软雅黑" w:eastAsia="微软雅黑" w:cs="微软雅黑"/>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shd w:val="clear" w:fill="FFFFFF"/>
        </w:rPr>
        <w:t>1、投标人在电子化平台参与政府采购项目前，应在电子化平台完成信息注册（如已注册长春市政府采购电子商城则无需重复注册），注册链接：https://middle.zcygov.cn/v-settle-front/registry，政采云平台客服热线：95763；</w:t>
      </w:r>
    </w:p>
    <w:p>
      <w:pPr>
        <w:pStyle w:val="18"/>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360" w:lineRule="atLeast"/>
        <w:ind w:left="0" w:right="0" w:firstLine="480"/>
        <w:jc w:val="both"/>
        <w:rPr>
          <w:rFonts w:hint="eastAsia" w:ascii="微软雅黑" w:hAnsi="微软雅黑" w:eastAsia="微软雅黑" w:cs="微软雅黑"/>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shd w:val="clear" w:fill="FFFFFF"/>
        </w:rPr>
        <w:t>2、政采云投标客户端及CA驱动下载地址：https://customer.zcygov.cn/CA-driver-download?utm=web-login-front.52cebfa2.0.0.04df4040034511edaac705fda12edb43；</w:t>
      </w:r>
    </w:p>
    <w:p>
      <w:pPr>
        <w:pStyle w:val="18"/>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360" w:lineRule="atLeast"/>
        <w:ind w:left="0" w:right="0" w:firstLine="480"/>
        <w:jc w:val="both"/>
        <w:rPr>
          <w:rFonts w:hint="eastAsia" w:ascii="微软雅黑" w:hAnsi="微软雅黑" w:eastAsia="微软雅黑" w:cs="微软雅黑"/>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shd w:val="clear" w:fill="FFFFFF"/>
        </w:rPr>
        <w:t>3、CA数字证书申请流程链接：http://www.anxinca.com/kehu/zcy/kh-zcy-zsshenqing.html，未进行政采云注册并办理数字证书（CA认证）的投标人将无法参与本项目政府采购活动，潜在投标人应当在投标截止时间前，完成政采云平台上的CA数字证书办理及投标文件的提交。投标人须自行考虑办理时间，由于投标人自身原因导致无法完成办理的，后果自负；</w:t>
      </w:r>
    </w:p>
    <w:p>
      <w:pPr>
        <w:pStyle w:val="18"/>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360" w:lineRule="atLeast"/>
        <w:ind w:left="0" w:right="0" w:firstLine="480"/>
        <w:jc w:val="both"/>
        <w:rPr>
          <w:rFonts w:hint="eastAsia" w:ascii="微软雅黑" w:hAnsi="微软雅黑" w:eastAsia="微软雅黑" w:cs="微软雅黑"/>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shd w:val="clear" w:fill="FFFFFF"/>
        </w:rPr>
        <w:t>4、为确保网上操作合法、有效和安全，请投标人确保在电子响应过程中能够对相关数据电文进行加密和使用电子签章，妥善保管CA数字证书并使用有效的CA数字证书参与整个采购活动；</w:t>
      </w:r>
    </w:p>
    <w:p>
      <w:pPr>
        <w:pStyle w:val="18"/>
        <w:keepNext w:val="0"/>
        <w:keepLines w:val="0"/>
        <w:widowControl/>
        <w:suppressLineNumbers w:val="0"/>
        <w:pBdr>
          <w:top w:val="none" w:color="auto" w:sz="0" w:space="0"/>
          <w:left w:val="none" w:color="auto" w:sz="0" w:space="0"/>
          <w:bottom w:val="none" w:color="auto" w:sz="0" w:space="0"/>
          <w:right w:val="none" w:color="auto" w:sz="0" w:space="0"/>
        </w:pBdr>
        <w:spacing w:line="360" w:lineRule="atLeast"/>
        <w:ind w:left="0" w:firstLine="480"/>
        <w:jc w:val="both"/>
        <w:rPr>
          <w:rFonts w:hint="eastAsia" w:ascii="微软雅黑" w:hAnsi="微软雅黑" w:eastAsia="微软雅黑" w:cs="微软雅黑"/>
          <w:i w:val="0"/>
          <w:iCs w:val="0"/>
          <w:caps w:val="0"/>
          <w:color w:val="000000"/>
          <w:spacing w:val="0"/>
          <w:sz w:val="27"/>
          <w:szCs w:val="27"/>
          <w:highlight w:val="none"/>
        </w:rPr>
      </w:pPr>
      <w:r>
        <w:rPr>
          <w:rFonts w:hint="eastAsia" w:ascii="宋体" w:hAnsi="宋体" w:eastAsia="宋体" w:cs="宋体"/>
          <w:i w:val="0"/>
          <w:iCs w:val="0"/>
          <w:caps w:val="0"/>
          <w:color w:val="000000"/>
          <w:spacing w:val="0"/>
          <w:sz w:val="21"/>
          <w:szCs w:val="21"/>
          <w:highlight w:val="none"/>
          <w:shd w:val="clear" w:fill="FFFFFF"/>
        </w:rPr>
        <w:t>5、若对项目采购电子交易系统操作有疑问，可登录政采云平台，点击右侧咨询小采获取采小蜜智能服务管家帮助或点击右侧帮助文档查看投标人指南或拨打政采云服务热线95763获取热线服务帮助</w:t>
      </w:r>
      <w:r>
        <w:rPr>
          <w:rFonts w:hint="eastAsia" w:ascii="宋体" w:hAnsi="宋体" w:eastAsia="宋体" w:cs="宋体"/>
          <w:i w:val="0"/>
          <w:iCs w:val="0"/>
          <w:caps w:val="0"/>
          <w:color w:val="000000"/>
          <w:spacing w:val="0"/>
          <w:sz w:val="24"/>
          <w:szCs w:val="24"/>
          <w:highlight w:val="none"/>
          <w:shd w:val="clear" w:fill="FFFFFF"/>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kern w:val="0"/>
          <w:sz w:val="21"/>
          <w:szCs w:val="21"/>
          <w:highlight w:val="none"/>
          <w:vertAlign w:val="baseline"/>
          <w:lang w:val="en-US" w:eastAsia="zh-CN" w:bidi="ar"/>
        </w:rPr>
      </w:pPr>
      <w:r>
        <w:rPr>
          <w:rFonts w:hint="eastAsia" w:ascii="宋体" w:hAnsi="宋体" w:eastAsia="宋体" w:cs="宋体"/>
          <w:b/>
          <w:bCs/>
          <w:caps w:val="0"/>
          <w:color w:val="000000"/>
          <w:kern w:val="0"/>
          <w:sz w:val="21"/>
          <w:szCs w:val="21"/>
          <w:highlight w:val="none"/>
          <w:vertAlign w:val="baseline"/>
          <w:lang w:val="en-US" w:eastAsia="zh-CN" w:bidi="ar"/>
        </w:rPr>
        <w:t>七、发布媒介</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kern w:val="0"/>
          <w:sz w:val="21"/>
          <w:szCs w:val="21"/>
          <w:highlight w:val="none"/>
          <w:shd w:val="clear" w:fill="FFFFFF"/>
          <w:vertAlign w:val="baseline"/>
          <w:lang w:bidi="ar"/>
        </w:rPr>
      </w:pPr>
      <w:r>
        <w:rPr>
          <w:rFonts w:hint="eastAsia" w:ascii="宋体" w:hAnsi="宋体" w:eastAsia="宋体" w:cs="宋体"/>
          <w:i w:val="0"/>
          <w:iCs w:val="0"/>
          <w:caps w:val="0"/>
          <w:color w:val="000000"/>
          <w:spacing w:val="0"/>
          <w:kern w:val="0"/>
          <w:sz w:val="21"/>
          <w:szCs w:val="21"/>
          <w:highlight w:val="none"/>
          <w:shd w:val="clear" w:fill="FFFFFF"/>
          <w:lang w:bidi="ar"/>
        </w:rPr>
        <w:t>政采云平台（https://www.zcygov.cn/）发布并同步推送至吉林省政府采购网（http://www.ccgp-jilin.gov.cn/）</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highlight w:val="none"/>
          <w:vertAlign w:val="baseline"/>
        </w:rPr>
      </w:pPr>
      <w:bookmarkStart w:id="40" w:name="_Toc35393627"/>
      <w:bookmarkStart w:id="41" w:name="_Toc35393796"/>
      <w:bookmarkStart w:id="42" w:name="_Toc28359085"/>
      <w:bookmarkStart w:id="43" w:name="_Toc28359008"/>
      <w:r>
        <w:rPr>
          <w:rFonts w:hint="eastAsia" w:ascii="宋体" w:hAnsi="宋体" w:eastAsia="宋体" w:cs="宋体"/>
          <w:b/>
          <w:bCs/>
          <w:caps w:val="0"/>
          <w:color w:val="000000"/>
          <w:kern w:val="0"/>
          <w:sz w:val="21"/>
          <w:szCs w:val="21"/>
          <w:highlight w:val="none"/>
          <w:vertAlign w:val="baseline"/>
          <w:lang w:val="en-US" w:eastAsia="zh-CN" w:bidi="ar"/>
        </w:rPr>
        <w:t>八、对本次招标提出询问，请按以下方式联系</w:t>
      </w:r>
      <w:bookmarkEnd w:id="40"/>
      <w:bookmarkEnd w:id="41"/>
      <w:bookmarkEnd w:id="42"/>
      <w:bookmarkEnd w:id="43"/>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1.采购人信息</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default" w:ascii="宋体" w:hAnsi="宋体" w:eastAsia="宋体" w:cs="宋体"/>
          <w:caps w:val="0"/>
          <w:color w:val="000000"/>
          <w:sz w:val="21"/>
          <w:szCs w:val="21"/>
          <w:highlight w:val="none"/>
          <w:vertAlign w:val="baseline"/>
          <w:lang w:val="en-US"/>
        </w:rPr>
      </w:pPr>
      <w:r>
        <w:rPr>
          <w:rFonts w:hint="eastAsia" w:ascii="宋体" w:hAnsi="宋体" w:eastAsia="宋体" w:cs="宋体"/>
          <w:b w:val="0"/>
          <w:bCs w:val="0"/>
          <w:caps w:val="0"/>
          <w:color w:val="000000"/>
          <w:kern w:val="0"/>
          <w:sz w:val="21"/>
          <w:szCs w:val="21"/>
          <w:highlight w:val="none"/>
          <w:vertAlign w:val="baseline"/>
          <w:lang w:val="en-US" w:eastAsia="zh-CN" w:bidi="ar"/>
        </w:rPr>
        <w:t>名    称：</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双辽市中心医院</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地    址：吉林省双辽市辽北街</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联系方式：13944434399（衣丽华）</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2.采购代理机构信息</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名    称：</w:t>
      </w:r>
      <w:bookmarkStart w:id="44" w:name="sendDeptName_copy_1619577478000"/>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吉林省铠融项目管理咨询有限公司</w:t>
      </w:r>
      <w:bookmarkEnd w:id="44"/>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地　　址：</w:t>
      </w:r>
      <w:bookmarkStart w:id="45" w:name="blank7_copy_1619577488000"/>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长春市宽城区万龙台北明珠四期B2栋2335室</w:t>
      </w:r>
      <w:bookmarkEnd w:id="45"/>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联系方式：</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0431-81697018</w:t>
      </w:r>
      <w:r>
        <w:rPr>
          <w:rFonts w:hint="eastAsia" w:ascii="宋体" w:hAnsi="宋体" w:eastAsia="宋体" w:cs="宋体"/>
          <w:b w:val="0"/>
          <w:bCs w:val="0"/>
          <w:caps w:val="0"/>
          <w:color w:val="000000"/>
          <w:kern w:val="0"/>
          <w:sz w:val="21"/>
          <w:szCs w:val="21"/>
          <w:highlight w:val="none"/>
          <w:vertAlign w:val="baseline"/>
          <w:lang w:val="en-US" w:eastAsia="zh-CN" w:bidi="ar"/>
        </w:rPr>
        <w:t>（王嘉麟）</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3.项目联系方式</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default" w:ascii="宋体" w:hAnsi="宋体" w:eastAsia="宋体" w:cs="宋体"/>
          <w:caps w:val="0"/>
          <w:color w:val="000000"/>
          <w:sz w:val="21"/>
          <w:szCs w:val="21"/>
          <w:highlight w:val="none"/>
          <w:vertAlign w:val="baseline"/>
          <w:lang w:val="en-US"/>
        </w:rPr>
      </w:pPr>
      <w:r>
        <w:rPr>
          <w:rFonts w:hint="eastAsia" w:ascii="宋体" w:hAnsi="宋体" w:eastAsia="宋体" w:cs="宋体"/>
          <w:b w:val="0"/>
          <w:bCs w:val="0"/>
          <w:caps w:val="0"/>
          <w:color w:val="000000"/>
          <w:kern w:val="0"/>
          <w:sz w:val="21"/>
          <w:szCs w:val="21"/>
          <w:highlight w:val="none"/>
          <w:vertAlign w:val="baseline"/>
          <w:lang w:val="en-US" w:eastAsia="zh-CN" w:bidi="ar"/>
        </w:rPr>
        <w:t>项目联系人：王嘉麟</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highlight w:val="none"/>
        </w:rPr>
      </w:pPr>
      <w:r>
        <w:rPr>
          <w:rFonts w:hint="eastAsia" w:ascii="宋体" w:hAnsi="宋体" w:eastAsia="宋体" w:cs="宋体"/>
          <w:b w:val="0"/>
          <w:bCs w:val="0"/>
          <w:caps w:val="0"/>
          <w:color w:val="000000"/>
          <w:kern w:val="0"/>
          <w:sz w:val="21"/>
          <w:szCs w:val="21"/>
          <w:highlight w:val="none"/>
          <w:vertAlign w:val="baseline"/>
          <w:lang w:val="en-US" w:eastAsia="zh-CN" w:bidi="ar"/>
        </w:rPr>
        <w:t>电　　  话：</w:t>
      </w: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0431-81697018</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80" w:firstLineChars="200"/>
        <w:jc w:val="left"/>
        <w:outlineLvl w:val="9"/>
        <w:rPr>
          <w:rFonts w:hint="eastAsia" w:ascii="宋体" w:hAnsi="宋体" w:eastAsia="宋体" w:cs="宋体"/>
          <w:caps w:val="0"/>
          <w:color w:val="000000"/>
          <w:sz w:val="24"/>
          <w:szCs w:val="24"/>
          <w:highlight w:val="none"/>
          <w:vertAlign w:val="baseline"/>
        </w:rPr>
      </w:pPr>
      <w:r>
        <w:rPr>
          <w:rFonts w:hint="eastAsia" w:ascii="宋体" w:hAnsi="宋体" w:eastAsia="宋体" w:cs="宋体"/>
          <w:b w:val="0"/>
          <w:bCs w:val="0"/>
          <w:caps w:val="0"/>
          <w:color w:val="000000"/>
          <w:kern w:val="0"/>
          <w:sz w:val="24"/>
          <w:szCs w:val="24"/>
          <w:highlight w:val="none"/>
          <w:vertAlign w:val="baseline"/>
          <w:lang w:val="en-US"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00" w:firstLineChars="200"/>
        <w:jc w:val="left"/>
        <w:outlineLvl w:val="9"/>
        <w:rPr>
          <w:rFonts w:hint="default" w:ascii="Times New Roman" w:hAnsi="Times New Roman" w:eastAsia="宋体" w:cs="Times New Roman"/>
          <w:caps w:val="0"/>
          <w:color w:val="000000"/>
          <w:sz w:val="20"/>
          <w:szCs w:val="20"/>
          <w:highlight w:val="none"/>
          <w:vertAlign w:val="baseline"/>
        </w:rPr>
      </w:pPr>
    </w:p>
    <w:p>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default" w:ascii="Times New Roman" w:hAnsi="Times New Roman" w:eastAsia="宋体" w:cs="Times New Roman"/>
          <w:b/>
          <w:bCs/>
          <w:caps w:val="0"/>
          <w:color w:val="000000"/>
          <w:sz w:val="44"/>
          <w:szCs w:val="44"/>
          <w:highlight w:val="none"/>
          <w:vertAlign w:val="baseline"/>
        </w:rPr>
      </w:pPr>
      <w:bookmarkStart w:id="46" w:name="_Toc54891393"/>
      <w:r>
        <w:rPr>
          <w:rFonts w:hint="eastAsia" w:ascii="Times New Roman" w:hAnsi="宋体" w:eastAsia="宋体" w:cs="宋体"/>
          <w:b/>
          <w:bCs/>
          <w:caps w:val="0"/>
          <w:color w:val="000000"/>
          <w:sz w:val="44"/>
          <w:szCs w:val="44"/>
          <w:highlight w:val="none"/>
          <w:vertAlign w:val="baseline"/>
        </w:rPr>
        <w:t>第二部分</w:t>
      </w:r>
      <w:r>
        <w:rPr>
          <w:rFonts w:hint="default" w:ascii="Times New Roman" w:hAnsi="Times New Roman" w:eastAsia="宋体" w:cs="Times New Roman"/>
          <w:b/>
          <w:bCs/>
          <w:caps w:val="0"/>
          <w:color w:val="000000"/>
          <w:sz w:val="44"/>
          <w:szCs w:val="44"/>
          <w:highlight w:val="none"/>
          <w:vertAlign w:val="baseline"/>
        </w:rPr>
        <w:t xml:space="preserve">  </w:t>
      </w:r>
      <w:r>
        <w:rPr>
          <w:rFonts w:hint="eastAsia" w:ascii="Times New Roman" w:hAnsi="宋体" w:eastAsia="宋体" w:cs="宋体"/>
          <w:b/>
          <w:bCs/>
          <w:caps w:val="0"/>
          <w:color w:val="000000"/>
          <w:sz w:val="44"/>
          <w:szCs w:val="44"/>
          <w:highlight w:val="none"/>
          <w:vertAlign w:val="baseline"/>
        </w:rPr>
        <w:t>供应商须知</w:t>
      </w:r>
      <w:bookmarkEnd w:id="46"/>
    </w:p>
    <w:p>
      <w:pPr>
        <w:pStyle w:val="4"/>
        <w:keepNext/>
        <w:keepLines/>
        <w:pageBreakBefore w:val="0"/>
        <w:widowControl/>
        <w:suppressLineNumbers w:val="0"/>
        <w:tabs>
          <w:tab w:val="left" w:pos="360"/>
        </w:tabs>
        <w:suppressAutoHyphens w:val="0"/>
        <w:kinsoku/>
        <w:wordWrap/>
        <w:overflowPunct/>
        <w:topLinePunct w:val="0"/>
        <w:autoSpaceDE/>
        <w:autoSpaceDN w:val="0"/>
        <w:bidi w:val="0"/>
        <w:adjustRightInd/>
        <w:snapToGrid/>
        <w:spacing w:before="260" w:beforeAutospacing="0" w:after="260" w:afterAutospacing="0" w:line="415" w:lineRule="auto"/>
        <w:ind w:left="0" w:right="0" w:firstLine="0"/>
        <w:jc w:val="left"/>
        <w:outlineLvl w:val="1"/>
        <w:rPr>
          <w:rFonts w:hint="default" w:ascii="Arial" w:hAnsi="Arial" w:eastAsia="黑体" w:cs="Arial"/>
          <w:b/>
          <w:bCs/>
          <w:caps w:val="0"/>
          <w:color w:val="000000"/>
          <w:sz w:val="28"/>
          <w:szCs w:val="28"/>
          <w:highlight w:val="none"/>
          <w:vertAlign w:val="baseline"/>
        </w:rPr>
      </w:pPr>
      <w:r>
        <w:rPr>
          <w:rFonts w:hint="eastAsia" w:ascii="Arial" w:hAnsi="宋体" w:eastAsia="黑体" w:cs="黑体"/>
          <w:b/>
          <w:bCs/>
          <w:caps w:val="0"/>
          <w:color w:val="000000"/>
          <w:sz w:val="28"/>
          <w:szCs w:val="28"/>
          <w:highlight w:val="none"/>
          <w:vertAlign w:val="baseline"/>
        </w:rPr>
        <w:t>一、供应商须知前附表</w:t>
      </w:r>
    </w:p>
    <w:tbl>
      <w:tblPr>
        <w:tblStyle w:val="22"/>
        <w:tblW w:w="9078"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71"/>
        <w:gridCol w:w="2127"/>
        <w:gridCol w:w="638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号</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内    容</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说明与要求</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采购人</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双辽市中心医院</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采购代理机构</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bookmarkStart w:id="47" w:name="sendDeptName_copy_1619577543000"/>
            <w:r>
              <w:rPr>
                <w:rFonts w:hint="eastAsia" w:ascii="宋体" w:hAnsi="宋体" w:eastAsia="宋体" w:cs="宋体"/>
                <w:b w:val="0"/>
                <w:bCs w:val="0"/>
                <w:caps w:val="0"/>
                <w:color w:val="000000"/>
                <w:kern w:val="0"/>
                <w:sz w:val="21"/>
                <w:szCs w:val="21"/>
                <w:highlight w:val="none"/>
                <w:vertAlign w:val="baseline"/>
                <w:lang w:val="en-US" w:eastAsia="zh-CN" w:bidi="ar"/>
              </w:rPr>
              <w:t>吉林省铠融项目管理咨询有限公司</w:t>
            </w:r>
            <w:bookmarkEnd w:id="47"/>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3</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项目名称</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双辽市中心医院采购医保DRG运营管理系统</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4</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项目编号</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采购计划-[2023]-00002号-2023JLKR1104</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5</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采购预算</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1250000元</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6</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项目地点</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甲方指定地点</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7</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采购内容</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双辽市中心医院采购医保DRG运营管理系统</w:t>
            </w:r>
            <w:r>
              <w:rPr>
                <w:rFonts w:hint="eastAsia" w:ascii="宋体" w:hAnsi="宋体" w:eastAsia="宋体" w:cs="宋体"/>
                <w:caps w:val="0"/>
                <w:color w:val="000000"/>
                <w:sz w:val="21"/>
                <w:szCs w:val="21"/>
                <w:highlight w:val="none"/>
                <w:vertAlign w:val="baseline"/>
                <w:lang w:eastAsia="zh-CN"/>
              </w:rPr>
              <w:t>，</w:t>
            </w:r>
            <w:r>
              <w:rPr>
                <w:rFonts w:hint="eastAsia" w:ascii="宋体" w:hAnsi="宋体" w:eastAsia="宋体" w:cs="宋体"/>
                <w:caps w:val="0"/>
                <w:color w:val="000000"/>
                <w:sz w:val="21"/>
                <w:szCs w:val="21"/>
                <w:highlight w:val="none"/>
                <w:vertAlign w:val="baseline"/>
                <w:lang w:val="en-US" w:eastAsia="zh-CN"/>
              </w:rPr>
              <w:t>具体内容及参数详见采购文件</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8</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合同履行期限</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根据甲方需求，以实际签订合同为准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9</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服务标准</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满足国家医保支付改革要求，满足国家相关标准、行业标准，符合相关法律规定。</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10</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资金来源</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财政资金</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nil"/>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11</w:t>
            </w:r>
          </w:p>
        </w:tc>
        <w:tc>
          <w:tcPr>
            <w:tcW w:w="2127" w:type="dxa"/>
            <w:tcBorders>
              <w:top w:val="single" w:color="auto" w:sz="4" w:space="0"/>
              <w:left w:val="single" w:color="auto" w:sz="4" w:space="0"/>
              <w:bottom w:val="nil"/>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供应商资格要求</w:t>
            </w:r>
          </w:p>
        </w:tc>
        <w:tc>
          <w:tcPr>
            <w:tcW w:w="6380" w:type="dxa"/>
            <w:tcBorders>
              <w:top w:val="single" w:color="auto" w:sz="4" w:space="0"/>
              <w:left w:val="single" w:color="auto" w:sz="4" w:space="0"/>
              <w:bottom w:val="nil"/>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1供应商应符合《中华人民共和国政府采购法》第二十二条和《中华人民共和国政府采购法实施条例》第十七条的规定；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（1）具有独立承担民事责任的能力；</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具有良好的商业信誉和健全的财务会计制度，近三年（2020年至2022年）财务状况良好；须提供经会计师事务所审计的财务审计报告（当投标单位成立日期在2020年至2022年之间的，提供2020至2022年之间的经会计师事务所审计的财务审计报告，2023年或以后新成立的公司无财务审计报告的，需提供自成立之日起至今的财务报表及财务状况良好承诺书）；</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（3）具有履行合同所必需的设备和专业技术能力；</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4）依法缴纳税收和社会保障资金的良好记录，提供近半年内任意一个月企业依法缴纳税收及社保的相关材料（依法免税或无欠税、依法不需要缴纳社会保险的，应提供相应文件证明其依法免税或无欠税、依法不需要缴纳社会保险），并加盖本单位公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（5）参加政府采购活动前三年内，在经营活动中没有重大违法记录；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（6）法律、行政法规规定的其他条件。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2在中国裁判文书网上，近三年无行贿受贿犯罪记录；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3近三年内（截止到本项目公告发布之日）不得为“信用中国”网站（www.creditchina.gov.cn）中列入失信被执行人和重大税收违法案件当事人名单供应商，不得为中国政府采购网（www.ccgp.gov.cn）政府采购严重违法失信行为记录名单中被财政部门禁止参加政府采购活动的供应商（在处罚决定规定的时间和地域范围内）；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4本项目不接受被列入失信被执人、重大税收违法案件当事人名单、政府采购严重违法失信行为记录名单的供应商参与投标（详见财库【2017】125号文件）；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5单位负责人为同一人或者存在控股、管理关系的不同单位，不得参加同一标段投标或者未划分标段的同一招标项目投标。违反这两款规定的，相关投标均无效；</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6拒绝列入政府取消投标资格记录期间的企业或个人投标。</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nil"/>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12</w:t>
            </w:r>
          </w:p>
        </w:tc>
        <w:tc>
          <w:tcPr>
            <w:tcW w:w="2127" w:type="dxa"/>
            <w:tcBorders>
              <w:top w:val="single" w:color="auto" w:sz="4" w:space="0"/>
              <w:left w:val="single" w:color="auto" w:sz="4" w:space="0"/>
              <w:bottom w:val="nil"/>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是否接受联合体投标</w:t>
            </w:r>
          </w:p>
        </w:tc>
        <w:tc>
          <w:tcPr>
            <w:tcW w:w="6380" w:type="dxa"/>
            <w:tcBorders>
              <w:top w:val="single" w:color="auto" w:sz="4" w:space="0"/>
              <w:left w:val="single" w:color="auto" w:sz="4" w:space="0"/>
              <w:bottom w:val="nil"/>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bookmarkStart w:id="48" w:name="blank35"/>
            <w:r>
              <w:rPr>
                <w:rFonts w:hint="eastAsia" w:ascii="宋体" w:hAnsi="宋体" w:eastAsia="宋体" w:cs="宋体"/>
                <w:b w:val="0"/>
                <w:bCs w:val="0"/>
                <w:caps w:val="0"/>
                <w:color w:val="000000"/>
                <w:kern w:val="0"/>
                <w:sz w:val="21"/>
                <w:szCs w:val="21"/>
                <w:highlight w:val="none"/>
                <w:vertAlign w:val="baseline"/>
                <w:lang w:val="en-US" w:eastAsia="zh-CN" w:bidi="ar"/>
              </w:rPr>
              <w:t>否</w:t>
            </w:r>
            <w:bookmarkEnd w:id="48"/>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13</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踏勘现场</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不组织</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14</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答疑会时间及地点</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uppressAutoHyphens w:val="0"/>
              <w:topLinePunct w:val="0"/>
              <w:autoSpaceDN w:val="0"/>
              <w:spacing w:after="0" w:line="360" w:lineRule="auto"/>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不召开</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15</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分包、转包</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不允许</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16</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偏离</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☑允许正偏离</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□不接受任何偏离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17</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构成响应文件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的其他材料</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（1）营业执照（副本）</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（2）类似项目中标通知书或合同协议书</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（3）基本账户开户许可证或基本存款账户信息、磋商保证金汇款凭证。（如需缴纳）</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（4）授权委托书（若法定代表人直接投标则不需要提供）</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（5）采购文件及评标办法中提及的其他证明材料。</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18</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签字或盖章要求</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（1）所有要求签字的地方都应用不褪色的墨水或签字笔由本人亲笔手写签字（包括姓和名），不得用盖章（如签名章、签字章等）代替，也不得由他人代签。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（2）所有要求盖章的地方都应按照采购文件的规定加盖与供应商名称全称相一致的电子公章。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19</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投标有效期</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90日历天（从投标截止之日算起）</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20</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磋商保证金</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磋商保证金的金额</w:t>
            </w:r>
            <w:r>
              <w:rPr>
                <w:rFonts w:hint="eastAsia" w:ascii="宋体" w:hAnsi="宋体" w:eastAsia="宋体" w:cs="宋体"/>
                <w:b w:val="0"/>
                <w:bCs w:val="0"/>
                <w:caps w:val="0"/>
                <w:color w:val="000000"/>
                <w:kern w:val="0"/>
                <w:sz w:val="21"/>
                <w:szCs w:val="21"/>
                <w:highlight w:val="none"/>
                <w:vertAlign w:val="baseline"/>
                <w:lang w:val="en-US" w:eastAsia="zh-CN" w:bidi="ar"/>
              </w:rPr>
              <w:t>：24000元。</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磋商保证金的形式：支票、汇票、电汇、本票、或者金融机构、担保机构出具的保函等非现金形式提交，磋商保证金须从基本账户转出，供应商未按照采购文件要求提交磋商保证金的，投标无效。</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账户名称：</w:t>
            </w:r>
            <w:bookmarkStart w:id="49" w:name="blank46"/>
            <w:r>
              <w:rPr>
                <w:rFonts w:hint="eastAsia" w:ascii="宋体" w:hAnsi="宋体" w:eastAsia="宋体" w:cs="宋体"/>
                <w:b w:val="0"/>
                <w:bCs w:val="0"/>
                <w:caps w:val="0"/>
                <w:color w:val="000000"/>
                <w:kern w:val="0"/>
                <w:sz w:val="21"/>
                <w:szCs w:val="21"/>
                <w:highlight w:val="none"/>
                <w:vertAlign w:val="baseline"/>
                <w:lang w:val="en-US" w:eastAsia="zh-CN" w:bidi="ar"/>
              </w:rPr>
              <w:t>吉林省铠融项目管理咨询有限公司</w:t>
            </w:r>
            <w:bookmarkEnd w:id="49"/>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账号：</w:t>
            </w:r>
            <w:bookmarkStart w:id="50" w:name="blank48"/>
            <w:r>
              <w:rPr>
                <w:rFonts w:hint="eastAsia" w:ascii="宋体" w:hAnsi="宋体" w:eastAsia="宋体" w:cs="宋体"/>
                <w:b w:val="0"/>
                <w:bCs w:val="0"/>
                <w:caps w:val="0"/>
                <w:color w:val="000000"/>
                <w:kern w:val="0"/>
                <w:sz w:val="21"/>
                <w:szCs w:val="21"/>
                <w:highlight w:val="none"/>
                <w:vertAlign w:val="baseline"/>
                <w:lang w:val="en-US" w:eastAsia="zh-CN" w:bidi="ar"/>
              </w:rPr>
              <w:t>22050131004809666666</w:t>
            </w:r>
            <w:bookmarkEnd w:id="50"/>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开户银行：</w:t>
            </w:r>
            <w:bookmarkStart w:id="51" w:name="blank49"/>
            <w:r>
              <w:rPr>
                <w:rFonts w:hint="eastAsia" w:ascii="宋体" w:hAnsi="宋体" w:eastAsia="宋体" w:cs="宋体"/>
                <w:b w:val="0"/>
                <w:bCs w:val="0"/>
                <w:caps w:val="0"/>
                <w:color w:val="000000"/>
                <w:kern w:val="0"/>
                <w:sz w:val="21"/>
                <w:szCs w:val="21"/>
                <w:highlight w:val="none"/>
                <w:vertAlign w:val="baseline"/>
                <w:lang w:val="en-US" w:eastAsia="zh-CN" w:bidi="ar"/>
              </w:rPr>
              <w:t>中国建设银行股份有限公司长春珠海路支行</w:t>
            </w:r>
            <w:bookmarkEnd w:id="51"/>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※注：磋商保证金应于</w:t>
            </w:r>
            <w:bookmarkStart w:id="52" w:name="blank15_copy_1629962738000"/>
            <w:r>
              <w:rPr>
                <w:rFonts w:hint="eastAsia" w:ascii="宋体" w:hAnsi="宋体" w:eastAsia="宋体" w:cs="宋体"/>
                <w:b w:val="0"/>
                <w:bCs w:val="0"/>
                <w:caps w:val="0"/>
                <w:color w:val="000000"/>
                <w:kern w:val="0"/>
                <w:sz w:val="21"/>
                <w:szCs w:val="21"/>
                <w:highlight w:val="none"/>
                <w:vertAlign w:val="baseline"/>
                <w:lang w:val="en-US" w:eastAsia="zh-CN" w:bidi="ar"/>
              </w:rPr>
              <w:t>2023年12月19日10时00分</w:t>
            </w:r>
            <w:bookmarkEnd w:id="52"/>
            <w:r>
              <w:rPr>
                <w:rFonts w:hint="eastAsia" w:ascii="宋体" w:hAnsi="宋体" w:eastAsia="宋体" w:cs="宋体"/>
                <w:b w:val="0"/>
                <w:bCs w:val="0"/>
                <w:caps w:val="0"/>
                <w:color w:val="000000"/>
                <w:kern w:val="0"/>
                <w:sz w:val="21"/>
                <w:szCs w:val="21"/>
                <w:highlight w:val="none"/>
                <w:vertAlign w:val="baseline"/>
                <w:lang w:val="zh-CN" w:eastAsia="zh-CN" w:bidi="ar"/>
              </w:rPr>
              <w:t>前完成缴纳，截止时间前未到账的供应商视为未缴纳磋商保证金。</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21</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响应文件份数</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纸质版文件一正四副，本文件仅用于备档，请在开标时间前送到开标室。</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22</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响应文件提交地点及截止时间</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时间：</w:t>
            </w:r>
            <w:r>
              <w:rPr>
                <w:rFonts w:hint="eastAsia" w:ascii="宋体" w:hAnsi="宋体" w:eastAsia="宋体" w:cs="宋体"/>
                <w:b w:val="0"/>
                <w:bCs w:val="0"/>
                <w:caps w:val="0"/>
                <w:color w:val="000000"/>
                <w:kern w:val="0"/>
                <w:sz w:val="21"/>
                <w:szCs w:val="21"/>
                <w:highlight w:val="none"/>
                <w:vertAlign w:val="baseline"/>
                <w:lang w:val="en-US" w:eastAsia="zh-CN" w:bidi="ar"/>
              </w:rPr>
              <w:t>2023年12月19日10时00分</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地点：四平市人和政府采购全流程电子化服务平台开标室（四平市铁西区北沟街北新华大街102号1-4层101）</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23</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开标</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时间：</w:t>
            </w:r>
            <w:r>
              <w:rPr>
                <w:rFonts w:hint="eastAsia" w:ascii="宋体" w:hAnsi="宋体" w:eastAsia="宋体" w:cs="宋体"/>
                <w:b w:val="0"/>
                <w:bCs w:val="0"/>
                <w:caps w:val="0"/>
                <w:color w:val="000000"/>
                <w:kern w:val="0"/>
                <w:sz w:val="21"/>
                <w:szCs w:val="21"/>
                <w:highlight w:val="none"/>
                <w:vertAlign w:val="baseline"/>
                <w:lang w:val="en-US" w:eastAsia="zh-CN" w:bidi="ar"/>
              </w:rPr>
              <w:t>2023年12月19日10时00分</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地点：四平市人和政府采购全流程电子化服务平台开标室（四平市铁西区北沟街北新华大街102号1-4层101）</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24</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评标方法及标准</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bookmarkStart w:id="53" w:name="blank29"/>
            <w:r>
              <w:rPr>
                <w:rFonts w:hint="eastAsia" w:ascii="宋体" w:hAnsi="宋体" w:eastAsia="宋体" w:cs="宋体"/>
                <w:b w:val="0"/>
                <w:bCs w:val="0"/>
                <w:caps w:val="0"/>
                <w:color w:val="000000"/>
                <w:kern w:val="0"/>
                <w:sz w:val="21"/>
                <w:szCs w:val="21"/>
                <w:highlight w:val="none"/>
                <w:vertAlign w:val="baseline"/>
                <w:lang w:val="en-US" w:eastAsia="zh-CN" w:bidi="ar"/>
              </w:rPr>
              <w:t>综合评分法</w:t>
            </w:r>
            <w:bookmarkEnd w:id="53"/>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25</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资格审查方式</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bookmarkStart w:id="54" w:name="blank24"/>
            <w:r>
              <w:rPr>
                <w:rFonts w:hint="eastAsia" w:ascii="宋体" w:hAnsi="宋体" w:eastAsia="宋体" w:cs="宋体"/>
                <w:b w:val="0"/>
                <w:bCs w:val="0"/>
                <w:caps w:val="0"/>
                <w:color w:val="000000"/>
                <w:kern w:val="0"/>
                <w:sz w:val="21"/>
                <w:szCs w:val="21"/>
                <w:highlight w:val="none"/>
                <w:vertAlign w:val="baseline"/>
                <w:lang w:val="en-US" w:eastAsia="zh-CN" w:bidi="ar"/>
              </w:rPr>
              <w:t>资格后审</w:t>
            </w:r>
            <w:bookmarkEnd w:id="54"/>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26</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评标委员会的组建</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评标委员会构成：</w:t>
            </w:r>
            <w:bookmarkStart w:id="55" w:name="blank30"/>
            <w:r>
              <w:rPr>
                <w:rFonts w:hint="eastAsia" w:ascii="宋体" w:hAnsi="宋体" w:eastAsia="宋体" w:cs="宋体"/>
                <w:b w:val="0"/>
                <w:bCs w:val="0"/>
                <w:caps w:val="0"/>
                <w:color w:val="000000"/>
                <w:kern w:val="0"/>
                <w:sz w:val="21"/>
                <w:szCs w:val="21"/>
                <w:highlight w:val="none"/>
                <w:vertAlign w:val="baseline"/>
                <w:lang w:val="en-US" w:eastAsia="zh-CN" w:bidi="ar"/>
              </w:rPr>
              <w:t>5</w:t>
            </w:r>
            <w:bookmarkEnd w:id="55"/>
            <w:r>
              <w:rPr>
                <w:rFonts w:hint="eastAsia" w:ascii="宋体" w:hAnsi="宋体" w:eastAsia="宋体" w:cs="宋体"/>
                <w:b w:val="0"/>
                <w:bCs w:val="0"/>
                <w:caps w:val="0"/>
                <w:color w:val="000000"/>
                <w:kern w:val="0"/>
                <w:sz w:val="21"/>
                <w:szCs w:val="21"/>
                <w:highlight w:val="none"/>
                <w:vertAlign w:val="baseline"/>
                <w:lang w:val="en-US" w:eastAsia="zh-CN" w:bidi="ar"/>
              </w:rPr>
              <w:t>人，评标委员会专家确定方式：从政府采购评审专家库中随机抽取产生。</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27</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是否授权评标委员会确定中标人</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否，推荐的中标候选人数：3 人，按综合得分由高至低排序，推荐三名中标候选人。</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排名第一的中标候选人放弃中标、因不可抗力提出不能履行合同或者被查实存在影响中标结果的违法行为等情形，不符合中标条件的，招标人可以按照评标委员会提出的中标候选人名单排序依次确定其他中标候选人为中标人，也可以重新招标。</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28</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履约担保</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诚信记录良好的供应商免收履约担保金。</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29</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预付款</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bookmarkStart w:id="56" w:name="blank34"/>
            <w:r>
              <w:rPr>
                <w:rFonts w:hint="eastAsia" w:ascii="宋体" w:hAnsi="宋体" w:eastAsia="宋体" w:cs="宋体"/>
                <w:b w:val="0"/>
                <w:bCs w:val="0"/>
                <w:caps w:val="0"/>
                <w:color w:val="000000"/>
                <w:kern w:val="0"/>
                <w:sz w:val="21"/>
                <w:szCs w:val="21"/>
                <w:highlight w:val="none"/>
                <w:vertAlign w:val="baseline"/>
                <w:lang w:val="en-US" w:eastAsia="zh-CN" w:bidi="ar"/>
              </w:rPr>
              <w:t>无</w:t>
            </w:r>
            <w:bookmarkEnd w:id="56"/>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30</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付款方式</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以最终签订合同为准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31</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签订合同</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中标人应在中标结果确定后30天内签订采购合同。</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32</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合同存档</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中标单位与采购人签订合同后 5 个工作日内将采购合同复印件送至采购代理机构存档。</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33</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招标代理服务费</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本项目招标代理服务费参照国家计委计价格[2002]1980号文件及国家发展改革委发改价格[2015]299号文件收取，由中标人支付。</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34</w:t>
            </w:r>
          </w:p>
        </w:tc>
        <w:tc>
          <w:tcPr>
            <w:tcW w:w="212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供应商信用信息查询</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查询渠道：</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①“信用中国”网站（www.creditchina.gov.cn）：失信被执行人、重大税收违法案件当事人名单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②中国政府采购网(www.ccgp.gov.cn)：政府采购严重违法失信行为信息记录。</w:t>
            </w:r>
          </w:p>
          <w:p>
            <w:pPr>
              <w:pStyle w:val="2"/>
              <w:numPr>
                <w:ilvl w:val="0"/>
                <w:numId w:val="0"/>
              </w:numPr>
              <w:rPr>
                <w:rFonts w:hint="eastAsia"/>
                <w:highlight w:val="none"/>
                <w:lang w:val="en-US" w:eastAsia="zh-CN"/>
              </w:rPr>
            </w:pPr>
            <w:r>
              <w:rPr>
                <w:rFonts w:hint="eastAsia" w:ascii="宋体" w:hAnsi="宋体" w:eastAsia="宋体" w:cs="宋体"/>
                <w:b w:val="0"/>
                <w:bCs w:val="0"/>
                <w:caps w:val="0"/>
                <w:color w:val="000000"/>
                <w:kern w:val="0"/>
                <w:sz w:val="21"/>
                <w:szCs w:val="21"/>
                <w:highlight w:val="none"/>
                <w:vertAlign w:val="baseline"/>
                <w:lang w:val="en-US" w:eastAsia="zh-CN" w:bidi="ar"/>
              </w:rPr>
              <w:t>③中国裁判文书网上：近三年无行贿受贿犯罪记录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查询截止时点：</w:t>
            </w:r>
            <w:r>
              <w:rPr>
                <w:rFonts w:hint="eastAsia" w:ascii="宋体" w:hAnsi="宋体" w:eastAsia="宋体" w:cs="宋体"/>
                <w:b w:val="0"/>
                <w:bCs w:val="0"/>
                <w:caps w:val="0"/>
                <w:color w:val="000000"/>
                <w:kern w:val="0"/>
                <w:sz w:val="21"/>
                <w:szCs w:val="21"/>
                <w:highlight w:val="none"/>
                <w:vertAlign w:val="baseline"/>
                <w:lang w:val="zh-CN" w:eastAsia="zh-CN" w:bidi="ar"/>
              </w:rPr>
              <w:t>同投标截止时间</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信用信息查询记录和证据留存的具体方式：</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采购人或采购代理机构将按查询截止时点对所有供应商的信用信息进行查询，网站查询记录作为招投标存档备案材料的组成部分进行留存。</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信用信息的使用规则：</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采购人或采购代理机构按查询截止时点对所有供应商的信用信息进行查询，查询记录将作为评委评标的依据，对列入失信被执行人、重大税收违法案件当事人名单、政府采购严重违法失信行为记录名单的供应商，响应文件作无效处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571" w:type="dxa"/>
            <w:vMerge w:val="restart"/>
            <w:tcBorders>
              <w:top w:val="single" w:color="auto" w:sz="4" w:space="0"/>
              <w:left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center"/>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35</w:t>
            </w:r>
          </w:p>
        </w:tc>
        <w:tc>
          <w:tcPr>
            <w:tcW w:w="2127" w:type="dxa"/>
            <w:vMerge w:val="restart"/>
            <w:tcBorders>
              <w:top w:val="single" w:color="auto" w:sz="4" w:space="0"/>
              <w:left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其他要求</w:t>
            </w: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供应商必须保证投标时所报资料真实有效，采购人保留对资料的核查权力，一旦发现资料有虚假现象将没收供应商磋商保证金，并移交有关部门处理。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405" w:hRule="atLeast"/>
          <w:jc w:val="center"/>
        </w:trPr>
        <w:tc>
          <w:tcPr>
            <w:tcW w:w="571" w:type="dxa"/>
            <w:vMerge w:val="continue"/>
            <w:tcBorders>
              <w:left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p>
        </w:tc>
        <w:tc>
          <w:tcPr>
            <w:tcW w:w="2127" w:type="dxa"/>
            <w:vMerge w:val="continue"/>
            <w:tcBorders>
              <w:left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p>
        </w:tc>
        <w:tc>
          <w:tcPr>
            <w:tcW w:w="63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只接受以书面形式向采购人、采购代理机构提出质疑，不接受以其他形式或提出的质疑。</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405" w:hRule="atLeast"/>
          <w:jc w:val="center"/>
        </w:trPr>
        <w:tc>
          <w:tcPr>
            <w:tcW w:w="9078" w:type="dxa"/>
            <w:gridSpan w:val="3"/>
            <w:tcBorders>
              <w:left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腾讯会议号：550 627 676</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23" w:hRule="atLeast"/>
          <w:jc w:val="center"/>
        </w:trPr>
        <w:tc>
          <w:tcPr>
            <w:tcW w:w="9078"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注意事项：本项目采购公告与采购文件中内容有不符之处，以本采购文件中内容为准。</w:t>
            </w:r>
          </w:p>
        </w:tc>
      </w:tr>
    </w:tbl>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default" w:ascii="宋体" w:hAnsi="宋体" w:eastAsia="宋体" w:cs="宋体"/>
          <w:b w:val="0"/>
          <w:bCs w:val="0"/>
          <w:caps w:val="0"/>
          <w:color w:val="000000"/>
          <w:kern w:val="0"/>
          <w:sz w:val="21"/>
          <w:szCs w:val="21"/>
          <w:highlight w:val="none"/>
          <w:vertAlign w:val="baseline"/>
          <w:lang w:val="en-US" w:eastAsia="zh-CN" w:bidi="ar"/>
        </w:rPr>
        <w:br w:type="page"/>
      </w:r>
    </w:p>
    <w:p>
      <w:pPr>
        <w:pStyle w:val="4"/>
        <w:keepNext/>
        <w:keepLines/>
        <w:pageBreakBefore w:val="0"/>
        <w:widowControl/>
        <w:suppressLineNumbers w:val="0"/>
        <w:tabs>
          <w:tab w:val="left" w:pos="360"/>
        </w:tabs>
        <w:suppressAutoHyphens w:val="0"/>
        <w:kinsoku/>
        <w:wordWrap/>
        <w:overflowPunct/>
        <w:topLinePunct w:val="0"/>
        <w:autoSpaceDE/>
        <w:autoSpaceDN w:val="0"/>
        <w:bidi w:val="0"/>
        <w:adjustRightInd/>
        <w:snapToGrid/>
        <w:spacing w:before="260" w:beforeAutospacing="0" w:after="260" w:afterAutospacing="0" w:line="415" w:lineRule="auto"/>
        <w:ind w:left="0" w:right="0" w:firstLine="0"/>
        <w:jc w:val="left"/>
        <w:outlineLvl w:val="1"/>
        <w:rPr>
          <w:rFonts w:hint="eastAsia" w:ascii="Arial" w:hAnsi="宋体" w:eastAsia="黑体" w:cs="黑体"/>
          <w:b/>
          <w:bCs/>
          <w:caps w:val="0"/>
          <w:color w:val="000000"/>
          <w:sz w:val="32"/>
          <w:szCs w:val="32"/>
          <w:highlight w:val="none"/>
          <w:vertAlign w:val="baseline"/>
        </w:rPr>
      </w:pPr>
      <w:r>
        <w:rPr>
          <w:rFonts w:hint="eastAsia" w:ascii="Arial" w:hAnsi="宋体" w:eastAsia="黑体" w:cs="黑体"/>
          <w:b/>
          <w:bCs/>
          <w:caps w:val="0"/>
          <w:color w:val="000000"/>
          <w:sz w:val="32"/>
          <w:szCs w:val="32"/>
          <w:highlight w:val="none"/>
          <w:vertAlign w:val="baseline"/>
        </w:rPr>
        <w:t>二</w:t>
      </w:r>
      <w:r>
        <w:rPr>
          <w:rFonts w:hint="eastAsia" w:ascii="Arial" w:hAnsi="宋体" w:eastAsia="黑体" w:cs="黑体"/>
          <w:b/>
          <w:bCs/>
          <w:caps w:val="0"/>
          <w:color w:val="000000"/>
          <w:sz w:val="32"/>
          <w:szCs w:val="32"/>
          <w:highlight w:val="none"/>
          <w:vertAlign w:val="baseline"/>
          <w:lang w:eastAsia="zh-CN"/>
        </w:rPr>
        <w:t>、</w:t>
      </w:r>
      <w:r>
        <w:rPr>
          <w:rFonts w:hint="eastAsia" w:ascii="Arial" w:hAnsi="宋体" w:eastAsia="黑体" w:cs="黑体"/>
          <w:b/>
          <w:bCs/>
          <w:caps w:val="0"/>
          <w:color w:val="000000"/>
          <w:sz w:val="32"/>
          <w:szCs w:val="32"/>
          <w:highlight w:val="none"/>
          <w:vertAlign w:val="baseline"/>
        </w:rPr>
        <w:t>供应商须知</w:t>
      </w:r>
    </w:p>
    <w:p>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本项目招标依据为《中华人民共和国政府采购法》、《中华人民共和国政府采购法实施条例》、《政府采购货物和服务招标投标管理办法》国家发展计划委员会等七部委《评标委员会和评标方法暂行规定》等有关法律、法规及规定。</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default" w:ascii="Times New Roman" w:hAnsi="Times New Roman" w:eastAsia="宋体" w:cs="Times New Roman"/>
          <w:caps w:val="0"/>
          <w:color w:val="auto"/>
          <w:sz w:val="20"/>
          <w:szCs w:val="20"/>
          <w:highlight w:val="none"/>
          <w:vertAlign w:val="baseline"/>
        </w:rPr>
      </w:pPr>
    </w:p>
    <w:p>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57" w:name="_Toc98580391"/>
      <w:r>
        <w:rPr>
          <w:rFonts w:hint="eastAsia" w:ascii="宋体" w:hAnsi="宋体" w:eastAsia="宋体" w:cs="宋体"/>
          <w:b/>
          <w:bCs/>
          <w:caps w:val="0"/>
          <w:color w:val="000000"/>
          <w:sz w:val="21"/>
          <w:szCs w:val="21"/>
          <w:highlight w:val="none"/>
          <w:vertAlign w:val="baseline"/>
        </w:rPr>
        <w:t>A 说明</w:t>
      </w:r>
      <w:bookmarkEnd w:id="57"/>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b/>
          <w:bCs/>
          <w:caps w:val="0"/>
          <w:color w:val="000000"/>
          <w:spacing w:val="6"/>
          <w:sz w:val="21"/>
          <w:szCs w:val="21"/>
          <w:highlight w:val="none"/>
          <w:vertAlign w:val="baseline"/>
        </w:rPr>
      </w:pPr>
      <w:bookmarkStart w:id="58" w:name="_Toc98580392"/>
      <w:r>
        <w:rPr>
          <w:rFonts w:hint="eastAsia" w:ascii="宋体" w:hAnsi="宋体" w:eastAsia="宋体" w:cs="宋体"/>
          <w:caps w:val="0"/>
          <w:color w:val="000000"/>
          <w:sz w:val="21"/>
          <w:szCs w:val="21"/>
          <w:highlight w:val="none"/>
          <w:vertAlign w:val="baseline"/>
        </w:rPr>
        <w:t>1.适用范围</w:t>
      </w:r>
      <w:bookmarkEnd w:id="58"/>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6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本文件是受</w:t>
      </w:r>
      <w:r>
        <w:rPr>
          <w:rFonts w:hint="eastAsia" w:ascii="宋体" w:hAnsi="宋体" w:eastAsia="宋体" w:cs="宋体"/>
          <w:b w:val="0"/>
          <w:bCs w:val="0"/>
          <w:caps w:val="0"/>
          <w:color w:val="000000"/>
          <w:spacing w:val="6"/>
          <w:kern w:val="0"/>
          <w:sz w:val="21"/>
          <w:szCs w:val="21"/>
          <w:highlight w:val="none"/>
          <w:vertAlign w:val="baseline"/>
          <w:lang w:val="en-US" w:eastAsia="zh-CN" w:bidi="ar"/>
        </w:rPr>
        <w:t>采购人</w:t>
      </w:r>
      <w:r>
        <w:rPr>
          <w:rFonts w:hint="eastAsia" w:ascii="宋体" w:hAnsi="宋体" w:eastAsia="宋体" w:cs="宋体"/>
          <w:b w:val="0"/>
          <w:bCs w:val="0"/>
          <w:caps w:val="0"/>
          <w:color w:val="000000"/>
          <w:kern w:val="0"/>
          <w:sz w:val="21"/>
          <w:szCs w:val="21"/>
          <w:highlight w:val="none"/>
          <w:vertAlign w:val="baseline"/>
          <w:lang w:val="en-US" w:eastAsia="zh-CN" w:bidi="ar"/>
        </w:rPr>
        <w:t>委托</w:t>
      </w:r>
      <w:r>
        <w:rPr>
          <w:rFonts w:hint="eastAsia" w:ascii="宋体" w:hAnsi="宋体" w:eastAsia="宋体" w:cs="宋体"/>
          <w:b w:val="0"/>
          <w:bCs w:val="0"/>
          <w:caps w:val="0"/>
          <w:color w:val="000000"/>
          <w:spacing w:val="6"/>
          <w:kern w:val="0"/>
          <w:sz w:val="21"/>
          <w:szCs w:val="21"/>
          <w:highlight w:val="none"/>
          <w:vertAlign w:val="baseline"/>
          <w:lang w:val="en-US" w:eastAsia="zh-CN" w:bidi="ar"/>
        </w:rPr>
        <w:t>，对采购人</w:t>
      </w:r>
      <w:r>
        <w:rPr>
          <w:rFonts w:hint="eastAsia" w:ascii="宋体" w:hAnsi="宋体" w:eastAsia="宋体" w:cs="宋体"/>
          <w:b w:val="0"/>
          <w:bCs w:val="0"/>
          <w:caps w:val="0"/>
          <w:color w:val="000000"/>
          <w:kern w:val="0"/>
          <w:sz w:val="21"/>
          <w:szCs w:val="21"/>
          <w:highlight w:val="none"/>
          <w:vertAlign w:val="baseline"/>
          <w:lang w:val="en-US" w:eastAsia="zh-CN" w:bidi="ar"/>
        </w:rPr>
        <w:t>委托</w:t>
      </w:r>
      <w:r>
        <w:rPr>
          <w:rFonts w:hint="eastAsia" w:ascii="宋体" w:hAnsi="宋体" w:eastAsia="宋体" w:cs="宋体"/>
          <w:b w:val="0"/>
          <w:bCs/>
          <w:caps w:val="0"/>
          <w:color w:val="000000"/>
          <w:kern w:val="0"/>
          <w:sz w:val="21"/>
          <w:szCs w:val="21"/>
          <w:highlight w:val="none"/>
          <w:vertAlign w:val="baseline"/>
          <w:lang w:val="zh-CN" w:eastAsia="zh-CN" w:bidi="ar"/>
        </w:rPr>
        <w:t>采购项目</w:t>
      </w:r>
      <w:r>
        <w:rPr>
          <w:rFonts w:hint="eastAsia" w:ascii="宋体" w:hAnsi="宋体" w:eastAsia="宋体" w:cs="宋体"/>
          <w:b w:val="0"/>
          <w:bCs w:val="0"/>
          <w:caps w:val="0"/>
          <w:color w:val="000000"/>
          <w:spacing w:val="6"/>
          <w:kern w:val="0"/>
          <w:sz w:val="21"/>
          <w:szCs w:val="21"/>
          <w:highlight w:val="none"/>
          <w:vertAlign w:val="baseline"/>
          <w:lang w:val="en-US" w:eastAsia="zh-CN" w:bidi="ar"/>
        </w:rPr>
        <w:t>的规范性采购文件</w:t>
      </w:r>
      <w:r>
        <w:rPr>
          <w:rFonts w:hint="eastAsia" w:ascii="宋体" w:hAnsi="宋体" w:eastAsia="宋体" w:cs="宋体"/>
          <w:b w:val="0"/>
          <w:bCs w:val="0"/>
          <w:caps w:val="0"/>
          <w:color w:val="000000"/>
          <w:kern w:val="0"/>
          <w:sz w:val="21"/>
          <w:szCs w:val="21"/>
          <w:highlight w:val="none"/>
          <w:vertAlign w:val="baseline"/>
          <w:lang w:val="en-US" w:eastAsia="zh-CN" w:bidi="ar"/>
        </w:rPr>
        <w:t>，适用于本项目招标公告所述的标的采购及服务，是供应商编制响应文件的依据。</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59" w:name="_Toc98580393"/>
      <w:r>
        <w:rPr>
          <w:rFonts w:hint="eastAsia" w:ascii="宋体" w:hAnsi="宋体" w:eastAsia="宋体" w:cs="宋体"/>
          <w:caps w:val="0"/>
          <w:color w:val="000000"/>
          <w:sz w:val="21"/>
          <w:szCs w:val="21"/>
          <w:highlight w:val="none"/>
          <w:vertAlign w:val="baseline"/>
        </w:rPr>
        <w:t>2.法律适用</w:t>
      </w:r>
      <w:bookmarkEnd w:id="59"/>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6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本采购文件及由本次招标产生的合同适用中华人民共和国法律。</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0" w:name="_Toc98580394"/>
      <w:r>
        <w:rPr>
          <w:rFonts w:hint="eastAsia" w:ascii="宋体" w:hAnsi="宋体" w:eastAsia="宋体" w:cs="宋体"/>
          <w:caps w:val="0"/>
          <w:color w:val="000000"/>
          <w:sz w:val="21"/>
          <w:szCs w:val="21"/>
          <w:highlight w:val="none"/>
          <w:vertAlign w:val="baseline"/>
        </w:rPr>
        <w:t>3.定义</w:t>
      </w:r>
      <w:bookmarkEnd w:id="60"/>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“招标机构”系指组织本次招标的代理机构；</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“供应商”系指向招标机构提交响应文件的投标商；</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“买方”系指采购单位，合同一方当事人；</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“服务”系指采购文件规定须完成的服务和其他的类似义务；</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“日”、“天”系指日历日；</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24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 “合同”是买方与中标人共同以</w:t>
      </w:r>
      <w:r>
        <w:rPr>
          <w:rFonts w:hint="eastAsia" w:ascii="宋体" w:hAnsi="宋体" w:cs="宋体"/>
          <w:b w:val="0"/>
          <w:bCs w:val="0"/>
          <w:caps w:val="0"/>
          <w:color w:val="000000"/>
          <w:kern w:val="0"/>
          <w:sz w:val="21"/>
          <w:szCs w:val="21"/>
          <w:highlight w:val="none"/>
          <w:vertAlign w:val="baseline"/>
          <w:lang w:val="en-US" w:eastAsia="zh-CN" w:bidi="ar"/>
        </w:rPr>
        <w:t>采购文件</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cs="宋体"/>
          <w:b w:val="0"/>
          <w:bCs w:val="0"/>
          <w:caps w:val="0"/>
          <w:color w:val="000000"/>
          <w:kern w:val="0"/>
          <w:sz w:val="21"/>
          <w:szCs w:val="21"/>
          <w:highlight w:val="none"/>
          <w:vertAlign w:val="baseline"/>
          <w:lang w:val="en-US" w:eastAsia="zh-CN" w:bidi="ar"/>
        </w:rPr>
        <w:t>响应文件</w:t>
      </w:r>
      <w:r>
        <w:rPr>
          <w:rFonts w:hint="eastAsia" w:ascii="宋体" w:hAnsi="宋体" w:eastAsia="宋体" w:cs="宋体"/>
          <w:b w:val="0"/>
          <w:bCs w:val="0"/>
          <w:caps w:val="0"/>
          <w:color w:val="000000"/>
          <w:kern w:val="0"/>
          <w:sz w:val="21"/>
          <w:szCs w:val="21"/>
          <w:highlight w:val="none"/>
          <w:vertAlign w:val="baseline"/>
          <w:lang w:val="en-US" w:eastAsia="zh-CN" w:bidi="ar"/>
        </w:rPr>
        <w:t>为依据，经过协商签订的具备法律效力的文件。</w:t>
      </w:r>
      <w:r>
        <w:rPr>
          <w:rFonts w:hint="eastAsia" w:ascii="宋体" w:hAnsi="宋体" w:cs="宋体"/>
          <w:b w:val="0"/>
          <w:bCs w:val="0"/>
          <w:caps w:val="0"/>
          <w:color w:val="000000"/>
          <w:kern w:val="0"/>
          <w:sz w:val="21"/>
          <w:szCs w:val="21"/>
          <w:highlight w:val="none"/>
          <w:vertAlign w:val="baseline"/>
          <w:lang w:val="en-US" w:eastAsia="zh-CN" w:bidi="ar"/>
        </w:rPr>
        <w:t>采购文件</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cs="宋体"/>
          <w:b w:val="0"/>
          <w:bCs w:val="0"/>
          <w:caps w:val="0"/>
          <w:color w:val="000000"/>
          <w:kern w:val="0"/>
          <w:sz w:val="21"/>
          <w:szCs w:val="21"/>
          <w:highlight w:val="none"/>
          <w:vertAlign w:val="baseline"/>
          <w:lang w:val="en-US" w:eastAsia="zh-CN" w:bidi="ar"/>
        </w:rPr>
        <w:t>响应文件</w:t>
      </w:r>
      <w:r>
        <w:rPr>
          <w:rFonts w:hint="eastAsia" w:ascii="宋体" w:hAnsi="宋体" w:eastAsia="宋体" w:cs="宋体"/>
          <w:b w:val="0"/>
          <w:bCs w:val="0"/>
          <w:caps w:val="0"/>
          <w:color w:val="000000"/>
          <w:kern w:val="0"/>
          <w:sz w:val="21"/>
          <w:szCs w:val="21"/>
          <w:highlight w:val="none"/>
          <w:vertAlign w:val="baseline"/>
          <w:lang w:val="en-US" w:eastAsia="zh-CN" w:bidi="ar"/>
        </w:rPr>
        <w:t>及其共同确定的补充文件是合同的有效组成部分，与合同具备同等的法律效力。</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1" w:name="_Toc98580395"/>
      <w:r>
        <w:rPr>
          <w:rFonts w:hint="eastAsia" w:ascii="宋体" w:hAnsi="宋体" w:eastAsia="宋体" w:cs="宋体"/>
          <w:caps w:val="0"/>
          <w:color w:val="000000"/>
          <w:sz w:val="21"/>
          <w:szCs w:val="21"/>
          <w:highlight w:val="none"/>
          <w:vertAlign w:val="baseline"/>
        </w:rPr>
        <w:t>4.合格的供应商</w:t>
      </w:r>
      <w:bookmarkEnd w:id="61"/>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4.1合格供应商必须符合供应商须知前附表第10项下各项要求，并在投标时提供以下文件，若有遗漏或不符合要求均为资格审查不合格；</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4.2供应商应仔细阅读采购文件的所有内容，按采购文件的要求提供响应文件，并保证所提供的全部资料的真实性，使其投标对采购文件做出实质性响应，否则，其投标将被拒绝。招标机构保留进一步要求供应商补充提供有关材料的权利，拒绝补充材料或提供材料不真实，将被视为自动放弃投标资格。</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9"/>
        <w:rPr>
          <w:rFonts w:hint="eastAsia" w:ascii="宋体" w:hAnsi="宋体" w:eastAsia="宋体" w:cs="宋体"/>
          <w:caps w:val="0"/>
          <w:color w:val="000000"/>
          <w:sz w:val="21"/>
          <w:szCs w:val="21"/>
          <w:highlight w:val="none"/>
          <w:vertAlign w:val="baseline"/>
        </w:rPr>
      </w:pPr>
      <w:bookmarkStart w:id="62" w:name="_Toc98580402"/>
      <w:r>
        <w:rPr>
          <w:rFonts w:hint="eastAsia" w:ascii="宋体" w:hAnsi="宋体" w:eastAsia="宋体" w:cs="宋体"/>
          <w:b w:val="0"/>
          <w:bCs w:val="0"/>
          <w:caps w:val="0"/>
          <w:color w:val="000000"/>
          <w:kern w:val="0"/>
          <w:sz w:val="21"/>
          <w:szCs w:val="21"/>
          <w:highlight w:val="none"/>
          <w:vertAlign w:val="baseline"/>
          <w:lang w:val="en-US" w:eastAsia="zh-CN" w:bidi="ar"/>
        </w:rPr>
        <w:t>5．投标费用</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供应商应承担其在投标准备、编制、递交响应文件和签订合同协议书的整个过程中发生的一切费用而不论其投标结果如何。</w:t>
      </w:r>
    </w:p>
    <w:p>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63" w:name="_Toc98580396"/>
      <w:r>
        <w:rPr>
          <w:rFonts w:hint="eastAsia" w:ascii="宋体" w:hAnsi="宋体" w:eastAsia="宋体" w:cs="宋体"/>
          <w:b/>
          <w:bCs/>
          <w:caps w:val="0"/>
          <w:color w:val="000000"/>
          <w:sz w:val="21"/>
          <w:szCs w:val="21"/>
          <w:highlight w:val="none"/>
          <w:vertAlign w:val="baseline"/>
        </w:rPr>
        <w:t>B.</w:t>
      </w:r>
      <w:r>
        <w:rPr>
          <w:rFonts w:hint="eastAsia" w:ascii="宋体" w:hAnsi="宋体" w:cs="宋体"/>
          <w:b/>
          <w:bCs/>
          <w:caps w:val="0"/>
          <w:color w:val="000000"/>
          <w:sz w:val="21"/>
          <w:szCs w:val="21"/>
          <w:highlight w:val="none"/>
          <w:vertAlign w:val="baseline"/>
          <w:lang w:eastAsia="zh-CN"/>
        </w:rPr>
        <w:t>采购文件</w:t>
      </w:r>
      <w:r>
        <w:rPr>
          <w:rFonts w:hint="eastAsia" w:ascii="宋体" w:hAnsi="宋体" w:eastAsia="宋体" w:cs="宋体"/>
          <w:b/>
          <w:bCs/>
          <w:caps w:val="0"/>
          <w:color w:val="000000"/>
          <w:sz w:val="21"/>
          <w:szCs w:val="21"/>
          <w:highlight w:val="none"/>
          <w:vertAlign w:val="baseline"/>
        </w:rPr>
        <w:t>说明</w:t>
      </w:r>
      <w:bookmarkEnd w:id="63"/>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lang w:eastAsia="zh-CN"/>
        </w:rPr>
      </w:pPr>
      <w:bookmarkStart w:id="64" w:name="_Toc98580397"/>
      <w:r>
        <w:rPr>
          <w:rFonts w:hint="eastAsia" w:ascii="宋体" w:hAnsi="宋体" w:eastAsia="宋体" w:cs="宋体"/>
          <w:caps w:val="0"/>
          <w:color w:val="000000"/>
          <w:sz w:val="21"/>
          <w:szCs w:val="21"/>
          <w:highlight w:val="none"/>
          <w:vertAlign w:val="baseline"/>
        </w:rPr>
        <w:t>6.</w:t>
      </w:r>
      <w:bookmarkEnd w:id="64"/>
      <w:r>
        <w:rPr>
          <w:rFonts w:hint="eastAsia" w:cs="宋体"/>
          <w:caps w:val="0"/>
          <w:color w:val="000000"/>
          <w:sz w:val="21"/>
          <w:szCs w:val="21"/>
          <w:highlight w:val="none"/>
          <w:vertAlign w:val="baseline"/>
          <w:lang w:eastAsia="zh-CN"/>
        </w:rPr>
        <w:t>采购文件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采购文件用以阐明所需货物及服务、招标投标程序和响应文件格式。采购文件由以下部分组成：</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bookmarkStart w:id="65" w:name="_Toc98580398"/>
      <w:r>
        <w:rPr>
          <w:rFonts w:hint="eastAsia" w:ascii="宋体" w:hAnsi="宋体" w:eastAsia="宋体" w:cs="宋体"/>
          <w:b w:val="0"/>
          <w:bCs w:val="0"/>
          <w:caps w:val="0"/>
          <w:color w:val="000000"/>
          <w:kern w:val="0"/>
          <w:sz w:val="21"/>
          <w:szCs w:val="21"/>
          <w:highlight w:val="none"/>
          <w:vertAlign w:val="baseline"/>
          <w:lang w:val="en-US" w:eastAsia="zh-CN" w:bidi="ar"/>
        </w:rPr>
        <w:t>第一部分   招标公告</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第二部分   供应商须知</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第三部分   评标办法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第四部分   采购需求</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第五部分   合同条款</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第六部分   响应文件格式</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7.</w:t>
      </w:r>
      <w:r>
        <w:rPr>
          <w:rFonts w:hint="eastAsia" w:cs="宋体"/>
          <w:caps w:val="0"/>
          <w:color w:val="000000"/>
          <w:sz w:val="21"/>
          <w:szCs w:val="21"/>
          <w:highlight w:val="none"/>
          <w:vertAlign w:val="baseline"/>
          <w:lang w:eastAsia="zh-CN"/>
        </w:rPr>
        <w:t>采购文件</w:t>
      </w:r>
      <w:r>
        <w:rPr>
          <w:rFonts w:hint="eastAsia" w:ascii="宋体" w:hAnsi="宋体" w:eastAsia="宋体" w:cs="宋体"/>
          <w:caps w:val="0"/>
          <w:color w:val="000000"/>
          <w:sz w:val="21"/>
          <w:szCs w:val="21"/>
          <w:highlight w:val="none"/>
          <w:vertAlign w:val="baseline"/>
        </w:rPr>
        <w:t>的澄清</w:t>
      </w:r>
      <w:bookmarkEnd w:id="65"/>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6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供应商对本次采购文件的内容有疑问时，可要求澄清，但应在距投标截止日15日前，按供应商须知注明的联系地址以书面形式（包括信函、传真，下同）通知到招标机构。招标机构将视情况确定采用其认为适当的方式予以澄清或以书面形式予以答复，并在其认为必要时，将不标明查询来源的书面答复发给所有购买采购文件的每一供应商。</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6" w:name="_Toc98580399"/>
      <w:r>
        <w:rPr>
          <w:rFonts w:hint="eastAsia" w:ascii="宋体" w:hAnsi="宋体" w:eastAsia="宋体" w:cs="宋体"/>
          <w:caps w:val="0"/>
          <w:color w:val="000000"/>
          <w:sz w:val="21"/>
          <w:szCs w:val="21"/>
          <w:highlight w:val="none"/>
          <w:vertAlign w:val="baseline"/>
        </w:rPr>
        <w:t>8.</w:t>
      </w:r>
      <w:r>
        <w:rPr>
          <w:rFonts w:hint="eastAsia" w:cs="宋体"/>
          <w:caps w:val="0"/>
          <w:color w:val="000000"/>
          <w:sz w:val="21"/>
          <w:szCs w:val="21"/>
          <w:highlight w:val="none"/>
          <w:vertAlign w:val="baseline"/>
          <w:lang w:eastAsia="zh-CN"/>
        </w:rPr>
        <w:t>采购文件</w:t>
      </w:r>
      <w:r>
        <w:rPr>
          <w:rFonts w:hint="eastAsia" w:ascii="宋体" w:hAnsi="宋体" w:eastAsia="宋体" w:cs="宋体"/>
          <w:caps w:val="0"/>
          <w:color w:val="000000"/>
          <w:sz w:val="21"/>
          <w:szCs w:val="21"/>
          <w:highlight w:val="none"/>
          <w:vertAlign w:val="baseline"/>
        </w:rPr>
        <w:t>的修改</w:t>
      </w:r>
      <w:bookmarkEnd w:id="66"/>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8.1在投标截止时间前，招标机构可根据需要和（或）依据供应商要求澄清的问题而修改采购文件，并以书面形式通知所有购买采购文件的供应商，供应商在收到该通知后应立即以传真的形式予以确认；</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8.2 采购文件的修改书将构成采购文件的一部分，对供应商具有同样的约束力。</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8.3为使供应商有足够的时间按采购文件的修改要求考虑修正响应文件，招标机构可酌情推迟投标的截止时间和开标时间，并以书面形式通知已购买采购文件的每一供应商。</w:t>
      </w:r>
    </w:p>
    <w:p>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67" w:name="_Toc98580400"/>
      <w:r>
        <w:rPr>
          <w:rFonts w:hint="eastAsia" w:ascii="宋体" w:hAnsi="宋体" w:eastAsia="宋体" w:cs="宋体"/>
          <w:b/>
          <w:bCs/>
          <w:caps w:val="0"/>
          <w:color w:val="000000"/>
          <w:sz w:val="21"/>
          <w:szCs w:val="21"/>
          <w:highlight w:val="none"/>
          <w:vertAlign w:val="baseline"/>
        </w:rPr>
        <w:t>C</w:t>
      </w:r>
      <w:r>
        <w:rPr>
          <w:rFonts w:hint="eastAsia" w:ascii="宋体" w:hAnsi="宋体" w:cs="宋体"/>
          <w:b/>
          <w:bCs/>
          <w:caps w:val="0"/>
          <w:color w:val="000000"/>
          <w:sz w:val="21"/>
          <w:szCs w:val="21"/>
          <w:highlight w:val="none"/>
          <w:vertAlign w:val="baseline"/>
          <w:lang w:eastAsia="zh-CN"/>
        </w:rPr>
        <w:t>响应文件</w:t>
      </w:r>
      <w:r>
        <w:rPr>
          <w:rFonts w:hint="eastAsia" w:ascii="宋体" w:hAnsi="宋体" w:eastAsia="宋体" w:cs="宋体"/>
          <w:b/>
          <w:bCs/>
          <w:caps w:val="0"/>
          <w:color w:val="000000"/>
          <w:sz w:val="21"/>
          <w:szCs w:val="21"/>
          <w:highlight w:val="none"/>
          <w:vertAlign w:val="baseline"/>
        </w:rPr>
        <w:t>的编写</w:t>
      </w:r>
      <w:bookmarkEnd w:id="67"/>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8" w:name="_Toc98580401"/>
      <w:r>
        <w:rPr>
          <w:rFonts w:hint="eastAsia" w:ascii="宋体" w:hAnsi="宋体" w:eastAsia="宋体" w:cs="宋体"/>
          <w:caps w:val="0"/>
          <w:color w:val="000000"/>
          <w:sz w:val="21"/>
          <w:szCs w:val="21"/>
          <w:highlight w:val="none"/>
          <w:vertAlign w:val="baseline"/>
        </w:rPr>
        <w:t>9.投标语言及计量单位</w:t>
      </w:r>
      <w:bookmarkEnd w:id="68"/>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9.1响应文件及供应商和招标机构就投标交换的文件和来往信件，以中文书写（专有名词除外）；</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9.2除在采购文件的“技术要求”中另有规定外， 计量单位应使用中华人民共和国法定计量单位（国际单位制和国家选定的其他计量单位）。</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10．</w:t>
      </w:r>
      <w:r>
        <w:rPr>
          <w:rFonts w:hint="eastAsia" w:cs="宋体"/>
          <w:caps w:val="0"/>
          <w:color w:val="000000"/>
          <w:sz w:val="21"/>
          <w:szCs w:val="21"/>
          <w:highlight w:val="none"/>
          <w:vertAlign w:val="baseline"/>
          <w:lang w:eastAsia="zh-CN"/>
        </w:rPr>
        <w:t>响应文件</w:t>
      </w:r>
      <w:r>
        <w:rPr>
          <w:rFonts w:hint="eastAsia" w:ascii="宋体" w:hAnsi="宋体" w:eastAsia="宋体" w:cs="宋体"/>
          <w:caps w:val="0"/>
          <w:color w:val="000000"/>
          <w:sz w:val="21"/>
          <w:szCs w:val="21"/>
          <w:highlight w:val="none"/>
          <w:vertAlign w:val="baseline"/>
        </w:rPr>
        <w:t>的组成</w:t>
      </w:r>
      <w:bookmarkEnd w:id="62"/>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567"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详见第六部分：响应文件格式。</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9" w:name="_Toc98580403"/>
      <w:r>
        <w:rPr>
          <w:rFonts w:hint="eastAsia" w:ascii="宋体" w:hAnsi="宋体" w:eastAsia="宋体" w:cs="宋体"/>
          <w:caps w:val="0"/>
          <w:color w:val="000000"/>
          <w:sz w:val="21"/>
          <w:szCs w:val="21"/>
          <w:highlight w:val="none"/>
          <w:vertAlign w:val="baseline"/>
        </w:rPr>
        <w:t>11.</w:t>
      </w:r>
      <w:r>
        <w:rPr>
          <w:rFonts w:hint="eastAsia" w:cs="宋体"/>
          <w:caps w:val="0"/>
          <w:color w:val="000000"/>
          <w:sz w:val="21"/>
          <w:szCs w:val="21"/>
          <w:highlight w:val="none"/>
          <w:vertAlign w:val="baseline"/>
          <w:lang w:eastAsia="zh-CN"/>
        </w:rPr>
        <w:t>响应文件</w:t>
      </w:r>
      <w:r>
        <w:rPr>
          <w:rFonts w:hint="eastAsia" w:ascii="宋体" w:hAnsi="宋体" w:eastAsia="宋体" w:cs="宋体"/>
          <w:caps w:val="0"/>
          <w:color w:val="000000"/>
          <w:sz w:val="21"/>
          <w:szCs w:val="21"/>
          <w:highlight w:val="none"/>
          <w:vertAlign w:val="baseline"/>
        </w:rPr>
        <w:t>内容填写说明</w:t>
      </w:r>
      <w:bookmarkEnd w:id="69"/>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11.1供应商应严格按采购文件要求的内容逐项填写编制响应文件，有规定格式的按规定格式填写，无规定格式的由供应商自拟，并胶装成册。</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11.2开标一览表为在开标仪式上唱标的内容，要求按格式填写、统一规范，不得自行增减内容。响应文件不得漏项或虚报，否则将可能导致其投标被拒绝。</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11.3 供应商应保证其所提供文件的真实性，并应对采购文件的实质性要求作出完全响应，否则其投标可能被拒绝。</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11.4供应商视需要自行编制技术文件的补充附件。规格幅面应与正文一致，附于正文之后，与正文页码统一编目编码装订。</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0" w:name="_Toc98580404"/>
      <w:r>
        <w:rPr>
          <w:rFonts w:hint="eastAsia" w:ascii="宋体" w:hAnsi="宋体" w:eastAsia="宋体" w:cs="宋体"/>
          <w:caps w:val="0"/>
          <w:color w:val="000000"/>
          <w:sz w:val="21"/>
          <w:szCs w:val="21"/>
          <w:highlight w:val="none"/>
          <w:vertAlign w:val="baseline"/>
        </w:rPr>
        <w:t>12.投标报价</w:t>
      </w:r>
      <w:bookmarkEnd w:id="70"/>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12.1 所有投标均以人民币报价；</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12.2供应商应在填写分项报价表时注明各项单价、总价。如果单价与总价有出入，以单价为准。招标机构不接受有任何选择的报价；报价须有法人代表或授权代表签署。</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12.3供应商应按上述12.1-12.3条款要求填写投标报价，以供评标委员会比较评价。</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12.4供应商因承包本项目需支付的一切费用，并包含在所报的单价或总额价内。</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bookmarkStart w:id="71" w:name="_Toc98580405"/>
      <w:r>
        <w:rPr>
          <w:rFonts w:hint="eastAsia" w:ascii="宋体" w:hAnsi="宋体" w:eastAsia="宋体" w:cs="宋体"/>
          <w:b w:val="0"/>
          <w:bCs w:val="0"/>
          <w:caps w:val="0"/>
          <w:color w:val="000000"/>
          <w:kern w:val="0"/>
          <w:sz w:val="21"/>
          <w:szCs w:val="21"/>
          <w:highlight w:val="none"/>
          <w:vertAlign w:val="baseline"/>
          <w:lang w:val="en-US" w:eastAsia="zh-CN" w:bidi="ar"/>
        </w:rPr>
        <w:t>13.</w:t>
      </w:r>
      <w:bookmarkEnd w:id="71"/>
      <w:r>
        <w:rPr>
          <w:rFonts w:hint="eastAsia" w:ascii="宋体" w:hAnsi="宋体" w:eastAsia="宋体" w:cs="宋体"/>
          <w:b w:val="0"/>
          <w:bCs w:val="0"/>
          <w:caps w:val="0"/>
          <w:color w:val="000000"/>
          <w:kern w:val="0"/>
          <w:sz w:val="21"/>
          <w:szCs w:val="21"/>
          <w:highlight w:val="none"/>
          <w:vertAlign w:val="baseline"/>
          <w:lang w:val="en-US" w:eastAsia="zh-CN" w:bidi="ar"/>
        </w:rPr>
        <w:t>磋商保证金（如有）</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13.1磋商保证金的形式：现金或现金支票、保兑支票、银行汇票及银行、专业担保公司、保险公司出具的保函等形式，以现金或支票形式提交的磋商保证金应当从供应商的基本账户转出。</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13.2磋商保证金的金额：见</w:t>
      </w:r>
      <w:r>
        <w:rPr>
          <w:rFonts w:hint="eastAsia" w:ascii="宋体" w:hAnsi="宋体" w:eastAsia="宋体" w:cs="宋体"/>
          <w:b w:val="0"/>
          <w:bCs w:val="0"/>
          <w:caps w:val="0"/>
          <w:color w:val="000000"/>
          <w:kern w:val="0"/>
          <w:sz w:val="21"/>
          <w:szCs w:val="21"/>
          <w:highlight w:val="none"/>
          <w:vertAlign w:val="baseline"/>
          <w:lang w:val="en-US" w:eastAsia="zh-CN" w:bidi="ar"/>
        </w:rPr>
        <w:t>供应商须知前附表第19项</w:t>
      </w:r>
      <w:r>
        <w:rPr>
          <w:rFonts w:hint="eastAsia" w:ascii="宋体" w:hAnsi="宋体" w:eastAsia="宋体" w:cs="宋体"/>
          <w:b w:val="0"/>
          <w:bCs/>
          <w:caps w:val="0"/>
          <w:color w:val="000000"/>
          <w:kern w:val="15"/>
          <w:sz w:val="21"/>
          <w:szCs w:val="21"/>
          <w:highlight w:val="none"/>
          <w:vertAlign w:val="baseline"/>
          <w:lang w:val="en-US" w:eastAsia="zh-CN" w:bidi="ar"/>
        </w:rPr>
        <w:t xml:space="preserve">；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13.3递交方式：见</w:t>
      </w:r>
      <w:r>
        <w:rPr>
          <w:rFonts w:hint="eastAsia" w:ascii="宋体" w:hAnsi="宋体" w:eastAsia="宋体" w:cs="宋体"/>
          <w:b w:val="0"/>
          <w:bCs w:val="0"/>
          <w:caps w:val="0"/>
          <w:color w:val="000000"/>
          <w:kern w:val="0"/>
          <w:sz w:val="21"/>
          <w:szCs w:val="21"/>
          <w:highlight w:val="none"/>
          <w:vertAlign w:val="baseline"/>
          <w:lang w:val="en-US" w:eastAsia="zh-CN" w:bidi="ar"/>
        </w:rPr>
        <w:t>供应商须知前附表第19项</w:t>
      </w:r>
      <w:r>
        <w:rPr>
          <w:rFonts w:hint="eastAsia" w:ascii="宋体" w:hAnsi="宋体" w:eastAsia="宋体" w:cs="宋体"/>
          <w:b w:val="0"/>
          <w:bCs/>
          <w:caps w:val="0"/>
          <w:color w:val="000000"/>
          <w:kern w:val="15"/>
          <w:sz w:val="21"/>
          <w:szCs w:val="21"/>
          <w:highlight w:val="none"/>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13.4磋商保证金用于保护本次招标免受因供应商不履行投标承诺及合同等行为而引起的风险；</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13.5未按13.1和13.2条款要求提交磋商保证金的投标将被视为投标无效；</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13.6未中标供应商的磋商保证金将按25.2条规定予以无息退还；</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13.7中标人的磋商保证金，在中标人交纳中标服务费后予以无息退还；</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13.8 发生下列情况之一，磋商保证金将被没收：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（1）供应商在提交响应文件截止时间后撤回响应文件的;</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（2）供应商在响应文件中提供虚假材料的;</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（3）除因不可抗力或谈判文件、询价通知书认可的情形以外，成交供应商不与采购人签订合同的;</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（4）供应商与采购人、其他供应商或者采购代理机构恶意串通的;</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（5）采购文件规定的其他情形。</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2" w:name="_Toc98580406"/>
      <w:r>
        <w:rPr>
          <w:rFonts w:hint="eastAsia" w:ascii="宋体" w:hAnsi="宋体" w:eastAsia="宋体" w:cs="宋体"/>
          <w:caps w:val="0"/>
          <w:color w:val="000000"/>
          <w:sz w:val="21"/>
          <w:szCs w:val="21"/>
          <w:highlight w:val="none"/>
          <w:vertAlign w:val="baseline"/>
        </w:rPr>
        <w:t>14.投标有效期</w:t>
      </w:r>
      <w:bookmarkEnd w:id="72"/>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14.1从开标之日起，投标有效期为90天。不能满足投标有效期的投标，将被拒绝；</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23" w:right="0" w:firstLine="39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14.2特殊情况下，招标机构可于投标有效期满之前要求供应商延长投标有效期，这种要求和答复都应以书面、传真的形式进行。供应商可以拒绝接受延期要求。同意延长有效期的供应商不能修改响应文件。</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3" w:name="_Toc98580407"/>
      <w:r>
        <w:rPr>
          <w:rFonts w:hint="eastAsia" w:ascii="宋体" w:hAnsi="宋体" w:eastAsia="宋体" w:cs="宋体"/>
          <w:caps w:val="0"/>
          <w:color w:val="000000"/>
          <w:sz w:val="21"/>
          <w:szCs w:val="21"/>
          <w:highlight w:val="none"/>
          <w:vertAlign w:val="baseline"/>
        </w:rPr>
        <w:t>15.</w:t>
      </w:r>
      <w:r>
        <w:rPr>
          <w:rFonts w:hint="eastAsia" w:cs="宋体"/>
          <w:caps w:val="0"/>
          <w:color w:val="000000"/>
          <w:sz w:val="21"/>
          <w:szCs w:val="21"/>
          <w:highlight w:val="none"/>
          <w:vertAlign w:val="baseline"/>
          <w:lang w:eastAsia="zh-CN"/>
        </w:rPr>
        <w:t>响应文件</w:t>
      </w:r>
      <w:r>
        <w:rPr>
          <w:rFonts w:hint="eastAsia" w:ascii="宋体" w:hAnsi="宋体" w:eastAsia="宋体" w:cs="宋体"/>
          <w:caps w:val="0"/>
          <w:color w:val="000000"/>
          <w:sz w:val="21"/>
          <w:szCs w:val="21"/>
          <w:highlight w:val="none"/>
          <w:vertAlign w:val="baseline"/>
        </w:rPr>
        <w:t>的签署及规定</w:t>
      </w:r>
      <w:bookmarkEnd w:id="73"/>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15.1 组成响应文件的各项资料均应遵守本须知第10条中所规定的内容。</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15.2 供应商应填写单位全称，同时加盖印章。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15.3 响应文件必须由法人代表或法人授权代表签署。</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15.4 响应文件正本一份和副本四份，如果正本与副本不符，以正本为准，电子版一份（U盘形式）。</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15.5 响应文件的正本必须用不退色的墨水填写或打印，注明“正本”字样。</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15.6 响应文件不得涂改和增删，如有修改错漏处，必须由同一签署人签字或盖章。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15.7 响应文件因字迹潦草或表达不清所引起的后果由供应商负责。</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15.8招标机构概不接受以电话、传真形式的投标。</w:t>
      </w:r>
    </w:p>
    <w:p>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74" w:name="_Toc98580408"/>
      <w:r>
        <w:rPr>
          <w:rFonts w:hint="eastAsia" w:ascii="宋体" w:hAnsi="宋体" w:eastAsia="宋体" w:cs="宋体"/>
          <w:b/>
          <w:bCs/>
          <w:caps w:val="0"/>
          <w:color w:val="000000"/>
          <w:sz w:val="21"/>
          <w:szCs w:val="21"/>
          <w:highlight w:val="none"/>
          <w:vertAlign w:val="baseline"/>
        </w:rPr>
        <w:t>D</w:t>
      </w:r>
      <w:r>
        <w:rPr>
          <w:rFonts w:hint="eastAsia" w:ascii="宋体" w:hAnsi="宋体" w:cs="宋体"/>
          <w:b/>
          <w:bCs/>
          <w:caps w:val="0"/>
          <w:color w:val="000000"/>
          <w:sz w:val="21"/>
          <w:szCs w:val="21"/>
          <w:highlight w:val="none"/>
          <w:vertAlign w:val="baseline"/>
          <w:lang w:eastAsia="zh-CN"/>
        </w:rPr>
        <w:t>响应文件</w:t>
      </w:r>
      <w:r>
        <w:rPr>
          <w:rFonts w:hint="eastAsia" w:ascii="宋体" w:hAnsi="宋体" w:eastAsia="宋体" w:cs="宋体"/>
          <w:b/>
          <w:bCs/>
          <w:caps w:val="0"/>
          <w:color w:val="000000"/>
          <w:sz w:val="21"/>
          <w:szCs w:val="21"/>
          <w:highlight w:val="none"/>
          <w:vertAlign w:val="baseline"/>
        </w:rPr>
        <w:t>的递交</w:t>
      </w:r>
      <w:bookmarkEnd w:id="74"/>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5" w:name="_Toc98580409"/>
      <w:r>
        <w:rPr>
          <w:rFonts w:hint="eastAsia" w:ascii="宋体" w:hAnsi="宋体" w:eastAsia="宋体" w:cs="宋体"/>
          <w:caps w:val="0"/>
          <w:color w:val="000000"/>
          <w:sz w:val="21"/>
          <w:szCs w:val="21"/>
          <w:highlight w:val="none"/>
          <w:vertAlign w:val="baseline"/>
        </w:rPr>
        <w:t>16.</w:t>
      </w:r>
      <w:r>
        <w:rPr>
          <w:rFonts w:hint="eastAsia" w:cs="宋体"/>
          <w:caps w:val="0"/>
          <w:color w:val="000000"/>
          <w:sz w:val="21"/>
          <w:szCs w:val="21"/>
          <w:highlight w:val="none"/>
          <w:vertAlign w:val="baseline"/>
          <w:lang w:eastAsia="zh-CN"/>
        </w:rPr>
        <w:t>响应文件</w:t>
      </w:r>
      <w:r>
        <w:rPr>
          <w:rFonts w:hint="eastAsia" w:ascii="宋体" w:hAnsi="宋体" w:eastAsia="宋体" w:cs="宋体"/>
          <w:caps w:val="0"/>
          <w:color w:val="000000"/>
          <w:sz w:val="21"/>
          <w:szCs w:val="21"/>
          <w:highlight w:val="none"/>
          <w:vertAlign w:val="baseline"/>
        </w:rPr>
        <w:t>的密封和标记</w:t>
      </w:r>
      <w:bookmarkEnd w:id="75"/>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16.1供应商应将响应文件正本和副本分别用信封密封，并标明招标编号、投标项目名称、供应商名称及正本或副本等。封口骑缝处应加盖供应商印章；响应文件电子版应单独密封。</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16.2为了方便开标唱标，供应商应将开标一览表单独密封，并在信封上标明“开标一览表”字样。</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16.3每一密封信封上注明“</w:t>
      </w:r>
      <w:r>
        <w:rPr>
          <w:rFonts w:hint="eastAsia" w:ascii="宋体" w:hAnsi="宋体" w:eastAsia="宋体" w:cs="宋体"/>
          <w:b w:val="0"/>
          <w:bCs w:val="0"/>
          <w:caps w:val="0"/>
          <w:color w:val="000000"/>
          <w:kern w:val="0"/>
          <w:sz w:val="21"/>
          <w:szCs w:val="21"/>
          <w:highlight w:val="none"/>
          <w:u w:val="single"/>
          <w:vertAlign w:val="baseline"/>
          <w:lang w:val="en-US" w:eastAsia="zh-CN" w:bidi="ar"/>
        </w:rPr>
        <w:t>于   年   月  日   时之前不准启封</w:t>
      </w:r>
      <w:r>
        <w:rPr>
          <w:rFonts w:hint="eastAsia" w:ascii="宋体" w:hAnsi="宋体" w:eastAsia="宋体" w:cs="宋体"/>
          <w:b w:val="0"/>
          <w:bCs w:val="0"/>
          <w:caps w:val="0"/>
          <w:color w:val="000000"/>
          <w:kern w:val="0"/>
          <w:sz w:val="21"/>
          <w:szCs w:val="21"/>
          <w:highlight w:val="none"/>
          <w:vertAlign w:val="baseline"/>
          <w:lang w:val="en-US" w:eastAsia="zh-CN" w:bidi="ar"/>
        </w:rPr>
        <w:t>”的字样；</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23" w:right="0" w:firstLine="39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16.4如响应文件由专人送交，供应商应将响应文件按16.1-16.3中的规定进行密封和标记后，按投标邀请注明的投标地址送至招标机构；</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16.5如果响应文件通过邮寄递交,供应商应将响应文件用内外两层信封密封:</w:t>
      </w:r>
    </w:p>
    <w:p>
      <w:pPr>
        <w:keepNext w:val="0"/>
        <w:keepLines w:val="0"/>
        <w:pageBreakBefore w:val="0"/>
        <w:widowControl/>
        <w:numPr>
          <w:ilvl w:val="0"/>
          <w:numId w:val="2"/>
        </w:numPr>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050" w:right="0" w:hanging="63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内层信封的封装与标记同16.1-16.3规定；</w:t>
      </w:r>
    </w:p>
    <w:p>
      <w:pPr>
        <w:keepNext w:val="0"/>
        <w:keepLines w:val="0"/>
        <w:pageBreakBefore w:val="0"/>
        <w:widowControl/>
        <w:numPr>
          <w:ilvl w:val="0"/>
          <w:numId w:val="2"/>
        </w:numPr>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外层信封装入16.1及16.2所述全部内封资料,并注明招标编号、投标项目名称、招标机构名称、地址。同时应写明供应商的名称、地址，以便将迟交的响应文件原封退还。</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16.6招标机构对响应文件的误投或未投标前提前拆封概不负责。</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6" w:name="_Toc98580410"/>
      <w:r>
        <w:rPr>
          <w:rFonts w:hint="eastAsia" w:ascii="宋体" w:hAnsi="宋体" w:eastAsia="宋体" w:cs="宋体"/>
          <w:caps w:val="0"/>
          <w:color w:val="000000"/>
          <w:sz w:val="21"/>
          <w:szCs w:val="21"/>
          <w:highlight w:val="none"/>
          <w:vertAlign w:val="baseline"/>
        </w:rPr>
        <w:t>17.递交</w:t>
      </w:r>
      <w:r>
        <w:rPr>
          <w:rFonts w:hint="eastAsia" w:cs="宋体"/>
          <w:caps w:val="0"/>
          <w:color w:val="000000"/>
          <w:sz w:val="21"/>
          <w:szCs w:val="21"/>
          <w:highlight w:val="none"/>
          <w:vertAlign w:val="baseline"/>
          <w:lang w:eastAsia="zh-CN"/>
        </w:rPr>
        <w:t>响应文件</w:t>
      </w:r>
      <w:r>
        <w:rPr>
          <w:rFonts w:hint="eastAsia" w:ascii="宋体" w:hAnsi="宋体" w:eastAsia="宋体" w:cs="宋体"/>
          <w:caps w:val="0"/>
          <w:color w:val="000000"/>
          <w:sz w:val="21"/>
          <w:szCs w:val="21"/>
          <w:highlight w:val="none"/>
          <w:vertAlign w:val="baseline"/>
        </w:rPr>
        <w:t>的截止时间</w:t>
      </w:r>
      <w:bookmarkEnd w:id="76"/>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1" w:right="0" w:firstLine="4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17.1所有响应文件不论是通过专人或邮寄递交，都必须按照招标机构在投标邀请中规定的投标截止时间之前送至投标地点。</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17.2 招标机构推迟投标截止时间时，应以书面(或传真)的形式，通知所有供应商。在这种情况下，招标机构和供应商的权利和义务将受到新的截止期的约束。</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17.3 招标机构对响应文件在邮寄过程中的遗失或损坏不负责任。</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17.4 在投标截止时间以后送达的响应文件，招标机构拒绝接收。</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18.</w:t>
      </w:r>
      <w:r>
        <w:rPr>
          <w:rFonts w:hint="eastAsia" w:cs="宋体"/>
          <w:caps w:val="0"/>
          <w:color w:val="000000"/>
          <w:sz w:val="21"/>
          <w:szCs w:val="21"/>
          <w:highlight w:val="none"/>
          <w:vertAlign w:val="baseline"/>
          <w:lang w:eastAsia="zh-CN"/>
        </w:rPr>
        <w:t>响应文件</w:t>
      </w:r>
      <w:r>
        <w:rPr>
          <w:rFonts w:hint="eastAsia" w:ascii="宋体" w:hAnsi="宋体" w:eastAsia="宋体" w:cs="宋体"/>
          <w:caps w:val="0"/>
          <w:color w:val="000000"/>
          <w:sz w:val="21"/>
          <w:szCs w:val="21"/>
          <w:highlight w:val="none"/>
          <w:vertAlign w:val="baseline"/>
        </w:rPr>
        <w:t>修改和撤消</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68" w:right="0" w:firstLine="352"/>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18.1 投标以后，如果供应商提出书面修改和撤标要求，在投标截止时间前送达招标机构者，招标机构可以予以接受。但不退还响应文件。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18.2 供应商修改响应文件的书面材料，须密封送达招标机构，同时应在封套上标明“修改响应文件(并注明招标编号)”和“开标时启封”字样。</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18.3 撤消投标应以书面(或传真)的形式通知招标机构。如采取传真形式撤回投标，随后必须补充有法人代表或授权代表签署的要求撤消投标的正式文件。撤消投标的时间以送达招标机构或邮电到达日戳为准。</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18.4投标截止时间以后不得修改响应文件；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18.5开标后供应商不得撤回投标。</w:t>
      </w:r>
    </w:p>
    <w:p>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77" w:name="_Toc98580411"/>
      <w:r>
        <w:rPr>
          <w:rFonts w:hint="eastAsia" w:ascii="宋体" w:hAnsi="宋体" w:eastAsia="宋体" w:cs="宋体"/>
          <w:b/>
          <w:bCs/>
          <w:caps w:val="0"/>
          <w:color w:val="000000"/>
          <w:sz w:val="21"/>
          <w:szCs w:val="21"/>
          <w:highlight w:val="none"/>
          <w:vertAlign w:val="baseline"/>
        </w:rPr>
        <w:t>E开标及评标</w:t>
      </w:r>
      <w:bookmarkEnd w:id="77"/>
    </w:p>
    <w:p>
      <w:pPr>
        <w:pStyle w:val="6"/>
        <w:keepNext/>
        <w:keepLines w:val="0"/>
        <w:pageBreakBefore w:val="0"/>
        <w:widowControl/>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8" w:name="_Toc98580412"/>
      <w:r>
        <w:rPr>
          <w:rFonts w:hint="eastAsia" w:ascii="宋体" w:hAnsi="宋体" w:eastAsia="宋体" w:cs="宋体"/>
          <w:caps w:val="0"/>
          <w:color w:val="000000"/>
          <w:sz w:val="21"/>
          <w:szCs w:val="21"/>
          <w:highlight w:val="none"/>
          <w:vertAlign w:val="baseline"/>
        </w:rPr>
        <w:t>开标</w:t>
      </w:r>
      <w:bookmarkEnd w:id="78"/>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default" w:ascii="Times New Roman" w:hAnsi="Times New Roman" w:eastAsia="宋体" w:cs="Times New Roman"/>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1</w:t>
      </w:r>
      <w:r>
        <w:rPr>
          <w:rFonts w:hint="eastAsia" w:ascii="宋体" w:hAnsi="宋体" w:eastAsia="宋体" w:cs="宋体"/>
          <w:b w:val="0"/>
          <w:bCs w:val="0"/>
          <w:caps w:val="0"/>
          <w:color w:val="000000"/>
          <w:kern w:val="0"/>
          <w:sz w:val="21"/>
          <w:szCs w:val="21"/>
          <w:highlight w:val="none"/>
          <w:vertAlign w:val="baseline"/>
          <w:lang w:val="en-US" w:eastAsia="zh-CN" w:bidi="ar"/>
        </w:rPr>
        <w:t>9.1</w:t>
      </w:r>
      <w:r>
        <w:rPr>
          <w:rFonts w:hint="eastAsia" w:ascii="宋体" w:hAnsi="宋体" w:eastAsia="宋体" w:cs="宋体"/>
          <w:b w:val="0"/>
          <w:bCs w:val="0"/>
          <w:caps w:val="0"/>
          <w:color w:val="000000"/>
          <w:kern w:val="0"/>
          <w:sz w:val="21"/>
          <w:szCs w:val="21"/>
          <w:highlight w:val="none"/>
          <w:vertAlign w:val="baseline"/>
          <w:lang w:val="zh-CN" w:eastAsia="zh-CN" w:bidi="ar"/>
        </w:rPr>
        <w:t>招标代理机构将在</w:t>
      </w:r>
      <w:r>
        <w:rPr>
          <w:rFonts w:hint="eastAsia" w:ascii="宋体" w:hAnsi="宋体" w:cs="宋体"/>
          <w:b w:val="0"/>
          <w:bCs w:val="0"/>
          <w:caps w:val="0"/>
          <w:color w:val="000000"/>
          <w:kern w:val="0"/>
          <w:sz w:val="21"/>
          <w:szCs w:val="21"/>
          <w:highlight w:val="none"/>
          <w:vertAlign w:val="baseline"/>
          <w:lang w:val="zh-CN" w:eastAsia="zh-CN" w:bidi="ar"/>
        </w:rPr>
        <w:t>采购文件</w:t>
      </w:r>
      <w:r>
        <w:rPr>
          <w:rFonts w:hint="eastAsia" w:ascii="宋体" w:hAnsi="宋体" w:eastAsia="宋体" w:cs="宋体"/>
          <w:b w:val="0"/>
          <w:bCs w:val="0"/>
          <w:caps w:val="0"/>
          <w:color w:val="000000"/>
          <w:kern w:val="0"/>
          <w:sz w:val="21"/>
          <w:szCs w:val="21"/>
          <w:highlight w:val="none"/>
          <w:vertAlign w:val="baseline"/>
          <w:lang w:val="zh-CN" w:eastAsia="zh-CN" w:bidi="ar"/>
        </w:rPr>
        <w:t>规定的时间和地点公开开标。</w:t>
      </w:r>
      <w:r>
        <w:rPr>
          <w:rFonts w:hint="eastAsia" w:ascii="宋体" w:hAnsi="宋体" w:cs="宋体"/>
          <w:b w:val="0"/>
          <w:bCs w:val="0"/>
          <w:caps w:val="0"/>
          <w:color w:val="000000"/>
          <w:kern w:val="0"/>
          <w:sz w:val="21"/>
          <w:szCs w:val="21"/>
          <w:highlight w:val="none"/>
          <w:vertAlign w:val="baseline"/>
          <w:lang w:val="zh-CN" w:eastAsia="zh-CN" w:bidi="ar"/>
        </w:rPr>
        <w:t>供应商</w:t>
      </w:r>
      <w:r>
        <w:rPr>
          <w:rFonts w:hint="eastAsia" w:ascii="宋体" w:hAnsi="宋体" w:eastAsia="宋体" w:cs="宋体"/>
          <w:b w:val="0"/>
          <w:bCs w:val="0"/>
          <w:caps w:val="0"/>
          <w:color w:val="000000"/>
          <w:kern w:val="0"/>
          <w:sz w:val="21"/>
          <w:szCs w:val="21"/>
          <w:highlight w:val="none"/>
          <w:vertAlign w:val="baseline"/>
          <w:lang w:val="zh-CN" w:eastAsia="zh-CN" w:bidi="ar"/>
        </w:rPr>
        <w:t>法定代表人或其授权代理人应参加并签名报到以证明其出席，并携带有效身份证件以备审查。</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19.2采购代理机构按采购文件规定的时间、地点主持公开开标。开标仪式由采购代理机构主持，采购人代表及有关工作人员参加。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19.3开标时由供应商查验响应文件密封情况，确认无误后拆封唱标。</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19.4采购代理机构在开标仪式上，将公开唱出所有供应商的“开标一览表”内容及投标声明，以及采购机构认为合适的其它内容并记录。</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bookmarkStart w:id="79" w:name="_Toc98580413"/>
      <w:r>
        <w:rPr>
          <w:rFonts w:hint="eastAsia" w:ascii="宋体" w:hAnsi="宋体" w:eastAsia="宋体" w:cs="宋体"/>
          <w:b w:val="0"/>
          <w:bCs w:val="0"/>
          <w:caps w:val="0"/>
          <w:color w:val="000000"/>
          <w:kern w:val="0"/>
          <w:sz w:val="21"/>
          <w:szCs w:val="21"/>
          <w:highlight w:val="none"/>
          <w:vertAlign w:val="baseline"/>
          <w:lang w:val="zh-CN" w:eastAsia="zh-CN" w:bidi="ar"/>
        </w:rPr>
        <w:t>1</w:t>
      </w:r>
      <w:r>
        <w:rPr>
          <w:rFonts w:hint="eastAsia" w:ascii="宋体" w:hAnsi="宋体" w:eastAsia="宋体" w:cs="宋体"/>
          <w:b w:val="0"/>
          <w:bCs w:val="0"/>
          <w:caps w:val="0"/>
          <w:color w:val="000000"/>
          <w:kern w:val="0"/>
          <w:sz w:val="21"/>
          <w:szCs w:val="21"/>
          <w:highlight w:val="none"/>
          <w:vertAlign w:val="baseline"/>
          <w:lang w:val="en-US" w:eastAsia="zh-CN" w:bidi="ar"/>
        </w:rPr>
        <w:t>9.5</w:t>
      </w:r>
      <w:r>
        <w:rPr>
          <w:rFonts w:hint="eastAsia" w:ascii="宋体" w:hAnsi="宋体" w:eastAsia="宋体" w:cs="宋体"/>
          <w:b w:val="0"/>
          <w:bCs w:val="0"/>
          <w:caps w:val="0"/>
          <w:color w:val="000000"/>
          <w:kern w:val="0"/>
          <w:sz w:val="21"/>
          <w:szCs w:val="21"/>
          <w:highlight w:val="none"/>
          <w:vertAlign w:val="baseline"/>
          <w:lang w:val="zh-CN" w:eastAsia="zh-CN" w:bidi="ar"/>
        </w:rPr>
        <w:t xml:space="preserve"> 开标时有下列情形之一的为无效投标：</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（1）</w:t>
      </w:r>
      <w:r>
        <w:rPr>
          <w:rFonts w:hint="eastAsia" w:ascii="宋体" w:hAnsi="宋体" w:cs="宋体"/>
          <w:b w:val="0"/>
          <w:bCs w:val="0"/>
          <w:caps w:val="0"/>
          <w:color w:val="000000"/>
          <w:kern w:val="0"/>
          <w:sz w:val="21"/>
          <w:szCs w:val="21"/>
          <w:highlight w:val="none"/>
          <w:vertAlign w:val="baseline"/>
          <w:lang w:val="zh-CN" w:eastAsia="zh-CN" w:bidi="ar"/>
        </w:rPr>
        <w:t>响应文件</w:t>
      </w:r>
      <w:r>
        <w:rPr>
          <w:rFonts w:hint="eastAsia" w:ascii="宋体" w:hAnsi="宋体" w:eastAsia="宋体" w:cs="宋体"/>
          <w:b w:val="0"/>
          <w:bCs w:val="0"/>
          <w:caps w:val="0"/>
          <w:color w:val="000000"/>
          <w:kern w:val="0"/>
          <w:sz w:val="21"/>
          <w:szCs w:val="21"/>
          <w:highlight w:val="none"/>
          <w:vertAlign w:val="baseline"/>
          <w:lang w:val="zh-CN" w:eastAsia="zh-CN" w:bidi="ar"/>
        </w:rPr>
        <w:t>在规定的投标截止时间以后送达的；</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（2）未按</w:t>
      </w:r>
      <w:r>
        <w:rPr>
          <w:rFonts w:hint="eastAsia" w:ascii="宋体" w:hAnsi="宋体" w:cs="宋体"/>
          <w:b w:val="0"/>
          <w:bCs w:val="0"/>
          <w:caps w:val="0"/>
          <w:color w:val="000000"/>
          <w:kern w:val="0"/>
          <w:sz w:val="21"/>
          <w:szCs w:val="21"/>
          <w:highlight w:val="none"/>
          <w:vertAlign w:val="baseline"/>
          <w:lang w:val="zh-CN" w:eastAsia="zh-CN" w:bidi="ar"/>
        </w:rPr>
        <w:t>采购文件</w:t>
      </w:r>
      <w:r>
        <w:rPr>
          <w:rFonts w:hint="eastAsia" w:ascii="宋体" w:hAnsi="宋体" w:eastAsia="宋体" w:cs="宋体"/>
          <w:b w:val="0"/>
          <w:bCs w:val="0"/>
          <w:caps w:val="0"/>
          <w:color w:val="000000"/>
          <w:kern w:val="0"/>
          <w:sz w:val="21"/>
          <w:szCs w:val="21"/>
          <w:highlight w:val="none"/>
          <w:vertAlign w:val="baseline"/>
          <w:lang w:val="zh-CN" w:eastAsia="zh-CN" w:bidi="ar"/>
        </w:rPr>
        <w:t>规定提交</w:t>
      </w:r>
      <w:r>
        <w:rPr>
          <w:rFonts w:hint="eastAsia" w:ascii="宋体" w:hAnsi="宋体" w:cs="宋体"/>
          <w:b w:val="0"/>
          <w:bCs w:val="0"/>
          <w:caps w:val="0"/>
          <w:color w:val="000000"/>
          <w:kern w:val="0"/>
          <w:sz w:val="21"/>
          <w:szCs w:val="21"/>
          <w:highlight w:val="none"/>
          <w:vertAlign w:val="baseline"/>
          <w:lang w:val="zh-CN" w:eastAsia="zh-CN" w:bidi="ar"/>
        </w:rPr>
        <w:t>磋商保证金</w:t>
      </w:r>
      <w:r>
        <w:rPr>
          <w:rFonts w:hint="eastAsia" w:ascii="宋体" w:hAnsi="宋体" w:eastAsia="宋体" w:cs="宋体"/>
          <w:b w:val="0"/>
          <w:bCs w:val="0"/>
          <w:caps w:val="0"/>
          <w:color w:val="000000"/>
          <w:kern w:val="0"/>
          <w:sz w:val="21"/>
          <w:szCs w:val="21"/>
          <w:highlight w:val="none"/>
          <w:vertAlign w:val="baseline"/>
          <w:lang w:val="zh-CN" w:eastAsia="zh-CN" w:bidi="ar"/>
        </w:rPr>
        <w:t>的；</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（3）</w:t>
      </w:r>
      <w:r>
        <w:rPr>
          <w:rFonts w:hint="eastAsia" w:ascii="宋体" w:hAnsi="宋体" w:cs="宋体"/>
          <w:b w:val="0"/>
          <w:bCs w:val="0"/>
          <w:caps w:val="0"/>
          <w:color w:val="000000"/>
          <w:kern w:val="0"/>
          <w:sz w:val="21"/>
          <w:szCs w:val="21"/>
          <w:highlight w:val="none"/>
          <w:vertAlign w:val="baseline"/>
          <w:lang w:val="zh-CN" w:eastAsia="zh-CN" w:bidi="ar"/>
        </w:rPr>
        <w:t>响应文件</w:t>
      </w:r>
      <w:r>
        <w:rPr>
          <w:rFonts w:hint="eastAsia" w:ascii="宋体" w:hAnsi="宋体" w:eastAsia="宋体" w:cs="宋体"/>
          <w:b w:val="0"/>
          <w:bCs w:val="0"/>
          <w:caps w:val="0"/>
          <w:color w:val="000000"/>
          <w:kern w:val="0"/>
          <w:sz w:val="21"/>
          <w:szCs w:val="21"/>
          <w:highlight w:val="none"/>
          <w:vertAlign w:val="baseline"/>
          <w:lang w:val="zh-CN" w:eastAsia="zh-CN" w:bidi="ar"/>
        </w:rPr>
        <w:t>未按</w:t>
      </w:r>
      <w:r>
        <w:rPr>
          <w:rFonts w:hint="eastAsia" w:ascii="宋体" w:hAnsi="宋体" w:cs="宋体"/>
          <w:b w:val="0"/>
          <w:bCs w:val="0"/>
          <w:caps w:val="0"/>
          <w:color w:val="000000"/>
          <w:kern w:val="0"/>
          <w:sz w:val="21"/>
          <w:szCs w:val="21"/>
          <w:highlight w:val="none"/>
          <w:vertAlign w:val="baseline"/>
          <w:lang w:val="zh-CN" w:eastAsia="zh-CN" w:bidi="ar"/>
        </w:rPr>
        <w:t>采购文件</w:t>
      </w:r>
      <w:r>
        <w:rPr>
          <w:rFonts w:hint="eastAsia" w:ascii="宋体" w:hAnsi="宋体" w:eastAsia="宋体" w:cs="宋体"/>
          <w:b w:val="0"/>
          <w:bCs w:val="0"/>
          <w:caps w:val="0"/>
          <w:color w:val="000000"/>
          <w:kern w:val="0"/>
          <w:sz w:val="21"/>
          <w:szCs w:val="21"/>
          <w:highlight w:val="none"/>
          <w:vertAlign w:val="baseline"/>
          <w:lang w:val="zh-CN" w:eastAsia="zh-CN" w:bidi="ar"/>
        </w:rPr>
        <w:t>规定密封的；</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（4）未提交单独密封的开标一览表或者开标一览表未按规定加盖公章和有效签署的；</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（5）</w:t>
      </w:r>
      <w:r>
        <w:rPr>
          <w:rFonts w:hint="eastAsia" w:ascii="宋体" w:hAnsi="宋体" w:cs="宋体"/>
          <w:b w:val="0"/>
          <w:bCs w:val="0"/>
          <w:caps w:val="0"/>
          <w:color w:val="000000"/>
          <w:kern w:val="0"/>
          <w:sz w:val="21"/>
          <w:szCs w:val="21"/>
          <w:highlight w:val="none"/>
          <w:vertAlign w:val="baseline"/>
          <w:lang w:val="zh-CN" w:eastAsia="zh-CN" w:bidi="ar"/>
        </w:rPr>
        <w:t>采购文件</w:t>
      </w:r>
      <w:r>
        <w:rPr>
          <w:rFonts w:hint="eastAsia" w:ascii="宋体" w:hAnsi="宋体" w:eastAsia="宋体" w:cs="宋体"/>
          <w:b w:val="0"/>
          <w:bCs w:val="0"/>
          <w:caps w:val="0"/>
          <w:color w:val="000000"/>
          <w:kern w:val="0"/>
          <w:sz w:val="21"/>
          <w:szCs w:val="21"/>
          <w:highlight w:val="none"/>
          <w:vertAlign w:val="baseline"/>
          <w:lang w:val="zh-CN" w:eastAsia="zh-CN" w:bidi="ar"/>
        </w:rPr>
        <w:t>规定开标时属于无效投标的其他情形。</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1</w:t>
      </w:r>
      <w:r>
        <w:rPr>
          <w:rFonts w:hint="eastAsia" w:ascii="宋体" w:hAnsi="宋体" w:eastAsia="宋体" w:cs="宋体"/>
          <w:b w:val="0"/>
          <w:bCs w:val="0"/>
          <w:caps w:val="0"/>
          <w:color w:val="000000"/>
          <w:kern w:val="0"/>
          <w:sz w:val="21"/>
          <w:szCs w:val="21"/>
          <w:highlight w:val="none"/>
          <w:vertAlign w:val="baseline"/>
          <w:lang w:val="en-US" w:eastAsia="zh-CN" w:bidi="ar"/>
        </w:rPr>
        <w:t>9.6</w:t>
      </w:r>
      <w:r>
        <w:rPr>
          <w:rFonts w:hint="eastAsia" w:ascii="宋体" w:hAnsi="宋体" w:eastAsia="宋体" w:cs="宋体"/>
          <w:b w:val="0"/>
          <w:bCs w:val="0"/>
          <w:caps w:val="0"/>
          <w:color w:val="000000"/>
          <w:kern w:val="0"/>
          <w:sz w:val="21"/>
          <w:szCs w:val="21"/>
          <w:highlight w:val="none"/>
          <w:vertAlign w:val="baseline"/>
          <w:lang w:val="zh-CN" w:eastAsia="zh-CN" w:bidi="ar"/>
        </w:rPr>
        <w:t xml:space="preserve"> 开标时有下列情形之一的，招标代理机构有权宣布本项目招标失败：</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（1）交货时间符合</w:t>
      </w:r>
      <w:r>
        <w:rPr>
          <w:rFonts w:hint="eastAsia" w:ascii="宋体" w:hAnsi="宋体" w:cs="宋体"/>
          <w:b w:val="0"/>
          <w:bCs w:val="0"/>
          <w:caps w:val="0"/>
          <w:color w:val="000000"/>
          <w:kern w:val="0"/>
          <w:sz w:val="21"/>
          <w:szCs w:val="21"/>
          <w:highlight w:val="none"/>
          <w:vertAlign w:val="baseline"/>
          <w:lang w:val="zh-CN" w:eastAsia="zh-CN" w:bidi="ar"/>
        </w:rPr>
        <w:t>采购文件</w:t>
      </w:r>
      <w:r>
        <w:rPr>
          <w:rFonts w:hint="eastAsia" w:ascii="宋体" w:hAnsi="宋体" w:eastAsia="宋体" w:cs="宋体"/>
          <w:b w:val="0"/>
          <w:bCs w:val="0"/>
          <w:caps w:val="0"/>
          <w:color w:val="000000"/>
          <w:kern w:val="0"/>
          <w:sz w:val="21"/>
          <w:szCs w:val="21"/>
          <w:highlight w:val="none"/>
          <w:vertAlign w:val="baseline"/>
          <w:lang w:val="zh-CN" w:eastAsia="zh-CN" w:bidi="ar"/>
        </w:rPr>
        <w:t>要求的</w:t>
      </w:r>
      <w:r>
        <w:rPr>
          <w:rFonts w:hint="eastAsia" w:ascii="宋体" w:hAnsi="宋体" w:cs="宋体"/>
          <w:b w:val="0"/>
          <w:bCs w:val="0"/>
          <w:caps w:val="0"/>
          <w:color w:val="000000"/>
          <w:kern w:val="0"/>
          <w:sz w:val="21"/>
          <w:szCs w:val="21"/>
          <w:highlight w:val="none"/>
          <w:vertAlign w:val="baseline"/>
          <w:lang w:val="zh-CN" w:eastAsia="zh-CN" w:bidi="ar"/>
        </w:rPr>
        <w:t>供应商</w:t>
      </w:r>
      <w:r>
        <w:rPr>
          <w:rFonts w:hint="eastAsia" w:ascii="宋体" w:hAnsi="宋体" w:eastAsia="宋体" w:cs="宋体"/>
          <w:b w:val="0"/>
          <w:bCs w:val="0"/>
          <w:caps w:val="0"/>
          <w:color w:val="000000"/>
          <w:kern w:val="0"/>
          <w:sz w:val="21"/>
          <w:szCs w:val="21"/>
          <w:highlight w:val="none"/>
          <w:vertAlign w:val="baseline"/>
          <w:lang w:val="zh-CN" w:eastAsia="zh-CN" w:bidi="ar"/>
        </w:rPr>
        <w:t>不足三家的；</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（2）所有</w:t>
      </w:r>
      <w:r>
        <w:rPr>
          <w:rFonts w:hint="eastAsia" w:ascii="宋体" w:hAnsi="宋体" w:cs="宋体"/>
          <w:b w:val="0"/>
          <w:bCs w:val="0"/>
          <w:caps w:val="0"/>
          <w:color w:val="000000"/>
          <w:kern w:val="0"/>
          <w:sz w:val="21"/>
          <w:szCs w:val="21"/>
          <w:highlight w:val="none"/>
          <w:vertAlign w:val="baseline"/>
          <w:lang w:val="zh-CN" w:eastAsia="zh-CN" w:bidi="ar"/>
        </w:rPr>
        <w:t>供应商</w:t>
      </w:r>
      <w:r>
        <w:rPr>
          <w:rFonts w:hint="eastAsia" w:ascii="宋体" w:hAnsi="宋体" w:eastAsia="宋体" w:cs="宋体"/>
          <w:b w:val="0"/>
          <w:bCs w:val="0"/>
          <w:caps w:val="0"/>
          <w:color w:val="000000"/>
          <w:kern w:val="0"/>
          <w:sz w:val="21"/>
          <w:szCs w:val="21"/>
          <w:highlight w:val="none"/>
          <w:vertAlign w:val="baseline"/>
          <w:lang w:val="zh-CN" w:eastAsia="zh-CN" w:bidi="ar"/>
        </w:rPr>
        <w:t>的报价均超过采购项目预算，采购单位不能支付的。</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20.对</w:t>
      </w:r>
      <w:r>
        <w:rPr>
          <w:rFonts w:hint="eastAsia" w:cs="宋体"/>
          <w:caps w:val="0"/>
          <w:color w:val="000000"/>
          <w:sz w:val="21"/>
          <w:szCs w:val="21"/>
          <w:highlight w:val="none"/>
          <w:vertAlign w:val="baseline"/>
          <w:lang w:eastAsia="zh-CN"/>
        </w:rPr>
        <w:t>响应文件</w:t>
      </w:r>
      <w:r>
        <w:rPr>
          <w:rFonts w:hint="eastAsia" w:ascii="宋体" w:hAnsi="宋体" w:eastAsia="宋体" w:cs="宋体"/>
          <w:caps w:val="0"/>
          <w:color w:val="000000"/>
          <w:sz w:val="21"/>
          <w:szCs w:val="21"/>
          <w:highlight w:val="none"/>
          <w:vertAlign w:val="baseline"/>
        </w:rPr>
        <w:t>的初审</w:t>
      </w:r>
      <w:bookmarkEnd w:id="79"/>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20.1 采购人根据招标项目特点组建评标委员会，由采购人从专家库中抽取的专家组成。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评标委员会对响应文件进行初审，初审内容为响应文件是否符合采购文件的要求、内容是否完整、价格构成有无计算错误、文件签署是否齐全及验证保证金以及响应文件是否具有实质响应性。</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20.2 初审中，对价格的计算错误按下述原则修正：</w:t>
      </w:r>
    </w:p>
    <w:p>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00" w:firstLineChars="200"/>
        <w:jc w:val="left"/>
        <w:textAlignment w:val="baseline"/>
        <w:outlineLvl w:val="9"/>
        <w:rPr>
          <w:rFonts w:hint="eastAsia" w:ascii="宋体" w:hAnsi="宋体" w:eastAsia="宋体" w:cs="宋体"/>
          <w:caps w:val="0"/>
          <w:color w:val="auto"/>
          <w:sz w:val="20"/>
          <w:szCs w:val="20"/>
          <w:highlight w:val="none"/>
          <w:vertAlign w:val="baseline"/>
          <w:lang w:val="zh-CN" w:eastAsia="zh-CN"/>
        </w:rPr>
      </w:pPr>
      <w:r>
        <w:rPr>
          <w:rFonts w:hint="eastAsia" w:ascii="宋体" w:hAnsi="宋体" w:eastAsia="宋体" w:cs="宋体"/>
          <w:b w:val="0"/>
          <w:bCs w:val="0"/>
          <w:caps w:val="0"/>
          <w:color w:val="auto"/>
          <w:kern w:val="0"/>
          <w:sz w:val="20"/>
          <w:szCs w:val="20"/>
          <w:highlight w:val="none"/>
          <w:vertAlign w:val="baseline"/>
          <w:lang w:val="zh-CN" w:eastAsia="zh-CN" w:bidi="ar"/>
        </w:rPr>
        <w:t>（</w:t>
      </w:r>
      <w:r>
        <w:rPr>
          <w:rFonts w:hint="eastAsia" w:ascii="宋体" w:hAnsi="宋体" w:eastAsia="宋体" w:cs="宋体"/>
          <w:b w:val="0"/>
          <w:bCs w:val="0"/>
          <w:caps w:val="0"/>
          <w:color w:val="auto"/>
          <w:kern w:val="0"/>
          <w:sz w:val="20"/>
          <w:szCs w:val="20"/>
          <w:highlight w:val="none"/>
          <w:vertAlign w:val="baseline"/>
          <w:lang w:val="en-US" w:eastAsia="zh-CN" w:bidi="ar"/>
        </w:rPr>
        <w:t>1</w:t>
      </w:r>
      <w:r>
        <w:rPr>
          <w:rFonts w:hint="eastAsia" w:ascii="宋体" w:hAnsi="宋体" w:eastAsia="宋体" w:cs="宋体"/>
          <w:b w:val="0"/>
          <w:bCs w:val="0"/>
          <w:caps w:val="0"/>
          <w:color w:val="auto"/>
          <w:kern w:val="0"/>
          <w:sz w:val="20"/>
          <w:szCs w:val="20"/>
          <w:highlight w:val="none"/>
          <w:vertAlign w:val="baseline"/>
          <w:lang w:val="zh-CN" w:eastAsia="zh-CN" w:bidi="ar"/>
        </w:rPr>
        <w:t>）响应文件中开标一览表内容与响应文件中相应内容不一致的，以《开标一览表》的报价为准；</w:t>
      </w:r>
    </w:p>
    <w:p>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00" w:firstLineChars="200"/>
        <w:jc w:val="left"/>
        <w:textAlignment w:val="baseline"/>
        <w:outlineLvl w:val="9"/>
        <w:rPr>
          <w:rFonts w:hint="eastAsia" w:ascii="宋体" w:hAnsi="宋体" w:eastAsia="宋体" w:cs="宋体"/>
          <w:caps w:val="0"/>
          <w:color w:val="auto"/>
          <w:sz w:val="20"/>
          <w:szCs w:val="20"/>
          <w:highlight w:val="none"/>
          <w:vertAlign w:val="baseline"/>
          <w:lang w:val="zh-CN" w:eastAsia="zh-CN"/>
        </w:rPr>
      </w:pPr>
      <w:r>
        <w:rPr>
          <w:rFonts w:hint="eastAsia" w:ascii="宋体" w:hAnsi="宋体" w:eastAsia="宋体" w:cs="宋体"/>
          <w:b w:val="0"/>
          <w:bCs w:val="0"/>
          <w:caps w:val="0"/>
          <w:color w:val="auto"/>
          <w:kern w:val="0"/>
          <w:sz w:val="20"/>
          <w:szCs w:val="20"/>
          <w:highlight w:val="none"/>
          <w:vertAlign w:val="baseline"/>
          <w:lang w:val="zh-CN" w:eastAsia="zh-CN" w:bidi="ar"/>
        </w:rPr>
        <w:t>（</w:t>
      </w:r>
      <w:r>
        <w:rPr>
          <w:rFonts w:hint="eastAsia" w:ascii="宋体" w:hAnsi="宋体" w:eastAsia="宋体" w:cs="宋体"/>
          <w:b w:val="0"/>
          <w:bCs w:val="0"/>
          <w:caps w:val="0"/>
          <w:color w:val="auto"/>
          <w:kern w:val="0"/>
          <w:sz w:val="20"/>
          <w:szCs w:val="20"/>
          <w:highlight w:val="none"/>
          <w:vertAlign w:val="baseline"/>
          <w:lang w:val="en-US" w:eastAsia="zh-CN" w:bidi="ar"/>
        </w:rPr>
        <w:t>2</w:t>
      </w:r>
      <w:r>
        <w:rPr>
          <w:rFonts w:hint="eastAsia" w:ascii="宋体" w:hAnsi="宋体" w:eastAsia="宋体" w:cs="宋体"/>
          <w:b w:val="0"/>
          <w:bCs w:val="0"/>
          <w:caps w:val="0"/>
          <w:color w:val="auto"/>
          <w:kern w:val="0"/>
          <w:sz w:val="20"/>
          <w:szCs w:val="20"/>
          <w:highlight w:val="none"/>
          <w:vertAlign w:val="baseline"/>
          <w:lang w:val="zh-CN" w:eastAsia="zh-CN" w:bidi="ar"/>
        </w:rPr>
        <w:t>）开标一览表内如果小写金额与大写金额不一致时，以大写金额为准；</w:t>
      </w:r>
    </w:p>
    <w:p>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00" w:firstLineChars="200"/>
        <w:jc w:val="left"/>
        <w:textAlignment w:val="baseline"/>
        <w:outlineLvl w:val="9"/>
        <w:rPr>
          <w:rFonts w:hint="eastAsia" w:ascii="宋体" w:hAnsi="宋体" w:eastAsia="宋体" w:cs="宋体"/>
          <w:caps w:val="0"/>
          <w:color w:val="auto"/>
          <w:sz w:val="20"/>
          <w:szCs w:val="20"/>
          <w:highlight w:val="none"/>
          <w:vertAlign w:val="baseline"/>
          <w:lang w:val="zh-CN" w:eastAsia="zh-CN"/>
        </w:rPr>
      </w:pPr>
      <w:r>
        <w:rPr>
          <w:rFonts w:hint="eastAsia" w:ascii="宋体" w:hAnsi="宋体" w:eastAsia="宋体" w:cs="宋体"/>
          <w:b w:val="0"/>
          <w:bCs w:val="0"/>
          <w:caps w:val="0"/>
          <w:color w:val="auto"/>
          <w:kern w:val="0"/>
          <w:sz w:val="20"/>
          <w:szCs w:val="20"/>
          <w:highlight w:val="none"/>
          <w:vertAlign w:val="baseline"/>
          <w:lang w:val="zh-CN" w:eastAsia="zh-CN" w:bidi="ar"/>
        </w:rPr>
        <w:t>（</w:t>
      </w:r>
      <w:r>
        <w:rPr>
          <w:rFonts w:hint="eastAsia" w:ascii="宋体" w:hAnsi="宋体" w:eastAsia="宋体" w:cs="宋体"/>
          <w:b w:val="0"/>
          <w:bCs w:val="0"/>
          <w:caps w:val="0"/>
          <w:color w:val="auto"/>
          <w:kern w:val="0"/>
          <w:sz w:val="20"/>
          <w:szCs w:val="20"/>
          <w:highlight w:val="none"/>
          <w:vertAlign w:val="baseline"/>
          <w:lang w:val="en-US" w:eastAsia="zh-CN" w:bidi="ar"/>
        </w:rPr>
        <w:t>3</w:t>
      </w:r>
      <w:r>
        <w:rPr>
          <w:rFonts w:hint="eastAsia" w:ascii="宋体" w:hAnsi="宋体" w:eastAsia="宋体" w:cs="宋体"/>
          <w:b w:val="0"/>
          <w:bCs w:val="0"/>
          <w:caps w:val="0"/>
          <w:color w:val="auto"/>
          <w:kern w:val="0"/>
          <w:sz w:val="20"/>
          <w:szCs w:val="20"/>
          <w:highlight w:val="none"/>
          <w:vertAlign w:val="baseline"/>
          <w:lang w:val="zh-CN" w:eastAsia="zh-CN" w:bidi="ar"/>
        </w:rPr>
        <w:t>）如果总价金额与单价金额不一致，以单价金额为准。</w:t>
      </w:r>
    </w:p>
    <w:p>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00" w:firstLineChars="200"/>
        <w:jc w:val="left"/>
        <w:textAlignment w:val="baseline"/>
        <w:outlineLvl w:val="9"/>
        <w:rPr>
          <w:rFonts w:hint="eastAsia" w:ascii="宋体" w:hAnsi="宋体" w:eastAsia="宋体" w:cs="宋体"/>
          <w:caps w:val="0"/>
          <w:color w:val="auto"/>
          <w:sz w:val="20"/>
          <w:szCs w:val="20"/>
          <w:highlight w:val="none"/>
          <w:vertAlign w:val="baseline"/>
          <w:lang w:val="zh-CN" w:eastAsia="zh-CN"/>
        </w:rPr>
      </w:pPr>
      <w:r>
        <w:rPr>
          <w:rFonts w:hint="eastAsia" w:ascii="宋体" w:hAnsi="宋体" w:eastAsia="宋体" w:cs="宋体"/>
          <w:b w:val="0"/>
          <w:bCs w:val="0"/>
          <w:caps w:val="0"/>
          <w:color w:val="auto"/>
          <w:kern w:val="0"/>
          <w:sz w:val="20"/>
          <w:szCs w:val="20"/>
          <w:highlight w:val="none"/>
          <w:vertAlign w:val="baseline"/>
          <w:lang w:val="zh-CN" w:eastAsia="zh-CN" w:bidi="ar"/>
        </w:rPr>
        <w:t>（</w:t>
      </w:r>
      <w:r>
        <w:rPr>
          <w:rFonts w:hint="eastAsia" w:ascii="宋体" w:hAnsi="宋体" w:eastAsia="宋体" w:cs="宋体"/>
          <w:b w:val="0"/>
          <w:bCs w:val="0"/>
          <w:caps w:val="0"/>
          <w:color w:val="auto"/>
          <w:kern w:val="0"/>
          <w:sz w:val="20"/>
          <w:szCs w:val="20"/>
          <w:highlight w:val="none"/>
          <w:vertAlign w:val="baseline"/>
          <w:lang w:val="en-US" w:eastAsia="zh-CN" w:bidi="ar"/>
        </w:rPr>
        <w:t>4</w:t>
      </w:r>
      <w:r>
        <w:rPr>
          <w:rFonts w:hint="eastAsia" w:ascii="宋体" w:hAnsi="宋体" w:eastAsia="宋体" w:cs="宋体"/>
          <w:b w:val="0"/>
          <w:bCs w:val="0"/>
          <w:caps w:val="0"/>
          <w:color w:val="auto"/>
          <w:kern w:val="0"/>
          <w:sz w:val="20"/>
          <w:szCs w:val="20"/>
          <w:highlight w:val="none"/>
          <w:vertAlign w:val="baseline"/>
          <w:lang w:val="zh-CN" w:eastAsia="zh-CN" w:bidi="ar"/>
        </w:rPr>
        <w:t>）除非单价有明显的小数点错位，此时应以该行标出的总额为准，并修改单价。</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按上述原则调整后的价格为评标价，经供应商法定代表人或授权代理人签字确认后对供应商具有约束力。如果供应商不按照上述原则修正其投标报价及分项报价，则其投标将被拒绝。</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20.3 与采购文件有重大偏离的响应文件将被视为具有非实质响应性的响应文件而被拒绝。</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20.4 投标有下列情况之一者，</w:t>
      </w:r>
      <w:r>
        <w:rPr>
          <w:rFonts w:hint="eastAsia" w:ascii="宋体" w:hAnsi="宋体" w:eastAsia="宋体" w:cs="宋体"/>
          <w:b/>
          <w:bCs/>
          <w:caps w:val="0"/>
          <w:color w:val="000000"/>
          <w:kern w:val="0"/>
          <w:sz w:val="21"/>
          <w:szCs w:val="21"/>
          <w:highlight w:val="none"/>
          <w:vertAlign w:val="baseline"/>
          <w:lang w:val="en-US" w:eastAsia="zh-CN" w:bidi="ar"/>
        </w:rPr>
        <w:t>将被视为非实质性响应的投标而被拒绝：</w:t>
      </w:r>
    </w:p>
    <w:p>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资格条件及证明文件不符合采购文件要求的；</w:t>
      </w:r>
    </w:p>
    <w:p>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响应文件无公章或无法定代表人签字，或签字人无法定代表人有效授权书的，或未按要求签字、盖公章的；</w:t>
      </w:r>
    </w:p>
    <w:p>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不能满足投标有效期的；</w:t>
      </w:r>
    </w:p>
    <w:p>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投标明显不符合技术规格、技术标准的要求；</w:t>
      </w:r>
    </w:p>
    <w:p>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响应文件附有买方不能接受的条件；</w:t>
      </w:r>
    </w:p>
    <w:p>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投标报价超过采购预算的；</w:t>
      </w:r>
    </w:p>
    <w:p>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未响应采购文件规定的其它实质性条款。</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80" w:name="_Toc98580414"/>
      <w:r>
        <w:rPr>
          <w:rFonts w:hint="eastAsia" w:ascii="宋体" w:hAnsi="宋体" w:eastAsia="宋体" w:cs="宋体"/>
          <w:caps w:val="0"/>
          <w:color w:val="000000"/>
          <w:sz w:val="21"/>
          <w:szCs w:val="21"/>
          <w:highlight w:val="none"/>
          <w:vertAlign w:val="baseline"/>
        </w:rPr>
        <w:t>21.投标的澄清</w:t>
      </w:r>
      <w:bookmarkEnd w:id="80"/>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21.1 招标机构有权就响应文件中含混之处向供应商提出询问或澄清要求，或要求其补充某些材料。供应商必须按照招标机构通知的时间、地点派技术和商务人员进行答疑和澄清。</w:t>
      </w:r>
    </w:p>
    <w:p>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20"/>
        <w:jc w:val="left"/>
        <w:textAlignment w:val="baseline"/>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21.2 </w:t>
      </w:r>
      <w:r>
        <w:rPr>
          <w:rFonts w:hint="eastAsia" w:ascii="宋体" w:hAnsi="宋体" w:eastAsia="宋体" w:cs="宋体"/>
          <w:b w:val="0"/>
          <w:bCs w:val="0"/>
          <w:caps w:val="0"/>
          <w:color w:val="auto"/>
          <w:kern w:val="0"/>
          <w:sz w:val="20"/>
          <w:szCs w:val="20"/>
          <w:highlight w:val="none"/>
          <w:vertAlign w:val="baseline"/>
          <w:lang w:val="zh-CN" w:eastAsia="zh-CN" w:bidi="ar"/>
        </w:rPr>
        <w:t>供应商的澄清、说明或者补正应当采用书面形式，由供应商法定代表人或其授权代理人签字（须提交签字人身份证件并与响应文件签字人一致），并不得超出响应文件的范围或者改变响应文件的实质性内容。供应商拒不进行澄清、说明、补正的，或者不能在规定时间内作出书面澄清、说明、补正的，评标委员会将拒绝其投标。</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81" w:name="_Toc98580415"/>
      <w:bookmarkStart w:id="82" w:name="_Toc98580416"/>
      <w:r>
        <w:rPr>
          <w:rFonts w:hint="eastAsia" w:ascii="宋体" w:hAnsi="宋体" w:eastAsia="宋体" w:cs="宋体"/>
          <w:caps w:val="0"/>
          <w:color w:val="000000"/>
          <w:sz w:val="21"/>
          <w:szCs w:val="21"/>
          <w:highlight w:val="none"/>
          <w:vertAlign w:val="baseline"/>
        </w:rPr>
        <w:t>22.评标</w:t>
      </w:r>
      <w:bookmarkEnd w:id="81"/>
    </w:p>
    <w:p>
      <w:pPr>
        <w:keepNext w:val="0"/>
        <w:keepLines w:val="0"/>
        <w:pageBreakBefore w:val="0"/>
        <w:widowControl/>
        <w:suppressLineNumbers w:val="0"/>
        <w:suppressAutoHyphens w:val="0"/>
        <w:kinsoku/>
        <w:wordWrap/>
        <w:overflowPunct/>
        <w:topLinePunct w:val="0"/>
        <w:autoSpaceDE w:val="0"/>
        <w:autoSpaceDN w:val="0"/>
        <w:bidi w:val="0"/>
        <w:adjustRightInd/>
        <w:snapToGrid/>
        <w:spacing w:before="0" w:beforeAutospacing="0" w:after="0" w:afterAutospacing="0" w:line="360" w:lineRule="auto"/>
        <w:ind w:left="0" w:right="0" w:firstLine="420"/>
        <w:jc w:val="left"/>
        <w:textAlignment w:val="bottom"/>
        <w:outlineLvl w:val="9"/>
        <w:rPr>
          <w:rFonts w:hint="eastAsia" w:ascii="宋体" w:hAnsi="宋体" w:eastAsia="宋体" w:cs="Arial"/>
          <w:bCs/>
          <w:caps w:val="0"/>
          <w:color w:val="000000"/>
          <w:sz w:val="21"/>
          <w:szCs w:val="21"/>
          <w:highlight w:val="none"/>
          <w:vertAlign w:val="baseline"/>
          <w:lang w:bidi="ar"/>
        </w:rPr>
      </w:pPr>
      <w:r>
        <w:rPr>
          <w:rFonts w:hint="eastAsia" w:ascii="宋体" w:hAnsi="宋体" w:eastAsia="宋体" w:cs="Arial"/>
          <w:b w:val="0"/>
          <w:bCs/>
          <w:caps w:val="0"/>
          <w:color w:val="000000"/>
          <w:kern w:val="0"/>
          <w:sz w:val="21"/>
          <w:szCs w:val="21"/>
          <w:highlight w:val="none"/>
          <w:vertAlign w:val="baseline"/>
          <w:lang w:val="en-US" w:eastAsia="zh-CN" w:bidi="ar"/>
        </w:rPr>
        <w:t>22.1 原则：对所有供应商的投标评估，都采用相同的程序和标准。</w:t>
      </w:r>
    </w:p>
    <w:p>
      <w:pPr>
        <w:keepNext w:val="0"/>
        <w:keepLines w:val="0"/>
        <w:pageBreakBefore w:val="0"/>
        <w:widowControl/>
        <w:suppressLineNumbers w:val="0"/>
        <w:suppressAutoHyphens w:val="0"/>
        <w:kinsoku/>
        <w:wordWrap/>
        <w:overflowPunct/>
        <w:topLinePunct w:val="0"/>
        <w:autoSpaceDE w:val="0"/>
        <w:autoSpaceDN w:val="0"/>
        <w:bidi w:val="0"/>
        <w:adjustRightInd/>
        <w:snapToGrid/>
        <w:spacing w:before="0" w:beforeAutospacing="0" w:after="0" w:afterAutospacing="0" w:line="360" w:lineRule="auto"/>
        <w:ind w:left="0" w:right="0" w:firstLine="420"/>
        <w:jc w:val="left"/>
        <w:textAlignment w:val="bottom"/>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22.2 标准：评标严格按照采购文件的要求和条件进行。</w:t>
      </w:r>
    </w:p>
    <w:p>
      <w:pPr>
        <w:keepNext w:val="0"/>
        <w:keepLines w:val="0"/>
        <w:pageBreakBefore w:val="0"/>
        <w:widowControl/>
        <w:suppressLineNumbers w:val="0"/>
        <w:tabs>
          <w:tab w:val="left" w:pos="475"/>
        </w:tabs>
        <w:suppressAutoHyphens w:val="0"/>
        <w:kinsoku/>
        <w:wordWrap/>
        <w:overflowPunct/>
        <w:topLinePunct w:val="0"/>
        <w:autoSpaceDE/>
        <w:autoSpaceDN w:val="0"/>
        <w:bidi w:val="0"/>
        <w:adjustRightInd/>
        <w:snapToGrid w:val="0"/>
        <w:spacing w:before="0" w:beforeAutospacing="0" w:after="0" w:afterAutospacing="0" w:line="360" w:lineRule="auto"/>
        <w:ind w:left="0" w:right="0" w:firstLine="0"/>
        <w:jc w:val="left"/>
        <w:textAlignment w:val="baseline"/>
        <w:outlineLvl w:val="9"/>
        <w:rPr>
          <w:rFonts w:hint="eastAsia" w:ascii="宋体" w:hAnsi="宋体" w:eastAsia="宋体" w:cs="宋体"/>
          <w:caps w:val="0"/>
          <w:color w:val="auto"/>
          <w:sz w:val="21"/>
          <w:szCs w:val="21"/>
          <w:highlight w:val="none"/>
          <w:vertAlign w:val="baseline"/>
          <w:lang w:val="zh-CN" w:eastAsia="zh-CN"/>
        </w:rPr>
      </w:pPr>
      <w:r>
        <w:rPr>
          <w:rFonts w:hint="eastAsia" w:ascii="宋体" w:hAnsi="宋体" w:eastAsia="宋体" w:cs="宋体"/>
          <w:b w:val="0"/>
          <w:bCs w:val="0"/>
          <w:caps w:val="0"/>
          <w:color w:val="auto"/>
          <w:kern w:val="0"/>
          <w:sz w:val="21"/>
          <w:szCs w:val="21"/>
          <w:highlight w:val="none"/>
          <w:vertAlign w:val="baseline"/>
          <w:lang w:val="zh-CN" w:eastAsia="zh-CN" w:bidi="ar"/>
        </w:rPr>
        <w:tab/>
      </w:r>
      <w:r>
        <w:rPr>
          <w:rFonts w:hint="eastAsia" w:ascii="宋体" w:hAnsi="宋体" w:eastAsia="宋体" w:cs="宋体"/>
          <w:b w:val="0"/>
          <w:bCs w:val="0"/>
          <w:caps w:val="0"/>
          <w:color w:val="auto"/>
          <w:kern w:val="0"/>
          <w:sz w:val="21"/>
          <w:szCs w:val="21"/>
          <w:highlight w:val="none"/>
          <w:vertAlign w:val="baseline"/>
          <w:lang w:val="zh-CN" w:eastAsia="zh-CN" w:bidi="ar"/>
        </w:rPr>
        <w:t>22.</w:t>
      </w:r>
      <w:r>
        <w:rPr>
          <w:rFonts w:hint="eastAsia" w:ascii="宋体" w:hAnsi="宋体" w:eastAsia="宋体" w:cs="宋体"/>
          <w:b w:val="0"/>
          <w:bCs w:val="0"/>
          <w:caps w:val="0"/>
          <w:color w:val="auto"/>
          <w:kern w:val="0"/>
          <w:sz w:val="21"/>
          <w:szCs w:val="21"/>
          <w:highlight w:val="none"/>
          <w:vertAlign w:val="baseline"/>
          <w:lang w:val="en-US" w:eastAsia="zh-CN" w:bidi="ar"/>
        </w:rPr>
        <w:t>3</w:t>
      </w:r>
      <w:r>
        <w:rPr>
          <w:rFonts w:hint="eastAsia" w:ascii="宋体" w:hAnsi="宋体" w:eastAsia="宋体" w:cs="宋体"/>
          <w:b w:val="0"/>
          <w:bCs w:val="0"/>
          <w:caps w:val="0"/>
          <w:color w:val="auto"/>
          <w:kern w:val="0"/>
          <w:sz w:val="21"/>
          <w:szCs w:val="21"/>
          <w:highlight w:val="none"/>
          <w:vertAlign w:val="baseline"/>
          <w:lang w:val="zh-CN" w:eastAsia="zh-CN" w:bidi="ar"/>
        </w:rPr>
        <w:t>本项目采用</w:t>
      </w:r>
      <w:bookmarkStart w:id="83" w:name="blank29_copy_1619578097000"/>
      <w:r>
        <w:rPr>
          <w:rFonts w:hint="eastAsia" w:ascii="宋体" w:hAnsi="宋体" w:eastAsia="宋体" w:cs="Times New Roman"/>
          <w:b w:val="0"/>
          <w:bCs w:val="0"/>
          <w:caps w:val="0"/>
          <w:snapToGrid/>
          <w:color w:val="auto"/>
          <w:spacing w:val="0"/>
          <w:w w:val="100"/>
          <w:kern w:val="0"/>
          <w:position w:val="0"/>
          <w:sz w:val="21"/>
          <w:szCs w:val="21"/>
          <w:highlight w:val="none"/>
          <w:u w:val="none" w:color="auto"/>
          <w:vertAlign w:val="baseline"/>
          <w:lang w:val="en-US" w:eastAsia="zh-CN" w:bidi="ar"/>
        </w:rPr>
        <w:t>综合评分法</w:t>
      </w:r>
      <w:bookmarkEnd w:id="83"/>
      <w:r>
        <w:rPr>
          <w:rFonts w:hint="eastAsia" w:ascii="宋体" w:hAnsi="宋体" w:eastAsia="宋体" w:cs="宋体"/>
          <w:b w:val="0"/>
          <w:bCs w:val="0"/>
          <w:caps w:val="0"/>
          <w:color w:val="auto"/>
          <w:kern w:val="0"/>
          <w:sz w:val="21"/>
          <w:szCs w:val="21"/>
          <w:highlight w:val="none"/>
          <w:vertAlign w:val="baseline"/>
          <w:lang w:val="zh-CN"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00" w:firstLineChars="200"/>
        <w:jc w:val="left"/>
        <w:textAlignment w:val="baseline"/>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 w:val="0"/>
          <w:bCs w:val="0"/>
          <w:caps w:val="0"/>
          <w:color w:val="auto"/>
          <w:kern w:val="0"/>
          <w:sz w:val="20"/>
          <w:szCs w:val="20"/>
          <w:highlight w:val="none"/>
          <w:vertAlign w:val="baseline"/>
          <w:lang w:val="zh-CN" w:eastAsia="zh-CN" w:bidi="ar"/>
        </w:rPr>
        <w:t>评标委员会将按第三章规定的评审因素和标准，</w:t>
      </w:r>
      <w:r>
        <w:rPr>
          <w:rFonts w:hint="eastAsia" w:ascii="宋体" w:hAnsi="宋体" w:eastAsia="宋体" w:cs="宋体"/>
          <w:b w:val="0"/>
          <w:bCs w:val="0"/>
          <w:caps w:val="0"/>
          <w:color w:val="auto"/>
          <w:kern w:val="0"/>
          <w:sz w:val="20"/>
          <w:szCs w:val="20"/>
          <w:highlight w:val="none"/>
          <w:vertAlign w:val="baseline"/>
          <w:lang w:val="en-US" w:eastAsia="zh-CN" w:bidi="ar"/>
        </w:rPr>
        <w:t xml:space="preserve">按评审后供应商综合得分由高到低的顺序推荐中标候选人排序。 </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23.评标过程保密</w:t>
      </w:r>
      <w:bookmarkEnd w:id="82"/>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23.1有关响应文件的审查、澄清、评估和比较以及有关授予合同意向的一切情况均不得透露给任一供应商或与上述评标工作无关的人员；</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23.2在评标期间，供应商企图影响招标方的任何活动，将导致投标被拒绝，并承担相应的法律责任。</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F 确定中标</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84" w:name="_Toc98580417"/>
      <w:r>
        <w:rPr>
          <w:rFonts w:hint="eastAsia" w:ascii="宋体" w:hAnsi="宋体" w:eastAsia="宋体" w:cs="宋体"/>
          <w:caps w:val="0"/>
          <w:color w:val="000000"/>
          <w:sz w:val="21"/>
          <w:szCs w:val="21"/>
          <w:highlight w:val="none"/>
          <w:vertAlign w:val="baseline"/>
        </w:rPr>
        <w:t>24.最终审查</w:t>
      </w:r>
      <w:bookmarkEnd w:id="84"/>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24.1评标委员会按照采购文件确定的评标标准和方法，对响应文件进行评审，并提出书面评标报告，确定中标人。最终审查的对象是招标项目的合格的供应商。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24.2最终审查的内容是对合格的供应商的财务状况、资格、信誉以及采购人认为有必要了解的其他问题作进一步的审查。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24.3 接受最终审查的合格的供应商，必须如实回答和受理采购人的询问或考查，并提供所需的有关资料。</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24.4评标委员会从合格的供应商中评出中标人，并写出完整的评标报告。</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85" w:name="_Toc98580418"/>
      <w:r>
        <w:rPr>
          <w:rFonts w:hint="eastAsia" w:ascii="宋体" w:hAnsi="宋体" w:eastAsia="宋体" w:cs="宋体"/>
          <w:caps w:val="0"/>
          <w:color w:val="000000"/>
          <w:sz w:val="21"/>
          <w:szCs w:val="21"/>
          <w:highlight w:val="none"/>
          <w:vertAlign w:val="baseline"/>
        </w:rPr>
        <w:t>25.中标通知</w:t>
      </w:r>
      <w:bookmarkEnd w:id="85"/>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25.1在投标有效期内，招标代理机构以书面形式通知所选定的中标人。通知也可以以传真的形式发出，但需要随以书面形式最终确认。</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25.2</w:t>
      </w:r>
      <w:r>
        <w:rPr>
          <w:rFonts w:hint="eastAsia" w:ascii="宋体" w:hAnsi="宋体" w:eastAsia="宋体" w:cs="宋体"/>
          <w:b w:val="0"/>
          <w:bCs w:val="0"/>
          <w:caps w:val="0"/>
          <w:color w:val="000000"/>
          <w:kern w:val="0"/>
          <w:sz w:val="21"/>
          <w:szCs w:val="21"/>
          <w:highlight w:val="none"/>
          <w:vertAlign w:val="baseline"/>
          <w:lang w:val="zh-CN" w:eastAsia="zh-CN" w:bidi="ar"/>
        </w:rPr>
        <w:t>招标代理机构将自中标通知书发出之日起5个工作日内退还未中标供应商的</w:t>
      </w:r>
      <w:r>
        <w:rPr>
          <w:rFonts w:hint="eastAsia" w:ascii="宋体" w:hAnsi="宋体" w:cs="宋体"/>
          <w:b w:val="0"/>
          <w:bCs w:val="0"/>
          <w:caps w:val="0"/>
          <w:color w:val="000000"/>
          <w:kern w:val="0"/>
          <w:sz w:val="21"/>
          <w:szCs w:val="21"/>
          <w:highlight w:val="none"/>
          <w:vertAlign w:val="baseline"/>
          <w:lang w:val="zh-CN" w:eastAsia="zh-CN" w:bidi="ar"/>
        </w:rPr>
        <w:t>磋商保证金</w:t>
      </w:r>
      <w:r>
        <w:rPr>
          <w:rFonts w:hint="eastAsia" w:ascii="宋体" w:hAnsi="宋体" w:eastAsia="宋体" w:cs="宋体"/>
          <w:b w:val="0"/>
          <w:bCs w:val="0"/>
          <w:caps w:val="0"/>
          <w:color w:val="000000"/>
          <w:kern w:val="0"/>
          <w:sz w:val="21"/>
          <w:szCs w:val="21"/>
          <w:highlight w:val="none"/>
          <w:vertAlign w:val="baseline"/>
          <w:lang w:val="zh-CN" w:eastAsia="zh-CN" w:bidi="ar"/>
        </w:rPr>
        <w:t>，自政府采购合同签订之日起5个工作日内退还中标供应商的</w:t>
      </w:r>
      <w:r>
        <w:rPr>
          <w:rFonts w:hint="eastAsia" w:ascii="宋体" w:hAnsi="宋体" w:cs="宋体"/>
          <w:b w:val="0"/>
          <w:bCs w:val="0"/>
          <w:caps w:val="0"/>
          <w:color w:val="000000"/>
          <w:kern w:val="0"/>
          <w:sz w:val="21"/>
          <w:szCs w:val="21"/>
          <w:highlight w:val="none"/>
          <w:vertAlign w:val="baseline"/>
          <w:lang w:val="zh-CN" w:eastAsia="zh-CN" w:bidi="ar"/>
        </w:rPr>
        <w:t>磋商保证金</w:t>
      </w:r>
      <w:r>
        <w:rPr>
          <w:rFonts w:hint="eastAsia" w:ascii="宋体" w:hAnsi="宋体" w:eastAsia="宋体" w:cs="宋体"/>
          <w:b w:val="0"/>
          <w:bCs w:val="0"/>
          <w:caps w:val="0"/>
          <w:color w:val="000000"/>
          <w:kern w:val="0"/>
          <w:sz w:val="21"/>
          <w:szCs w:val="21"/>
          <w:highlight w:val="none"/>
          <w:vertAlign w:val="baseline"/>
          <w:lang w:val="zh-CN" w:eastAsia="zh-CN" w:bidi="ar"/>
        </w:rPr>
        <w:t>。</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26.签定合同</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2</w:t>
      </w:r>
      <w:r>
        <w:rPr>
          <w:rFonts w:hint="eastAsia" w:ascii="宋体" w:hAnsi="宋体" w:eastAsia="宋体" w:cs="宋体"/>
          <w:b w:val="0"/>
          <w:bCs w:val="0"/>
          <w:caps w:val="0"/>
          <w:color w:val="000000"/>
          <w:kern w:val="0"/>
          <w:sz w:val="21"/>
          <w:szCs w:val="21"/>
          <w:highlight w:val="none"/>
          <w:vertAlign w:val="baseline"/>
          <w:lang w:val="en-US" w:eastAsia="zh-CN" w:bidi="ar"/>
        </w:rPr>
        <w:t>6</w:t>
      </w:r>
      <w:r>
        <w:rPr>
          <w:rFonts w:hint="eastAsia" w:ascii="宋体" w:hAnsi="宋体" w:eastAsia="宋体" w:cs="宋体"/>
          <w:b w:val="0"/>
          <w:bCs w:val="0"/>
          <w:caps w:val="0"/>
          <w:color w:val="000000"/>
          <w:kern w:val="0"/>
          <w:sz w:val="21"/>
          <w:szCs w:val="21"/>
          <w:highlight w:val="none"/>
          <w:vertAlign w:val="baseline"/>
          <w:lang w:val="zh-CN" w:eastAsia="zh-CN" w:bidi="ar"/>
        </w:rPr>
        <w:t>.1中标通知书发出后，采购单位改变中标结果的，或者中标人放弃中标项目的，应当依法承担法律责任。</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en-US" w:eastAsia="zh-CN" w:bidi="ar"/>
        </w:rPr>
        <w:t>26</w:t>
      </w:r>
      <w:r>
        <w:rPr>
          <w:rFonts w:hint="eastAsia" w:ascii="宋体" w:hAnsi="宋体" w:eastAsia="宋体" w:cs="宋体"/>
          <w:b w:val="0"/>
          <w:bCs w:val="0"/>
          <w:caps w:val="0"/>
          <w:color w:val="000000"/>
          <w:kern w:val="0"/>
          <w:sz w:val="21"/>
          <w:szCs w:val="21"/>
          <w:highlight w:val="none"/>
          <w:vertAlign w:val="baseline"/>
          <w:lang w:val="zh-CN" w:eastAsia="zh-CN" w:bidi="ar"/>
        </w:rPr>
        <w:t>.2中标人应按中标通知书规定的时间与采购单位签订合同。如果中标人不在规定的时间内签署合同，视为自动放弃中标资格，其提交的</w:t>
      </w:r>
      <w:r>
        <w:rPr>
          <w:rFonts w:hint="eastAsia" w:ascii="宋体" w:hAnsi="宋体" w:cs="宋体"/>
          <w:b w:val="0"/>
          <w:bCs w:val="0"/>
          <w:caps w:val="0"/>
          <w:color w:val="000000"/>
          <w:kern w:val="0"/>
          <w:sz w:val="21"/>
          <w:szCs w:val="21"/>
          <w:highlight w:val="none"/>
          <w:vertAlign w:val="baseline"/>
          <w:lang w:val="zh-CN" w:eastAsia="zh-CN" w:bidi="ar"/>
        </w:rPr>
        <w:t>磋商保证金</w:t>
      </w:r>
      <w:r>
        <w:rPr>
          <w:rFonts w:hint="eastAsia" w:ascii="宋体" w:hAnsi="宋体" w:eastAsia="宋体" w:cs="宋体"/>
          <w:b w:val="0"/>
          <w:bCs w:val="0"/>
          <w:caps w:val="0"/>
          <w:color w:val="000000"/>
          <w:kern w:val="0"/>
          <w:sz w:val="21"/>
          <w:szCs w:val="21"/>
          <w:highlight w:val="none"/>
          <w:vertAlign w:val="baseline"/>
          <w:lang w:val="zh-CN" w:eastAsia="zh-CN" w:bidi="ar"/>
        </w:rPr>
        <w:t>不予退还，列入不良行为记录名单，在一至三年内禁止参加政府采购活动并予以公告。</w:t>
      </w:r>
      <w:r>
        <w:rPr>
          <w:rFonts w:hint="eastAsia" w:ascii="宋体" w:hAnsi="宋体" w:cs="宋体"/>
          <w:b w:val="0"/>
          <w:bCs w:val="0"/>
          <w:caps w:val="0"/>
          <w:color w:val="000000"/>
          <w:kern w:val="0"/>
          <w:sz w:val="21"/>
          <w:szCs w:val="21"/>
          <w:highlight w:val="none"/>
          <w:vertAlign w:val="baseline"/>
          <w:lang w:val="zh-CN" w:eastAsia="zh-CN" w:bidi="ar"/>
        </w:rPr>
        <w:t>供应商</w:t>
      </w:r>
      <w:r>
        <w:rPr>
          <w:rFonts w:hint="eastAsia" w:ascii="宋体" w:hAnsi="宋体" w:eastAsia="宋体" w:cs="宋体"/>
          <w:b w:val="0"/>
          <w:bCs w:val="0"/>
          <w:caps w:val="0"/>
          <w:color w:val="000000"/>
          <w:kern w:val="0"/>
          <w:sz w:val="21"/>
          <w:szCs w:val="21"/>
          <w:highlight w:val="none"/>
          <w:vertAlign w:val="baseline"/>
          <w:lang w:val="zh-CN" w:eastAsia="zh-CN" w:bidi="ar"/>
        </w:rPr>
        <w:t>在被评标委员会评定为预中标人（中标人）之后、中标通知书发出之前放弃中标的，按本条规定处理。</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2</w:t>
      </w:r>
      <w:r>
        <w:rPr>
          <w:rFonts w:hint="eastAsia" w:ascii="宋体" w:hAnsi="宋体" w:eastAsia="宋体" w:cs="宋体"/>
          <w:b w:val="0"/>
          <w:bCs w:val="0"/>
          <w:caps w:val="0"/>
          <w:color w:val="000000"/>
          <w:kern w:val="0"/>
          <w:sz w:val="21"/>
          <w:szCs w:val="21"/>
          <w:highlight w:val="none"/>
          <w:vertAlign w:val="baseline"/>
          <w:lang w:val="en-US" w:eastAsia="zh-CN" w:bidi="ar"/>
        </w:rPr>
        <w:t>6</w:t>
      </w:r>
      <w:r>
        <w:rPr>
          <w:rFonts w:hint="eastAsia" w:ascii="宋体" w:hAnsi="宋体" w:eastAsia="宋体" w:cs="宋体"/>
          <w:b w:val="0"/>
          <w:bCs w:val="0"/>
          <w:caps w:val="0"/>
          <w:color w:val="000000"/>
          <w:kern w:val="0"/>
          <w:sz w:val="21"/>
          <w:szCs w:val="21"/>
          <w:highlight w:val="none"/>
          <w:vertAlign w:val="baseline"/>
          <w:lang w:val="zh-CN" w:eastAsia="zh-CN" w:bidi="ar"/>
        </w:rPr>
        <w:t>.3中标结果将在发布招标公告的同步网络媒介上公告，不再以书面方式通知未中标人。</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en-US" w:eastAsia="zh-CN"/>
        </w:rPr>
        <w:t>27.</w:t>
      </w:r>
      <w:r>
        <w:rPr>
          <w:rFonts w:hint="eastAsia" w:ascii="宋体" w:hAnsi="宋体" w:eastAsia="宋体" w:cs="宋体"/>
          <w:caps w:val="0"/>
          <w:color w:val="000000"/>
          <w:sz w:val="21"/>
          <w:szCs w:val="21"/>
          <w:highlight w:val="none"/>
          <w:vertAlign w:val="baseline"/>
          <w:lang w:val="zh-CN" w:eastAsia="zh-CN"/>
        </w:rPr>
        <w:t>履约保证金</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2"/>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en-US" w:eastAsia="zh-CN" w:bidi="ar"/>
        </w:rPr>
        <w:t>履约保证金为中标金额2%。中标人接到中标通知书与采购人签订协议前,向采购人缴纳履约保证金。协议履行完毕后依据采购方验收完成情况返还给成交供应商。若出现任何违约情况，履约保证金全部扣收，并终止协议，造成损失的需另行支付赔偿。</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w:t>
      </w:r>
      <w:r>
        <w:rPr>
          <w:rFonts w:hint="eastAsia" w:ascii="宋体" w:hAnsi="宋体" w:eastAsia="宋体" w:cs="宋体"/>
          <w:caps w:val="0"/>
          <w:color w:val="000000"/>
          <w:sz w:val="21"/>
          <w:szCs w:val="21"/>
          <w:highlight w:val="none"/>
          <w:vertAlign w:val="baseline"/>
          <w:lang w:val="en-US" w:eastAsia="zh-CN"/>
        </w:rPr>
        <w:t>8</w:t>
      </w:r>
      <w:r>
        <w:rPr>
          <w:rFonts w:hint="eastAsia" w:ascii="宋体" w:hAnsi="宋体" w:eastAsia="宋体" w:cs="宋体"/>
          <w:caps w:val="0"/>
          <w:color w:val="000000"/>
          <w:sz w:val="21"/>
          <w:szCs w:val="21"/>
          <w:highlight w:val="none"/>
          <w:vertAlign w:val="baseline"/>
          <w:lang w:val="zh-CN" w:eastAsia="zh-CN"/>
        </w:rPr>
        <w:t>.保密和披露</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2</w:t>
      </w:r>
      <w:r>
        <w:rPr>
          <w:rFonts w:hint="eastAsia" w:ascii="宋体" w:hAnsi="宋体" w:eastAsia="宋体" w:cs="宋体"/>
          <w:b w:val="0"/>
          <w:bCs w:val="0"/>
          <w:caps w:val="0"/>
          <w:color w:val="000000"/>
          <w:kern w:val="0"/>
          <w:sz w:val="21"/>
          <w:szCs w:val="21"/>
          <w:highlight w:val="none"/>
          <w:vertAlign w:val="baseline"/>
          <w:lang w:val="en-US" w:eastAsia="zh-CN" w:bidi="ar"/>
        </w:rPr>
        <w:t>8</w:t>
      </w:r>
      <w:r>
        <w:rPr>
          <w:rFonts w:hint="eastAsia" w:ascii="宋体" w:hAnsi="宋体" w:eastAsia="宋体" w:cs="宋体"/>
          <w:b w:val="0"/>
          <w:bCs w:val="0"/>
          <w:caps w:val="0"/>
          <w:color w:val="000000"/>
          <w:kern w:val="0"/>
          <w:sz w:val="21"/>
          <w:szCs w:val="21"/>
          <w:highlight w:val="none"/>
          <w:vertAlign w:val="baseline"/>
          <w:lang w:val="zh-CN" w:eastAsia="zh-CN" w:bidi="ar"/>
        </w:rPr>
        <w:t>.1招标代理机构有权将</w:t>
      </w:r>
      <w:r>
        <w:rPr>
          <w:rFonts w:hint="eastAsia" w:ascii="宋体" w:hAnsi="宋体" w:cs="宋体"/>
          <w:b w:val="0"/>
          <w:bCs w:val="0"/>
          <w:caps w:val="0"/>
          <w:color w:val="000000"/>
          <w:kern w:val="0"/>
          <w:sz w:val="21"/>
          <w:szCs w:val="21"/>
          <w:highlight w:val="none"/>
          <w:vertAlign w:val="baseline"/>
          <w:lang w:val="zh-CN" w:eastAsia="zh-CN" w:bidi="ar"/>
        </w:rPr>
        <w:t>供应商</w:t>
      </w:r>
      <w:r>
        <w:rPr>
          <w:rFonts w:hint="eastAsia" w:ascii="宋体" w:hAnsi="宋体" w:eastAsia="宋体" w:cs="宋体"/>
          <w:b w:val="0"/>
          <w:bCs w:val="0"/>
          <w:caps w:val="0"/>
          <w:color w:val="000000"/>
          <w:kern w:val="0"/>
          <w:sz w:val="21"/>
          <w:szCs w:val="21"/>
          <w:highlight w:val="none"/>
          <w:vertAlign w:val="baseline"/>
          <w:lang w:val="zh-CN" w:eastAsia="zh-CN" w:bidi="ar"/>
        </w:rPr>
        <w:t>提供的所有资料向其他政府部门或有关的非政府机构负责评审标书的人员或与评标有关的人员披露。</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en-US" w:eastAsia="zh-CN" w:bidi="ar"/>
        </w:rPr>
        <w:t>28</w:t>
      </w:r>
      <w:r>
        <w:rPr>
          <w:rFonts w:hint="eastAsia" w:ascii="宋体" w:hAnsi="宋体" w:eastAsia="宋体" w:cs="宋体"/>
          <w:b w:val="0"/>
          <w:bCs w:val="0"/>
          <w:caps w:val="0"/>
          <w:color w:val="000000"/>
          <w:kern w:val="0"/>
          <w:sz w:val="21"/>
          <w:szCs w:val="21"/>
          <w:highlight w:val="none"/>
          <w:vertAlign w:val="baseline"/>
          <w:lang w:val="zh-CN" w:eastAsia="zh-CN" w:bidi="ar"/>
        </w:rPr>
        <w:t>.2在下列情形下：当发布中标公告和其它公告时，当国家机关调查、审查、审计时，以及在其他符合法律规定的情形下，招标代理机构无须事先征求</w:t>
      </w:r>
      <w:r>
        <w:rPr>
          <w:rFonts w:hint="eastAsia" w:ascii="宋体" w:hAnsi="宋体" w:cs="宋体"/>
          <w:b w:val="0"/>
          <w:bCs w:val="0"/>
          <w:caps w:val="0"/>
          <w:color w:val="000000"/>
          <w:kern w:val="0"/>
          <w:sz w:val="21"/>
          <w:szCs w:val="21"/>
          <w:highlight w:val="none"/>
          <w:vertAlign w:val="baseline"/>
          <w:lang w:val="zh-CN" w:eastAsia="zh-CN" w:bidi="ar"/>
        </w:rPr>
        <w:t>供应商</w:t>
      </w:r>
      <w:r>
        <w:rPr>
          <w:rFonts w:hint="eastAsia" w:ascii="宋体" w:hAnsi="宋体" w:eastAsia="宋体" w:cs="宋体"/>
          <w:b w:val="0"/>
          <w:bCs w:val="0"/>
          <w:caps w:val="0"/>
          <w:color w:val="000000"/>
          <w:kern w:val="0"/>
          <w:sz w:val="21"/>
          <w:szCs w:val="21"/>
          <w:highlight w:val="none"/>
          <w:vertAlign w:val="baseline"/>
          <w:lang w:val="zh-CN" w:eastAsia="zh-CN" w:bidi="ar"/>
        </w:rPr>
        <w:t>/中标人同意而可以披露关于采购过程、</w:t>
      </w:r>
      <w:r>
        <w:rPr>
          <w:rFonts w:hint="eastAsia" w:ascii="宋体" w:hAnsi="宋体" w:cs="宋体"/>
          <w:b w:val="0"/>
          <w:bCs w:val="0"/>
          <w:caps w:val="0"/>
          <w:color w:val="000000"/>
          <w:kern w:val="0"/>
          <w:sz w:val="21"/>
          <w:szCs w:val="21"/>
          <w:highlight w:val="none"/>
          <w:vertAlign w:val="baseline"/>
          <w:lang w:val="zh-CN" w:eastAsia="zh-CN" w:bidi="ar"/>
        </w:rPr>
        <w:t>响应文件</w:t>
      </w:r>
      <w:r>
        <w:rPr>
          <w:rFonts w:hint="eastAsia" w:ascii="宋体" w:hAnsi="宋体" w:eastAsia="宋体" w:cs="宋体"/>
          <w:b w:val="0"/>
          <w:bCs w:val="0"/>
          <w:caps w:val="0"/>
          <w:color w:val="000000"/>
          <w:kern w:val="0"/>
          <w:sz w:val="21"/>
          <w:szCs w:val="21"/>
          <w:highlight w:val="none"/>
          <w:vertAlign w:val="baseline"/>
          <w:lang w:val="zh-CN" w:eastAsia="zh-CN" w:bidi="ar"/>
        </w:rPr>
        <w:t>、合同文本、合同签署情况的资料、</w:t>
      </w:r>
      <w:r>
        <w:rPr>
          <w:rFonts w:hint="eastAsia" w:ascii="宋体" w:hAnsi="宋体" w:cs="宋体"/>
          <w:b w:val="0"/>
          <w:bCs w:val="0"/>
          <w:caps w:val="0"/>
          <w:color w:val="000000"/>
          <w:kern w:val="0"/>
          <w:sz w:val="21"/>
          <w:szCs w:val="21"/>
          <w:highlight w:val="none"/>
          <w:vertAlign w:val="baseline"/>
          <w:lang w:val="zh-CN" w:eastAsia="zh-CN" w:bidi="ar"/>
        </w:rPr>
        <w:t>供应商</w:t>
      </w:r>
      <w:r>
        <w:rPr>
          <w:rFonts w:hint="eastAsia" w:ascii="宋体" w:hAnsi="宋体" w:eastAsia="宋体" w:cs="宋体"/>
          <w:b w:val="0"/>
          <w:bCs w:val="0"/>
          <w:caps w:val="0"/>
          <w:color w:val="000000"/>
          <w:kern w:val="0"/>
          <w:sz w:val="21"/>
          <w:szCs w:val="21"/>
          <w:highlight w:val="none"/>
          <w:vertAlign w:val="baseline"/>
          <w:lang w:val="zh-CN" w:eastAsia="zh-CN" w:bidi="ar"/>
        </w:rPr>
        <w:t>/中标人的名称及地址、采购内容的有关信息以及补充条款等，并且对任何已经公布过的内容或与之内容相同的资料无须再承担保密责任。</w:t>
      </w:r>
    </w:p>
    <w:p>
      <w:pPr>
        <w:pStyle w:val="6"/>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29、质疑和投诉</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29.1供应商认为采购文件、招标过程和中标结果使自己的合法权益受到损害的，应当在知道或者应知其权益受到损害之日起七个工作日内，向招标方提出质疑。供应商对招标代理机构的质疑答复不满意或者招标代理机构未在规定时间内作出答复的，可以在答复期满后十五个工作日内向同级采购监管部门投诉。</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default" w:ascii="Times New Roman" w:hAnsi="Times New Roman" w:eastAsia="宋体" w:cs="Times New Roman"/>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29.2质疑书、投诉书均应明确阐述采购文件、招标过程和中标结果中使自己合法权益受到损害的实质性内容，提供相关事实、依据和证据及其来源或线索，便于有关单位调查、答复和处理</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64" w:right="0" w:hanging="464" w:hangingChars="221"/>
        <w:jc w:val="left"/>
        <w:outlineLvl w:val="9"/>
        <w:rPr>
          <w:rFonts w:hint="eastAsia" w:ascii="宋体" w:hAnsi="宋体" w:eastAsia="宋体" w:cs="宋体"/>
          <w:caps w:val="0"/>
          <w:color w:val="000000"/>
          <w:sz w:val="21"/>
          <w:szCs w:val="21"/>
          <w:highlight w:val="none"/>
          <w:vertAlign w:val="baseline"/>
        </w:rPr>
      </w:pP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br w:type="page"/>
      </w:r>
    </w:p>
    <w:p>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default" w:ascii="Times New Roman" w:hAnsi="Times New Roman" w:eastAsia="宋体" w:cs="Times New Roman"/>
          <w:b/>
          <w:bCs/>
          <w:caps w:val="0"/>
          <w:color w:val="000000"/>
          <w:sz w:val="44"/>
          <w:szCs w:val="44"/>
          <w:highlight w:val="none"/>
          <w:vertAlign w:val="baseline"/>
        </w:rPr>
      </w:pPr>
      <w:bookmarkStart w:id="86" w:name="_Toc54891394"/>
      <w:bookmarkStart w:id="87" w:name="_Toc48760973"/>
      <w:r>
        <w:rPr>
          <w:rFonts w:hint="eastAsia" w:ascii="Times New Roman" w:hAnsi="宋体" w:eastAsia="宋体" w:cs="宋体"/>
          <w:b/>
          <w:bCs/>
          <w:caps w:val="0"/>
          <w:color w:val="000000"/>
          <w:sz w:val="44"/>
          <w:szCs w:val="44"/>
          <w:highlight w:val="none"/>
          <w:vertAlign w:val="baseline"/>
        </w:rPr>
        <w:t>第三部分</w:t>
      </w:r>
      <w:r>
        <w:rPr>
          <w:rFonts w:hint="default" w:ascii="Times New Roman" w:hAnsi="Times New Roman" w:eastAsia="宋体" w:cs="Times New Roman"/>
          <w:b/>
          <w:bCs/>
          <w:caps w:val="0"/>
          <w:color w:val="000000"/>
          <w:sz w:val="44"/>
          <w:szCs w:val="44"/>
          <w:highlight w:val="none"/>
          <w:vertAlign w:val="baseline"/>
        </w:rPr>
        <w:t xml:space="preserve">  </w:t>
      </w:r>
      <w:r>
        <w:rPr>
          <w:rFonts w:hint="eastAsia" w:ascii="Times New Roman" w:hAnsi="宋体" w:eastAsia="宋体" w:cs="宋体"/>
          <w:b/>
          <w:bCs/>
          <w:caps w:val="0"/>
          <w:color w:val="000000"/>
          <w:sz w:val="44"/>
          <w:szCs w:val="44"/>
          <w:highlight w:val="none"/>
          <w:vertAlign w:val="baseline"/>
        </w:rPr>
        <w:t>评标办法</w:t>
      </w:r>
      <w:bookmarkEnd w:id="86"/>
      <w:bookmarkEnd w:id="87"/>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Times New Roman" w:hAnsi="Times New Roman" w:eastAsia="宋体" w:cs="Times New Roman"/>
          <w:caps w:val="0"/>
          <w:color w:val="000000"/>
          <w:sz w:val="21"/>
          <w:szCs w:val="21"/>
          <w:highlight w:val="none"/>
          <w:vertAlign w:val="baseline"/>
        </w:rPr>
      </w:pPr>
      <w:r>
        <w:rPr>
          <w:rFonts w:hint="eastAsia" w:ascii="Times New Roman" w:hAnsi="宋体" w:eastAsia="宋体" w:cs="宋体"/>
          <w:b w:val="0"/>
          <w:bCs w:val="0"/>
          <w:caps w:val="0"/>
          <w:color w:val="000000"/>
          <w:kern w:val="0"/>
          <w:sz w:val="21"/>
          <w:szCs w:val="21"/>
          <w:highlight w:val="none"/>
          <w:vertAlign w:val="baseline"/>
          <w:lang w:val="en-US" w:eastAsia="zh-CN" w:bidi="ar"/>
        </w:rPr>
        <w:t>（本项目采用</w:t>
      </w:r>
      <w:bookmarkStart w:id="88" w:name="blank29_copy_1619578115000"/>
      <w:r>
        <w:rPr>
          <w:rFonts w:hint="eastAsia" w:ascii="Times New Roman"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综合评分法</w:t>
      </w:r>
      <w:bookmarkEnd w:id="88"/>
      <w:r>
        <w:rPr>
          <w:rFonts w:hint="eastAsia" w:ascii="Times New Roman" w:hAnsi="宋体" w:eastAsia="宋体" w:cs="宋体"/>
          <w:b w:val="0"/>
          <w:bCs w:val="0"/>
          <w:caps w:val="0"/>
          <w:color w:val="000000"/>
          <w:kern w:val="0"/>
          <w:sz w:val="21"/>
          <w:szCs w:val="21"/>
          <w:highlight w:val="none"/>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Times New Roman" w:hAnsi="Times New Roman" w:eastAsia="宋体" w:cs="Times New Roman"/>
          <w:caps w:val="0"/>
          <w:color w:val="000000"/>
          <w:sz w:val="21"/>
          <w:szCs w:val="21"/>
          <w:highlight w:val="none"/>
          <w:vertAlign w:val="baseline"/>
        </w:rPr>
      </w:pPr>
      <w:r>
        <w:rPr>
          <w:rFonts w:hint="eastAsia" w:ascii="Times New Roman" w:hAnsi="宋体" w:eastAsia="宋体" w:cs="宋体"/>
          <w:b w:val="0"/>
          <w:bCs w:val="0"/>
          <w:caps w:val="0"/>
          <w:color w:val="000000"/>
          <w:kern w:val="0"/>
          <w:sz w:val="21"/>
          <w:szCs w:val="21"/>
          <w:highlight w:val="none"/>
          <w:vertAlign w:val="baseline"/>
          <w:lang w:val="en-US" w:eastAsia="zh-CN" w:bidi="ar"/>
        </w:rPr>
        <w:t>评标办法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按照国家相关部门的规定，遵循公开、公平、公正和诚实信用的原则，结合本招标项目的实际情况，制定本招标项目评标办法。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0"/>
        <w:jc w:val="center"/>
        <w:outlineLvl w:val="1"/>
        <w:rPr>
          <w:rFonts w:hint="eastAsia" w:ascii="宋体" w:hAnsi="宋体" w:eastAsia="宋体" w:cs="宋体"/>
          <w:b/>
          <w:bCs/>
          <w:caps w:val="0"/>
          <w:color w:val="000000"/>
          <w:sz w:val="28"/>
          <w:szCs w:val="28"/>
          <w:highlight w:val="none"/>
          <w:vertAlign w:val="baseline"/>
        </w:rPr>
      </w:pPr>
      <w:r>
        <w:rPr>
          <w:rFonts w:hint="eastAsia" w:ascii="宋体" w:hAnsi="宋体" w:eastAsia="宋体" w:cs="宋体"/>
          <w:b/>
          <w:bCs/>
          <w:caps w:val="0"/>
          <w:color w:val="000000"/>
          <w:kern w:val="0"/>
          <w:sz w:val="28"/>
          <w:szCs w:val="28"/>
          <w:highlight w:val="none"/>
          <w:vertAlign w:val="baseline"/>
          <w:lang w:val="en-US" w:eastAsia="zh-CN" w:bidi="ar"/>
        </w:rPr>
        <w:t>一、评 标 程 序</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（一）组成评标委员会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按照国家有关部委及省、市的相关规定，由从“政采云”平台评标专家库中随机抽取</w:t>
      </w:r>
      <w:bookmarkStart w:id="89" w:name="blank31"/>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经济、技术</w:t>
      </w:r>
      <w:bookmarkEnd w:id="89"/>
      <w:r>
        <w:rPr>
          <w:rFonts w:hint="eastAsia" w:ascii="宋体" w:hAnsi="宋体" w:eastAsia="宋体" w:cs="宋体"/>
          <w:b w:val="0"/>
          <w:bCs w:val="0"/>
          <w:caps w:val="0"/>
          <w:color w:val="000000"/>
          <w:kern w:val="0"/>
          <w:sz w:val="21"/>
          <w:szCs w:val="21"/>
          <w:highlight w:val="none"/>
          <w:vertAlign w:val="baseline"/>
          <w:lang w:val="en-US" w:eastAsia="zh-CN" w:bidi="ar"/>
        </w:rPr>
        <w:t>等方面的专家共</w:t>
      </w:r>
      <w:bookmarkStart w:id="90" w:name="blank30_copy_1619578145000"/>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5</w:t>
      </w:r>
      <w:bookmarkEnd w:id="90"/>
      <w:r>
        <w:rPr>
          <w:rFonts w:hint="eastAsia" w:ascii="宋体" w:hAnsi="宋体" w:eastAsia="宋体" w:cs="宋体"/>
          <w:b w:val="0"/>
          <w:bCs w:val="0"/>
          <w:caps w:val="0"/>
          <w:color w:val="000000"/>
          <w:kern w:val="0"/>
          <w:sz w:val="21"/>
          <w:szCs w:val="21"/>
          <w:highlight w:val="none"/>
          <w:vertAlign w:val="baseline"/>
          <w:lang w:val="en-US" w:eastAsia="zh-CN" w:bidi="ar"/>
        </w:rPr>
        <w:t>人组成评标委员会。为保证评标工作的顺利进行，推荐一名评委担任评委会主任，负责评标全面工作。</w:t>
      </w:r>
    </w:p>
    <w:p>
      <w:pPr>
        <w:pStyle w:val="18"/>
        <w:keepNext w:val="0"/>
        <w:keepLines w:val="0"/>
        <w:pageBreakBefore w:val="0"/>
        <w:widowControl w:val="0"/>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both"/>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2"/>
          <w:sz w:val="21"/>
          <w:szCs w:val="21"/>
          <w:highlight w:val="none"/>
          <w:vertAlign w:val="baseline"/>
          <w:lang w:val="en-US" w:eastAsia="zh-CN" w:bidi="ar"/>
        </w:rPr>
        <w:t>（二）评标工作</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评标本着客观公正、公平竞争、择优推荐、规范合法的原则进行。评标工作分为资格审查、初步评审和详细评审三个步骤。</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1.资格审查。采购人或代理机构对各供应商的资格进行审查。资格审查合格的供应商方可进入符合性审查。</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2.符合性审查。评委会对供应商的响应文件进行符合性鉴定。符合性审查合格的供应商方可进入详细评审。</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3.详细评审。详细评审采用</w:t>
      </w:r>
      <w:bookmarkStart w:id="91" w:name="blank29_copy_1619578169000"/>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综合评分法</w:t>
      </w:r>
      <w:bookmarkEnd w:id="91"/>
      <w:r>
        <w:rPr>
          <w:rFonts w:hint="eastAsia" w:ascii="宋体" w:hAnsi="宋体" w:eastAsia="宋体" w:cs="宋体"/>
          <w:b w:val="0"/>
          <w:bCs w:val="0"/>
          <w:caps w:val="0"/>
          <w:color w:val="000000"/>
          <w:kern w:val="0"/>
          <w:sz w:val="21"/>
          <w:szCs w:val="21"/>
          <w:highlight w:val="none"/>
          <w:vertAlign w:val="baseline"/>
          <w:lang w:val="en-US" w:eastAsia="zh-CN" w:bidi="ar"/>
        </w:rPr>
        <w:t>。评委依据评标办法分别对各供应商的响应文件进行评审、赋分。</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（三）询标（必要时）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评标委员会对响应文件需要澄清的问题，采用集体询标方式进行。</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（四）确定中标人</w:t>
      </w: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按最终综合得分由高到低的顺序推荐中标候选人3家。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（五）评标报告</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评标工作结束时，评委会将本项目综合评审结果向采购人提交书面“评标报告”，各评委对评标报告内容讨论通过后，在“评标报告”上签字，对评标结果予以确认。</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center"/>
        <w:outlineLvl w:val="1"/>
        <w:rPr>
          <w:rFonts w:hint="eastAsia" w:ascii="宋体" w:hAnsi="宋体" w:eastAsia="宋体" w:cs="宋体"/>
          <w:b/>
          <w:bCs/>
          <w:caps w:val="0"/>
          <w:color w:val="000000"/>
          <w:sz w:val="28"/>
          <w:szCs w:val="28"/>
          <w:highlight w:val="none"/>
          <w:vertAlign w:val="baseline"/>
        </w:rPr>
      </w:pPr>
      <w:r>
        <w:rPr>
          <w:rFonts w:hint="eastAsia" w:ascii="宋体" w:hAnsi="宋体" w:eastAsia="宋体" w:cs="宋体"/>
          <w:b/>
          <w:bCs/>
          <w:caps w:val="0"/>
          <w:color w:val="000000"/>
          <w:kern w:val="0"/>
          <w:sz w:val="28"/>
          <w:szCs w:val="28"/>
          <w:highlight w:val="none"/>
          <w:vertAlign w:val="baseline"/>
          <w:lang w:val="en-US" w:eastAsia="zh-CN" w:bidi="ar"/>
        </w:rPr>
        <w:t>二、评 标 办 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（一）资格审查</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资格审查表</w:t>
      </w:r>
    </w:p>
    <w:tbl>
      <w:tblPr>
        <w:tblStyle w:val="22"/>
        <w:tblW w:w="0" w:type="auto"/>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722"/>
        <w:gridCol w:w="5377"/>
        <w:gridCol w:w="2728"/>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pacing w:val="-6"/>
                <w:sz w:val="24"/>
                <w:szCs w:val="24"/>
                <w:highlight w:val="none"/>
                <w:vertAlign w:val="baseline"/>
                <w:lang w:bidi="ar"/>
              </w:rPr>
            </w:pPr>
            <w:r>
              <w:rPr>
                <w:rFonts w:hint="eastAsia" w:ascii="宋体" w:hAnsi="宋体" w:eastAsia="宋体" w:cs="宋体"/>
                <w:b/>
                <w:bCs/>
                <w:caps w:val="0"/>
                <w:color w:val="auto"/>
                <w:kern w:val="0"/>
                <w:sz w:val="24"/>
                <w:szCs w:val="24"/>
                <w:highlight w:val="none"/>
                <w:vertAlign w:val="baseline"/>
                <w:lang w:val="en-US" w:eastAsia="zh-CN" w:bidi="ar"/>
              </w:rPr>
              <w:t>序号</w:t>
            </w:r>
          </w:p>
        </w:tc>
        <w:tc>
          <w:tcPr>
            <w:tcW w:w="53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pacing w:val="-6"/>
                <w:sz w:val="24"/>
                <w:szCs w:val="24"/>
                <w:highlight w:val="none"/>
                <w:vertAlign w:val="baseline"/>
                <w:lang w:bidi="ar"/>
              </w:rPr>
            </w:pPr>
            <w:r>
              <w:rPr>
                <w:rFonts w:hint="eastAsia" w:ascii="宋体" w:hAnsi="宋体" w:eastAsia="宋体" w:cs="宋体"/>
                <w:b/>
                <w:bCs/>
                <w:caps w:val="0"/>
                <w:color w:val="auto"/>
                <w:kern w:val="0"/>
                <w:sz w:val="24"/>
                <w:szCs w:val="24"/>
                <w:highlight w:val="none"/>
                <w:vertAlign w:val="baseline"/>
                <w:lang w:val="en-US" w:eastAsia="zh-CN" w:bidi="ar"/>
              </w:rPr>
              <w:t>资格审查内容</w:t>
            </w:r>
          </w:p>
        </w:tc>
        <w:tc>
          <w:tcPr>
            <w:tcW w:w="2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spacing w:val="-6"/>
                <w:sz w:val="24"/>
                <w:szCs w:val="24"/>
                <w:highlight w:val="none"/>
                <w:vertAlign w:val="baseline"/>
                <w:lang w:bidi="ar"/>
              </w:rPr>
            </w:pPr>
            <w:r>
              <w:rPr>
                <w:rFonts w:hint="eastAsia" w:ascii="宋体" w:hAnsi="宋体" w:eastAsia="宋体" w:cs="宋体"/>
                <w:b/>
                <w:bCs/>
                <w:caps w:val="0"/>
                <w:color w:val="auto"/>
                <w:spacing w:val="-6"/>
                <w:kern w:val="0"/>
                <w:sz w:val="24"/>
                <w:szCs w:val="24"/>
                <w:highlight w:val="none"/>
                <w:vertAlign w:val="baseline"/>
                <w:lang w:val="en-US" w:eastAsia="zh-CN" w:bidi="ar"/>
              </w:rPr>
              <w:t>要求</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pacing w:val="-6"/>
                <w:sz w:val="24"/>
                <w:szCs w:val="24"/>
                <w:highlight w:val="none"/>
                <w:vertAlign w:val="baseline"/>
                <w:lang w:bidi="ar"/>
              </w:rPr>
            </w:pPr>
            <w:r>
              <w:rPr>
                <w:rFonts w:hint="eastAsia" w:ascii="宋体" w:hAnsi="宋体" w:eastAsia="宋体" w:cs="宋体"/>
                <w:b w:val="0"/>
                <w:bCs w:val="0"/>
                <w:caps w:val="0"/>
                <w:color w:val="auto"/>
                <w:spacing w:val="-6"/>
                <w:kern w:val="0"/>
                <w:sz w:val="24"/>
                <w:szCs w:val="24"/>
                <w:highlight w:val="none"/>
                <w:vertAlign w:val="baseline"/>
                <w:lang w:val="en-US" w:eastAsia="zh-CN" w:bidi="ar"/>
              </w:rPr>
              <w:t>1</w:t>
            </w:r>
          </w:p>
        </w:tc>
        <w:tc>
          <w:tcPr>
            <w:tcW w:w="53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法定代表人参加投标的，须提供法定代表人身份证明；授权委托人参加投标的，须提供法定代表人授权委托书</w:t>
            </w:r>
          </w:p>
        </w:tc>
        <w:tc>
          <w:tcPr>
            <w:tcW w:w="2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pacing w:val="-6"/>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标书内附证明及委托书</w:t>
            </w:r>
            <w:r>
              <w:rPr>
                <w:rFonts w:hint="eastAsia" w:ascii="宋体" w:hAnsi="宋体" w:eastAsia="宋体" w:cs="宋体"/>
                <w:b w:val="0"/>
                <w:bCs w:val="0"/>
                <w:caps w:val="0"/>
                <w:color w:val="auto"/>
                <w:spacing w:val="-6"/>
                <w:kern w:val="0"/>
                <w:sz w:val="24"/>
                <w:szCs w:val="24"/>
                <w:highlight w:val="none"/>
                <w:vertAlign w:val="baseline"/>
                <w:lang w:val="en-US" w:eastAsia="zh-CN" w:bidi="ar"/>
              </w:rPr>
              <w:t>加盖单位公章</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3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6" w:right="0" w:hanging="13" w:hangingChars="6"/>
              <w:jc w:val="center"/>
              <w:outlineLvl w:val="9"/>
              <w:rPr>
                <w:rFonts w:hint="eastAsia" w:ascii="宋体" w:hAnsi="宋体" w:eastAsia="宋体" w:cs="宋体"/>
                <w:caps w:val="0"/>
                <w:color w:val="auto"/>
                <w:spacing w:val="-6"/>
                <w:sz w:val="24"/>
                <w:szCs w:val="24"/>
                <w:highlight w:val="none"/>
                <w:vertAlign w:val="baseline"/>
                <w:lang w:bidi="ar"/>
              </w:rPr>
            </w:pPr>
            <w:r>
              <w:rPr>
                <w:rFonts w:hint="eastAsia" w:ascii="宋体" w:hAnsi="宋体" w:eastAsia="宋体" w:cs="宋体"/>
                <w:b w:val="0"/>
                <w:bCs w:val="0"/>
                <w:caps w:val="0"/>
                <w:color w:val="auto"/>
                <w:spacing w:val="-6"/>
                <w:kern w:val="0"/>
                <w:sz w:val="24"/>
                <w:szCs w:val="24"/>
                <w:highlight w:val="none"/>
                <w:vertAlign w:val="baseline"/>
                <w:lang w:val="en-US" w:eastAsia="zh-CN" w:bidi="ar"/>
              </w:rPr>
              <w:t>2</w:t>
            </w:r>
          </w:p>
        </w:tc>
        <w:tc>
          <w:tcPr>
            <w:tcW w:w="53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pacing w:val="-6"/>
                <w:sz w:val="24"/>
                <w:szCs w:val="24"/>
                <w:highlight w:val="none"/>
                <w:vertAlign w:val="baseline"/>
                <w:lang w:bidi="ar"/>
              </w:rPr>
            </w:pPr>
            <w:r>
              <w:rPr>
                <w:rFonts w:hint="eastAsia" w:ascii="宋体" w:hAnsi="宋体" w:eastAsia="宋体" w:cs="宋体"/>
                <w:b w:val="0"/>
                <w:bCs w:val="0"/>
                <w:caps w:val="0"/>
                <w:color w:val="auto"/>
                <w:spacing w:val="-6"/>
                <w:kern w:val="0"/>
                <w:sz w:val="24"/>
                <w:szCs w:val="24"/>
                <w:highlight w:val="none"/>
                <w:vertAlign w:val="baseline"/>
                <w:lang w:val="en-US" w:eastAsia="zh-CN" w:bidi="ar"/>
              </w:rPr>
              <w:t>营业执照副本</w:t>
            </w:r>
          </w:p>
        </w:tc>
        <w:tc>
          <w:tcPr>
            <w:tcW w:w="2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pacing w:val="-6"/>
                <w:sz w:val="24"/>
                <w:szCs w:val="24"/>
                <w:highlight w:val="none"/>
                <w:vertAlign w:val="baseline"/>
                <w:lang w:bidi="ar"/>
              </w:rPr>
            </w:pPr>
            <w:r>
              <w:rPr>
                <w:rFonts w:hint="eastAsia" w:ascii="宋体" w:hAnsi="宋体" w:eastAsia="宋体" w:cs="宋体"/>
                <w:b w:val="0"/>
                <w:bCs w:val="0"/>
                <w:caps w:val="0"/>
                <w:color w:val="auto"/>
                <w:spacing w:val="-6"/>
                <w:kern w:val="0"/>
                <w:sz w:val="24"/>
                <w:szCs w:val="24"/>
                <w:highlight w:val="none"/>
                <w:vertAlign w:val="baseline"/>
                <w:lang w:val="en-US" w:eastAsia="zh-CN" w:bidi="ar"/>
              </w:rPr>
              <w:t>标书内附复印件加盖单位公章</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3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宋体" w:hAnsi="宋体" w:eastAsia="宋体" w:cs="宋体"/>
                <w:caps w:val="0"/>
                <w:color w:val="auto"/>
                <w:spacing w:val="-6"/>
                <w:sz w:val="24"/>
                <w:szCs w:val="24"/>
                <w:highlight w:val="none"/>
                <w:vertAlign w:val="baseline"/>
                <w:lang w:val="en-US" w:eastAsia="zh-CN" w:bidi="ar"/>
              </w:rPr>
            </w:pPr>
            <w:r>
              <w:rPr>
                <w:rFonts w:hint="eastAsia" w:ascii="宋体" w:hAnsi="宋体" w:eastAsia="宋体" w:cs="宋体"/>
                <w:caps w:val="0"/>
                <w:color w:val="auto"/>
                <w:spacing w:val="-6"/>
                <w:sz w:val="24"/>
                <w:szCs w:val="24"/>
                <w:highlight w:val="none"/>
                <w:vertAlign w:val="baseline"/>
                <w:lang w:val="en-US" w:eastAsia="zh-CN" w:bidi="ar"/>
              </w:rPr>
              <w:t>3</w:t>
            </w:r>
          </w:p>
        </w:tc>
        <w:tc>
          <w:tcPr>
            <w:tcW w:w="537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18"/>
              <w:keepNext w:val="0"/>
              <w:keepLines w:val="0"/>
              <w:pageBreakBefore w:val="0"/>
              <w:widowControl w:val="0"/>
              <w:numPr>
                <w:ilvl w:val="0"/>
                <w:numId w:val="0"/>
              </w:numPr>
              <w:suppressLineNumbers w:val="0"/>
              <w:tabs>
                <w:tab w:val="left" w:pos="540"/>
              </w:tabs>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both"/>
              <w:outlineLvl w:val="9"/>
              <w:rPr>
                <w:rFonts w:hint="eastAsia" w:ascii="宋体" w:hAnsi="宋体" w:eastAsia="宋体" w:cs="宋体"/>
                <w:b w:val="0"/>
                <w:bCs w:val="0"/>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企业具有依法缴纳税收和社会保障资金的良好记录，提供近</w:t>
            </w:r>
            <w:r>
              <w:rPr>
                <w:rFonts w:hint="eastAsia" w:ascii="宋体" w:hAnsi="宋体" w:cs="宋体"/>
                <w:b w:val="0"/>
                <w:bCs w:val="0"/>
                <w:caps w:val="0"/>
                <w:color w:val="auto"/>
                <w:kern w:val="0"/>
                <w:sz w:val="24"/>
                <w:szCs w:val="24"/>
                <w:highlight w:val="none"/>
                <w:vertAlign w:val="baseline"/>
                <w:lang w:val="en-US" w:eastAsia="zh-CN" w:bidi="ar"/>
              </w:rPr>
              <w:t>半</w:t>
            </w:r>
            <w:r>
              <w:rPr>
                <w:rFonts w:hint="eastAsia" w:ascii="宋体" w:hAnsi="宋体" w:eastAsia="宋体" w:cs="宋体"/>
                <w:b w:val="0"/>
                <w:bCs w:val="0"/>
                <w:caps w:val="0"/>
                <w:color w:val="auto"/>
                <w:kern w:val="0"/>
                <w:sz w:val="24"/>
                <w:szCs w:val="24"/>
                <w:highlight w:val="none"/>
                <w:vertAlign w:val="baseline"/>
                <w:lang w:val="en-US" w:eastAsia="zh-CN" w:bidi="ar"/>
              </w:rPr>
              <w:t>年内任意一个月企业依法缴纳税收及社保的相关材料（依法免税或无欠税、依法不需要缴纳社会保险的，应提供相应文件证明其依法免税或无欠税、依法不需要缴纳社会保险）</w:t>
            </w:r>
          </w:p>
        </w:tc>
        <w:tc>
          <w:tcPr>
            <w:tcW w:w="2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标书内附复印件加盖单位公章</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3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6" w:right="0" w:hanging="13" w:hangingChars="6"/>
              <w:jc w:val="center"/>
              <w:outlineLvl w:val="9"/>
              <w:rPr>
                <w:rFonts w:hint="default" w:ascii="宋体" w:hAnsi="宋体" w:eastAsia="宋体" w:cs="宋体"/>
                <w:caps w:val="0"/>
                <w:color w:val="auto"/>
                <w:spacing w:val="-6"/>
                <w:sz w:val="24"/>
                <w:szCs w:val="24"/>
                <w:highlight w:val="none"/>
                <w:vertAlign w:val="baseline"/>
                <w:lang w:val="en-US" w:eastAsia="zh-CN" w:bidi="ar"/>
              </w:rPr>
            </w:pPr>
            <w:r>
              <w:rPr>
                <w:rFonts w:hint="eastAsia" w:ascii="宋体" w:hAnsi="宋体" w:eastAsia="宋体" w:cs="宋体"/>
                <w:caps w:val="0"/>
                <w:color w:val="auto"/>
                <w:spacing w:val="-6"/>
                <w:sz w:val="24"/>
                <w:szCs w:val="24"/>
                <w:highlight w:val="none"/>
                <w:vertAlign w:val="baseline"/>
                <w:lang w:val="en-US" w:eastAsia="zh-CN" w:bidi="ar"/>
              </w:rPr>
              <w:t>4</w:t>
            </w:r>
          </w:p>
        </w:tc>
        <w:tc>
          <w:tcPr>
            <w:tcW w:w="53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auto"/>
                <w:spacing w:val="0"/>
                <w:sz w:val="24"/>
                <w:szCs w:val="24"/>
                <w:highlight w:val="none"/>
                <w:vertAlign w:val="baseline"/>
                <w:lang w:val="en-US" w:eastAsia="zh-CN" w:bidi="ar"/>
              </w:rPr>
            </w:pPr>
            <w:r>
              <w:rPr>
                <w:rFonts w:hint="eastAsia" w:ascii="宋体" w:hAnsi="宋体" w:eastAsia="宋体" w:cs="宋体"/>
                <w:b w:val="0"/>
                <w:bCs w:val="0"/>
                <w:caps w:val="0"/>
                <w:color w:val="auto"/>
                <w:spacing w:val="-6"/>
                <w:kern w:val="0"/>
                <w:sz w:val="24"/>
                <w:szCs w:val="24"/>
                <w:highlight w:val="none"/>
                <w:vertAlign w:val="baseline"/>
                <w:lang w:val="en-US" w:eastAsia="zh-CN" w:bidi="ar"/>
              </w:rPr>
              <w:t>近三年（2020年至2022年）财务状况良好；须提供经会计师事务所审计的财务审计报告（当投标单位成立日期在2020年至2022年之间的，提供2020至2022年之间的经会计师事务所审计的财务审计报告，2023年或以后新成立的公司无财务审计报告的，需提供自成立之日起至今的财务报表及财务状况良好承诺书）</w:t>
            </w:r>
          </w:p>
        </w:tc>
        <w:tc>
          <w:tcPr>
            <w:tcW w:w="2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标书内附复印件加盖单位公章</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3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6" w:right="0" w:hanging="13" w:hangingChars="6"/>
              <w:jc w:val="center"/>
              <w:outlineLvl w:val="9"/>
              <w:rPr>
                <w:rFonts w:hint="default" w:ascii="宋体" w:hAnsi="宋体" w:eastAsia="宋体" w:cs="宋体"/>
                <w:caps w:val="0"/>
                <w:color w:val="auto"/>
                <w:spacing w:val="-6"/>
                <w:sz w:val="24"/>
                <w:szCs w:val="24"/>
                <w:highlight w:val="none"/>
                <w:vertAlign w:val="baseline"/>
                <w:lang w:val="en-US" w:eastAsia="zh-CN" w:bidi="ar"/>
              </w:rPr>
            </w:pPr>
            <w:r>
              <w:rPr>
                <w:rFonts w:hint="eastAsia" w:ascii="宋体" w:hAnsi="宋体" w:eastAsia="宋体" w:cs="宋体"/>
                <w:caps w:val="0"/>
                <w:color w:val="auto"/>
                <w:spacing w:val="-6"/>
                <w:sz w:val="24"/>
                <w:szCs w:val="24"/>
                <w:highlight w:val="none"/>
                <w:vertAlign w:val="baseline"/>
                <w:lang w:val="en-US" w:eastAsia="zh-CN" w:bidi="ar"/>
              </w:rPr>
              <w:t>5</w:t>
            </w:r>
          </w:p>
        </w:tc>
        <w:tc>
          <w:tcPr>
            <w:tcW w:w="53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pacing w:val="-6"/>
                <w:sz w:val="24"/>
                <w:szCs w:val="24"/>
                <w:highlight w:val="none"/>
                <w:vertAlign w:val="baseline"/>
                <w:lang w:bidi="ar"/>
              </w:rPr>
            </w:pPr>
            <w:r>
              <w:rPr>
                <w:rFonts w:hint="eastAsia" w:ascii="宋体" w:hAnsi="宋体" w:eastAsia="宋体" w:cs="宋体"/>
                <w:b w:val="0"/>
                <w:bCs w:val="0"/>
                <w:caps w:val="0"/>
                <w:color w:val="auto"/>
                <w:spacing w:val="-6"/>
                <w:kern w:val="0"/>
                <w:sz w:val="24"/>
                <w:szCs w:val="24"/>
                <w:highlight w:val="none"/>
                <w:vertAlign w:val="baseline"/>
                <w:lang w:val="en-US" w:eastAsia="zh-CN" w:bidi="ar"/>
              </w:rPr>
              <w:t>近三年在经营活动中没有重大违法记录的书面声明</w:t>
            </w:r>
          </w:p>
        </w:tc>
        <w:tc>
          <w:tcPr>
            <w:tcW w:w="2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标书内附声明</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6" w:right="0" w:hanging="13" w:hangingChars="6"/>
              <w:jc w:val="center"/>
              <w:outlineLvl w:val="9"/>
              <w:rPr>
                <w:rFonts w:hint="default" w:ascii="宋体" w:hAnsi="宋体" w:eastAsia="宋体" w:cs="宋体"/>
                <w:caps w:val="0"/>
                <w:color w:val="auto"/>
                <w:spacing w:val="-6"/>
                <w:sz w:val="24"/>
                <w:szCs w:val="24"/>
                <w:highlight w:val="none"/>
                <w:vertAlign w:val="baseline"/>
                <w:lang w:val="en-US" w:eastAsia="zh-CN" w:bidi="ar"/>
              </w:rPr>
            </w:pPr>
            <w:r>
              <w:rPr>
                <w:rFonts w:hint="eastAsia" w:ascii="宋体" w:hAnsi="宋体" w:eastAsia="宋体" w:cs="宋体"/>
                <w:caps w:val="0"/>
                <w:color w:val="auto"/>
                <w:spacing w:val="-6"/>
                <w:sz w:val="24"/>
                <w:szCs w:val="24"/>
                <w:highlight w:val="none"/>
                <w:vertAlign w:val="baseline"/>
                <w:lang w:val="en-US" w:eastAsia="zh-CN" w:bidi="ar"/>
              </w:rPr>
              <w:t>6</w:t>
            </w:r>
          </w:p>
        </w:tc>
        <w:tc>
          <w:tcPr>
            <w:tcW w:w="53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拒绝列入政府取消投标资格期间的企业或个人投标。</w:t>
            </w:r>
          </w:p>
        </w:tc>
        <w:tc>
          <w:tcPr>
            <w:tcW w:w="27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标书内附法定代表人或委托代理人签字并加盖供应商公章的承诺书</w:t>
            </w:r>
          </w:p>
        </w:tc>
      </w:tr>
    </w:tbl>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240"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注：（1）上述内容中有一项不合格，则资格审查不合格，不进入符合性审查、详细评审；</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（2）资格审查结束后，合格的供应商进入符合性审查。</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4"/>
          <w:szCs w:val="24"/>
          <w:highlight w:val="none"/>
          <w:vertAlign w:val="baseline"/>
          <w:lang w:val="zh-CN" w:eastAsia="zh-CN" w:bidi="ar"/>
        </w:rPr>
      </w:pPr>
      <w:r>
        <w:rPr>
          <w:rFonts w:hint="eastAsia" w:ascii="宋体" w:hAnsi="宋体" w:eastAsia="宋体" w:cs="宋体"/>
          <w:b w:val="0"/>
          <w:bCs w:val="0"/>
          <w:caps w:val="0"/>
          <w:color w:val="000000"/>
          <w:kern w:val="0"/>
          <w:sz w:val="24"/>
          <w:szCs w:val="24"/>
          <w:highlight w:val="none"/>
          <w:vertAlign w:val="baseline"/>
          <w:lang w:val="zh-CN"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（二）符合性审查表</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符合性审查表</w:t>
      </w:r>
    </w:p>
    <w:tbl>
      <w:tblPr>
        <w:tblStyle w:val="22"/>
        <w:tblW w:w="0" w:type="auto"/>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2078"/>
        <w:gridCol w:w="7102"/>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567" w:hRule="atLeast"/>
          <w:tblHeader/>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评审因素</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评审标准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56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供应商名称</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与营业执照一致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56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投标函签字盖章</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有投标单位印章并经法定代表人或其委托代理人签字或盖章</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56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响应文件格式</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符合第</w:t>
            </w:r>
            <w:r>
              <w:rPr>
                <w:rFonts w:hint="eastAsia" w:ascii="宋体" w:hAnsi="宋体" w:eastAsia="宋体" w:cs="宋体"/>
                <w:b w:val="0"/>
                <w:bCs/>
                <w:caps w:val="0"/>
                <w:color w:val="auto"/>
                <w:kern w:val="0"/>
                <w:sz w:val="24"/>
                <w:szCs w:val="24"/>
                <w:highlight w:val="none"/>
                <w:vertAlign w:val="baseline"/>
                <w:lang w:val="en-US" w:eastAsia="zh-CN" w:bidi="ar"/>
              </w:rPr>
              <w:t>六部分</w:t>
            </w:r>
            <w:r>
              <w:rPr>
                <w:rFonts w:hint="eastAsia" w:ascii="宋体" w:hAnsi="宋体" w:eastAsia="宋体" w:cs="宋体"/>
                <w:b w:val="0"/>
                <w:bCs/>
                <w:caps w:val="0"/>
                <w:color w:val="auto"/>
                <w:kern w:val="0"/>
                <w:sz w:val="24"/>
                <w:szCs w:val="24"/>
                <w:highlight w:val="none"/>
                <w:vertAlign w:val="baseline"/>
                <w:lang w:val="zh-CN" w:eastAsia="zh-CN" w:bidi="ar"/>
              </w:rPr>
              <w:t>“响应文件格式”的要求</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56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招标内容</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en-US" w:eastAsia="zh-CN" w:bidi="ar"/>
              </w:rPr>
              <w:t>符合采购文件要求</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56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bCs/>
                <w:caps w:val="0"/>
                <w:color w:val="auto"/>
                <w:sz w:val="24"/>
                <w:szCs w:val="24"/>
                <w:highlight w:val="none"/>
                <w:vertAlign w:val="baseline"/>
                <w:lang w:val="en-US" w:eastAsia="en-US" w:bidi="ar"/>
              </w:rPr>
            </w:pPr>
            <w:r>
              <w:rPr>
                <w:rFonts w:hint="eastAsia" w:ascii="宋体" w:hAnsi="宋体" w:eastAsia="宋体" w:cs="宋体"/>
                <w:b w:val="0"/>
                <w:bCs/>
                <w:caps w:val="0"/>
                <w:color w:val="auto"/>
                <w:kern w:val="0"/>
                <w:sz w:val="24"/>
                <w:szCs w:val="24"/>
                <w:highlight w:val="none"/>
                <w:vertAlign w:val="baseline"/>
                <w:lang w:val="en-US" w:eastAsia="zh-CN" w:bidi="ar"/>
              </w:rPr>
              <w:t>合同履行期限</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bCs/>
                <w:caps w:val="0"/>
                <w:color w:val="auto"/>
                <w:sz w:val="24"/>
                <w:szCs w:val="24"/>
                <w:highlight w:val="none"/>
                <w:vertAlign w:val="baseline"/>
                <w:lang w:val="en-US" w:eastAsia="en-US" w:bidi="ar"/>
              </w:rPr>
            </w:pPr>
            <w:r>
              <w:rPr>
                <w:rFonts w:hint="default" w:ascii="Times New Roman" w:hAnsi="Times New Roman" w:eastAsia="宋体" w:cs="Times New Roman"/>
                <w:bCs/>
                <w:caps w:val="0"/>
                <w:color w:val="auto"/>
                <w:sz w:val="24"/>
                <w:szCs w:val="24"/>
                <w:highlight w:val="none"/>
                <w:vertAlign w:val="baseline"/>
                <w:lang w:val="en-US" w:eastAsia="en-US" w:bidi="ar"/>
              </w:rPr>
              <w:t>根据甲方需求，以实际签订合同为准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56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default" w:ascii="宋体" w:hAnsi="宋体" w:eastAsia="宋体" w:cs="宋体"/>
                <w:bCs/>
                <w:caps w:val="0"/>
                <w:color w:val="auto"/>
                <w:sz w:val="24"/>
                <w:szCs w:val="24"/>
                <w:highlight w:val="none"/>
                <w:vertAlign w:val="baseline"/>
                <w:lang w:val="en-US" w:eastAsia="zh-CN" w:bidi="ar"/>
              </w:rPr>
            </w:pPr>
            <w:r>
              <w:rPr>
                <w:rFonts w:hint="eastAsia" w:ascii="宋体" w:hAnsi="宋体" w:eastAsia="宋体" w:cs="宋体"/>
                <w:b w:val="0"/>
                <w:bCs/>
                <w:caps w:val="0"/>
                <w:color w:val="auto"/>
                <w:kern w:val="0"/>
                <w:sz w:val="24"/>
                <w:szCs w:val="24"/>
                <w:highlight w:val="none"/>
                <w:vertAlign w:val="baseline"/>
                <w:lang w:val="en-US" w:eastAsia="zh-CN" w:bidi="ar"/>
              </w:rPr>
              <w:t>服务标准</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Cs/>
                <w:caps w:val="0"/>
                <w:color w:val="auto"/>
                <w:sz w:val="24"/>
                <w:szCs w:val="24"/>
                <w:highlight w:val="none"/>
                <w:vertAlign w:val="baseline"/>
                <w:lang w:val="zh-CN" w:eastAsia="zh-CN" w:bidi="ar"/>
              </w:rPr>
              <w:t>满足国家医保支付改革要求，满足国家相关标准、行业标准，符合相关法律规定。</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56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投标有效期</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投标截止之日后90天（日历天）</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56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磋商保证金</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4"/>
                <w:szCs w:val="24"/>
                <w:highlight w:val="none"/>
                <w:vertAlign w:val="baseline"/>
                <w:lang w:val="zh-CN" w:eastAsia="zh-CN" w:bidi="ar"/>
              </w:rPr>
            </w:pPr>
            <w:r>
              <w:rPr>
                <w:rFonts w:hint="eastAsia" w:ascii="宋体" w:hAnsi="宋体" w:eastAsia="宋体" w:cs="宋体"/>
                <w:b w:val="0"/>
                <w:bCs/>
                <w:caps w:val="0"/>
                <w:color w:val="auto"/>
                <w:kern w:val="0"/>
                <w:sz w:val="24"/>
                <w:szCs w:val="24"/>
                <w:highlight w:val="none"/>
                <w:vertAlign w:val="baseline"/>
                <w:lang w:val="zh-CN" w:eastAsia="zh-CN" w:bidi="ar"/>
              </w:rPr>
              <w:t>符合采购文件要求，提供单位银行基本账户开户证明。</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56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default" w:ascii="宋体" w:hAnsi="宋体" w:eastAsia="宋体" w:cs="宋体"/>
                <w:b w:val="0"/>
                <w:bCs/>
                <w:caps w:val="0"/>
                <w:color w:val="auto"/>
                <w:kern w:val="0"/>
                <w:sz w:val="24"/>
                <w:szCs w:val="24"/>
                <w:highlight w:val="none"/>
                <w:vertAlign w:val="baseline"/>
                <w:lang w:val="en-US" w:eastAsia="zh-CN" w:bidi="ar"/>
              </w:rPr>
            </w:pPr>
            <w:r>
              <w:rPr>
                <w:rFonts w:hint="eastAsia" w:ascii="宋体" w:hAnsi="宋体" w:eastAsia="宋体" w:cs="宋体"/>
                <w:b w:val="0"/>
                <w:bCs/>
                <w:caps w:val="0"/>
                <w:color w:val="auto"/>
                <w:kern w:val="0"/>
                <w:sz w:val="24"/>
                <w:szCs w:val="24"/>
                <w:highlight w:val="none"/>
                <w:vertAlign w:val="baseline"/>
                <w:lang w:val="en-US" w:eastAsia="zh-CN" w:bidi="ar"/>
              </w:rPr>
              <w:t>投标报价</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default" w:ascii="宋体" w:hAnsi="宋体" w:eastAsia="宋体" w:cs="宋体"/>
                <w:b w:val="0"/>
                <w:bCs/>
                <w:caps w:val="0"/>
                <w:color w:val="auto"/>
                <w:kern w:val="0"/>
                <w:sz w:val="24"/>
                <w:szCs w:val="24"/>
                <w:highlight w:val="none"/>
                <w:vertAlign w:val="baseline"/>
                <w:lang w:val="en-US" w:eastAsia="zh-CN" w:bidi="ar"/>
              </w:rPr>
            </w:pPr>
            <w:r>
              <w:rPr>
                <w:rFonts w:hint="eastAsia" w:ascii="宋体" w:hAnsi="宋体" w:eastAsia="宋体" w:cs="宋体"/>
                <w:b w:val="0"/>
                <w:bCs/>
                <w:caps w:val="0"/>
                <w:color w:val="auto"/>
                <w:kern w:val="0"/>
                <w:sz w:val="24"/>
                <w:szCs w:val="24"/>
                <w:highlight w:val="none"/>
                <w:vertAlign w:val="baseline"/>
                <w:lang w:val="en-US" w:eastAsia="zh-CN" w:bidi="ar"/>
              </w:rPr>
              <w:t>只允许有一个有效报价</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56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default" w:ascii="宋体" w:hAnsi="宋体" w:eastAsia="宋体" w:cs="宋体"/>
                <w:b w:val="0"/>
                <w:bCs/>
                <w:caps w:val="0"/>
                <w:color w:val="auto"/>
                <w:kern w:val="0"/>
                <w:sz w:val="24"/>
                <w:szCs w:val="24"/>
                <w:highlight w:val="none"/>
                <w:vertAlign w:val="baseline"/>
                <w:lang w:val="en-US" w:eastAsia="zh-CN" w:bidi="ar"/>
              </w:rPr>
            </w:pPr>
            <w:r>
              <w:rPr>
                <w:rFonts w:hint="eastAsia" w:ascii="宋体" w:hAnsi="宋体" w:eastAsia="宋体" w:cs="宋体"/>
                <w:b w:val="0"/>
                <w:bCs/>
                <w:caps w:val="0"/>
                <w:color w:val="auto"/>
                <w:kern w:val="0"/>
                <w:sz w:val="24"/>
                <w:szCs w:val="24"/>
                <w:highlight w:val="none"/>
                <w:vertAlign w:val="baseline"/>
                <w:lang w:val="en-US" w:eastAsia="zh-CN" w:bidi="ar"/>
              </w:rPr>
              <w:t>技术要求</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default" w:ascii="宋体" w:hAnsi="宋体" w:eastAsia="宋体" w:cs="宋体"/>
                <w:b w:val="0"/>
                <w:bCs/>
                <w:caps w:val="0"/>
                <w:color w:val="auto"/>
                <w:kern w:val="0"/>
                <w:sz w:val="24"/>
                <w:szCs w:val="24"/>
                <w:highlight w:val="none"/>
                <w:vertAlign w:val="baseline"/>
                <w:lang w:val="en-US" w:eastAsia="zh-CN" w:bidi="ar"/>
              </w:rPr>
            </w:pPr>
            <w:r>
              <w:rPr>
                <w:rFonts w:hint="eastAsia" w:ascii="宋体" w:hAnsi="宋体" w:eastAsia="宋体" w:cs="宋体"/>
                <w:color w:val="auto"/>
                <w:sz w:val="24"/>
                <w:szCs w:val="24"/>
                <w:highlight w:val="none"/>
                <w:lang w:val="en-US" w:eastAsia="zh-CN"/>
              </w:rPr>
              <w:t>采购需求中标注“★”号技术参数为实质性条款，必须逐条进行响应，</w:t>
            </w:r>
            <w:r>
              <w:rPr>
                <w:rFonts w:hint="eastAsia" w:ascii="宋体" w:hAnsi="宋体" w:eastAsia="宋体" w:cs="宋体"/>
                <w:color w:val="auto"/>
                <w:sz w:val="24"/>
                <w:szCs w:val="24"/>
                <w:highlight w:val="none"/>
                <w:lang w:val="en-US" w:eastAsia="zh-CN"/>
              </w:rPr>
              <w:t>未标注“★”号技术参数不得超过10项负偏离。</w:t>
            </w:r>
            <w:r>
              <w:rPr>
                <w:rFonts w:hint="eastAsia" w:ascii="宋体" w:hAnsi="宋体" w:eastAsia="宋体" w:cs="宋体"/>
                <w:color w:val="auto"/>
                <w:sz w:val="24"/>
                <w:szCs w:val="24"/>
                <w:highlight w:val="none"/>
                <w:lang w:val="en-US" w:eastAsia="zh-CN"/>
              </w:rPr>
              <w:t>任何一条不满足将导致废标。</w:t>
            </w:r>
          </w:p>
        </w:tc>
      </w:tr>
    </w:tbl>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220" w:lineRule="exact"/>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20" w:lineRule="exact"/>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注：（1）供应商或其响应文件不符合上述情况之一的，则符合性审查不合格，不进入详细评审；</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20" w:lineRule="exact"/>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（2）符合性审查结束后，合格的供应商进入详细评审。</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2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除此之外的内容，不作为本次资格审查及</w:t>
      </w:r>
      <w:r>
        <w:rPr>
          <w:rFonts w:hint="eastAsia" w:ascii="宋体" w:hAnsi="宋体" w:eastAsia="宋体" w:cs="宋体"/>
          <w:b w:val="0"/>
          <w:bCs w:val="0"/>
          <w:caps w:val="0"/>
          <w:color w:val="000000"/>
          <w:kern w:val="0"/>
          <w:sz w:val="21"/>
          <w:szCs w:val="21"/>
          <w:highlight w:val="none"/>
          <w:vertAlign w:val="baseline"/>
          <w:lang w:val="zh-CN" w:eastAsia="zh-CN" w:bidi="ar"/>
        </w:rPr>
        <w:t>符合性审查</w:t>
      </w:r>
      <w:r>
        <w:rPr>
          <w:rFonts w:hint="eastAsia" w:ascii="宋体" w:hAnsi="宋体" w:eastAsia="宋体" w:cs="宋体"/>
          <w:b w:val="0"/>
          <w:bCs w:val="0"/>
          <w:caps w:val="0"/>
          <w:color w:val="000000"/>
          <w:kern w:val="0"/>
          <w:sz w:val="21"/>
          <w:szCs w:val="21"/>
          <w:highlight w:val="none"/>
          <w:vertAlign w:val="baseline"/>
          <w:lang w:val="en-US" w:eastAsia="zh-CN" w:bidi="ar"/>
        </w:rPr>
        <w:t>的内容。</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outlineLvl w:val="9"/>
        <w:rPr>
          <w:rFonts w:hint="eastAsia" w:ascii="宋体" w:hAnsi="宋体" w:eastAsia="宋体" w:cs="黑体"/>
          <w:b/>
          <w:bCs/>
          <w:caps w:val="0"/>
          <w:color w:val="000000"/>
          <w:sz w:val="24"/>
          <w:szCs w:val="24"/>
          <w:highlight w:val="none"/>
          <w:vertAlign w:val="baseline"/>
          <w:lang w:bidi="ar"/>
        </w:rPr>
      </w:pPr>
      <w:r>
        <w:rPr>
          <w:rFonts w:hint="eastAsia" w:ascii="宋体" w:hAnsi="宋体" w:eastAsia="宋体" w:cs="黑体"/>
          <w:b/>
          <w:bCs/>
          <w:caps w:val="0"/>
          <w:color w:val="000000"/>
          <w:kern w:val="0"/>
          <w:sz w:val="24"/>
          <w:szCs w:val="24"/>
          <w:highlight w:val="none"/>
          <w:vertAlign w:val="baseline"/>
          <w:lang w:val="en-US" w:eastAsia="zh-CN" w:bidi="ar"/>
        </w:rPr>
        <w:br w:type="page"/>
      </w:r>
      <w:r>
        <w:rPr>
          <w:rFonts w:hint="eastAsia" w:ascii="宋体" w:hAnsi="宋体" w:eastAsia="宋体" w:cs="宋体"/>
          <w:b/>
          <w:bCs/>
          <w:caps w:val="0"/>
          <w:color w:val="000000"/>
          <w:kern w:val="0"/>
          <w:sz w:val="24"/>
          <w:szCs w:val="24"/>
          <w:highlight w:val="none"/>
          <w:vertAlign w:val="baseline"/>
          <w:lang w:val="en-US" w:eastAsia="zh-CN" w:bidi="ar"/>
        </w:rPr>
        <w:t xml:space="preserve">（三）详细评审 </w:t>
      </w:r>
    </w:p>
    <w:p>
      <w:pPr>
        <w:pStyle w:val="18"/>
        <w:keepNext w:val="0"/>
        <w:keepLines w:val="0"/>
        <w:pageBreakBefore w:val="0"/>
        <w:widowControl/>
        <w:suppressLineNumbers w:val="0"/>
        <w:tabs>
          <w:tab w:val="left" w:pos="6840"/>
        </w:tabs>
        <w:suppressAutoHyphens w:val="0"/>
        <w:kinsoku/>
        <w:wordWrap/>
        <w:overflowPunct/>
        <w:topLinePunct w:val="0"/>
        <w:autoSpaceDE/>
        <w:autoSpaceDN w:val="0"/>
        <w:bidi w:val="0"/>
        <w:adjustRightInd/>
        <w:snapToGrid/>
        <w:spacing w:before="0" w:beforeAutospacing="0" w:after="0" w:afterAutospacing="0" w:line="240" w:lineRule="auto"/>
        <w:ind w:left="0" w:right="-57" w:firstLine="0"/>
        <w:jc w:val="center"/>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详细评审表</w:t>
      </w:r>
    </w:p>
    <w:tbl>
      <w:tblPr>
        <w:tblStyle w:val="22"/>
        <w:tblW w:w="0" w:type="auto"/>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896"/>
        <w:gridCol w:w="1679"/>
        <w:gridCol w:w="5737"/>
        <w:gridCol w:w="868"/>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274" w:hRule="atLeast"/>
          <w:jc w:val="center"/>
        </w:trPr>
        <w:tc>
          <w:tcPr>
            <w:tcW w:w="257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18"/>
              <w:keepNext w:val="0"/>
              <w:keepLines w:val="0"/>
              <w:pageBreakBefore w:val="0"/>
              <w:widowControl/>
              <w:suppressLineNumbers w:val="0"/>
              <w:tabs>
                <w:tab w:val="left" w:pos="6840"/>
              </w:tabs>
              <w:suppressAutoHyphens w:val="0"/>
              <w:kinsoku/>
              <w:wordWrap/>
              <w:overflowPunct/>
              <w:topLinePunct w:val="0"/>
              <w:autoSpaceDE/>
              <w:autoSpaceDN w:val="0"/>
              <w:bidi w:val="0"/>
              <w:adjustRightInd w:val="0"/>
              <w:snapToGrid w:val="0"/>
              <w:spacing w:before="36" w:beforeLines="15" w:beforeAutospacing="0" w:after="0" w:afterAutospacing="0" w:line="240" w:lineRule="auto"/>
              <w:ind w:left="0" w:right="-56" w:firstLine="0"/>
              <w:jc w:val="center"/>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评审内容</w:t>
            </w:r>
          </w:p>
        </w:tc>
        <w:tc>
          <w:tcPr>
            <w:tcW w:w="573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18"/>
              <w:keepNext w:val="0"/>
              <w:keepLines w:val="0"/>
              <w:pageBreakBefore w:val="0"/>
              <w:widowControl/>
              <w:suppressLineNumbers w:val="0"/>
              <w:tabs>
                <w:tab w:val="left" w:pos="6840"/>
              </w:tabs>
              <w:suppressAutoHyphens w:val="0"/>
              <w:kinsoku/>
              <w:wordWrap/>
              <w:overflowPunct/>
              <w:topLinePunct w:val="0"/>
              <w:autoSpaceDE/>
              <w:autoSpaceDN w:val="0"/>
              <w:bidi w:val="0"/>
              <w:adjustRightInd w:val="0"/>
              <w:snapToGrid w:val="0"/>
              <w:spacing w:before="36" w:beforeLines="15" w:beforeAutospacing="0" w:after="0" w:afterAutospacing="0" w:line="240" w:lineRule="auto"/>
              <w:ind w:left="0" w:right="-56" w:firstLine="0"/>
              <w:jc w:val="center"/>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评审标准</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pStyle w:val="18"/>
              <w:keepNext w:val="0"/>
              <w:keepLines w:val="0"/>
              <w:pageBreakBefore w:val="0"/>
              <w:widowControl/>
              <w:suppressLineNumbers w:val="0"/>
              <w:tabs>
                <w:tab w:val="left" w:pos="6840"/>
              </w:tabs>
              <w:suppressAutoHyphens w:val="0"/>
              <w:kinsoku/>
              <w:wordWrap/>
              <w:overflowPunct/>
              <w:topLinePunct w:val="0"/>
              <w:autoSpaceDE/>
              <w:autoSpaceDN w:val="0"/>
              <w:bidi w:val="0"/>
              <w:adjustRightInd w:val="0"/>
              <w:snapToGrid w:val="0"/>
              <w:spacing w:before="36" w:beforeLines="15" w:beforeAutospacing="0" w:after="0" w:afterAutospacing="0" w:line="240" w:lineRule="auto"/>
              <w:ind w:left="0" w:right="-56" w:firstLine="0"/>
              <w:jc w:val="center"/>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分值</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794" w:hRule="atLeast"/>
          <w:jc w:val="center"/>
        </w:trPr>
        <w:tc>
          <w:tcPr>
            <w:tcW w:w="257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投标报价</w:t>
            </w:r>
          </w:p>
        </w:tc>
        <w:tc>
          <w:tcPr>
            <w:tcW w:w="5737"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宋体" w:hAnsi="宋体" w:eastAsia="宋体" w:cs="宋体"/>
                <w:sz w:val="24"/>
                <w:szCs w:val="28"/>
                <w:highlight w:val="none"/>
              </w:rPr>
            </w:pPr>
            <w:r>
              <w:rPr>
                <w:rFonts w:hint="eastAsia" w:ascii="宋体" w:hAnsi="宋体" w:eastAsia="宋体" w:cs="宋体"/>
                <w:sz w:val="24"/>
                <w:szCs w:val="28"/>
                <w:highlight w:val="none"/>
                <w:lang w:val="en-US" w:eastAsia="zh-CN"/>
              </w:rPr>
              <w:t>取通过初步评审合格的有效投标报价最低价为评标基准价，其价格分为满分30分。其他供应商价格分按下列公式计算：投标报价得分=（评标基准价/投标报价）*30分。</w:t>
            </w:r>
          </w:p>
          <w:p>
            <w:pPr>
              <w:rPr>
                <w:rFonts w:hint="eastAsia" w:ascii="宋体" w:hAnsi="宋体" w:eastAsia="宋体" w:cs="宋体"/>
                <w:sz w:val="24"/>
                <w:szCs w:val="28"/>
                <w:highlight w:val="none"/>
              </w:rPr>
            </w:pPr>
            <w:r>
              <w:rPr>
                <w:rFonts w:hint="eastAsia" w:ascii="宋体" w:hAnsi="宋体" w:eastAsia="宋体" w:cs="宋体"/>
                <w:sz w:val="24"/>
                <w:szCs w:val="28"/>
                <w:highlight w:val="none"/>
                <w:lang w:val="en-US" w:eastAsia="zh-CN"/>
              </w:rPr>
              <w:t>如果评标委员会认为最低的投标报价明显低于供应商其成本价格，有可能影响投标产品质量和不能诚信履约的，应当要求该供应商在规定的期限内予以解释说明并提供相关证明材料，供应商不能合理解释或提供相关证明材料的，则评委会认定其以低于成本价投标，其报价不能作为基准价，不计入报价计算（其报价为0分）。</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30</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70" w:hRule="atLeast"/>
          <w:jc w:val="center"/>
        </w:trPr>
        <w:tc>
          <w:tcPr>
            <w:tcW w:w="89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商务条款</w:t>
            </w:r>
          </w:p>
        </w:tc>
        <w:tc>
          <w:tcPr>
            <w:tcW w:w="167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2"/>
                <w:sz w:val="24"/>
                <w:szCs w:val="24"/>
                <w:highlight w:val="none"/>
                <w:vertAlign w:val="baseline"/>
                <w:lang w:val="en-US" w:eastAsia="zh-CN" w:bidi="ar"/>
              </w:rPr>
              <w:t>企业业绩</w:t>
            </w:r>
          </w:p>
        </w:tc>
        <w:tc>
          <w:tcPr>
            <w:tcW w:w="5737"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宋体" w:hAnsi="宋体" w:eastAsia="宋体" w:cs="宋体"/>
                <w:sz w:val="24"/>
                <w:szCs w:val="28"/>
                <w:highlight w:val="none"/>
              </w:rPr>
            </w:pPr>
            <w:r>
              <w:rPr>
                <w:rFonts w:hint="eastAsia" w:ascii="宋体" w:hAnsi="宋体" w:eastAsia="宋体" w:cs="宋体"/>
                <w:sz w:val="24"/>
                <w:szCs w:val="28"/>
                <w:highlight w:val="none"/>
                <w:lang w:val="en-US" w:eastAsia="zh-CN"/>
              </w:rPr>
              <w:t>近三年（2020年至今），类似业绩每有一项加3分，最多加9分。（标书内附合同协议书或中标通知书复印件加盖公章）</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val="en-US"/>
              </w:rPr>
            </w:pPr>
            <w:r>
              <w:rPr>
                <w:rFonts w:hint="eastAsia" w:ascii="宋体" w:hAnsi="宋体" w:eastAsia="宋体" w:cs="宋体"/>
                <w:b w:val="0"/>
                <w:bCs w:val="0"/>
                <w:caps w:val="0"/>
                <w:color w:val="auto"/>
                <w:kern w:val="0"/>
                <w:sz w:val="24"/>
                <w:szCs w:val="24"/>
                <w:highlight w:val="none"/>
                <w:vertAlign w:val="baseline"/>
                <w:lang w:val="en-US" w:eastAsia="zh-CN" w:bidi="ar"/>
              </w:rPr>
              <w:t>9</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70" w:hRule="atLeast"/>
          <w:jc w:val="center"/>
        </w:trPr>
        <w:tc>
          <w:tcPr>
            <w:tcW w:w="8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rPr>
                <w:rFonts w:hint="eastAsia" w:ascii="宋体" w:hAnsi="宋体" w:eastAsia="宋体" w:cs="宋体"/>
                <w:sz w:val="24"/>
                <w:szCs w:val="24"/>
                <w:highlight w:val="none"/>
              </w:rPr>
            </w:pPr>
          </w:p>
        </w:tc>
        <w:tc>
          <w:tcPr>
            <w:tcW w:w="167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2"/>
                <w:sz w:val="24"/>
                <w:szCs w:val="24"/>
                <w:highlight w:val="none"/>
                <w:vertAlign w:val="baseline"/>
                <w:lang w:val="en-US" w:eastAsia="zh-CN" w:bidi="ar"/>
              </w:rPr>
              <w:t>服务承诺</w:t>
            </w:r>
          </w:p>
        </w:tc>
        <w:tc>
          <w:tcPr>
            <w:tcW w:w="5737"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宋体" w:hAnsi="宋体" w:eastAsia="宋体" w:cs="宋体"/>
                <w:sz w:val="24"/>
                <w:szCs w:val="28"/>
                <w:highlight w:val="none"/>
                <w:lang w:val="en-US" w:eastAsia="zh-CN"/>
              </w:rPr>
            </w:pPr>
            <w:r>
              <w:rPr>
                <w:rFonts w:hint="eastAsia" w:ascii="宋体" w:hAnsi="宋体" w:eastAsia="宋体" w:cs="宋体"/>
                <w:sz w:val="24"/>
                <w:szCs w:val="28"/>
                <w:highlight w:val="none"/>
                <w:lang w:val="en-US" w:eastAsia="zh-CN"/>
              </w:rPr>
              <w:t>提出有利于招标人的实质性服务承诺，每条实质性服务承诺得1分，最高分得5分。</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val="en-US" w:eastAsia="zh-CN" w:bidi="ar"/>
              </w:rPr>
            </w:pPr>
            <w:r>
              <w:rPr>
                <w:rFonts w:hint="eastAsia" w:ascii="宋体" w:hAnsi="宋体" w:eastAsia="宋体" w:cs="宋体"/>
                <w:b w:val="0"/>
                <w:bCs w:val="0"/>
                <w:caps w:val="0"/>
                <w:color w:val="auto"/>
                <w:kern w:val="2"/>
                <w:sz w:val="24"/>
                <w:szCs w:val="24"/>
                <w:highlight w:val="none"/>
                <w:vertAlign w:val="baseline"/>
                <w:lang w:val="en-US" w:eastAsia="zh-CN" w:bidi="ar"/>
              </w:rPr>
              <w:t>5</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70" w:hRule="atLeast"/>
          <w:jc w:val="center"/>
        </w:trPr>
        <w:tc>
          <w:tcPr>
            <w:tcW w:w="8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rPr>
                <w:rFonts w:hint="eastAsia" w:ascii="宋体" w:hAnsi="宋体" w:eastAsia="宋体" w:cs="宋体"/>
                <w:sz w:val="24"/>
                <w:szCs w:val="24"/>
                <w:highlight w:val="none"/>
              </w:rPr>
            </w:pPr>
          </w:p>
        </w:tc>
        <w:tc>
          <w:tcPr>
            <w:tcW w:w="167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2"/>
                <w:sz w:val="24"/>
                <w:szCs w:val="24"/>
                <w:highlight w:val="none"/>
                <w:vertAlign w:val="baseline"/>
                <w:lang w:val="en-US" w:eastAsia="zh-CN" w:bidi="ar"/>
              </w:rPr>
              <w:t>优惠条件</w:t>
            </w:r>
          </w:p>
        </w:tc>
        <w:tc>
          <w:tcPr>
            <w:tcW w:w="5737"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宋体" w:hAnsi="宋体" w:eastAsia="宋体" w:cs="宋体"/>
                <w:sz w:val="24"/>
                <w:szCs w:val="28"/>
                <w:highlight w:val="none"/>
                <w:lang w:val="en-US" w:eastAsia="zh-CN"/>
              </w:rPr>
            </w:pPr>
            <w:r>
              <w:rPr>
                <w:rFonts w:hint="eastAsia" w:ascii="宋体" w:hAnsi="宋体" w:eastAsia="宋体" w:cs="宋体"/>
                <w:sz w:val="24"/>
                <w:szCs w:val="28"/>
                <w:highlight w:val="none"/>
                <w:lang w:val="en-US" w:eastAsia="zh-CN"/>
              </w:rPr>
              <w:t>提出有利于招标人的实质性优惠条件，每条实质性优惠条件得1分，最高分得5分。</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val="en-US" w:eastAsia="zh-CN" w:bidi="ar"/>
              </w:rPr>
            </w:pPr>
            <w:r>
              <w:rPr>
                <w:rFonts w:hint="eastAsia" w:ascii="宋体" w:hAnsi="宋体" w:eastAsia="宋体" w:cs="宋体"/>
                <w:b w:val="0"/>
                <w:bCs w:val="0"/>
                <w:caps w:val="0"/>
                <w:color w:val="auto"/>
                <w:kern w:val="2"/>
                <w:sz w:val="24"/>
                <w:szCs w:val="24"/>
                <w:highlight w:val="none"/>
                <w:vertAlign w:val="baseline"/>
                <w:lang w:val="en-US" w:eastAsia="zh-CN" w:bidi="ar"/>
              </w:rPr>
              <w:t>5</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70" w:hRule="atLeast"/>
          <w:jc w:val="center"/>
        </w:trPr>
        <w:tc>
          <w:tcPr>
            <w:tcW w:w="89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eastAsia="zh-CN"/>
              </w:rPr>
            </w:pPr>
            <w:r>
              <w:rPr>
                <w:rFonts w:hint="eastAsia" w:ascii="宋体" w:hAnsi="宋体" w:eastAsia="宋体" w:cs="宋体"/>
                <w:b w:val="0"/>
                <w:bCs w:val="0"/>
                <w:caps w:val="0"/>
                <w:color w:val="auto"/>
                <w:kern w:val="0"/>
                <w:sz w:val="24"/>
                <w:szCs w:val="24"/>
                <w:highlight w:val="none"/>
                <w:vertAlign w:val="baseline"/>
                <w:lang w:val="en-US" w:eastAsia="zh-CN" w:bidi="ar"/>
              </w:rPr>
              <w:t>技术条款</w:t>
            </w:r>
          </w:p>
        </w:tc>
        <w:tc>
          <w:tcPr>
            <w:tcW w:w="167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zh-CN" w:eastAsia="zh-CN" w:bidi="ar"/>
              </w:rPr>
            </w:pPr>
            <w:r>
              <w:rPr>
                <w:rFonts w:hint="eastAsia" w:ascii="宋体" w:hAnsi="宋体" w:eastAsia="宋体" w:cs="宋体"/>
                <w:b w:val="0"/>
                <w:bCs w:val="0"/>
                <w:caps w:val="0"/>
                <w:color w:val="auto"/>
                <w:kern w:val="2"/>
                <w:sz w:val="24"/>
                <w:szCs w:val="24"/>
                <w:highlight w:val="none"/>
                <w:vertAlign w:val="baseline"/>
                <w:lang w:val="zh-CN" w:eastAsia="zh-CN" w:bidi="ar"/>
              </w:rPr>
              <w:t>项目实施方案</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en-US" w:eastAsia="zh-CN" w:bidi="ar"/>
              </w:rPr>
            </w:pPr>
          </w:p>
        </w:tc>
        <w:tc>
          <w:tcPr>
            <w:tcW w:w="5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en-US" w:eastAsia="zh-CN" w:bidi="ar"/>
              </w:rPr>
            </w:pPr>
            <w:r>
              <w:rPr>
                <w:rFonts w:hint="eastAsia" w:ascii="宋体" w:hAnsi="宋体" w:eastAsia="宋体" w:cs="宋体"/>
                <w:b w:val="0"/>
                <w:bCs w:val="0"/>
                <w:caps w:val="0"/>
                <w:color w:val="auto"/>
                <w:kern w:val="2"/>
                <w:sz w:val="24"/>
                <w:szCs w:val="24"/>
                <w:highlight w:val="none"/>
                <w:vertAlign w:val="baseline"/>
                <w:lang w:val="zh-CN" w:eastAsia="zh-CN" w:bidi="ar"/>
              </w:rPr>
              <w:t>方法科学合理，工作流程清晰，针对本项目的技术方案设计、具体步骤及解决关键性问题的研究途径详尽，每一步骤的关键点阐述清晰并具有可操作性，安排满足总体计划要求，制定具体合理的项目实施方案。优：方案比较清晰、明确，比较合理，得</w:t>
            </w:r>
            <w:r>
              <w:rPr>
                <w:rFonts w:hint="eastAsia" w:ascii="宋体" w:hAnsi="宋体" w:eastAsia="宋体" w:cs="宋体"/>
                <w:b w:val="0"/>
                <w:bCs w:val="0"/>
                <w:caps w:val="0"/>
                <w:color w:val="auto"/>
                <w:kern w:val="2"/>
                <w:sz w:val="24"/>
                <w:szCs w:val="24"/>
                <w:highlight w:val="none"/>
                <w:vertAlign w:val="baseline"/>
                <w:lang w:val="en-US" w:eastAsia="zh-CN" w:bidi="ar"/>
              </w:rPr>
              <w:t>8-11</w:t>
            </w:r>
            <w:r>
              <w:rPr>
                <w:rFonts w:hint="eastAsia" w:ascii="宋体" w:hAnsi="宋体" w:eastAsia="宋体" w:cs="宋体"/>
                <w:b w:val="0"/>
                <w:bCs w:val="0"/>
                <w:caps w:val="0"/>
                <w:color w:val="auto"/>
                <w:kern w:val="2"/>
                <w:sz w:val="24"/>
                <w:szCs w:val="24"/>
                <w:highlight w:val="none"/>
                <w:vertAlign w:val="baseline"/>
                <w:lang w:val="zh-CN" w:eastAsia="zh-CN" w:bidi="ar"/>
              </w:rPr>
              <w:t>分；良：方案不够清晰、明确，合理性一般，得</w:t>
            </w:r>
            <w:r>
              <w:rPr>
                <w:rFonts w:hint="eastAsia" w:ascii="宋体" w:hAnsi="宋体" w:eastAsia="宋体" w:cs="宋体"/>
                <w:b w:val="0"/>
                <w:bCs w:val="0"/>
                <w:caps w:val="0"/>
                <w:color w:val="auto"/>
                <w:kern w:val="2"/>
                <w:sz w:val="24"/>
                <w:szCs w:val="24"/>
                <w:highlight w:val="none"/>
                <w:vertAlign w:val="baseline"/>
                <w:lang w:val="en-US" w:eastAsia="zh-CN" w:bidi="ar"/>
              </w:rPr>
              <w:t>4-7</w:t>
            </w:r>
            <w:r>
              <w:rPr>
                <w:rFonts w:hint="eastAsia" w:ascii="宋体" w:hAnsi="宋体" w:eastAsia="宋体" w:cs="宋体"/>
                <w:b w:val="0"/>
                <w:bCs w:val="0"/>
                <w:caps w:val="0"/>
                <w:color w:val="auto"/>
                <w:kern w:val="2"/>
                <w:sz w:val="24"/>
                <w:szCs w:val="24"/>
                <w:highlight w:val="none"/>
                <w:vertAlign w:val="baseline"/>
                <w:lang w:val="zh-CN" w:eastAsia="zh-CN" w:bidi="ar"/>
              </w:rPr>
              <w:t>分；一般：方案不清晰，不明确，合理性差，得</w:t>
            </w:r>
            <w:r>
              <w:rPr>
                <w:rFonts w:hint="eastAsia" w:ascii="宋体" w:hAnsi="宋体" w:eastAsia="宋体" w:cs="宋体"/>
                <w:b w:val="0"/>
                <w:bCs w:val="0"/>
                <w:caps w:val="0"/>
                <w:color w:val="auto"/>
                <w:kern w:val="2"/>
                <w:sz w:val="24"/>
                <w:szCs w:val="24"/>
                <w:highlight w:val="none"/>
                <w:vertAlign w:val="baseline"/>
                <w:lang w:val="en-US" w:eastAsia="zh-CN" w:bidi="ar"/>
              </w:rPr>
              <w:t>1-3</w:t>
            </w:r>
            <w:r>
              <w:rPr>
                <w:rFonts w:hint="eastAsia" w:ascii="宋体" w:hAnsi="宋体" w:eastAsia="宋体" w:cs="宋体"/>
                <w:b w:val="0"/>
                <w:bCs w:val="0"/>
                <w:caps w:val="0"/>
                <w:color w:val="auto"/>
                <w:kern w:val="2"/>
                <w:sz w:val="24"/>
                <w:szCs w:val="24"/>
                <w:highlight w:val="none"/>
                <w:vertAlign w:val="baseline"/>
                <w:lang w:val="zh-CN" w:eastAsia="zh-CN" w:bidi="ar"/>
              </w:rPr>
              <w:t>分；</w:t>
            </w:r>
            <w:r>
              <w:rPr>
                <w:rFonts w:hint="eastAsia" w:ascii="宋体" w:hAnsi="宋体" w:eastAsia="宋体" w:cs="宋体"/>
                <w:b w:val="0"/>
                <w:bCs w:val="0"/>
                <w:caps w:val="0"/>
                <w:color w:val="auto"/>
                <w:kern w:val="2"/>
                <w:sz w:val="24"/>
                <w:szCs w:val="24"/>
                <w:highlight w:val="none"/>
                <w:vertAlign w:val="baseline"/>
                <w:lang w:val="en-US" w:eastAsia="zh-CN" w:bidi="ar"/>
              </w:rPr>
              <w:t>无不得分 。</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11</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70" w:hRule="atLeast"/>
          <w:jc w:val="center"/>
        </w:trPr>
        <w:tc>
          <w:tcPr>
            <w:tcW w:w="8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rPr>
                <w:rFonts w:hint="eastAsia" w:ascii="宋体" w:hAnsi="宋体" w:eastAsia="宋体" w:cs="宋体"/>
                <w:sz w:val="24"/>
                <w:szCs w:val="24"/>
                <w:highlight w:val="none"/>
              </w:rPr>
            </w:pPr>
          </w:p>
        </w:tc>
        <w:tc>
          <w:tcPr>
            <w:tcW w:w="167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en-US" w:eastAsia="zh-CN" w:bidi="ar"/>
              </w:rPr>
            </w:pPr>
            <w:r>
              <w:rPr>
                <w:rFonts w:hint="eastAsia" w:ascii="宋体" w:hAnsi="宋体" w:eastAsia="宋体" w:cs="宋体"/>
                <w:b w:val="0"/>
                <w:bCs w:val="0"/>
                <w:caps w:val="0"/>
                <w:color w:val="auto"/>
                <w:kern w:val="2"/>
                <w:sz w:val="24"/>
                <w:szCs w:val="24"/>
                <w:highlight w:val="none"/>
                <w:vertAlign w:val="baseline"/>
                <w:lang w:val="en-US" w:eastAsia="zh-CN" w:bidi="ar"/>
              </w:rPr>
              <w:t>人员培训方案</w:t>
            </w:r>
          </w:p>
        </w:tc>
        <w:tc>
          <w:tcPr>
            <w:tcW w:w="5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en-US" w:eastAsia="zh-CN" w:bidi="ar"/>
              </w:rPr>
            </w:pPr>
            <w:r>
              <w:rPr>
                <w:rFonts w:hint="eastAsia" w:ascii="宋体" w:hAnsi="宋体" w:eastAsia="宋体" w:cs="宋体"/>
                <w:b w:val="0"/>
                <w:bCs w:val="0"/>
                <w:caps w:val="0"/>
                <w:color w:val="auto"/>
                <w:kern w:val="2"/>
                <w:sz w:val="24"/>
                <w:szCs w:val="24"/>
                <w:highlight w:val="none"/>
                <w:vertAlign w:val="baseline"/>
                <w:lang w:val="en-US" w:eastAsia="zh-CN" w:bidi="ar"/>
              </w:rPr>
              <w:t>针对本项目的人员培训方案培训方案科学合理、详细、切实可行。</w:t>
            </w:r>
            <w:r>
              <w:rPr>
                <w:rFonts w:hint="eastAsia" w:ascii="宋体" w:hAnsi="宋体" w:eastAsia="宋体" w:cs="宋体"/>
                <w:b w:val="0"/>
                <w:bCs w:val="0"/>
                <w:caps w:val="0"/>
                <w:color w:val="auto"/>
                <w:kern w:val="2"/>
                <w:sz w:val="24"/>
                <w:szCs w:val="24"/>
                <w:highlight w:val="none"/>
                <w:vertAlign w:val="baseline"/>
                <w:lang w:val="zh-CN" w:eastAsia="zh-CN" w:bidi="ar"/>
              </w:rPr>
              <w:t>优：方案比较清晰、明确，比较合理，得</w:t>
            </w:r>
            <w:r>
              <w:rPr>
                <w:rFonts w:hint="eastAsia" w:ascii="宋体" w:hAnsi="宋体" w:eastAsia="宋体" w:cs="宋体"/>
                <w:b w:val="0"/>
                <w:bCs w:val="0"/>
                <w:caps w:val="0"/>
                <w:color w:val="auto"/>
                <w:kern w:val="2"/>
                <w:sz w:val="24"/>
                <w:szCs w:val="24"/>
                <w:highlight w:val="none"/>
                <w:vertAlign w:val="baseline"/>
                <w:lang w:val="en-US" w:eastAsia="zh-CN" w:bidi="ar"/>
              </w:rPr>
              <w:t>7-10</w:t>
            </w:r>
            <w:r>
              <w:rPr>
                <w:rFonts w:hint="eastAsia" w:ascii="宋体" w:hAnsi="宋体" w:eastAsia="宋体" w:cs="宋体"/>
                <w:b w:val="0"/>
                <w:bCs w:val="0"/>
                <w:caps w:val="0"/>
                <w:color w:val="auto"/>
                <w:kern w:val="2"/>
                <w:sz w:val="24"/>
                <w:szCs w:val="24"/>
                <w:highlight w:val="none"/>
                <w:vertAlign w:val="baseline"/>
                <w:lang w:val="zh-CN" w:eastAsia="zh-CN" w:bidi="ar"/>
              </w:rPr>
              <w:t>分；良：方案不够清晰、明确，合理性一般，得</w:t>
            </w:r>
            <w:r>
              <w:rPr>
                <w:rFonts w:hint="eastAsia" w:ascii="宋体" w:hAnsi="宋体" w:eastAsia="宋体" w:cs="宋体"/>
                <w:b w:val="0"/>
                <w:bCs w:val="0"/>
                <w:caps w:val="0"/>
                <w:color w:val="auto"/>
                <w:kern w:val="2"/>
                <w:sz w:val="24"/>
                <w:szCs w:val="24"/>
                <w:highlight w:val="none"/>
                <w:vertAlign w:val="baseline"/>
                <w:lang w:val="en-US" w:eastAsia="zh-CN" w:bidi="ar"/>
              </w:rPr>
              <w:t>4-6</w:t>
            </w:r>
            <w:r>
              <w:rPr>
                <w:rFonts w:hint="eastAsia" w:ascii="宋体" w:hAnsi="宋体" w:eastAsia="宋体" w:cs="宋体"/>
                <w:b w:val="0"/>
                <w:bCs w:val="0"/>
                <w:caps w:val="0"/>
                <w:color w:val="auto"/>
                <w:kern w:val="2"/>
                <w:sz w:val="24"/>
                <w:szCs w:val="24"/>
                <w:highlight w:val="none"/>
                <w:vertAlign w:val="baseline"/>
                <w:lang w:val="zh-CN" w:eastAsia="zh-CN" w:bidi="ar"/>
              </w:rPr>
              <w:t>分；一般：方案不清晰，不明确，合理性差，得</w:t>
            </w:r>
            <w:r>
              <w:rPr>
                <w:rFonts w:hint="eastAsia" w:ascii="宋体" w:hAnsi="宋体" w:eastAsia="宋体" w:cs="宋体"/>
                <w:b w:val="0"/>
                <w:bCs w:val="0"/>
                <w:caps w:val="0"/>
                <w:color w:val="auto"/>
                <w:kern w:val="2"/>
                <w:sz w:val="24"/>
                <w:szCs w:val="24"/>
                <w:highlight w:val="none"/>
                <w:vertAlign w:val="baseline"/>
                <w:lang w:val="en-US" w:eastAsia="zh-CN" w:bidi="ar"/>
              </w:rPr>
              <w:t>1-3</w:t>
            </w:r>
            <w:r>
              <w:rPr>
                <w:rFonts w:hint="eastAsia" w:ascii="宋体" w:hAnsi="宋体" w:eastAsia="宋体" w:cs="宋体"/>
                <w:b w:val="0"/>
                <w:bCs w:val="0"/>
                <w:caps w:val="0"/>
                <w:color w:val="auto"/>
                <w:kern w:val="2"/>
                <w:sz w:val="24"/>
                <w:szCs w:val="24"/>
                <w:highlight w:val="none"/>
                <w:vertAlign w:val="baseline"/>
                <w:lang w:val="zh-CN" w:eastAsia="zh-CN" w:bidi="ar"/>
              </w:rPr>
              <w:t>分；</w:t>
            </w:r>
            <w:r>
              <w:rPr>
                <w:rFonts w:hint="eastAsia" w:ascii="宋体" w:hAnsi="宋体" w:eastAsia="宋体" w:cs="宋体"/>
                <w:b w:val="0"/>
                <w:bCs w:val="0"/>
                <w:caps w:val="0"/>
                <w:color w:val="auto"/>
                <w:kern w:val="2"/>
                <w:sz w:val="24"/>
                <w:szCs w:val="24"/>
                <w:highlight w:val="none"/>
                <w:vertAlign w:val="baseline"/>
                <w:lang w:val="en-US" w:eastAsia="zh-CN" w:bidi="ar"/>
              </w:rPr>
              <w:t>无不得分 。</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10</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70" w:hRule="atLeast"/>
          <w:jc w:val="center"/>
        </w:trPr>
        <w:tc>
          <w:tcPr>
            <w:tcW w:w="8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rPr>
                <w:rFonts w:hint="eastAsia" w:ascii="宋体"/>
                <w:sz w:val="24"/>
                <w:szCs w:val="24"/>
                <w:highlight w:val="none"/>
              </w:rPr>
            </w:pPr>
          </w:p>
        </w:tc>
        <w:tc>
          <w:tcPr>
            <w:tcW w:w="167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en-US" w:eastAsia="zh-CN" w:bidi="ar"/>
              </w:rPr>
            </w:pPr>
            <w:r>
              <w:rPr>
                <w:rFonts w:hint="eastAsia" w:ascii="宋体" w:hAnsi="宋体" w:eastAsia="宋体" w:cs="宋体"/>
                <w:b w:val="0"/>
                <w:bCs w:val="0"/>
                <w:caps w:val="0"/>
                <w:color w:val="auto"/>
                <w:kern w:val="2"/>
                <w:sz w:val="24"/>
                <w:szCs w:val="24"/>
                <w:highlight w:val="none"/>
                <w:vertAlign w:val="baseline"/>
                <w:lang w:val="en-US" w:eastAsia="zh-CN" w:bidi="ar"/>
              </w:rPr>
              <w:t>服务保证措施</w:t>
            </w:r>
          </w:p>
        </w:tc>
        <w:tc>
          <w:tcPr>
            <w:tcW w:w="5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zh-CN" w:eastAsia="zh-CN" w:bidi="ar"/>
              </w:rPr>
            </w:pPr>
            <w:r>
              <w:rPr>
                <w:rFonts w:hint="eastAsia" w:ascii="宋体" w:hAnsi="宋体" w:eastAsia="宋体" w:cs="宋体"/>
                <w:b w:val="0"/>
                <w:bCs w:val="0"/>
                <w:caps w:val="0"/>
                <w:color w:val="auto"/>
                <w:kern w:val="2"/>
                <w:sz w:val="24"/>
                <w:szCs w:val="24"/>
                <w:highlight w:val="none"/>
                <w:vertAlign w:val="baseline"/>
                <w:lang w:val="zh-CN" w:eastAsia="zh-CN" w:bidi="ar"/>
              </w:rPr>
              <w:t>保障计划完善，标准严格，程序规范，质检措施详尽有效，具有针对性。优：比较清晰、明确，比较合理，得</w:t>
            </w:r>
            <w:r>
              <w:rPr>
                <w:rFonts w:hint="eastAsia" w:ascii="宋体" w:hAnsi="宋体" w:eastAsia="宋体" w:cs="宋体"/>
                <w:b w:val="0"/>
                <w:bCs w:val="0"/>
                <w:caps w:val="0"/>
                <w:color w:val="auto"/>
                <w:kern w:val="2"/>
                <w:sz w:val="24"/>
                <w:szCs w:val="24"/>
                <w:highlight w:val="none"/>
                <w:vertAlign w:val="baseline"/>
                <w:lang w:val="en-US" w:eastAsia="zh-CN" w:bidi="ar"/>
              </w:rPr>
              <w:t>7-10</w:t>
            </w:r>
            <w:r>
              <w:rPr>
                <w:rFonts w:hint="eastAsia" w:ascii="宋体" w:hAnsi="宋体" w:eastAsia="宋体" w:cs="宋体"/>
                <w:b w:val="0"/>
                <w:bCs w:val="0"/>
                <w:caps w:val="0"/>
                <w:color w:val="auto"/>
                <w:kern w:val="2"/>
                <w:sz w:val="24"/>
                <w:szCs w:val="24"/>
                <w:highlight w:val="none"/>
                <w:vertAlign w:val="baseline"/>
                <w:lang w:val="zh-CN" w:eastAsia="zh-CN" w:bidi="ar"/>
              </w:rPr>
              <w:t>分；良：不够清晰、明确，合理性一般，得</w:t>
            </w:r>
            <w:r>
              <w:rPr>
                <w:rFonts w:hint="eastAsia" w:ascii="宋体" w:hAnsi="宋体" w:eastAsia="宋体" w:cs="宋体"/>
                <w:b w:val="0"/>
                <w:bCs w:val="0"/>
                <w:caps w:val="0"/>
                <w:color w:val="auto"/>
                <w:kern w:val="2"/>
                <w:sz w:val="24"/>
                <w:szCs w:val="24"/>
                <w:highlight w:val="none"/>
                <w:vertAlign w:val="baseline"/>
                <w:lang w:val="en-US" w:eastAsia="zh-CN" w:bidi="ar"/>
              </w:rPr>
              <w:t>4-6</w:t>
            </w:r>
            <w:r>
              <w:rPr>
                <w:rFonts w:hint="eastAsia" w:ascii="宋体" w:hAnsi="宋体" w:eastAsia="宋体" w:cs="宋体"/>
                <w:b w:val="0"/>
                <w:bCs w:val="0"/>
                <w:caps w:val="0"/>
                <w:color w:val="auto"/>
                <w:kern w:val="2"/>
                <w:sz w:val="24"/>
                <w:szCs w:val="24"/>
                <w:highlight w:val="none"/>
                <w:vertAlign w:val="baseline"/>
                <w:lang w:val="zh-CN" w:eastAsia="zh-CN" w:bidi="ar"/>
              </w:rPr>
              <w:t>分；一般：不清晰，不明确，合理性差，得</w:t>
            </w:r>
            <w:r>
              <w:rPr>
                <w:rFonts w:hint="eastAsia" w:ascii="宋体" w:hAnsi="宋体" w:eastAsia="宋体" w:cs="宋体"/>
                <w:b w:val="0"/>
                <w:bCs w:val="0"/>
                <w:caps w:val="0"/>
                <w:color w:val="auto"/>
                <w:kern w:val="2"/>
                <w:sz w:val="24"/>
                <w:szCs w:val="24"/>
                <w:highlight w:val="none"/>
                <w:vertAlign w:val="baseline"/>
                <w:lang w:val="en-US" w:eastAsia="zh-CN" w:bidi="ar"/>
              </w:rPr>
              <w:t>1-3</w:t>
            </w:r>
            <w:r>
              <w:rPr>
                <w:rFonts w:hint="eastAsia" w:ascii="宋体" w:hAnsi="宋体" w:eastAsia="宋体" w:cs="宋体"/>
                <w:b w:val="0"/>
                <w:bCs w:val="0"/>
                <w:caps w:val="0"/>
                <w:color w:val="auto"/>
                <w:kern w:val="2"/>
                <w:sz w:val="24"/>
                <w:szCs w:val="24"/>
                <w:highlight w:val="none"/>
                <w:vertAlign w:val="baseline"/>
                <w:lang w:val="zh-CN" w:eastAsia="zh-CN" w:bidi="ar"/>
              </w:rPr>
              <w:t>分；</w:t>
            </w:r>
            <w:r>
              <w:rPr>
                <w:rFonts w:hint="eastAsia" w:ascii="宋体" w:hAnsi="宋体" w:eastAsia="宋体" w:cs="宋体"/>
                <w:b w:val="0"/>
                <w:bCs w:val="0"/>
                <w:caps w:val="0"/>
                <w:color w:val="auto"/>
                <w:kern w:val="2"/>
                <w:sz w:val="24"/>
                <w:szCs w:val="24"/>
                <w:highlight w:val="none"/>
                <w:vertAlign w:val="baseline"/>
                <w:lang w:val="en-US" w:eastAsia="zh-CN" w:bidi="ar"/>
              </w:rPr>
              <w:t>无不得分 。</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10</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70" w:hRule="atLeast"/>
          <w:jc w:val="center"/>
        </w:trPr>
        <w:tc>
          <w:tcPr>
            <w:tcW w:w="8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rPr>
                <w:rFonts w:hint="eastAsia" w:ascii="宋体"/>
                <w:sz w:val="24"/>
                <w:szCs w:val="24"/>
                <w:highlight w:val="none"/>
              </w:rPr>
            </w:pPr>
          </w:p>
        </w:tc>
        <w:tc>
          <w:tcPr>
            <w:tcW w:w="167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en-US" w:eastAsia="zh-CN" w:bidi="ar"/>
              </w:rPr>
            </w:pPr>
            <w:r>
              <w:rPr>
                <w:rFonts w:hint="eastAsia" w:ascii="宋体" w:hAnsi="宋体" w:eastAsia="宋体" w:cs="宋体"/>
                <w:b w:val="0"/>
                <w:bCs w:val="0"/>
                <w:caps w:val="0"/>
                <w:color w:val="auto"/>
                <w:kern w:val="2"/>
                <w:sz w:val="24"/>
                <w:szCs w:val="24"/>
                <w:highlight w:val="none"/>
                <w:vertAlign w:val="baseline"/>
                <w:lang w:val="zh-CN" w:eastAsia="zh-CN" w:bidi="ar"/>
              </w:rPr>
              <w:t>问题处理方案</w:t>
            </w:r>
          </w:p>
        </w:tc>
        <w:tc>
          <w:tcPr>
            <w:tcW w:w="5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zh-CN" w:eastAsia="zh-CN" w:bidi="ar"/>
              </w:rPr>
            </w:pPr>
            <w:r>
              <w:rPr>
                <w:rFonts w:hint="eastAsia" w:ascii="宋体" w:hAnsi="宋体" w:eastAsia="宋体" w:cs="宋体"/>
                <w:b w:val="0"/>
                <w:bCs w:val="0"/>
                <w:caps w:val="0"/>
                <w:color w:val="auto"/>
                <w:kern w:val="2"/>
                <w:sz w:val="24"/>
                <w:szCs w:val="24"/>
                <w:highlight w:val="none"/>
                <w:vertAlign w:val="baseline"/>
                <w:lang w:val="zh-CN" w:eastAsia="zh-CN" w:bidi="ar"/>
              </w:rPr>
              <w:t>方案为针对项目突发问题的应急解决方案。</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en-US" w:eastAsia="zh-CN" w:bidi="ar"/>
              </w:rPr>
            </w:pPr>
            <w:r>
              <w:rPr>
                <w:rFonts w:hint="eastAsia" w:ascii="宋体" w:hAnsi="宋体" w:eastAsia="宋体" w:cs="宋体"/>
                <w:b w:val="0"/>
                <w:bCs w:val="0"/>
                <w:caps w:val="0"/>
                <w:color w:val="auto"/>
                <w:kern w:val="2"/>
                <w:sz w:val="24"/>
                <w:szCs w:val="24"/>
                <w:highlight w:val="none"/>
                <w:vertAlign w:val="baseline"/>
                <w:lang w:val="zh-CN" w:eastAsia="zh-CN" w:bidi="ar"/>
              </w:rPr>
              <w:t>优：方案清晰、明确、合理、精准，得</w:t>
            </w:r>
            <w:r>
              <w:rPr>
                <w:rFonts w:hint="eastAsia" w:ascii="宋体" w:hAnsi="宋体" w:eastAsia="宋体" w:cs="宋体"/>
                <w:b w:val="0"/>
                <w:bCs w:val="0"/>
                <w:caps w:val="0"/>
                <w:color w:val="auto"/>
                <w:kern w:val="2"/>
                <w:sz w:val="24"/>
                <w:szCs w:val="24"/>
                <w:highlight w:val="none"/>
                <w:vertAlign w:val="baseline"/>
                <w:lang w:val="en-US" w:eastAsia="zh-CN" w:bidi="ar"/>
              </w:rPr>
              <w:t>7-10</w:t>
            </w:r>
            <w:r>
              <w:rPr>
                <w:rFonts w:hint="eastAsia" w:ascii="宋体" w:hAnsi="宋体" w:eastAsia="宋体" w:cs="宋体"/>
                <w:b w:val="0"/>
                <w:bCs w:val="0"/>
                <w:caps w:val="0"/>
                <w:color w:val="auto"/>
                <w:kern w:val="2"/>
                <w:sz w:val="24"/>
                <w:szCs w:val="24"/>
                <w:highlight w:val="none"/>
                <w:vertAlign w:val="baseline"/>
                <w:lang w:val="zh-CN" w:eastAsia="zh-CN" w:bidi="ar"/>
              </w:rPr>
              <w:t xml:space="preserve">分；良：方案比较清晰、明确、相对比较合理、较准确，得 </w:t>
            </w:r>
            <w:r>
              <w:rPr>
                <w:rFonts w:hint="eastAsia" w:ascii="宋体" w:hAnsi="宋体" w:eastAsia="宋体" w:cs="宋体"/>
                <w:b w:val="0"/>
                <w:bCs w:val="0"/>
                <w:caps w:val="0"/>
                <w:color w:val="auto"/>
                <w:kern w:val="2"/>
                <w:sz w:val="24"/>
                <w:szCs w:val="24"/>
                <w:highlight w:val="none"/>
                <w:vertAlign w:val="baseline"/>
                <w:lang w:val="en-US" w:eastAsia="zh-CN" w:bidi="ar"/>
              </w:rPr>
              <w:t>4-6</w:t>
            </w:r>
            <w:r>
              <w:rPr>
                <w:rFonts w:hint="eastAsia" w:ascii="宋体" w:hAnsi="宋体" w:eastAsia="宋体" w:cs="宋体"/>
                <w:b w:val="0"/>
                <w:bCs w:val="0"/>
                <w:caps w:val="0"/>
                <w:color w:val="auto"/>
                <w:kern w:val="2"/>
                <w:sz w:val="24"/>
                <w:szCs w:val="24"/>
                <w:highlight w:val="none"/>
                <w:vertAlign w:val="baseline"/>
                <w:lang w:val="zh-CN" w:eastAsia="zh-CN" w:bidi="ar"/>
              </w:rPr>
              <w:t>分；中：方案不够清晰、明确、合理性一般、准确度一般，得</w:t>
            </w:r>
            <w:r>
              <w:rPr>
                <w:rFonts w:hint="eastAsia" w:ascii="宋体" w:hAnsi="宋体" w:eastAsia="宋体" w:cs="宋体"/>
                <w:b w:val="0"/>
                <w:bCs w:val="0"/>
                <w:caps w:val="0"/>
                <w:color w:val="auto"/>
                <w:kern w:val="2"/>
                <w:sz w:val="24"/>
                <w:szCs w:val="24"/>
                <w:highlight w:val="none"/>
                <w:vertAlign w:val="baseline"/>
                <w:lang w:val="en-US" w:eastAsia="zh-CN" w:bidi="ar"/>
              </w:rPr>
              <w:t>1-3</w:t>
            </w:r>
            <w:r>
              <w:rPr>
                <w:rFonts w:hint="eastAsia" w:ascii="宋体" w:hAnsi="宋体" w:eastAsia="宋体" w:cs="宋体"/>
                <w:b w:val="0"/>
                <w:bCs w:val="0"/>
                <w:caps w:val="0"/>
                <w:color w:val="auto"/>
                <w:kern w:val="2"/>
                <w:sz w:val="24"/>
                <w:szCs w:val="24"/>
                <w:highlight w:val="none"/>
                <w:vertAlign w:val="baseline"/>
                <w:lang w:val="zh-CN" w:eastAsia="zh-CN" w:bidi="ar"/>
              </w:rPr>
              <w:t>分；</w:t>
            </w:r>
            <w:r>
              <w:rPr>
                <w:rFonts w:hint="eastAsia" w:ascii="宋体" w:hAnsi="宋体" w:eastAsia="宋体" w:cs="宋体"/>
                <w:b w:val="0"/>
                <w:bCs w:val="0"/>
                <w:caps w:val="0"/>
                <w:color w:val="auto"/>
                <w:kern w:val="2"/>
                <w:sz w:val="24"/>
                <w:szCs w:val="24"/>
                <w:highlight w:val="none"/>
                <w:vertAlign w:val="baseline"/>
                <w:lang w:val="en-US" w:eastAsia="zh-CN" w:bidi="ar"/>
              </w:rPr>
              <w:t>无不得分。</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10</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70" w:hRule="atLeast"/>
          <w:jc w:val="center"/>
        </w:trPr>
        <w:tc>
          <w:tcPr>
            <w:tcW w:w="8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rPr>
                <w:rFonts w:hint="eastAsia" w:ascii="宋体"/>
                <w:sz w:val="24"/>
                <w:szCs w:val="24"/>
                <w:highlight w:val="none"/>
              </w:rPr>
            </w:pPr>
          </w:p>
        </w:tc>
        <w:tc>
          <w:tcPr>
            <w:tcW w:w="167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en-US" w:eastAsia="zh-CN" w:bidi="ar"/>
              </w:rPr>
            </w:pPr>
            <w:r>
              <w:rPr>
                <w:rFonts w:hint="eastAsia" w:ascii="宋体" w:hAnsi="宋体" w:eastAsia="宋体" w:cs="宋体"/>
                <w:b w:val="0"/>
                <w:bCs w:val="0"/>
                <w:caps w:val="0"/>
                <w:color w:val="auto"/>
                <w:kern w:val="2"/>
                <w:sz w:val="24"/>
                <w:szCs w:val="24"/>
                <w:highlight w:val="none"/>
                <w:vertAlign w:val="baseline"/>
                <w:lang w:val="en-US" w:eastAsia="zh-CN" w:bidi="ar"/>
              </w:rPr>
              <w:t>服务管理规章制度</w:t>
            </w:r>
          </w:p>
        </w:tc>
        <w:tc>
          <w:tcPr>
            <w:tcW w:w="5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4"/>
                <w:szCs w:val="24"/>
                <w:highlight w:val="none"/>
                <w:vertAlign w:val="baseline"/>
                <w:lang w:val="en-US" w:eastAsia="zh-CN" w:bidi="ar"/>
              </w:rPr>
            </w:pPr>
            <w:r>
              <w:rPr>
                <w:rFonts w:hint="eastAsia" w:ascii="宋体" w:hAnsi="宋体" w:eastAsia="宋体" w:cs="宋体"/>
                <w:b w:val="0"/>
                <w:bCs w:val="0"/>
                <w:caps w:val="0"/>
                <w:color w:val="auto"/>
                <w:kern w:val="2"/>
                <w:sz w:val="24"/>
                <w:szCs w:val="24"/>
                <w:highlight w:val="none"/>
                <w:vertAlign w:val="baseline"/>
                <w:lang w:val="en-US" w:eastAsia="zh-CN" w:bidi="ar"/>
              </w:rPr>
              <w:t>科学合理、内容详细。</w:t>
            </w:r>
            <w:r>
              <w:rPr>
                <w:rFonts w:hint="eastAsia" w:ascii="宋体" w:hAnsi="宋体" w:eastAsia="宋体" w:cs="宋体"/>
                <w:b w:val="0"/>
                <w:bCs w:val="0"/>
                <w:caps w:val="0"/>
                <w:color w:val="auto"/>
                <w:kern w:val="2"/>
                <w:sz w:val="24"/>
                <w:szCs w:val="24"/>
                <w:highlight w:val="none"/>
                <w:vertAlign w:val="baseline"/>
                <w:lang w:val="zh-CN" w:eastAsia="zh-CN" w:bidi="ar"/>
              </w:rPr>
              <w:t>优：比较清晰、明确，比较合理，得</w:t>
            </w:r>
            <w:r>
              <w:rPr>
                <w:rFonts w:hint="eastAsia" w:ascii="宋体" w:hAnsi="宋体" w:eastAsia="宋体" w:cs="宋体"/>
                <w:b w:val="0"/>
                <w:bCs w:val="0"/>
                <w:caps w:val="0"/>
                <w:color w:val="auto"/>
                <w:kern w:val="2"/>
                <w:sz w:val="24"/>
                <w:szCs w:val="24"/>
                <w:highlight w:val="none"/>
                <w:vertAlign w:val="baseline"/>
                <w:lang w:val="en-US" w:eastAsia="zh-CN" w:bidi="ar"/>
              </w:rPr>
              <w:t>7-10</w:t>
            </w:r>
            <w:r>
              <w:rPr>
                <w:rFonts w:hint="eastAsia" w:ascii="宋体" w:hAnsi="宋体" w:eastAsia="宋体" w:cs="宋体"/>
                <w:b w:val="0"/>
                <w:bCs w:val="0"/>
                <w:caps w:val="0"/>
                <w:color w:val="auto"/>
                <w:kern w:val="2"/>
                <w:sz w:val="24"/>
                <w:szCs w:val="24"/>
                <w:highlight w:val="none"/>
                <w:vertAlign w:val="baseline"/>
                <w:lang w:val="zh-CN" w:eastAsia="zh-CN" w:bidi="ar"/>
              </w:rPr>
              <w:t>分；良：不够清晰、明确，合理性一般，得</w:t>
            </w:r>
            <w:r>
              <w:rPr>
                <w:rFonts w:hint="eastAsia" w:ascii="宋体" w:hAnsi="宋体" w:eastAsia="宋体" w:cs="宋体"/>
                <w:b w:val="0"/>
                <w:bCs w:val="0"/>
                <w:caps w:val="0"/>
                <w:color w:val="auto"/>
                <w:kern w:val="2"/>
                <w:sz w:val="24"/>
                <w:szCs w:val="24"/>
                <w:highlight w:val="none"/>
                <w:vertAlign w:val="baseline"/>
                <w:lang w:val="en-US" w:eastAsia="zh-CN" w:bidi="ar"/>
              </w:rPr>
              <w:t>4-6</w:t>
            </w:r>
            <w:r>
              <w:rPr>
                <w:rFonts w:hint="eastAsia" w:ascii="宋体" w:hAnsi="宋体" w:eastAsia="宋体" w:cs="宋体"/>
                <w:b w:val="0"/>
                <w:bCs w:val="0"/>
                <w:caps w:val="0"/>
                <w:color w:val="auto"/>
                <w:kern w:val="2"/>
                <w:sz w:val="24"/>
                <w:szCs w:val="24"/>
                <w:highlight w:val="none"/>
                <w:vertAlign w:val="baseline"/>
                <w:lang w:val="zh-CN" w:eastAsia="zh-CN" w:bidi="ar"/>
              </w:rPr>
              <w:t>分；一般：不清晰，不明确，合理性差，得</w:t>
            </w:r>
            <w:r>
              <w:rPr>
                <w:rFonts w:hint="eastAsia" w:ascii="宋体" w:hAnsi="宋体" w:eastAsia="宋体" w:cs="宋体"/>
                <w:b w:val="0"/>
                <w:bCs w:val="0"/>
                <w:caps w:val="0"/>
                <w:color w:val="auto"/>
                <w:kern w:val="2"/>
                <w:sz w:val="24"/>
                <w:szCs w:val="24"/>
                <w:highlight w:val="none"/>
                <w:vertAlign w:val="baseline"/>
                <w:lang w:val="en-US" w:eastAsia="zh-CN" w:bidi="ar"/>
              </w:rPr>
              <w:t>1-3</w:t>
            </w:r>
            <w:r>
              <w:rPr>
                <w:rFonts w:hint="eastAsia" w:ascii="宋体" w:hAnsi="宋体" w:eastAsia="宋体" w:cs="宋体"/>
                <w:b w:val="0"/>
                <w:bCs w:val="0"/>
                <w:caps w:val="0"/>
                <w:color w:val="auto"/>
                <w:kern w:val="2"/>
                <w:sz w:val="24"/>
                <w:szCs w:val="24"/>
                <w:highlight w:val="none"/>
                <w:vertAlign w:val="baseline"/>
                <w:lang w:val="zh-CN" w:eastAsia="zh-CN" w:bidi="ar"/>
              </w:rPr>
              <w:t>分；</w:t>
            </w:r>
            <w:r>
              <w:rPr>
                <w:rFonts w:hint="eastAsia" w:ascii="宋体" w:hAnsi="宋体" w:eastAsia="宋体" w:cs="宋体"/>
                <w:b w:val="0"/>
                <w:bCs w:val="0"/>
                <w:caps w:val="0"/>
                <w:color w:val="auto"/>
                <w:kern w:val="2"/>
                <w:sz w:val="24"/>
                <w:szCs w:val="24"/>
                <w:highlight w:val="none"/>
                <w:vertAlign w:val="baseline"/>
                <w:lang w:val="en-US" w:eastAsia="zh-CN" w:bidi="ar"/>
              </w:rPr>
              <w:t>无不得分 。</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Times New Roman" w:hAnsi="Times New Roman" w:eastAsia="宋体" w:cs="Times New Roman"/>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10</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252" w:hRule="atLeast"/>
          <w:jc w:val="center"/>
        </w:trPr>
        <w:tc>
          <w:tcPr>
            <w:tcW w:w="8312"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合计</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rPr>
            </w:pPr>
            <w:r>
              <w:rPr>
                <w:rFonts w:hint="eastAsia" w:ascii="宋体" w:hAnsi="宋体" w:eastAsia="宋体" w:cs="宋体"/>
                <w:b w:val="0"/>
                <w:bCs w:val="0"/>
                <w:caps w:val="0"/>
                <w:color w:val="auto"/>
                <w:kern w:val="0"/>
                <w:sz w:val="24"/>
                <w:szCs w:val="24"/>
                <w:highlight w:val="none"/>
                <w:vertAlign w:val="baseline"/>
                <w:lang w:val="en-US" w:eastAsia="zh-CN" w:bidi="ar"/>
              </w:rPr>
              <w:t>100分</w:t>
            </w:r>
          </w:p>
        </w:tc>
      </w:tr>
    </w:tbl>
    <w:p>
      <w:pPr>
        <w:rPr>
          <w:rFonts w:hint="eastAsia" w:ascii="宋体" w:hAnsi="宋体" w:eastAsia="宋体" w:cs="宋体"/>
          <w:b/>
          <w:bCs/>
          <w:caps w:val="0"/>
          <w:color w:val="000000"/>
          <w:kern w:val="0"/>
          <w:sz w:val="24"/>
          <w:szCs w:val="24"/>
          <w:highlight w:val="none"/>
          <w:vertAlign w:val="baseline"/>
          <w:lang w:val="en-US" w:eastAsia="zh-CN" w:bidi="ar"/>
        </w:rPr>
      </w:pPr>
      <w:r>
        <w:rPr>
          <w:rFonts w:hint="eastAsia" w:ascii="宋体" w:hAnsi="宋体" w:eastAsia="宋体" w:cs="宋体"/>
          <w:b/>
          <w:bCs/>
          <w:caps w:val="0"/>
          <w:color w:val="000000"/>
          <w:kern w:val="0"/>
          <w:sz w:val="24"/>
          <w:szCs w:val="24"/>
          <w:highlight w:val="none"/>
          <w:vertAlign w:val="baseline"/>
          <w:lang w:val="en-US"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outlineLvl w:val="9"/>
        <w:rPr>
          <w:rFonts w:hint="eastAsia" w:ascii="宋体" w:hAnsi="宋体" w:eastAsia="宋体" w:cs="宋体"/>
          <w:b/>
          <w:bCs/>
          <w:caps w:val="0"/>
          <w:color w:val="000000"/>
          <w:kern w:val="0"/>
          <w:sz w:val="24"/>
          <w:szCs w:val="24"/>
          <w:highlight w:val="none"/>
          <w:vertAlign w:val="baseline"/>
          <w:lang w:val="en-US" w:eastAsia="zh-CN" w:bidi="ar"/>
        </w:rPr>
      </w:pPr>
      <w:r>
        <w:rPr>
          <w:rFonts w:hint="eastAsia" w:ascii="宋体" w:hAnsi="宋体" w:eastAsia="宋体" w:cs="宋体"/>
          <w:b/>
          <w:bCs/>
          <w:caps w:val="0"/>
          <w:color w:val="000000"/>
          <w:kern w:val="0"/>
          <w:sz w:val="24"/>
          <w:szCs w:val="24"/>
          <w:highlight w:val="none"/>
          <w:vertAlign w:val="baseline"/>
          <w:lang w:val="en-US" w:eastAsia="zh-CN" w:bidi="ar"/>
        </w:rPr>
        <w:t>(四) 说  明</w:t>
      </w:r>
      <w:bookmarkStart w:id="218" w:name="_GoBack"/>
      <w:bookmarkEnd w:id="218"/>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highlight w:val="none"/>
        </w:rPr>
      </w:pPr>
      <w:r>
        <w:rPr>
          <w:rFonts w:hint="eastAsia" w:ascii="宋体" w:hAnsi="宋体" w:eastAsia="宋体" w:cs="宋体"/>
          <w:b w:val="0"/>
          <w:bCs w:val="0"/>
          <w:caps w:val="0"/>
          <w:color w:val="000000"/>
          <w:kern w:val="0"/>
          <w:sz w:val="21"/>
          <w:szCs w:val="21"/>
          <w:highlight w:val="none"/>
          <w:vertAlign w:val="baseline"/>
          <w:lang w:val="en-US" w:eastAsia="zh-CN" w:bidi="ar"/>
        </w:rPr>
        <w:t>1、得分出现绝对相等时，按照详细评审表中项目排序得分高低进行排序。</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2、本办法未列内容，不作为本次评审依据。</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依据财政部《关于印发《政府采购促进中小企业发展暂行办法》的通知》（财库〔2011〕181号）规定本项目对小型和微型企业产品的价格给予10%的扣除，用扣除后的价格参与评审，但参加本次采购活动的中小企业应当提供本办法规定的《中小企业声明函》。小型、微型企业提供中型企业制造的货物的，视同为中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依据《财政部司法部关于政府采购支持监狱企业发展有关问题的通知》文件规定，在政府采购活动中，监狱企业视同小型、微型企业，享受预留份额、评审中价格扣除等政府采购促进中小企业发展的政府采购政策。</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投标报价评审表：</w:t>
      </w:r>
    </w:p>
    <w:tbl>
      <w:tblPr>
        <w:tblStyle w:val="22"/>
        <w:tblW w:w="0" w:type="auto"/>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621"/>
        <w:gridCol w:w="851"/>
        <w:gridCol w:w="1069"/>
        <w:gridCol w:w="1176"/>
        <w:gridCol w:w="1058"/>
        <w:gridCol w:w="1090"/>
        <w:gridCol w:w="1145"/>
        <w:gridCol w:w="1145"/>
        <w:gridCol w:w="971"/>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719" w:hRule="atLeast"/>
          <w:jc w:val="center"/>
        </w:trPr>
        <w:tc>
          <w:tcPr>
            <w:tcW w:w="621"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序号</w:t>
            </w:r>
          </w:p>
        </w:tc>
        <w:tc>
          <w:tcPr>
            <w:tcW w:w="851"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eastAsia="zh-CN"/>
              </w:rPr>
            </w:pPr>
            <w:r>
              <w:rPr>
                <w:rFonts w:hint="eastAsia" w:ascii="宋体" w:hAnsi="宋体" w:cs="宋体"/>
                <w:caps w:val="0"/>
                <w:color w:val="auto"/>
                <w:sz w:val="21"/>
                <w:szCs w:val="21"/>
                <w:highlight w:val="none"/>
                <w:vertAlign w:val="baseline"/>
                <w:lang w:eastAsia="zh-CN"/>
              </w:rPr>
              <w:t>供应商</w:t>
            </w:r>
          </w:p>
        </w:tc>
        <w:tc>
          <w:tcPr>
            <w:tcW w:w="1069"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投标报价</w:t>
            </w:r>
          </w:p>
        </w:tc>
        <w:tc>
          <w:tcPr>
            <w:tcW w:w="22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纠正计算错误</w:t>
            </w:r>
          </w:p>
        </w:tc>
        <w:tc>
          <w:tcPr>
            <w:tcW w:w="1090"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小微企业价格优惠</w:t>
            </w:r>
          </w:p>
        </w:tc>
        <w:tc>
          <w:tcPr>
            <w:tcW w:w="1145"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监狱企业价格优惠</w:t>
            </w:r>
          </w:p>
        </w:tc>
        <w:tc>
          <w:tcPr>
            <w:tcW w:w="1145"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是否低于成本</w:t>
            </w:r>
          </w:p>
        </w:tc>
        <w:tc>
          <w:tcPr>
            <w:tcW w:w="971"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参与评标价格</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45" w:hRule="atLeast"/>
          <w:jc w:val="center"/>
        </w:trPr>
        <w:tc>
          <w:tcPr>
            <w:tcW w:w="621"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hint="eastAsia" w:ascii="宋体" w:hAnsi="宋体" w:eastAsia="宋体" w:cs="宋体"/>
                <w:sz w:val="24"/>
                <w:szCs w:val="24"/>
                <w:highlight w:val="none"/>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hint="eastAsia" w:ascii="宋体" w:hAnsi="宋体" w:eastAsia="宋体" w:cs="宋体"/>
                <w:sz w:val="24"/>
                <w:szCs w:val="24"/>
                <w:highlight w:val="none"/>
              </w:rPr>
            </w:pPr>
          </w:p>
        </w:tc>
        <w:tc>
          <w:tcPr>
            <w:tcW w:w="1069"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hint="eastAsia" w:ascii="宋体" w:hAnsi="宋体" w:eastAsia="宋体" w:cs="宋体"/>
                <w:sz w:val="24"/>
                <w:szCs w:val="24"/>
                <w:highlight w:val="none"/>
              </w:rPr>
            </w:pPr>
          </w:p>
        </w:tc>
        <w:tc>
          <w:tcPr>
            <w:tcW w:w="1176"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增加（十）</w:t>
            </w:r>
          </w:p>
        </w:tc>
        <w:tc>
          <w:tcPr>
            <w:tcW w:w="1058"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减少（一）</w:t>
            </w:r>
          </w:p>
        </w:tc>
        <w:tc>
          <w:tcPr>
            <w:tcW w:w="1090"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扣除</w:t>
            </w:r>
            <w:r>
              <w:rPr>
                <w:rFonts w:hint="eastAsia" w:ascii="宋体" w:hAnsi="宋体" w:cs="宋体"/>
                <w:caps w:val="0"/>
                <w:color w:val="auto"/>
                <w:sz w:val="21"/>
                <w:szCs w:val="21"/>
                <w:highlight w:val="none"/>
                <w:vertAlign w:val="baseline"/>
                <w:lang w:val="en-US" w:eastAsia="zh-CN"/>
              </w:rPr>
              <w:t>10</w:t>
            </w:r>
            <w:r>
              <w:rPr>
                <w:rFonts w:hint="eastAsia" w:ascii="宋体" w:hAnsi="宋体" w:eastAsia="宋体" w:cs="宋体"/>
                <w:caps w:val="0"/>
                <w:color w:val="auto"/>
                <w:sz w:val="21"/>
                <w:szCs w:val="21"/>
                <w:highlight w:val="none"/>
                <w:vertAlign w:val="baseline"/>
              </w:rPr>
              <w:t>%</w:t>
            </w:r>
          </w:p>
        </w:tc>
        <w:tc>
          <w:tcPr>
            <w:tcW w:w="1145"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扣除</w:t>
            </w:r>
            <w:r>
              <w:rPr>
                <w:rFonts w:hint="eastAsia" w:ascii="宋体" w:hAnsi="宋体" w:cs="宋体"/>
                <w:caps w:val="0"/>
                <w:color w:val="auto"/>
                <w:sz w:val="21"/>
                <w:szCs w:val="21"/>
                <w:highlight w:val="none"/>
                <w:vertAlign w:val="baseline"/>
                <w:lang w:val="en-US" w:eastAsia="zh-CN"/>
              </w:rPr>
              <w:t>10</w:t>
            </w:r>
            <w:r>
              <w:rPr>
                <w:rFonts w:hint="eastAsia" w:ascii="宋体" w:hAnsi="宋体" w:eastAsia="宋体" w:cs="宋体"/>
                <w:caps w:val="0"/>
                <w:color w:val="auto"/>
                <w:sz w:val="21"/>
                <w:szCs w:val="21"/>
                <w:highlight w:val="none"/>
                <w:vertAlign w:val="baseline"/>
              </w:rPr>
              <w:t>%</w:t>
            </w:r>
          </w:p>
        </w:tc>
        <w:tc>
          <w:tcPr>
            <w:tcW w:w="1145"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hint="eastAsia" w:ascii="宋体" w:hAnsi="宋体" w:eastAsia="宋体" w:cs="宋体"/>
                <w:sz w:val="24"/>
                <w:szCs w:val="24"/>
                <w:highlight w:val="none"/>
              </w:rPr>
            </w:pPr>
          </w:p>
        </w:tc>
        <w:tc>
          <w:tcPr>
            <w:tcW w:w="971"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812" w:hRule="atLeast"/>
          <w:jc w:val="center"/>
        </w:trPr>
        <w:tc>
          <w:tcPr>
            <w:tcW w:w="621"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851"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069"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176"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058"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090"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145"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145"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971"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40" w:hRule="atLeast"/>
          <w:jc w:val="center"/>
        </w:trPr>
        <w:tc>
          <w:tcPr>
            <w:tcW w:w="621"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851"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069"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176"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058"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090"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145" w:type="dxa"/>
            <w:tcBorders>
              <w:top w:val="single" w:color="auto" w:sz="4" w:space="0"/>
              <w:left w:val="single" w:color="auto" w:sz="4" w:space="0"/>
              <w:bottom w:val="single" w:color="auto" w:sz="4" w:space="0"/>
              <w:right w:val="single" w:color="auto" w:sz="4" w:space="0"/>
            </w:tcBorders>
            <w:shd w:val="clear" w:color="auto" w:fill="auto"/>
            <w:noWrap/>
            <w:vAlign w:val="top"/>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1145"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c>
          <w:tcPr>
            <w:tcW w:w="971" w:type="dxa"/>
            <w:tcBorders>
              <w:top w:val="single" w:color="auto" w:sz="4" w:space="0"/>
              <w:left w:val="single" w:color="auto" w:sz="4" w:space="0"/>
              <w:bottom w:val="single" w:color="auto" w:sz="4" w:space="0"/>
              <w:right w:val="single" w:color="auto" w:sz="4" w:space="0"/>
            </w:tcBorders>
            <w:shd w:val="clear" w:color="auto" w:fill="auto"/>
            <w:noWrap/>
            <w:vAlign w:val="center"/>
          </w:tcPr>
          <w:p>
            <w:pPr>
              <w:pStyle w:val="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p>
        </w:tc>
      </w:tr>
    </w:tbl>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00" w:firstLineChars="200"/>
        <w:jc w:val="left"/>
        <w:outlineLvl w:val="9"/>
        <w:rPr>
          <w:rFonts w:hint="eastAsia" w:ascii="宋体" w:hAnsi="宋体" w:eastAsia="宋体" w:cs="宋体"/>
          <w:caps w:val="0"/>
          <w:color w:val="auto"/>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评标委员会在评审时，价格分加分：</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（1）根据财库【2020】46号文件规定，对小型和微型企业的投标报价给予6%的价格扣除，并按照扣除后的价格参加评审。</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财政部司法部关于政府采购支持监狱企业发展有关问题的通知》文件规定，在政府采购活动中，监狱企业视同小型、微型企业，享受预留份额、评审中价格扣除等政府采购促进中小企业发展的政府采购政策。对监狱企业的投标报价给予6%的价格扣除，并按照扣除后的价格参加评审。</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3）价格扣除的依据：第（1）条提供中小企业声明函原件，第（2）条应当提供由省级以上监狱管理局、戒毒管理局(含新疆生产建设兵团)出具的属于监狱企业的证明文件原件。第（1）条与第（2）条政策不能叠加扣除。</w:t>
      </w:r>
    </w:p>
    <w:p>
      <w:pPr>
        <w:pStyle w:val="2"/>
        <w:numPr>
          <w:ilvl w:val="0"/>
          <w:numId w:val="0"/>
        </w:numPr>
        <w:rPr>
          <w:rFonts w:hint="eastAsia"/>
          <w:highlight w:val="none"/>
        </w:rPr>
      </w:pPr>
      <w:r>
        <w:rPr>
          <w:rFonts w:hint="eastAsia" w:ascii="宋体" w:hAnsi="宋体" w:eastAsia="宋体" w:cs="宋体"/>
          <w:b w:val="0"/>
          <w:bCs w:val="0"/>
          <w:caps w:val="0"/>
          <w:color w:val="auto"/>
          <w:kern w:val="0"/>
          <w:sz w:val="21"/>
          <w:szCs w:val="21"/>
          <w:highlight w:val="none"/>
          <w:vertAlign w:val="baseline"/>
          <w:lang w:val="en-US" w:eastAsia="zh-CN" w:bidi="ar"/>
        </w:rPr>
        <w:t>（4）中小企业认定标准：工信部联企业【2011】300号</w:t>
      </w: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rPr>
          <w:rFonts w:hint="eastAsia" w:ascii="Arial" w:hAnsi="宋体" w:eastAsia="黑体" w:cs="黑体"/>
          <w:b w:val="0"/>
          <w:bCs/>
          <w:caps w:val="0"/>
          <w:color w:val="auto"/>
          <w:kern w:val="0"/>
          <w:sz w:val="28"/>
          <w:szCs w:val="28"/>
          <w:highlight w:val="none"/>
          <w:vertAlign w:val="baseline"/>
          <w:lang w:val="en-US" w:eastAsia="zh-CN" w:bidi="ar"/>
        </w:rPr>
      </w:pPr>
      <w:r>
        <w:rPr>
          <w:rFonts w:hint="eastAsia" w:ascii="Arial" w:hAnsi="宋体" w:eastAsia="黑体" w:cs="黑体"/>
          <w:b w:val="0"/>
          <w:bCs/>
          <w:caps w:val="0"/>
          <w:color w:val="auto"/>
          <w:kern w:val="0"/>
          <w:sz w:val="28"/>
          <w:szCs w:val="28"/>
          <w:highlight w:val="none"/>
          <w:vertAlign w:val="baseline"/>
          <w:lang w:val="en-US"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宋体"/>
          <w:b/>
          <w:bCs/>
          <w:caps w:val="0"/>
          <w:color w:val="auto"/>
          <w:sz w:val="28"/>
          <w:szCs w:val="28"/>
          <w:highlight w:val="none"/>
          <w:vertAlign w:val="baseline"/>
        </w:rPr>
      </w:pPr>
      <w:r>
        <w:rPr>
          <w:rFonts w:hint="eastAsia" w:ascii="Arial" w:hAnsi="宋体" w:eastAsia="黑体" w:cs="黑体"/>
          <w:b w:val="0"/>
          <w:bCs/>
          <w:caps w:val="0"/>
          <w:color w:val="auto"/>
          <w:kern w:val="0"/>
          <w:sz w:val="28"/>
          <w:szCs w:val="28"/>
          <w:highlight w:val="none"/>
          <w:vertAlign w:val="baseline"/>
          <w:lang w:val="en-US" w:eastAsia="zh-CN" w:bidi="ar"/>
        </w:rPr>
        <w:t>附件：</w:t>
      </w:r>
      <w:r>
        <w:rPr>
          <w:rFonts w:hint="eastAsia" w:ascii="宋体" w:hAnsi="宋体" w:eastAsia="宋体" w:cs="宋体"/>
          <w:b/>
          <w:bCs/>
          <w:caps w:val="0"/>
          <w:color w:val="auto"/>
          <w:kern w:val="0"/>
          <w:sz w:val="28"/>
          <w:szCs w:val="28"/>
          <w:highlight w:val="none"/>
          <w:vertAlign w:val="baseline"/>
          <w:lang w:val="en-US" w:eastAsia="zh-CN" w:bidi="ar"/>
        </w:rPr>
        <w:t>关于印发《政府采购促进中小企业发展暂行办法》的通知</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宋体"/>
          <w:b/>
          <w:bCs/>
          <w:caps w:val="0"/>
          <w:color w:val="auto"/>
          <w:sz w:val="28"/>
          <w:szCs w:val="28"/>
          <w:highlight w:val="none"/>
          <w:vertAlign w:val="baseline"/>
        </w:rPr>
      </w:pPr>
      <w:r>
        <w:rPr>
          <w:rFonts w:hint="eastAsia" w:ascii="宋体" w:hAnsi="宋体" w:eastAsia="宋体" w:cs="宋体"/>
          <w:b/>
          <w:bCs/>
          <w:caps w:val="0"/>
          <w:color w:val="auto"/>
          <w:kern w:val="0"/>
          <w:sz w:val="28"/>
          <w:szCs w:val="28"/>
          <w:highlight w:val="none"/>
          <w:vertAlign w:val="baseline"/>
          <w:lang w:val="en-US" w:eastAsia="zh-CN" w:bidi="ar"/>
        </w:rPr>
        <w:t>财库〔2020〕46号</w:t>
      </w:r>
    </w:p>
    <w:p>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各中央预算单位办公厅（室），各省、自治区、直辖市、计划单列市财政厅（局）、工业和信息化主管部门，新疆生产建设兵团财政局、工业和信息化主管部门：</w:t>
      </w:r>
    </w:p>
    <w:p>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0"/>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附件：政府采购促进中小企业发展管理办法。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500" w:lineRule="exact"/>
        <w:ind w:left="0" w:right="0" w:firstLine="0"/>
        <w:jc w:val="left"/>
        <w:outlineLvl w:val="9"/>
        <w:rPr>
          <w:rFonts w:hint="eastAsia" w:ascii="宋体" w:hAnsi="宋体" w:eastAsia="宋体" w:cs="宋体"/>
          <w:caps w:val="0"/>
          <w:color w:val="auto"/>
          <w:sz w:val="20"/>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财政部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工业和信息化部</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z w:val="20"/>
          <w:szCs w:val="21"/>
          <w:highlight w:val="none"/>
          <w:vertAlign w:val="baseline"/>
        </w:rPr>
      </w:pPr>
      <w:r>
        <w:rPr>
          <w:rFonts w:hint="eastAsia" w:ascii="宋体" w:hAnsi="宋体" w:eastAsia="宋体" w:cs="宋体"/>
          <w:b w:val="0"/>
          <w:bCs w:val="0"/>
          <w:caps w:val="0"/>
          <w:color w:val="auto"/>
          <w:spacing w:val="7"/>
          <w:kern w:val="0"/>
          <w:sz w:val="21"/>
          <w:szCs w:val="21"/>
          <w:highlight w:val="none"/>
          <w:shd w:val="clear" w:fill="FFFFFF"/>
          <w:vertAlign w:val="baseline"/>
          <w:lang w:val="en-US" w:eastAsia="zh-CN" w:bidi="ar"/>
        </w:rPr>
        <w:t>2020年12月18日</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left"/>
        <w:outlineLvl w:val="9"/>
        <w:rPr>
          <w:rFonts w:hint="default" w:ascii="Arial" w:hAnsi="Arial" w:eastAsia="黑体" w:cs="Arial"/>
          <w:bCs/>
          <w:caps w:val="0"/>
          <w:color w:val="auto"/>
          <w:sz w:val="28"/>
          <w:szCs w:val="28"/>
          <w:highlight w:val="none"/>
          <w:vertAlign w:val="baseline"/>
        </w:rPr>
      </w:pPr>
    </w:p>
    <w:p>
      <w:pPr>
        <w:rPr>
          <w:rFonts w:hint="eastAsia" w:ascii="Arial" w:hAnsi="宋体" w:eastAsia="黑体" w:cs="黑体"/>
          <w:b w:val="0"/>
          <w:bCs/>
          <w:caps w:val="0"/>
          <w:color w:val="auto"/>
          <w:kern w:val="0"/>
          <w:sz w:val="28"/>
          <w:szCs w:val="28"/>
          <w:highlight w:val="none"/>
          <w:vertAlign w:val="baseline"/>
          <w:lang w:val="en-US" w:eastAsia="zh-CN" w:bidi="ar"/>
        </w:rPr>
      </w:pPr>
      <w:r>
        <w:rPr>
          <w:rFonts w:hint="eastAsia" w:ascii="Arial" w:hAnsi="宋体" w:eastAsia="黑体" w:cs="黑体"/>
          <w:b w:val="0"/>
          <w:bCs/>
          <w:caps w:val="0"/>
          <w:color w:val="auto"/>
          <w:kern w:val="0"/>
          <w:sz w:val="28"/>
          <w:szCs w:val="28"/>
          <w:highlight w:val="none"/>
          <w:vertAlign w:val="baseline"/>
          <w:lang w:val="en-US" w:eastAsia="zh-CN" w:bidi="ar"/>
        </w:rPr>
        <w:br w:type="page"/>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center"/>
        <w:outlineLvl w:val="9"/>
        <w:rPr>
          <w:rFonts w:hint="default" w:ascii="Arial" w:hAnsi="Arial" w:eastAsia="黑体" w:cs="Arial"/>
          <w:bCs/>
          <w:caps w:val="0"/>
          <w:color w:val="auto"/>
          <w:sz w:val="28"/>
          <w:szCs w:val="28"/>
          <w:highlight w:val="none"/>
          <w:vertAlign w:val="baseline"/>
        </w:rPr>
      </w:pPr>
      <w:r>
        <w:rPr>
          <w:rFonts w:hint="eastAsia" w:ascii="Arial" w:hAnsi="宋体" w:eastAsia="黑体" w:cs="黑体"/>
          <w:b w:val="0"/>
          <w:bCs/>
          <w:caps w:val="0"/>
          <w:color w:val="auto"/>
          <w:kern w:val="0"/>
          <w:sz w:val="28"/>
          <w:szCs w:val="28"/>
          <w:highlight w:val="none"/>
          <w:vertAlign w:val="baseline"/>
          <w:lang w:val="en-US" w:eastAsia="zh-CN" w:bidi="ar"/>
        </w:rPr>
        <w:t>政府采购促进中小企业发展管理办法</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第一条　</w:t>
      </w:r>
      <w:r>
        <w:rPr>
          <w:rFonts w:hint="eastAsia" w:ascii="宋体" w:hAnsi="宋体" w:eastAsia="宋体" w:cs="宋体"/>
          <w:caps w:val="0"/>
          <w:color w:val="auto"/>
          <w:spacing w:val="7"/>
          <w:sz w:val="21"/>
          <w:szCs w:val="21"/>
          <w:highlight w:val="none"/>
          <w:vertAlign w:val="baseline"/>
          <w:lang w:bidi="ar"/>
        </w:rPr>
        <w:t>为了发挥政府采购的政策功能，促进中小企业健康发展，根据《中华人民共和国政府采购法》、《中华人民共和国中小企业促进法》等有关法律法规，制定本办法。</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第二条　</w:t>
      </w:r>
      <w:r>
        <w:rPr>
          <w:rFonts w:hint="eastAsia" w:ascii="宋体" w:hAnsi="宋体" w:eastAsia="宋体" w:cs="宋体"/>
          <w:caps w:val="0"/>
          <w:color w:val="auto"/>
          <w:spacing w:val="7"/>
          <w:sz w:val="21"/>
          <w:szCs w:val="21"/>
          <w:highlight w:val="none"/>
          <w:vertAlign w:val="baseline"/>
          <w:lang w:bidi="ar"/>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符合中小企业划分标准的个体工商户，在政府采购活动中视同中小企业。</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第三条　</w:t>
      </w:r>
      <w:r>
        <w:rPr>
          <w:rFonts w:hint="eastAsia" w:ascii="宋体" w:hAnsi="宋体" w:eastAsia="宋体" w:cs="宋体"/>
          <w:caps w:val="0"/>
          <w:color w:val="auto"/>
          <w:spacing w:val="7"/>
          <w:sz w:val="21"/>
          <w:szCs w:val="21"/>
          <w:highlight w:val="none"/>
          <w:vertAlign w:val="baseline"/>
          <w:lang w:bidi="ar"/>
        </w:rPr>
        <w:t>采购人在政府采购活动中应当通过加强采购需求管理，落实预留采购份额、价格评审优惠、优先采购等措施，提高中小企业在政府采购中的份额，支持中小企业发展。</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第四条　</w:t>
      </w:r>
      <w:r>
        <w:rPr>
          <w:rFonts w:hint="eastAsia" w:ascii="宋体" w:hAnsi="宋体" w:eastAsia="宋体" w:cs="宋体"/>
          <w:caps w:val="0"/>
          <w:color w:val="auto"/>
          <w:spacing w:val="7"/>
          <w:sz w:val="21"/>
          <w:szCs w:val="21"/>
          <w:highlight w:val="none"/>
          <w:vertAlign w:val="baseline"/>
          <w:lang w:bidi="ar"/>
        </w:rPr>
        <w:t>在政府采购活动中，供应商提供的货物、工程或者服务符合下列情形的，享受本办法规定的中小企业扶持政策：</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（一）在货物采购项目中，货物由中小企业制造，即货物由中小企业生产且使用该中小企业商号或者注册商标；</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（二）在工程采购项目中，工程由中小企业承建，即工程施工单位为中小企业；</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（三）在服务采购项目中，服务由中小企业承接，即提供服务的人员为中小企业依照《中华人民共和国劳动合同法》订立劳动合同的从业人员。</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在货物采购项目中，供应商提供的货物既有中小企业制造货物，也有大型企业制造货物的，不享受本办法规定的中小企业扶持政策。</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0"/>
          <w:szCs w:val="20"/>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以联合体形式参加政府采购活动，联合体各方均为中小企业的，联合体视同中小企业。其中，联合体各方均为小微企业的，联合体视同小微企业。</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第五条　</w:t>
      </w:r>
      <w:r>
        <w:rPr>
          <w:rFonts w:hint="eastAsia" w:ascii="宋体" w:hAnsi="宋体" w:eastAsia="宋体" w:cs="宋体"/>
          <w:caps w:val="0"/>
          <w:color w:val="auto"/>
          <w:spacing w:val="7"/>
          <w:sz w:val="21"/>
          <w:szCs w:val="21"/>
          <w:highlight w:val="none"/>
          <w:vertAlign w:val="baseline"/>
          <w:lang w:bidi="ar"/>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第六条</w:t>
      </w:r>
      <w:r>
        <w:rPr>
          <w:rFonts w:hint="eastAsia" w:ascii="宋体" w:hAnsi="宋体" w:eastAsia="宋体" w:cs="宋体"/>
          <w:caps w:val="0"/>
          <w:color w:val="auto"/>
          <w:spacing w:val="7"/>
          <w:sz w:val="21"/>
          <w:szCs w:val="21"/>
          <w:highlight w:val="none"/>
          <w:vertAlign w:val="baseline"/>
          <w:lang w:bidi="ar"/>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符合下列情形之一的，可不专门面向中小企业预留采购份额：</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（一）法律法规和国家有关政策明确规定优先或者应当面向事业单位、社会组织等非企业主体采购的；</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（二）因确需使用不可替代的专利、专有技术，基础设施限制，或者提供特定公共服务等原因，只能从中小企业之外的供应商处采购的；</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（三）按照本办法规定预留采购份额无法确保充分供应、充分竞争，或者存在可能影响政府采购目标实现的情形；</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（四）框架协议采购项目；</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（五）省级以上人民政府财政部门规定的其他情形。</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除上述情形外，其他均为适宜由中小企业提供的情形。</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第七条　</w:t>
      </w:r>
      <w:r>
        <w:rPr>
          <w:rFonts w:hint="eastAsia" w:ascii="宋体" w:hAnsi="宋体" w:eastAsia="宋体" w:cs="宋体"/>
          <w:caps w:val="0"/>
          <w:color w:val="auto"/>
          <w:spacing w:val="7"/>
          <w:sz w:val="21"/>
          <w:szCs w:val="21"/>
          <w:highlight w:val="none"/>
          <w:vertAlign w:val="baseline"/>
          <w:lang w:bidi="ar"/>
        </w:rPr>
        <w:t>采购限额标准以上，200万元以下的货物和服务采购项目、400万元以下的工程采购项目，适宜由中小企业提供的，采购人应当专门面向中小企业采购。</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第八条</w:t>
      </w:r>
      <w:r>
        <w:rPr>
          <w:rFonts w:hint="eastAsia" w:ascii="宋体" w:hAnsi="宋体" w:eastAsia="宋体" w:cs="宋体"/>
          <w:caps w:val="0"/>
          <w:color w:val="auto"/>
          <w:spacing w:val="7"/>
          <w:sz w:val="21"/>
          <w:szCs w:val="21"/>
          <w:highlight w:val="none"/>
          <w:vertAlign w:val="baseline"/>
          <w:lang w:bidi="ar"/>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（一）将采购项目整体或者设置采购包专门面向中小企业采购；</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（二）要求供应商以联合体形式参加采购活动，且联合体中中小企业承担的部分达到一定比例；</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（三）要求获得采购合同的供应商将采购项目中的一定比例分包给一家或者多家中小企业。</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组成联合体或者接受分包合同的中小企业与联合体内其他企业、分包企业之间不得存在直接控股、管理关系。</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第九条　</w:t>
      </w:r>
      <w:r>
        <w:rPr>
          <w:rFonts w:hint="eastAsia" w:ascii="宋体" w:hAnsi="宋体" w:eastAsia="宋体" w:cs="宋体"/>
          <w:caps w:val="0"/>
          <w:color w:val="auto"/>
          <w:spacing w:val="7"/>
          <w:sz w:val="21"/>
          <w:szCs w:val="21"/>
          <w:highlight w:val="none"/>
          <w:vertAlign w:val="baseline"/>
          <w:lang w:bidi="ar"/>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第十条　</w:t>
      </w:r>
      <w:r>
        <w:rPr>
          <w:rFonts w:hint="eastAsia" w:ascii="宋体" w:hAnsi="宋体" w:eastAsia="宋体" w:cs="宋体"/>
          <w:caps w:val="0"/>
          <w:color w:val="auto"/>
          <w:spacing w:val="7"/>
          <w:sz w:val="21"/>
          <w:szCs w:val="21"/>
          <w:highlight w:val="none"/>
          <w:vertAlign w:val="baseline"/>
          <w:lang w:bidi="ar"/>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第十一条　</w:t>
      </w:r>
      <w:r>
        <w:rPr>
          <w:rFonts w:hint="eastAsia" w:ascii="宋体" w:hAnsi="宋体" w:eastAsia="宋体" w:cs="宋体"/>
          <w:caps w:val="0"/>
          <w:color w:val="auto"/>
          <w:spacing w:val="7"/>
          <w:sz w:val="21"/>
          <w:szCs w:val="21"/>
          <w:highlight w:val="none"/>
          <w:vertAlign w:val="baseline"/>
          <w:lang w:bidi="ar"/>
        </w:rPr>
        <w:t>中小企业参加政府采购活动，应当出具本办法规定的《中小企业声明函》（附1），否则不得享受相关中小企业扶持政策。任何单位和个人不得要求供应商提供《中小企业声明函》之外的中小企业身份证明文件。</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第十二条　</w:t>
      </w:r>
      <w:r>
        <w:rPr>
          <w:rFonts w:hint="eastAsia" w:ascii="宋体" w:hAnsi="宋体" w:eastAsia="宋体" w:cs="宋体"/>
          <w:caps w:val="0"/>
          <w:color w:val="auto"/>
          <w:spacing w:val="7"/>
          <w:sz w:val="21"/>
          <w:szCs w:val="21"/>
          <w:highlight w:val="none"/>
          <w:vertAlign w:val="baseline"/>
          <w:lang w:bidi="ar"/>
        </w:rPr>
        <w:t>采购项目涉及中小企业采购的，采购文件应当明确以下内容：</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（一）预留份额的采购项目或者采购包，明确该项目或相关采购包专门面向中小企业采购，以及相关标的及预算金额；</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（二）要求以联合体形式参加或者合同分包的，明确联合协议或者分包意向协议中中小企业合同金额应当达到的比例，并作为供应商资格条件；</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（三）非预留份额的采购项目或者采购包，明确有关价格扣除比例或者价格分加分比例；</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（四）规定依据本办法规定享受扶持政策获得政府采购合同的，小微企业不得将合同分包给大中型企业，中型企业不得将合同分包给大型企业；</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（五）采购人认为具备相关条件的，明确对中小企业在资金支付期限、预付款比例等方面的优惠措施；</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（六）明确采购标的对应的中小企业划分标准所属行业；</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（七）法律法规和省级以上人民政府财政部门规定的其他事项。</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第十三条　</w:t>
      </w:r>
      <w:r>
        <w:rPr>
          <w:rFonts w:hint="eastAsia" w:ascii="宋体" w:hAnsi="宋体" w:eastAsia="宋体" w:cs="宋体"/>
          <w:caps w:val="0"/>
          <w:color w:val="auto"/>
          <w:spacing w:val="7"/>
          <w:sz w:val="21"/>
          <w:szCs w:val="21"/>
          <w:highlight w:val="none"/>
          <w:vertAlign w:val="baseline"/>
          <w:lang w:bidi="ar"/>
        </w:rPr>
        <w:t>中标、成交供应商享受本办法规定的中小企业扶持政策的，采购人、采购代理机构应当随中标、成交结果公开中标、成交供应商的《中小企业声明函》。</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适用招标投标法的政府采购工程建设项目，应当在公示中标候选人时公开中标候选人的《中小企业声明函》。</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第十四条</w:t>
      </w:r>
      <w:r>
        <w:rPr>
          <w:rFonts w:hint="eastAsia" w:ascii="宋体" w:hAnsi="宋体" w:eastAsia="宋体" w:cs="宋体"/>
          <w:caps w:val="0"/>
          <w:color w:val="auto"/>
          <w:spacing w:val="7"/>
          <w:sz w:val="21"/>
          <w:szCs w:val="21"/>
          <w:highlight w:val="none"/>
          <w:vertAlign w:val="baseline"/>
          <w:lang w:bidi="ar"/>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第十五条　</w:t>
      </w:r>
      <w:r>
        <w:rPr>
          <w:rFonts w:hint="eastAsia" w:ascii="宋体" w:hAnsi="宋体" w:eastAsia="宋体" w:cs="宋体"/>
          <w:caps w:val="0"/>
          <w:color w:val="auto"/>
          <w:spacing w:val="7"/>
          <w:sz w:val="21"/>
          <w:szCs w:val="21"/>
          <w:highlight w:val="none"/>
          <w:vertAlign w:val="baseline"/>
          <w:lang w:bidi="ar"/>
        </w:rPr>
        <w:t>鼓励各地区、各部门在采购活动中允许中小企业引入信用担保手段，为中小企业在投标（响应）保证、履约保证等方面提供专业化服务。鼓励中小企业依法合规通过政府采购合同融资。</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第十六条　</w:t>
      </w:r>
      <w:r>
        <w:rPr>
          <w:rFonts w:hint="eastAsia" w:ascii="宋体" w:hAnsi="宋体" w:eastAsia="宋体" w:cs="宋体"/>
          <w:caps w:val="0"/>
          <w:color w:val="auto"/>
          <w:spacing w:val="7"/>
          <w:sz w:val="21"/>
          <w:szCs w:val="21"/>
          <w:highlight w:val="none"/>
          <w:vertAlign w:val="baseline"/>
          <w:lang w:bidi="ar"/>
        </w:rPr>
        <w:t>政府采购监督检查、投诉处理及政府采购行政处罚中对中小企业的认定，由货物制造商或者工程、服务供应商注册登记所在地的县级以上人民政府中小企业主管部门负责。</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中小企业主管部门应当在收到财政部门或者有关招标投标行政监督部门关于协助开展中小企业认定函后10个工作日内做出书面答复。</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第十七条　</w:t>
      </w:r>
      <w:r>
        <w:rPr>
          <w:rFonts w:hint="eastAsia" w:ascii="宋体" w:hAnsi="宋体" w:eastAsia="宋体" w:cs="宋体"/>
          <w:caps w:val="0"/>
          <w:color w:val="auto"/>
          <w:spacing w:val="7"/>
          <w:sz w:val="21"/>
          <w:szCs w:val="21"/>
          <w:highlight w:val="none"/>
          <w:vertAlign w:val="baseline"/>
          <w:lang w:bidi="ar"/>
        </w:rPr>
        <w:t>各地区、各部门应当对涉及中小企业采购的预算项目实施全过程绩效管理，合理设置绩效目标和指标，落实扶持中小企业有关政策要求，定期开展绩效监控和评价，强化绩效评价结果应用。</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第十八条　</w:t>
      </w:r>
      <w:r>
        <w:rPr>
          <w:rFonts w:hint="eastAsia" w:ascii="宋体" w:hAnsi="宋体" w:eastAsia="宋体" w:cs="宋体"/>
          <w:caps w:val="0"/>
          <w:color w:val="auto"/>
          <w:spacing w:val="7"/>
          <w:sz w:val="21"/>
          <w:szCs w:val="21"/>
          <w:highlight w:val="none"/>
          <w:vertAlign w:val="baseline"/>
          <w:lang w:bidi="ar"/>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第十九条</w:t>
      </w:r>
      <w:r>
        <w:rPr>
          <w:rFonts w:hint="eastAsia" w:ascii="宋体" w:hAnsi="宋体" w:eastAsia="宋体" w:cs="宋体"/>
          <w:caps w:val="0"/>
          <w:color w:val="auto"/>
          <w:spacing w:val="7"/>
          <w:sz w:val="21"/>
          <w:szCs w:val="21"/>
          <w:highlight w:val="none"/>
          <w:vertAlign w:val="baseline"/>
          <w:lang w:bidi="ar"/>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第二十条</w:t>
      </w:r>
      <w:r>
        <w:rPr>
          <w:rFonts w:hint="eastAsia" w:ascii="宋体" w:hAnsi="宋体" w:eastAsia="宋体" w:cs="宋体"/>
          <w:caps w:val="0"/>
          <w:color w:val="auto"/>
          <w:spacing w:val="7"/>
          <w:sz w:val="21"/>
          <w:szCs w:val="21"/>
          <w:highlight w:val="none"/>
          <w:vertAlign w:val="baseline"/>
          <w:lang w:bidi="ar"/>
        </w:rPr>
        <w:t>　供应商按照本办法规定提供声明函内容不实的，属于提供虚假材料谋取中标、成交，依照《中华人民共和国政府采购法》等国家有关规定追究相应责任。</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适用招标投标法的政府采购工程建设项目，</w:t>
      </w:r>
      <w:r>
        <w:rPr>
          <w:rFonts w:hint="eastAsia" w:ascii="宋体" w:hAnsi="宋体" w:cs="宋体"/>
          <w:caps w:val="0"/>
          <w:color w:val="auto"/>
          <w:spacing w:val="7"/>
          <w:sz w:val="21"/>
          <w:szCs w:val="21"/>
          <w:highlight w:val="none"/>
          <w:vertAlign w:val="baseline"/>
          <w:lang w:eastAsia="zh-CN" w:bidi="ar"/>
        </w:rPr>
        <w:t>供应商</w:t>
      </w:r>
      <w:r>
        <w:rPr>
          <w:rFonts w:hint="eastAsia" w:ascii="宋体" w:hAnsi="宋体" w:eastAsia="宋体" w:cs="宋体"/>
          <w:caps w:val="0"/>
          <w:color w:val="auto"/>
          <w:spacing w:val="7"/>
          <w:sz w:val="21"/>
          <w:szCs w:val="21"/>
          <w:highlight w:val="none"/>
          <w:vertAlign w:val="baseline"/>
          <w:lang w:bidi="ar"/>
        </w:rPr>
        <w:t>按照本办法规定提供声明函内容不实的，属于弄虚作假骗取中标，依照《中华人民共和国招标投标法》等国家有关规定追究相应责任。</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第二十一条　</w:t>
      </w:r>
      <w:r>
        <w:rPr>
          <w:rFonts w:hint="eastAsia" w:ascii="宋体" w:hAnsi="宋体" w:eastAsia="宋体" w:cs="宋体"/>
          <w:caps w:val="0"/>
          <w:color w:val="auto"/>
          <w:spacing w:val="7"/>
          <w:sz w:val="21"/>
          <w:szCs w:val="21"/>
          <w:highlight w:val="none"/>
          <w:vertAlign w:val="baseline"/>
          <w:lang w:bidi="ar"/>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第二十二条</w:t>
      </w:r>
      <w:r>
        <w:rPr>
          <w:rFonts w:hint="eastAsia" w:ascii="宋体" w:hAnsi="宋体" w:eastAsia="宋体" w:cs="宋体"/>
          <w:caps w:val="0"/>
          <w:color w:val="auto"/>
          <w:spacing w:val="7"/>
          <w:sz w:val="21"/>
          <w:szCs w:val="21"/>
          <w:highlight w:val="none"/>
          <w:vertAlign w:val="baseline"/>
          <w:lang w:bidi="ar"/>
        </w:rPr>
        <w:t>　对外援助项目、国家相关资格或者资质管理制度另有规定的项目，不适用本办法。</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第二十三条　</w:t>
      </w:r>
      <w:r>
        <w:rPr>
          <w:rFonts w:hint="eastAsia" w:ascii="宋体" w:hAnsi="宋体" w:eastAsia="宋体" w:cs="宋体"/>
          <w:caps w:val="0"/>
          <w:color w:val="auto"/>
          <w:spacing w:val="7"/>
          <w:sz w:val="21"/>
          <w:szCs w:val="21"/>
          <w:highlight w:val="none"/>
          <w:vertAlign w:val="baseline"/>
          <w:lang w:bidi="ar"/>
        </w:rPr>
        <w:t>关于视同中小企业的其他主体的政府采购扶持政策，由财政部会同有关部门另行规定。</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第二十四条</w:t>
      </w:r>
      <w:r>
        <w:rPr>
          <w:rFonts w:hint="eastAsia" w:ascii="宋体" w:hAnsi="宋体" w:eastAsia="宋体" w:cs="宋体"/>
          <w:caps w:val="0"/>
          <w:color w:val="auto"/>
          <w:spacing w:val="7"/>
          <w:sz w:val="21"/>
          <w:szCs w:val="21"/>
          <w:highlight w:val="none"/>
          <w:vertAlign w:val="baseline"/>
          <w:lang w:bidi="ar"/>
        </w:rPr>
        <w:t>　省级财政部门可以会同中小企业主管部门根据本办法的规定制定具体实施办法。</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第二十五条</w:t>
      </w:r>
      <w:r>
        <w:rPr>
          <w:rFonts w:hint="eastAsia" w:ascii="宋体" w:hAnsi="宋体" w:eastAsia="宋体" w:cs="宋体"/>
          <w:caps w:val="0"/>
          <w:color w:val="auto"/>
          <w:spacing w:val="7"/>
          <w:sz w:val="21"/>
          <w:szCs w:val="21"/>
          <w:highlight w:val="none"/>
          <w:vertAlign w:val="baseline"/>
          <w:lang w:bidi="ar"/>
        </w:rPr>
        <w:t>　本办法自2021年1月1日起施行。《财政部工业和信息化部关于印发〈政府采购促进中小企业发展暂行办法〉的通知》（财库﹝2011﹞181号）同时废止。</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bCs/>
          <w:caps w:val="0"/>
          <w:color w:val="auto"/>
          <w:spacing w:val="7"/>
          <w:sz w:val="21"/>
          <w:szCs w:val="21"/>
          <w:highlight w:val="none"/>
          <w:vertAlign w:val="baseline"/>
          <w:lang w:bidi="ar"/>
        </w:rPr>
        <w:t>附：</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1.中小企业声明函</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2.面向中小企业预留项目执行情况公告</w:t>
      </w:r>
    </w:p>
    <w:p>
      <w:pPr>
        <w:pStyle w:val="18"/>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20" w:firstLineChars="200"/>
        <w:jc w:val="both"/>
        <w:outlineLvl w:val="9"/>
        <w:rPr>
          <w:rFonts w:hint="default" w:ascii="Times New Roman" w:hAnsi="Times New Roman" w:eastAsia="宋体" w:cs="宋体"/>
          <w:caps w:val="0"/>
          <w:color w:val="auto"/>
          <w:sz w:val="21"/>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00" w:firstLineChars="200"/>
        <w:jc w:val="left"/>
        <w:outlineLvl w:val="9"/>
        <w:rPr>
          <w:rFonts w:hint="eastAsia" w:ascii="宋体" w:hAnsi="宋体" w:eastAsia="宋体" w:cs="宋体"/>
          <w:bCs/>
          <w:caps w:val="0"/>
          <w:color w:val="auto"/>
          <w:sz w:val="20"/>
          <w:szCs w:val="21"/>
          <w:highlight w:val="none"/>
          <w:vertAlign w:val="baseline"/>
          <w:lang w:val="zh-CN" w:eastAsia="zh-CN" w:bidi="ar"/>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0"/>
        <w:jc w:val="both"/>
        <w:textAlignment w:val="baseline"/>
        <w:outlineLvl w:val="9"/>
        <w:rPr>
          <w:rFonts w:hint="default" w:ascii="Times New Roman" w:hAnsi="Times New Roman" w:eastAsia="宋体" w:cs="Times New Roman"/>
          <w:caps w:val="0"/>
          <w:color w:val="auto"/>
          <w:sz w:val="28"/>
          <w:szCs w:val="28"/>
          <w:highlight w:val="none"/>
          <w:vertAlign w:val="baseline"/>
        </w:rPr>
      </w:pPr>
    </w:p>
    <w:p>
      <w:pPr>
        <w:rPr>
          <w:rFonts w:hint="eastAsia" w:ascii="宋体" w:hAnsi="宋体" w:eastAsia="宋体" w:cs="宋体"/>
          <w:b w:val="0"/>
          <w:bCs w:val="0"/>
          <w:caps w:val="0"/>
          <w:color w:val="auto"/>
          <w:sz w:val="21"/>
          <w:szCs w:val="21"/>
          <w:highlight w:val="none"/>
          <w:vertAlign w:val="baseline"/>
        </w:rPr>
      </w:pPr>
      <w:bookmarkStart w:id="92" w:name="_Toc77167164"/>
      <w:bookmarkStart w:id="93" w:name="_Toc63327630"/>
      <w:r>
        <w:rPr>
          <w:rFonts w:hint="eastAsia" w:ascii="宋体" w:hAnsi="宋体" w:eastAsia="宋体" w:cs="宋体"/>
          <w:b w:val="0"/>
          <w:bCs w:val="0"/>
          <w:caps w:val="0"/>
          <w:color w:val="auto"/>
          <w:sz w:val="21"/>
          <w:szCs w:val="21"/>
          <w:highlight w:val="none"/>
          <w:vertAlign w:val="baseline"/>
        </w:rPr>
        <w:br w:type="page"/>
      </w:r>
    </w:p>
    <w:p>
      <w:pPr>
        <w:pStyle w:val="3"/>
        <w:keepNext w:val="0"/>
        <w:keepLines w:val="0"/>
        <w:pageBreakBefore w:val="0"/>
        <w:widowControl w:val="0"/>
        <w:suppressLineNumbers w:val="0"/>
        <w:suppressAutoHyphens w:val="0"/>
        <w:kinsoku/>
        <w:wordWrap/>
        <w:overflowPunct/>
        <w:topLinePunct w:val="0"/>
        <w:autoSpaceDE/>
        <w:autoSpaceDN w:val="0"/>
        <w:bidi w:val="0"/>
        <w:adjustRightInd/>
        <w:snapToGrid/>
        <w:spacing w:before="162" w:beforeAutospacing="0" w:after="330" w:afterAutospacing="0" w:line="360" w:lineRule="auto"/>
        <w:ind w:left="0" w:right="0" w:firstLine="0"/>
        <w:jc w:val="left"/>
        <w:outlineLvl w:val="0"/>
        <w:rPr>
          <w:rFonts w:hint="eastAsia" w:ascii="宋体" w:hAnsi="宋体" w:eastAsia="宋体" w:cs="宋体"/>
          <w:b w:val="0"/>
          <w:bCs w:val="0"/>
          <w:caps w:val="0"/>
          <w:color w:val="auto"/>
          <w:sz w:val="21"/>
          <w:szCs w:val="21"/>
          <w:highlight w:val="none"/>
          <w:vertAlign w:val="baseline"/>
        </w:rPr>
      </w:pPr>
      <w:r>
        <w:rPr>
          <w:rFonts w:hint="eastAsia" w:ascii="宋体" w:hAnsi="宋体" w:eastAsia="宋体" w:cs="宋体"/>
          <w:b w:val="0"/>
          <w:bCs w:val="0"/>
          <w:caps w:val="0"/>
          <w:color w:val="auto"/>
          <w:sz w:val="21"/>
          <w:szCs w:val="21"/>
          <w:highlight w:val="none"/>
          <w:vertAlign w:val="baseline"/>
        </w:rPr>
        <w:t>附1</w:t>
      </w:r>
      <w:bookmarkEnd w:id="92"/>
      <w:bookmarkEnd w:id="93"/>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sz w:val="30"/>
          <w:szCs w:val="30"/>
          <w:highlight w:val="none"/>
          <w:vertAlign w:val="baseline"/>
          <w:lang w:bidi="ar"/>
        </w:rPr>
      </w:pPr>
      <w:r>
        <w:rPr>
          <w:rFonts w:hint="eastAsia" w:ascii="宋体" w:hAnsi="宋体" w:eastAsia="宋体" w:cs="宋体"/>
          <w:b/>
          <w:bCs/>
          <w:caps w:val="0"/>
          <w:color w:val="auto"/>
          <w:kern w:val="0"/>
          <w:sz w:val="30"/>
          <w:szCs w:val="30"/>
          <w:highlight w:val="none"/>
          <w:vertAlign w:val="baseline"/>
          <w:lang w:val="en-US" w:eastAsia="zh-CN" w:bidi="ar"/>
        </w:rPr>
        <w:t>中小企业声明函（服务）</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630" w:firstLineChars="3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本公司（联合体）郑重声明，根据《政府采购促进中小 企业发展管理办法》（财库﹝2020﹞46 号）的规定，本公司 （联合体）参加</w:t>
      </w:r>
      <w:r>
        <w:rPr>
          <w:rFonts w:hint="eastAsia" w:ascii="宋体" w:hAnsi="宋体" w:eastAsia="宋体" w:cs="宋体"/>
          <w:b w:val="0"/>
          <w:bCs w:val="0"/>
          <w:caps w:val="0"/>
          <w:color w:val="auto"/>
          <w:kern w:val="0"/>
          <w:sz w:val="21"/>
          <w:szCs w:val="21"/>
          <w:highlight w:val="none"/>
          <w:u w:val="single"/>
          <w:vertAlign w:val="baseline"/>
          <w:lang w:val="en-US" w:eastAsia="zh-CN" w:bidi="ar"/>
        </w:rPr>
        <w:t>（单位名称）</w:t>
      </w:r>
      <w:r>
        <w:rPr>
          <w:rFonts w:hint="eastAsia" w:ascii="宋体" w:hAnsi="宋体" w:eastAsia="宋体" w:cs="宋体"/>
          <w:b w:val="0"/>
          <w:bCs w:val="0"/>
          <w:caps w:val="0"/>
          <w:color w:val="auto"/>
          <w:kern w:val="0"/>
          <w:sz w:val="21"/>
          <w:szCs w:val="21"/>
          <w:highlight w:val="none"/>
          <w:vertAlign w:val="baseline"/>
          <w:lang w:val="en-US" w:eastAsia="zh-CN" w:bidi="ar"/>
        </w:rPr>
        <w:t>的</w:t>
      </w:r>
      <w:r>
        <w:rPr>
          <w:rFonts w:hint="eastAsia" w:ascii="宋体" w:hAnsi="宋体" w:eastAsia="宋体" w:cs="宋体"/>
          <w:b w:val="0"/>
          <w:bCs w:val="0"/>
          <w:caps w:val="0"/>
          <w:color w:val="auto"/>
          <w:kern w:val="0"/>
          <w:sz w:val="21"/>
          <w:szCs w:val="21"/>
          <w:highlight w:val="none"/>
          <w:u w:val="single"/>
          <w:vertAlign w:val="baseline"/>
          <w:lang w:val="en-US" w:eastAsia="zh-CN" w:bidi="ar"/>
        </w:rPr>
        <w:t>（项目名称）</w:t>
      </w:r>
      <w:r>
        <w:rPr>
          <w:rFonts w:hint="eastAsia" w:ascii="宋体" w:hAnsi="宋体" w:eastAsia="宋体" w:cs="宋体"/>
          <w:b w:val="0"/>
          <w:bCs w:val="0"/>
          <w:caps w:val="0"/>
          <w:color w:val="auto"/>
          <w:kern w:val="0"/>
          <w:sz w:val="21"/>
          <w:szCs w:val="21"/>
          <w:highlight w:val="none"/>
          <w:vertAlign w:val="baseline"/>
          <w:lang w:val="en-US" w:eastAsia="zh-CN" w:bidi="ar"/>
        </w:rPr>
        <w:t>采购活动，提供的货物全部由符合政策要求的中小企业制造。相关企业 （含联合体中的中小企业、签订分包意向协议的中小企业） 的具体情况如下：</w:t>
      </w:r>
    </w:p>
    <w:p>
      <w:pPr>
        <w:keepNext w:val="0"/>
        <w:keepLines w:val="0"/>
        <w:pageBreakBefore w:val="0"/>
        <w:widowControl/>
        <w:numPr>
          <w:ilvl w:val="0"/>
          <w:numId w:val="5"/>
        </w:numPr>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630" w:firstLineChars="3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u w:val="single"/>
          <w:vertAlign w:val="baseline"/>
          <w:lang w:val="en-US" w:eastAsia="zh-CN" w:bidi="ar"/>
        </w:rPr>
        <w:t>（标的名称）</w:t>
      </w:r>
      <w:r>
        <w:rPr>
          <w:rFonts w:hint="eastAsia" w:ascii="宋体" w:hAnsi="宋体" w:eastAsia="宋体" w:cs="宋体"/>
          <w:b w:val="0"/>
          <w:bCs w:val="0"/>
          <w:caps w:val="0"/>
          <w:color w:val="auto"/>
          <w:kern w:val="0"/>
          <w:sz w:val="21"/>
          <w:szCs w:val="21"/>
          <w:highlight w:val="none"/>
          <w:vertAlign w:val="baseline"/>
          <w:lang w:val="en-US" w:eastAsia="zh-CN" w:bidi="ar"/>
        </w:rPr>
        <w:t xml:space="preserve"> ，属于</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行业；制造商为</w:t>
      </w:r>
      <w:r>
        <w:rPr>
          <w:rFonts w:hint="eastAsia" w:ascii="宋体" w:hAnsi="宋体" w:eastAsia="宋体" w:cs="宋体"/>
          <w:b w:val="0"/>
          <w:bCs w:val="0"/>
          <w:caps w:val="0"/>
          <w:color w:val="auto"/>
          <w:kern w:val="0"/>
          <w:sz w:val="21"/>
          <w:szCs w:val="21"/>
          <w:highlight w:val="none"/>
          <w:u w:val="single"/>
          <w:vertAlign w:val="baseline"/>
          <w:lang w:val="en-US" w:eastAsia="zh-CN" w:bidi="ar"/>
        </w:rPr>
        <w:t>（企业名称）</w:t>
      </w:r>
      <w:r>
        <w:rPr>
          <w:rFonts w:hint="eastAsia" w:ascii="宋体" w:hAnsi="宋体" w:eastAsia="宋体" w:cs="宋体"/>
          <w:b w:val="0"/>
          <w:bCs w:val="0"/>
          <w:caps w:val="0"/>
          <w:color w:val="auto"/>
          <w:kern w:val="0"/>
          <w:sz w:val="21"/>
          <w:szCs w:val="21"/>
          <w:highlight w:val="none"/>
          <w:vertAlign w:val="baseline"/>
          <w:lang w:val="en-US" w:eastAsia="zh-CN" w:bidi="ar"/>
        </w:rPr>
        <w:t>，从业人员</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人，营业收 入为</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万元，资产总额为</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万元①，属于</w:t>
      </w:r>
      <w:r>
        <w:rPr>
          <w:rFonts w:hint="eastAsia" w:ascii="宋体" w:hAnsi="宋体" w:eastAsia="宋体" w:cs="宋体"/>
          <w:b w:val="0"/>
          <w:bCs w:val="0"/>
          <w:caps w:val="0"/>
          <w:color w:val="auto"/>
          <w:kern w:val="0"/>
          <w:sz w:val="21"/>
          <w:szCs w:val="21"/>
          <w:highlight w:val="none"/>
          <w:u w:val="single"/>
          <w:vertAlign w:val="baseline"/>
          <w:lang w:val="en-US" w:eastAsia="zh-CN" w:bidi="ar"/>
        </w:rPr>
        <w:t>（中型企业、小 型企业、微型企业）</w:t>
      </w:r>
      <w:r>
        <w:rPr>
          <w:rFonts w:hint="eastAsia" w:ascii="宋体" w:hAnsi="宋体" w:eastAsia="宋体" w:cs="宋体"/>
          <w:b w:val="0"/>
          <w:bCs w:val="0"/>
          <w:caps w:val="0"/>
          <w:color w:val="auto"/>
          <w:kern w:val="0"/>
          <w:sz w:val="21"/>
          <w:szCs w:val="21"/>
          <w:highlight w:val="none"/>
          <w:vertAlign w:val="baseline"/>
          <w:lang w:val="en-US" w:eastAsia="zh-CN" w:bidi="ar"/>
        </w:rPr>
        <w:t xml:space="preserve">； </w:t>
      </w:r>
    </w:p>
    <w:p>
      <w:pPr>
        <w:keepNext w:val="0"/>
        <w:keepLines w:val="0"/>
        <w:pageBreakBefore w:val="0"/>
        <w:widowControl/>
        <w:numPr>
          <w:ilvl w:val="0"/>
          <w:numId w:val="5"/>
        </w:numPr>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630" w:firstLineChars="3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u w:val="single"/>
          <w:vertAlign w:val="baseline"/>
          <w:lang w:val="en-US" w:eastAsia="zh-CN" w:bidi="ar"/>
        </w:rPr>
        <w:t>（标的名称）</w:t>
      </w:r>
      <w:r>
        <w:rPr>
          <w:rFonts w:hint="eastAsia" w:ascii="宋体" w:hAnsi="宋体" w:eastAsia="宋体" w:cs="宋体"/>
          <w:b w:val="0"/>
          <w:bCs w:val="0"/>
          <w:caps w:val="0"/>
          <w:color w:val="auto"/>
          <w:kern w:val="0"/>
          <w:sz w:val="21"/>
          <w:szCs w:val="21"/>
          <w:highlight w:val="none"/>
          <w:vertAlign w:val="baseline"/>
          <w:lang w:val="en-US" w:eastAsia="zh-CN" w:bidi="ar"/>
        </w:rPr>
        <w:t xml:space="preserve"> ，属于</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行业；制造商为</w:t>
      </w:r>
      <w:r>
        <w:rPr>
          <w:rFonts w:hint="eastAsia" w:ascii="宋体" w:hAnsi="宋体" w:eastAsia="宋体" w:cs="宋体"/>
          <w:b w:val="0"/>
          <w:bCs w:val="0"/>
          <w:caps w:val="0"/>
          <w:color w:val="auto"/>
          <w:kern w:val="0"/>
          <w:sz w:val="21"/>
          <w:szCs w:val="21"/>
          <w:highlight w:val="none"/>
          <w:u w:val="single"/>
          <w:vertAlign w:val="baseline"/>
          <w:lang w:val="en-US" w:eastAsia="zh-CN" w:bidi="ar"/>
        </w:rPr>
        <w:t>（企业名称）</w:t>
      </w:r>
      <w:r>
        <w:rPr>
          <w:rFonts w:hint="eastAsia" w:ascii="宋体" w:hAnsi="宋体" w:eastAsia="宋体" w:cs="宋体"/>
          <w:b w:val="0"/>
          <w:bCs w:val="0"/>
          <w:caps w:val="0"/>
          <w:color w:val="auto"/>
          <w:kern w:val="0"/>
          <w:sz w:val="21"/>
          <w:szCs w:val="21"/>
          <w:highlight w:val="none"/>
          <w:vertAlign w:val="baseline"/>
          <w:lang w:val="en-US" w:eastAsia="zh-CN" w:bidi="ar"/>
        </w:rPr>
        <w:t>，从业人员</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人，营业收入为</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万元，资产总额为</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万元，属于</w:t>
      </w:r>
      <w:r>
        <w:rPr>
          <w:rFonts w:hint="eastAsia" w:ascii="宋体" w:hAnsi="宋体" w:eastAsia="宋体" w:cs="宋体"/>
          <w:b w:val="0"/>
          <w:bCs w:val="0"/>
          <w:caps w:val="0"/>
          <w:color w:val="auto"/>
          <w:kern w:val="0"/>
          <w:sz w:val="21"/>
          <w:szCs w:val="21"/>
          <w:highlight w:val="none"/>
          <w:u w:val="single"/>
          <w:vertAlign w:val="baseline"/>
          <w:lang w:val="en-US" w:eastAsia="zh-CN" w:bidi="ar"/>
        </w:rPr>
        <w:t>（中型企业、小型 企业、微型企业）</w:t>
      </w:r>
      <w:r>
        <w:rPr>
          <w:rFonts w:hint="eastAsia" w:ascii="宋体" w:hAnsi="宋体" w:eastAsia="宋体" w:cs="宋体"/>
          <w:b w:val="0"/>
          <w:bCs w:val="0"/>
          <w:caps w:val="0"/>
          <w:color w:val="auto"/>
          <w:kern w:val="0"/>
          <w:sz w:val="21"/>
          <w:szCs w:val="21"/>
          <w:highlight w:val="none"/>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630" w:leftChars="30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630" w:firstLineChars="3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以上企业，不属于大企业的分支机构，不存在控股股东 为大企业的情形，也不存在与大企业的负责人为同一人的情形。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630" w:firstLineChars="300"/>
        <w:jc w:val="left"/>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本企业对上述声明内容的真实性负责。如有虚假，将依 法承担相应责任。</w:t>
      </w:r>
      <w:r>
        <w:rPr>
          <w:rFonts w:hint="eastAsia" w:ascii="宋体" w:hAnsi="宋体" w:eastAsia="宋体" w:cs="宋体"/>
          <w:b w:val="0"/>
          <w:bCs w:val="0"/>
          <w:caps w:val="0"/>
          <w:color w:val="auto"/>
          <w:kern w:val="0"/>
          <w:sz w:val="24"/>
          <w:szCs w:val="24"/>
          <w:highlight w:val="none"/>
          <w:vertAlign w:val="baseline"/>
          <w:lang w:val="en-US" w:eastAsia="zh-CN" w:bidi="ar"/>
        </w:rPr>
        <w:t xml:space="preserve">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720" w:firstLineChars="300"/>
        <w:jc w:val="center"/>
        <w:outlineLvl w:val="9"/>
        <w:rPr>
          <w:rFonts w:hint="eastAsia" w:ascii="宋体" w:hAnsi="宋体" w:eastAsia="宋体" w:cs="宋体"/>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630" w:firstLineChars="30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企业名称（盖章）：</w:t>
      </w: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3360" w:right="0" w:firstLine="420"/>
        <w:jc w:val="both"/>
        <w:textAlignment w:val="baseline"/>
        <w:outlineLvl w:val="9"/>
        <w:rPr>
          <w:rFonts w:hint="default" w:ascii="Times New Roman" w:hAnsi="Times New Roman" w:eastAsia="宋体" w:cs="Times New Roman"/>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日 期：</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center"/>
        <w:outlineLvl w:val="9"/>
        <w:rPr>
          <w:rFonts w:hint="default" w:ascii="Arial" w:hAnsi="Arial" w:eastAsia="黑体" w:cs="Arial"/>
          <w:bCs/>
          <w:caps w:val="0"/>
          <w:color w:val="auto"/>
          <w:sz w:val="28"/>
          <w:szCs w:val="28"/>
          <w:highlight w:val="none"/>
          <w:vertAlign w:val="baseline"/>
        </w:rPr>
      </w:pPr>
      <w:r>
        <w:rPr>
          <w:rFonts w:hint="default" w:ascii="Arial" w:hAnsi="Arial" w:eastAsia="黑体" w:cs="Arial"/>
          <w:b w:val="0"/>
          <w:bCs/>
          <w:caps w:val="0"/>
          <w:color w:val="auto"/>
          <w:kern w:val="0"/>
          <w:sz w:val="28"/>
          <w:szCs w:val="28"/>
          <w:highlight w:val="none"/>
          <w:vertAlign w:val="baseline"/>
          <w:lang w:val="en-US" w:eastAsia="zh-CN" w:bidi="ar"/>
        </w:rPr>
        <w:br w:type="page"/>
      </w:r>
      <w:r>
        <w:rPr>
          <w:rFonts w:hint="eastAsia" w:ascii="Arial" w:hAnsi="宋体" w:eastAsia="黑体" w:cs="黑体"/>
          <w:b w:val="0"/>
          <w:bCs/>
          <w:caps w:val="0"/>
          <w:color w:val="auto"/>
          <w:kern w:val="0"/>
          <w:sz w:val="28"/>
          <w:szCs w:val="28"/>
          <w:highlight w:val="none"/>
          <w:vertAlign w:val="baseline"/>
          <w:lang w:val="en-US" w:eastAsia="zh-CN" w:bidi="ar"/>
        </w:rPr>
        <w:t>中小企业划型标准规定</w:t>
      </w:r>
    </w:p>
    <w:p>
      <w:pPr>
        <w:pStyle w:val="1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left"/>
        <w:outlineLvl w:val="9"/>
        <w:rPr>
          <w:rFonts w:hint="default" w:ascii="Arial" w:hAnsi="Arial" w:eastAsia="黑体" w:cs="Arial"/>
          <w:bCs/>
          <w:caps w:val="0"/>
          <w:color w:val="auto"/>
          <w:sz w:val="28"/>
          <w:szCs w:val="28"/>
          <w:highlight w:val="none"/>
          <w:vertAlign w:val="baseline"/>
        </w:rPr>
      </w:pPr>
      <w:r>
        <w:rPr>
          <w:rFonts w:hint="eastAsia" w:ascii="Arial" w:hAnsi="宋体" w:eastAsia="黑体" w:cs="黑体"/>
          <w:b w:val="0"/>
          <w:bCs/>
          <w:caps w:val="0"/>
          <w:color w:val="auto"/>
          <w:kern w:val="0"/>
          <w:sz w:val="28"/>
          <w:szCs w:val="28"/>
          <w:highlight w:val="none"/>
          <w:vertAlign w:val="baseline"/>
          <w:lang w:val="en-US" w:eastAsia="zh-CN" w:bidi="ar"/>
        </w:rPr>
        <w:t>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一、根据《中华人民共和国中小企业促进法》和《国务院关于进一步促进中小企业发展的若干意见》(国发〔2009〕36号)，制定本规定。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二、中小企业划分为中型、小型、微型三种类型，具体标准根据企业从业人员、营业收入、资产总额等指标，结合行业特点制定。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四、各行业划型标准为：</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（一）农、林、牧、渔业。营业收入20000万元以下的为中小微型企业。其中，营业收入500万元及以上的为中型企业，营业收入50万元及以上的为小型企业，营业收入50万元以下的为微型企业。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（十六）其他未列明行业。从业人员300人以下的为中小微型企业。其中，从业人员100人及以上的为中型企业；从业人员10人及以上的为小型企业；从业人员10人以下的为微型企业。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五、企业类型的划分以统计部门的统计数据为依据。</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六、本规定适用于在中华人民共和国境内依法设立的各类所有制和各种组织形式的企业。个体工商户和本规定以外的行业，参照本规定进行划型。</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七、本规定的中型企业标准上限即为大型企业标准的下限，国家统计部门据此制定大中小微型企业的统计分类。国务院有关部门据此进行相关数据分析，不得制定与本规定不一致的企业划型标准。</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八、本规定由工业和信息化部、国家统计局会同有关部门根据《国民经济行业分类》修订情况和企业发展变化情况适时修订。</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九、本规定由工业和信息化部、国家统计局会同有关部门负责解释。</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default" w:ascii="Times New Roman" w:hAnsi="Times New Roman" w:eastAsia="宋体" w:cs="Times New Roman"/>
          <w:b/>
          <w:bCs/>
          <w:caps w:val="0"/>
          <w:color w:val="000000"/>
          <w:sz w:val="18"/>
          <w:szCs w:val="18"/>
          <w:highlight w:val="none"/>
          <w:vertAlign w:val="baseline"/>
        </w:rPr>
      </w:pPr>
      <w:r>
        <w:rPr>
          <w:rFonts w:hint="eastAsia" w:ascii="宋体" w:hAnsi="宋体" w:eastAsia="宋体" w:cs="宋体"/>
          <w:b w:val="0"/>
          <w:bCs/>
          <w:caps w:val="0"/>
          <w:color w:val="auto"/>
          <w:kern w:val="0"/>
          <w:sz w:val="21"/>
          <w:szCs w:val="21"/>
          <w:highlight w:val="none"/>
          <w:vertAlign w:val="baseline"/>
          <w:lang w:val="zh-CN" w:eastAsia="zh-CN" w:bidi="ar"/>
        </w:rPr>
        <w:t>十、本规定自发布之日起执行，原国家经贸委、原国家计委、财政部和国家统计局2003年颁布的《中小企业标准暂行规定》同时废止。</w:t>
      </w:r>
      <w:r>
        <w:rPr>
          <w:rFonts w:hint="default" w:ascii="Times New Roman" w:hAnsi="Times New Roman" w:eastAsia="宋体" w:cs="Times New Roman"/>
          <w:b/>
          <w:bCs/>
          <w:caps w:val="0"/>
          <w:color w:val="000000"/>
          <w:kern w:val="0"/>
          <w:sz w:val="18"/>
          <w:szCs w:val="18"/>
          <w:highlight w:val="none"/>
          <w:vertAlign w:val="baseline"/>
          <w:lang w:val="en-US"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000000"/>
          <w:sz w:val="20"/>
          <w:szCs w:val="20"/>
          <w:highlight w:val="none"/>
          <w:vertAlign w:val="baseline"/>
        </w:rPr>
      </w:pPr>
    </w:p>
    <w:p>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default" w:ascii="Times New Roman" w:hAnsi="Times New Roman" w:eastAsia="宋体" w:cs="Times New Roman"/>
          <w:b/>
          <w:bCs/>
          <w:caps w:val="0"/>
          <w:color w:val="000000"/>
          <w:sz w:val="44"/>
          <w:szCs w:val="44"/>
          <w:highlight w:val="none"/>
          <w:vertAlign w:val="baseline"/>
        </w:rPr>
      </w:pPr>
      <w:bookmarkStart w:id="94" w:name="_Toc54891395"/>
      <w:bookmarkStart w:id="95" w:name="_Toc48760974"/>
      <w:r>
        <w:rPr>
          <w:rFonts w:hint="eastAsia" w:ascii="Times New Roman" w:hAnsi="宋体" w:eastAsia="宋体" w:cs="宋体"/>
          <w:b/>
          <w:bCs/>
          <w:caps w:val="0"/>
          <w:color w:val="000000"/>
          <w:sz w:val="44"/>
          <w:szCs w:val="44"/>
          <w:highlight w:val="none"/>
          <w:vertAlign w:val="baseline"/>
        </w:rPr>
        <w:t>第四部分</w:t>
      </w:r>
      <w:r>
        <w:rPr>
          <w:rFonts w:hint="default" w:ascii="Times New Roman" w:hAnsi="Times New Roman" w:eastAsia="宋体" w:cs="Times New Roman"/>
          <w:b/>
          <w:bCs/>
          <w:caps w:val="0"/>
          <w:color w:val="000000"/>
          <w:sz w:val="44"/>
          <w:szCs w:val="44"/>
          <w:highlight w:val="none"/>
          <w:vertAlign w:val="baseline"/>
        </w:rPr>
        <w:t xml:space="preserve">  </w:t>
      </w:r>
      <w:r>
        <w:rPr>
          <w:rFonts w:hint="eastAsia" w:ascii="Times New Roman" w:hAnsi="宋体" w:eastAsia="宋体" w:cs="宋体"/>
          <w:b/>
          <w:bCs/>
          <w:caps w:val="0"/>
          <w:color w:val="000000"/>
          <w:sz w:val="44"/>
          <w:szCs w:val="44"/>
          <w:highlight w:val="none"/>
          <w:vertAlign w:val="baseline"/>
        </w:rPr>
        <w:t>采购需求</w:t>
      </w:r>
      <w:bookmarkEnd w:id="94"/>
      <w:bookmarkEnd w:id="95"/>
      <w:bookmarkStart w:id="96" w:name="_第五部分__"/>
      <w:bookmarkEnd w:id="96"/>
    </w:p>
    <w:p>
      <w:pPr>
        <w:pStyle w:val="40"/>
        <w:numPr>
          <w:ilvl w:val="0"/>
          <w:numId w:val="0"/>
        </w:numPr>
        <w:tabs>
          <w:tab w:val="left" w:pos="0"/>
        </w:tabs>
        <w:spacing w:beforeAutospacing="0" w:afterAutospacing="0" w:line="480" w:lineRule="auto"/>
        <w:ind w:left="420" w:leftChars="0"/>
        <w:rPr>
          <w:rFonts w:hint="eastAsia" w:ascii="宋体" w:hAnsi="宋体" w:cs="宋体"/>
          <w:b/>
          <w:bCs/>
          <w:kern w:val="0"/>
          <w:sz w:val="28"/>
          <w:szCs w:val="28"/>
          <w:highlight w:val="none"/>
          <w:lang w:val="en-US" w:eastAsia="zh-CN"/>
        </w:rPr>
      </w:pPr>
      <w:bookmarkStart w:id="97" w:name="_Toc54891396"/>
      <w:bookmarkStart w:id="98" w:name="_Toc48760975"/>
    </w:p>
    <w:p>
      <w:pPr>
        <w:jc w:val="center"/>
        <w:outlineLvl w:val="0"/>
        <w:rPr>
          <w:rFonts w:hint="eastAsia" w:ascii="宋体" w:hAnsi="宋体" w:eastAsia="宋体" w:cs="宋体"/>
          <w:b w:val="0"/>
          <w:bCs w:val="0"/>
          <w:sz w:val="36"/>
          <w:szCs w:val="36"/>
          <w:highlight w:val="none"/>
          <w:lang w:eastAsia="zh-CN"/>
        </w:rPr>
      </w:pPr>
      <w:r>
        <w:rPr>
          <w:rFonts w:hint="eastAsia" w:ascii="宋体" w:hAnsi="宋体" w:eastAsia="宋体" w:cs="宋体"/>
          <w:b w:val="0"/>
          <w:bCs w:val="0"/>
          <w:sz w:val="36"/>
          <w:szCs w:val="36"/>
          <w:highlight w:val="none"/>
          <w:lang w:val="en-US"/>
        </w:rPr>
        <w:t>双辽市中心医院</w:t>
      </w:r>
      <w:r>
        <w:rPr>
          <w:rFonts w:hint="eastAsia" w:ascii="宋体" w:hAnsi="宋体" w:eastAsia="宋体" w:cs="宋体"/>
          <w:b w:val="0"/>
          <w:bCs w:val="0"/>
          <w:sz w:val="36"/>
          <w:szCs w:val="36"/>
          <w:highlight w:val="none"/>
          <w:lang w:val="en-US" w:eastAsia="zh-CN"/>
        </w:rPr>
        <w:t>采购医保</w:t>
      </w:r>
      <w:r>
        <w:rPr>
          <w:rFonts w:hint="eastAsia" w:ascii="宋体" w:hAnsi="宋体" w:eastAsia="宋体" w:cs="宋体"/>
          <w:b w:val="0"/>
          <w:bCs w:val="0"/>
          <w:sz w:val="36"/>
          <w:szCs w:val="36"/>
          <w:highlight w:val="none"/>
        </w:rPr>
        <w:t>DRG运营</w:t>
      </w:r>
      <w:r>
        <w:rPr>
          <w:rFonts w:hint="eastAsia" w:ascii="宋体" w:hAnsi="宋体" w:eastAsia="宋体" w:cs="宋体"/>
          <w:b w:val="0"/>
          <w:bCs w:val="0"/>
          <w:sz w:val="36"/>
          <w:szCs w:val="36"/>
          <w:highlight w:val="none"/>
          <w:lang w:eastAsia="zh-CN"/>
        </w:rPr>
        <w:t>管理系统</w:t>
      </w:r>
    </w:p>
    <w:p>
      <w:pPr>
        <w:jc w:val="center"/>
        <w:outlineLvl w:val="0"/>
        <w:rPr>
          <w:rFonts w:hint="eastAsia" w:ascii="宋体" w:hAnsi="宋体" w:eastAsia="宋体" w:cs="宋体"/>
          <w:b w:val="0"/>
          <w:bCs w:val="0"/>
          <w:sz w:val="36"/>
          <w:szCs w:val="36"/>
          <w:highlight w:val="none"/>
          <w:lang w:val="en-US"/>
        </w:rPr>
      </w:pPr>
      <w:r>
        <w:rPr>
          <w:rFonts w:hint="eastAsia" w:ascii="宋体" w:hAnsi="宋体" w:eastAsia="宋体" w:cs="宋体"/>
          <w:b w:val="0"/>
          <w:bCs w:val="0"/>
          <w:sz w:val="36"/>
          <w:szCs w:val="36"/>
          <w:highlight w:val="none"/>
          <w:lang w:val="en-US"/>
        </w:rPr>
        <w:t>招标技术参数</w:t>
      </w:r>
    </w:p>
    <w:p>
      <w:pPr>
        <w:pStyle w:val="3"/>
        <w:numPr>
          <w:ilvl w:val="0"/>
          <w:numId w:val="0"/>
        </w:numPr>
        <w:ind w:leftChars="0"/>
        <w:rPr>
          <w:rFonts w:hint="eastAsia" w:ascii="宋体" w:hAnsi="宋体" w:eastAsia="宋体" w:cs="宋体"/>
          <w:b w:val="0"/>
          <w:bCs/>
          <w:sz w:val="32"/>
          <w:szCs w:val="32"/>
          <w:highlight w:val="none"/>
          <w:lang w:val="en-US" w:eastAsia="zh-CN"/>
        </w:rPr>
      </w:pPr>
      <w:r>
        <w:rPr>
          <w:rFonts w:hint="eastAsia" w:ascii="宋体" w:hAnsi="宋体" w:eastAsia="宋体" w:cs="宋体"/>
          <w:b w:val="0"/>
          <w:bCs/>
          <w:sz w:val="32"/>
          <w:szCs w:val="32"/>
          <w:highlight w:val="none"/>
          <w:lang w:val="en-US" w:eastAsia="zh-CN"/>
        </w:rPr>
        <w:t>一．建设总体要求</w:t>
      </w:r>
    </w:p>
    <w:p>
      <w:pPr>
        <w:adjustRightInd w:val="0"/>
        <w:snapToGrid w:val="0"/>
        <w:ind w:firstLine="400" w:firstLineChars="20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2021年，国家医保局发布《DRG/DIP支付方式改革三年行动计划》，明确聚焦抓扩面、建机制、打基础、推协同四个方面，稳步推进支付方式改革工作，其中，排在首位的工作任务就是实现四个全面覆盖，“全覆盖”涵盖统筹地区、医疗机构、病种分组、医保基金四个方面。明确到2024年底，全国所有统筹地区全部开展DRG/DIP付费方式改革工作；到2025年底，DRG/DIP支付方式覆盖所有符合条件的开展住院服务的医疗机构。《计划》推动 DRG/DIP 支付方式改革实现从局部向全面、从部分到全体、从粗放式向精细化纵深发展，明确要求在统筹地区、医疗机构、病种分组、医保基金四个方面实现全面覆盖。完善工作机制，加强基础建设，协同推进医疗机构配套改革，全面完成以DRG/DIP为重点的支付方式改革任务，全面建立全国统一、上下联动、内外协同、标准规范、管用高效的医保支付新机制。</w:t>
      </w:r>
    </w:p>
    <w:p>
      <w:pPr>
        <w:adjustRightInd w:val="0"/>
        <w:snapToGrid w:val="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按照DRG/DIP支付的时候，与按项目支付相比较，某个疾病分组的总收入不随着项目的多少而变化，但是随着项目的增加，总成本增加，当超过某一个点(盈亏平衡点)的时候，医院开始结余为负，与按项目支付正好相反。所以，DRG/DIP支付方式改革是激励机制方向性的变化</w:t>
      </w:r>
      <w:r>
        <w:rPr>
          <w:rFonts w:hint="eastAsia" w:ascii="宋体" w:hAnsi="宋体" w:eastAsia="宋体" w:cs="宋体"/>
          <w:kern w:val="0"/>
          <w:sz w:val="20"/>
          <w:szCs w:val="20"/>
          <w:highlight w:val="none"/>
          <w:lang w:eastAsia="zh-CN"/>
        </w:rPr>
        <w:t>，</w:t>
      </w:r>
      <w:r>
        <w:rPr>
          <w:rFonts w:hint="eastAsia" w:ascii="宋体" w:hAnsi="宋体" w:eastAsia="宋体" w:cs="宋体"/>
          <w:kern w:val="0"/>
          <w:sz w:val="20"/>
          <w:szCs w:val="20"/>
          <w:highlight w:val="none"/>
        </w:rPr>
        <w:t>是颠覆性的变化。客观上要求医院内部管理要进行相应的调整以适应这一改革。在基于此进行信息化建设的同时满足以下基本要求：</w:t>
      </w:r>
    </w:p>
    <w:p>
      <w:pPr>
        <w:adjustRightInd w:val="0"/>
        <w:snapToGrid w:val="0"/>
        <w:rPr>
          <w:rFonts w:hint="eastAsia" w:ascii="宋体" w:hAnsi="宋体" w:eastAsia="宋体" w:cs="宋体"/>
          <w:b/>
          <w:bCs/>
          <w:kern w:val="0"/>
          <w:sz w:val="20"/>
          <w:szCs w:val="20"/>
          <w:highlight w:val="none"/>
        </w:rPr>
      </w:pPr>
      <w:r>
        <w:rPr>
          <w:rFonts w:hint="eastAsia" w:ascii="宋体" w:hAnsi="宋体" w:eastAsia="宋体" w:cs="宋体"/>
          <w:b/>
          <w:bCs/>
          <w:kern w:val="0"/>
          <w:sz w:val="20"/>
          <w:szCs w:val="20"/>
          <w:highlight w:val="none"/>
        </w:rPr>
        <w:t>整体性设计</w:t>
      </w:r>
    </w:p>
    <w:p>
      <w:pPr>
        <w:adjustRightInd w:val="0"/>
        <w:snapToGrid w:val="0"/>
        <w:ind w:firstLine="400" w:firstLineChars="20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在项目建设中需要遵循“总体规划、分步实施”原则进行项目整体性规划和设计，保证项目整体建设功效的发挥。</w:t>
      </w:r>
    </w:p>
    <w:p>
      <w:pPr>
        <w:adjustRightInd w:val="0"/>
        <w:snapToGrid w:val="0"/>
        <w:rPr>
          <w:rFonts w:hint="eastAsia" w:ascii="宋体" w:hAnsi="宋体" w:eastAsia="宋体" w:cs="宋体"/>
          <w:b/>
          <w:bCs/>
          <w:kern w:val="0"/>
          <w:sz w:val="20"/>
          <w:szCs w:val="20"/>
          <w:highlight w:val="none"/>
        </w:rPr>
      </w:pPr>
      <w:r>
        <w:rPr>
          <w:rFonts w:hint="eastAsia" w:ascii="宋体" w:hAnsi="宋体" w:eastAsia="宋体" w:cs="宋体"/>
          <w:b/>
          <w:bCs/>
          <w:kern w:val="0"/>
          <w:sz w:val="20"/>
          <w:szCs w:val="20"/>
          <w:highlight w:val="none"/>
        </w:rPr>
        <w:t>系统性推进</w:t>
      </w:r>
    </w:p>
    <w:p>
      <w:pPr>
        <w:adjustRightInd w:val="0"/>
        <w:snapToGrid w:val="0"/>
        <w:ind w:firstLine="400" w:firstLineChars="20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业务协同、配套资源以及HIS、病案和信息化人员专业技术实施团队等多方面内容，必须系统加以考虑，保证项目有序、可控，</w:t>
      </w:r>
      <w:r>
        <w:rPr>
          <w:rFonts w:hint="eastAsia" w:ascii="宋体" w:hAnsi="宋体" w:eastAsia="宋体" w:cs="宋体"/>
          <w:kern w:val="0"/>
          <w:sz w:val="20"/>
          <w:szCs w:val="20"/>
          <w:highlight w:val="none"/>
          <w:lang w:eastAsia="zh-CN"/>
        </w:rPr>
        <w:t>负责</w:t>
      </w:r>
      <w:r>
        <w:rPr>
          <w:rFonts w:hint="eastAsia" w:ascii="宋体" w:hAnsi="宋体" w:cs="宋体"/>
          <w:b w:val="0"/>
          <w:bCs w:val="0"/>
          <w:i w:val="0"/>
          <w:iCs w:val="0"/>
          <w:color w:val="000000"/>
          <w:kern w:val="0"/>
          <w:sz w:val="20"/>
          <w:szCs w:val="20"/>
          <w:highlight w:val="none"/>
          <w:u w:val="none"/>
          <w:lang w:val="en-US" w:eastAsia="zh-CN" w:bidi="ar"/>
        </w:rPr>
        <w:t>与医院</w:t>
      </w:r>
      <w:r>
        <w:rPr>
          <w:rFonts w:hint="eastAsia" w:ascii="宋体" w:hAnsi="宋体" w:eastAsia="宋体" w:cs="宋体"/>
          <w:b w:val="0"/>
          <w:bCs w:val="0"/>
          <w:i w:val="0"/>
          <w:iCs w:val="0"/>
          <w:color w:val="000000"/>
          <w:kern w:val="0"/>
          <w:sz w:val="20"/>
          <w:szCs w:val="20"/>
          <w:highlight w:val="none"/>
          <w:u w:val="none"/>
          <w:lang w:val="en-US" w:eastAsia="zh-CN" w:bidi="ar"/>
        </w:rPr>
        <w:t>HIS、电子病历和其他系统的接口对接</w:t>
      </w:r>
      <w:r>
        <w:rPr>
          <w:rFonts w:hint="eastAsia" w:ascii="宋体" w:hAnsi="宋体" w:eastAsia="宋体" w:cs="宋体"/>
          <w:b/>
          <w:bCs/>
          <w:i w:val="0"/>
          <w:iCs w:val="0"/>
          <w:color w:val="000000"/>
          <w:kern w:val="0"/>
          <w:sz w:val="18"/>
          <w:szCs w:val="18"/>
          <w:highlight w:val="none"/>
          <w:u w:val="none"/>
          <w:lang w:val="en-US" w:eastAsia="zh-CN" w:bidi="ar"/>
        </w:rPr>
        <w:t>，</w:t>
      </w:r>
      <w:r>
        <w:rPr>
          <w:rFonts w:hint="eastAsia" w:ascii="宋体" w:hAnsi="宋体" w:eastAsia="宋体" w:cs="宋体"/>
          <w:kern w:val="0"/>
          <w:sz w:val="20"/>
          <w:szCs w:val="20"/>
          <w:highlight w:val="none"/>
        </w:rPr>
        <w:t>完成项目实施和建设。</w:t>
      </w:r>
    </w:p>
    <w:p>
      <w:pPr>
        <w:adjustRightInd w:val="0"/>
        <w:snapToGrid w:val="0"/>
        <w:rPr>
          <w:rFonts w:hint="eastAsia" w:ascii="宋体" w:hAnsi="宋体" w:eastAsia="宋体" w:cs="宋体"/>
          <w:b/>
          <w:bCs/>
          <w:kern w:val="0"/>
          <w:sz w:val="20"/>
          <w:szCs w:val="20"/>
          <w:highlight w:val="none"/>
        </w:rPr>
      </w:pPr>
      <w:r>
        <w:rPr>
          <w:rFonts w:hint="eastAsia" w:ascii="宋体" w:hAnsi="宋体" w:eastAsia="宋体" w:cs="宋体"/>
          <w:b/>
          <w:bCs/>
          <w:kern w:val="0"/>
          <w:sz w:val="20"/>
          <w:szCs w:val="20"/>
          <w:highlight w:val="none"/>
        </w:rPr>
        <w:t>过程性管理</w:t>
      </w:r>
    </w:p>
    <w:p>
      <w:pPr>
        <w:adjustRightInd w:val="0"/>
        <w:snapToGrid w:val="0"/>
        <w:ind w:firstLine="400" w:firstLineChars="20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须符合病案首页管理相关制度要求，实现实时监控、可追溯及痕迹化管理。</w:t>
      </w:r>
    </w:p>
    <w:p>
      <w:pPr>
        <w:adjustRightInd w:val="0"/>
        <w:snapToGrid w:val="0"/>
        <w:rPr>
          <w:rFonts w:hint="eastAsia" w:ascii="宋体" w:hAnsi="宋体" w:eastAsia="宋体" w:cs="宋体"/>
          <w:kern w:val="0"/>
          <w:sz w:val="20"/>
          <w:szCs w:val="20"/>
          <w:highlight w:val="none"/>
        </w:rPr>
      </w:pPr>
      <w:r>
        <w:rPr>
          <w:rFonts w:hint="eastAsia" w:ascii="宋体" w:hAnsi="宋体" w:eastAsia="宋体" w:cs="宋体"/>
          <w:b/>
          <w:bCs/>
          <w:kern w:val="0"/>
          <w:sz w:val="20"/>
          <w:szCs w:val="20"/>
          <w:highlight w:val="none"/>
        </w:rPr>
        <w:t>网络安全管理</w:t>
      </w:r>
    </w:p>
    <w:p>
      <w:pPr>
        <w:adjustRightInd w:val="0"/>
        <w:snapToGrid w:val="0"/>
        <w:ind w:firstLine="400" w:firstLineChars="20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依据《信息安全等级保护管理办法》，系统保护等级为三级，安全保护应达到三级系统相关标准，使用双因子身份认证登录，并采用有效手段确保系统设计、开发、运行与数据安全。</w:t>
      </w:r>
    </w:p>
    <w:p>
      <w:pPr>
        <w:adjustRightInd w:val="0"/>
        <w:snapToGrid w:val="0"/>
        <w:rPr>
          <w:rFonts w:hint="eastAsia" w:ascii="宋体" w:hAnsi="宋体" w:eastAsia="宋体" w:cs="宋体"/>
          <w:b/>
          <w:bCs/>
          <w:kern w:val="0"/>
          <w:sz w:val="20"/>
          <w:szCs w:val="20"/>
          <w:highlight w:val="none"/>
        </w:rPr>
      </w:pPr>
      <w:r>
        <w:rPr>
          <w:rFonts w:hint="eastAsia" w:ascii="宋体" w:hAnsi="宋体" w:eastAsia="宋体" w:cs="宋体"/>
          <w:b/>
          <w:bCs/>
          <w:kern w:val="0"/>
          <w:sz w:val="20"/>
          <w:szCs w:val="20"/>
          <w:highlight w:val="none"/>
        </w:rPr>
        <w:t>先进性和成熟性</w:t>
      </w:r>
    </w:p>
    <w:p>
      <w:pPr>
        <w:adjustRightInd w:val="0"/>
        <w:snapToGrid w:val="0"/>
        <w:ind w:firstLine="400" w:firstLineChars="20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lang w:val="zh-CN"/>
        </w:rPr>
        <w:t>整体系统设计应充分体现先进的管理思想和理念，采用先进的、成熟的且可持续发展的技术方法</w:t>
      </w:r>
      <w:r>
        <w:rPr>
          <w:rFonts w:hint="eastAsia" w:ascii="宋体" w:hAnsi="宋体" w:eastAsia="宋体" w:cs="宋体"/>
          <w:kern w:val="0"/>
          <w:sz w:val="20"/>
          <w:szCs w:val="20"/>
          <w:highlight w:val="none"/>
        </w:rPr>
        <w:t>，把先进的管理思想和理念与实际工作相结合。采用开放的体系结构，通过引入先进、开放的技术和成熟的实施方法，实现病案首页的全流程质控管理和应用目标。</w:t>
      </w:r>
    </w:p>
    <w:p>
      <w:pPr>
        <w:adjustRightInd w:val="0"/>
        <w:snapToGrid w:val="0"/>
        <w:rPr>
          <w:rFonts w:hint="eastAsia" w:ascii="宋体" w:hAnsi="宋体" w:eastAsia="宋体" w:cs="宋体"/>
          <w:b/>
          <w:bCs/>
          <w:kern w:val="0"/>
          <w:sz w:val="20"/>
          <w:szCs w:val="20"/>
          <w:highlight w:val="none"/>
        </w:rPr>
      </w:pPr>
      <w:r>
        <w:rPr>
          <w:rFonts w:hint="eastAsia" w:ascii="宋体" w:hAnsi="宋体" w:eastAsia="宋体" w:cs="宋体"/>
          <w:b/>
          <w:bCs/>
          <w:kern w:val="0"/>
          <w:sz w:val="20"/>
          <w:szCs w:val="20"/>
          <w:highlight w:val="none"/>
        </w:rPr>
        <w:t>前瞻性和完整性</w:t>
      </w:r>
    </w:p>
    <w:p>
      <w:pPr>
        <w:adjustRightInd w:val="0"/>
        <w:snapToGrid w:val="0"/>
        <w:ind w:firstLine="400" w:firstLineChars="20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系统平台和架构要具有良好的前瞻性和可扩展性，不仅仅要完全满足本次系统建设要求，而且要满足以后对于系统功能扩展的要求，保证系统建设的一致性、系统性和完整性，系统和架构满足与其他数据管理系统、医院相关业务</w:t>
      </w:r>
      <w:r>
        <w:rPr>
          <w:rFonts w:hint="eastAsia" w:ascii="宋体" w:hAnsi="宋体" w:eastAsia="宋体" w:cs="宋体"/>
          <w:kern w:val="0"/>
          <w:sz w:val="20"/>
          <w:szCs w:val="20"/>
          <w:highlight w:val="none"/>
          <w:lang w:val="zh-CN"/>
        </w:rPr>
        <w:t>系统无缝、实时对接。系统设计</w:t>
      </w:r>
      <w:r>
        <w:rPr>
          <w:rFonts w:hint="eastAsia" w:ascii="宋体" w:hAnsi="宋体" w:eastAsia="宋体" w:cs="宋体"/>
          <w:kern w:val="0"/>
          <w:sz w:val="20"/>
          <w:szCs w:val="20"/>
          <w:highlight w:val="none"/>
        </w:rPr>
        <w:t>要有前瞻性和现实性，既要总结过去、立足现在、放眼未来，具有一定高度，又要切合实际、合理规划、便于实施；在系统功能设计中注意用新理念、新思维、新方法来指导破解病案首页数据管理工作中的难题，提高科学性和实效性。</w:t>
      </w:r>
    </w:p>
    <w:p>
      <w:pPr>
        <w:pStyle w:val="3"/>
        <w:numPr>
          <w:ilvl w:val="0"/>
          <w:numId w:val="0"/>
        </w:numPr>
        <w:ind w:leftChars="0"/>
        <w:rPr>
          <w:rFonts w:hint="eastAsia" w:ascii="宋体" w:hAnsi="宋体" w:eastAsia="宋体" w:cs="宋体"/>
          <w:bCs w:val="0"/>
          <w:sz w:val="32"/>
          <w:szCs w:val="32"/>
          <w:highlight w:val="none"/>
        </w:rPr>
      </w:pPr>
      <w:bookmarkStart w:id="99" w:name="_Toc19776838"/>
      <w:bookmarkEnd w:id="99"/>
      <w:r>
        <w:rPr>
          <w:rFonts w:hint="eastAsia" w:ascii="宋体" w:hAnsi="宋体" w:eastAsia="宋体" w:cs="宋体"/>
          <w:bCs w:val="0"/>
          <w:sz w:val="32"/>
          <w:szCs w:val="32"/>
          <w:highlight w:val="none"/>
          <w:lang w:val="en-US" w:eastAsia="zh-CN"/>
        </w:rPr>
        <w:t>二．</w:t>
      </w:r>
      <w:r>
        <w:rPr>
          <w:rFonts w:hint="eastAsia" w:ascii="宋体" w:hAnsi="宋体" w:eastAsia="宋体" w:cs="宋体"/>
          <w:bCs w:val="0"/>
          <w:sz w:val="32"/>
          <w:szCs w:val="32"/>
          <w:highlight w:val="none"/>
        </w:rPr>
        <w:t>基本功能</w:t>
      </w:r>
    </w:p>
    <w:p>
      <w:pPr>
        <w:pStyle w:val="4"/>
        <w:rPr>
          <w:rFonts w:hint="eastAsia" w:ascii="宋体" w:hAnsi="宋体" w:eastAsia="宋体" w:cs="宋体"/>
          <w:sz w:val="28"/>
          <w:szCs w:val="36"/>
          <w:highlight w:val="none"/>
        </w:rPr>
      </w:pPr>
      <w:r>
        <w:rPr>
          <w:rFonts w:hint="eastAsia" w:ascii="宋体" w:hAnsi="宋体" w:eastAsia="宋体" w:cs="宋体"/>
          <w:sz w:val="28"/>
          <w:szCs w:val="36"/>
          <w:highlight w:val="none"/>
        </w:rPr>
        <w:t>数据中心</w:t>
      </w:r>
    </w:p>
    <w:tbl>
      <w:tblPr>
        <w:tblStyle w:val="23"/>
        <w:tblW w:w="921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1134"/>
        <w:gridCol w:w="1701"/>
        <w:gridCol w:w="5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模块</w:t>
            </w:r>
          </w:p>
        </w:tc>
        <w:tc>
          <w:tcPr>
            <w:tcW w:w="1134" w:type="dxa"/>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菜单</w:t>
            </w:r>
          </w:p>
        </w:tc>
        <w:tc>
          <w:tcPr>
            <w:tcW w:w="1701" w:type="dxa"/>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服务</w:t>
            </w:r>
          </w:p>
        </w:tc>
        <w:tc>
          <w:tcPr>
            <w:tcW w:w="5245" w:type="dxa"/>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服务说明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vMerge w:val="restart"/>
            <w:vAlign w:val="center"/>
          </w:tcPr>
          <w:p>
            <w:pPr>
              <w:adjustRightInd w:val="0"/>
              <w:snapToGrid w:val="0"/>
              <w:jc w:val="left"/>
              <w:rPr>
                <w:rFonts w:hint="eastAsia" w:ascii="宋体" w:hAnsi="宋体" w:eastAsia="宋体" w:cs="宋体"/>
                <w:b/>
                <w:kern w:val="0"/>
                <w:sz w:val="20"/>
                <w:szCs w:val="20"/>
                <w:highlight w:val="none"/>
              </w:rPr>
            </w:pPr>
            <w:r>
              <w:rPr>
                <w:rFonts w:hint="eastAsia" w:ascii="宋体" w:hAnsi="宋体" w:eastAsia="宋体" w:cs="宋体"/>
                <w:sz w:val="20"/>
                <w:szCs w:val="20"/>
                <w:highlight w:val="none"/>
              </w:rPr>
              <w:t>数据中心</w:t>
            </w:r>
          </w:p>
        </w:tc>
        <w:tc>
          <w:tcPr>
            <w:tcW w:w="1134" w:type="dxa"/>
            <w:vMerge w:val="restart"/>
            <w:vAlign w:val="center"/>
          </w:tcPr>
          <w:p>
            <w:pPr>
              <w:adjustRightInd w:val="0"/>
              <w:snapToGrid w:val="0"/>
              <w:jc w:val="center"/>
              <w:rPr>
                <w:rFonts w:hint="eastAsia" w:ascii="宋体" w:hAnsi="宋体" w:eastAsia="宋体" w:cs="宋体"/>
                <w:b/>
                <w:kern w:val="0"/>
                <w:sz w:val="20"/>
                <w:szCs w:val="20"/>
                <w:highlight w:val="none"/>
              </w:rPr>
            </w:pPr>
          </w:p>
        </w:tc>
        <w:tc>
          <w:tcPr>
            <w:tcW w:w="1701" w:type="dxa"/>
            <w:vAlign w:val="center"/>
          </w:tcPr>
          <w:p>
            <w:pPr>
              <w:adjustRightInd w:val="0"/>
              <w:snapToGrid w:val="0"/>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数据采集服务</w:t>
            </w:r>
          </w:p>
        </w:tc>
        <w:tc>
          <w:tcPr>
            <w:tcW w:w="5245" w:type="dxa"/>
            <w:vAlign w:val="center"/>
          </w:tcPr>
          <w:p>
            <w:pPr>
              <w:adjustRightInd w:val="0"/>
              <w:snapToGrid w:val="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对各种异构数据源采用高效低资源占用的形式进行采集，主要采集医管相关数据，做到对医院系统无感采集。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vMerge w:val="continue"/>
            <w:vAlign w:val="center"/>
          </w:tcPr>
          <w:p>
            <w:pPr>
              <w:adjustRightInd w:val="0"/>
              <w:snapToGrid w:val="0"/>
              <w:jc w:val="center"/>
              <w:rPr>
                <w:rFonts w:hint="eastAsia" w:ascii="宋体" w:hAnsi="宋体" w:eastAsia="宋体" w:cs="宋体"/>
                <w:b/>
                <w:kern w:val="0"/>
                <w:sz w:val="20"/>
                <w:szCs w:val="20"/>
                <w:highlight w:val="none"/>
              </w:rPr>
            </w:pPr>
          </w:p>
        </w:tc>
        <w:tc>
          <w:tcPr>
            <w:tcW w:w="1134" w:type="dxa"/>
            <w:vMerge w:val="continue"/>
            <w:vAlign w:val="center"/>
          </w:tcPr>
          <w:p>
            <w:pPr>
              <w:adjustRightInd w:val="0"/>
              <w:snapToGrid w:val="0"/>
              <w:jc w:val="center"/>
              <w:rPr>
                <w:rFonts w:hint="eastAsia" w:ascii="宋体" w:hAnsi="宋体" w:eastAsia="宋体" w:cs="宋体"/>
                <w:b/>
                <w:kern w:val="0"/>
                <w:sz w:val="20"/>
                <w:szCs w:val="20"/>
                <w:highlight w:val="none"/>
              </w:rPr>
            </w:pPr>
          </w:p>
        </w:tc>
        <w:tc>
          <w:tcPr>
            <w:tcW w:w="1701" w:type="dxa"/>
            <w:vAlign w:val="center"/>
          </w:tcPr>
          <w:p>
            <w:pPr>
              <w:adjustRightInd w:val="0"/>
              <w:snapToGrid w:val="0"/>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数据治理服务</w:t>
            </w:r>
          </w:p>
        </w:tc>
        <w:tc>
          <w:tcPr>
            <w:tcW w:w="5245" w:type="dxa"/>
            <w:vAlign w:val="center"/>
          </w:tcPr>
          <w:p>
            <w:pPr>
              <w:adjustRightInd w:val="0"/>
              <w:snapToGrid w:val="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提供各类医疗数据使用ETL技术进行清洗，NLP解析、语义标注、治理、建模等，为上层医管应用提供实时可变动的数据服务并制定数据传输标准。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vMerge w:val="continue"/>
            <w:vAlign w:val="center"/>
          </w:tcPr>
          <w:p>
            <w:pPr>
              <w:adjustRightInd w:val="0"/>
              <w:snapToGrid w:val="0"/>
              <w:jc w:val="center"/>
              <w:rPr>
                <w:rFonts w:hint="eastAsia" w:ascii="宋体" w:hAnsi="宋体" w:eastAsia="宋体" w:cs="宋体"/>
                <w:b/>
                <w:kern w:val="0"/>
                <w:sz w:val="20"/>
                <w:szCs w:val="20"/>
                <w:highlight w:val="none"/>
              </w:rPr>
            </w:pPr>
          </w:p>
        </w:tc>
        <w:tc>
          <w:tcPr>
            <w:tcW w:w="1134" w:type="dxa"/>
            <w:vMerge w:val="continue"/>
            <w:vAlign w:val="center"/>
          </w:tcPr>
          <w:p>
            <w:pPr>
              <w:adjustRightInd w:val="0"/>
              <w:snapToGrid w:val="0"/>
              <w:jc w:val="center"/>
              <w:rPr>
                <w:rFonts w:hint="eastAsia" w:ascii="宋体" w:hAnsi="宋体" w:eastAsia="宋体" w:cs="宋体"/>
                <w:b/>
                <w:kern w:val="0"/>
                <w:sz w:val="20"/>
                <w:szCs w:val="20"/>
                <w:highlight w:val="none"/>
              </w:rPr>
            </w:pPr>
          </w:p>
        </w:tc>
        <w:tc>
          <w:tcPr>
            <w:tcW w:w="1701" w:type="dxa"/>
            <w:vAlign w:val="center"/>
          </w:tcPr>
          <w:p>
            <w:pPr>
              <w:adjustRightInd w:val="0"/>
              <w:snapToGrid w:val="0"/>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数据验证服务</w:t>
            </w:r>
          </w:p>
        </w:tc>
        <w:tc>
          <w:tcPr>
            <w:tcW w:w="5245" w:type="dxa"/>
            <w:vAlign w:val="center"/>
          </w:tcPr>
          <w:p>
            <w:pPr>
              <w:adjustRightInd w:val="0"/>
              <w:snapToGrid w:val="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对数据中心的任务进行常态化的校验和检查，确保数据准确无误。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vMerge w:val="continue"/>
            <w:vAlign w:val="center"/>
          </w:tcPr>
          <w:p>
            <w:pPr>
              <w:adjustRightInd w:val="0"/>
              <w:snapToGrid w:val="0"/>
              <w:jc w:val="center"/>
              <w:rPr>
                <w:rFonts w:hint="eastAsia" w:ascii="宋体" w:hAnsi="宋体" w:eastAsia="宋体" w:cs="宋体"/>
                <w:b/>
                <w:kern w:val="0"/>
                <w:sz w:val="20"/>
                <w:szCs w:val="20"/>
                <w:highlight w:val="none"/>
              </w:rPr>
            </w:pPr>
          </w:p>
        </w:tc>
        <w:tc>
          <w:tcPr>
            <w:tcW w:w="1134" w:type="dxa"/>
            <w:vMerge w:val="continue"/>
            <w:vAlign w:val="center"/>
          </w:tcPr>
          <w:p>
            <w:pPr>
              <w:adjustRightInd w:val="0"/>
              <w:snapToGrid w:val="0"/>
              <w:jc w:val="center"/>
              <w:rPr>
                <w:rFonts w:hint="eastAsia" w:ascii="宋体" w:hAnsi="宋体" w:eastAsia="宋体" w:cs="宋体"/>
                <w:b/>
                <w:kern w:val="0"/>
                <w:sz w:val="20"/>
                <w:szCs w:val="20"/>
                <w:highlight w:val="none"/>
              </w:rPr>
            </w:pPr>
          </w:p>
        </w:tc>
        <w:tc>
          <w:tcPr>
            <w:tcW w:w="1701" w:type="dxa"/>
            <w:vAlign w:val="center"/>
          </w:tcPr>
          <w:p>
            <w:pPr>
              <w:adjustRightInd w:val="0"/>
              <w:snapToGrid w:val="0"/>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数据监控服务</w:t>
            </w:r>
          </w:p>
        </w:tc>
        <w:tc>
          <w:tcPr>
            <w:tcW w:w="5245" w:type="dxa"/>
            <w:vAlign w:val="center"/>
          </w:tcPr>
          <w:p>
            <w:pPr>
              <w:adjustRightInd w:val="0"/>
              <w:snapToGrid w:val="0"/>
              <w:rPr>
                <w:rFonts w:hint="eastAsia" w:ascii="宋体" w:hAnsi="宋体" w:eastAsia="宋体" w:cs="宋体"/>
                <w:sz w:val="20"/>
                <w:szCs w:val="20"/>
                <w:highlight w:val="none"/>
              </w:rPr>
            </w:pPr>
            <w:r>
              <w:rPr>
                <w:rFonts w:hint="eastAsia" w:ascii="宋体" w:hAnsi="宋体" w:eastAsia="宋体" w:cs="宋体"/>
                <w:kern w:val="0"/>
                <w:sz w:val="20"/>
                <w:szCs w:val="20"/>
                <w:highlight w:val="none"/>
              </w:rPr>
              <w:t>实时记录各种数据访问日志，并定期对数据中心的访问权限进行审核，</w:t>
            </w:r>
            <w:r>
              <w:rPr>
                <w:rFonts w:hint="eastAsia" w:ascii="宋体" w:hAnsi="宋体" w:eastAsia="宋体" w:cs="宋体"/>
                <w:sz w:val="20"/>
                <w:szCs w:val="20"/>
                <w:highlight w:val="none"/>
              </w:rPr>
              <w:t>对用户和服务在系统上的行为监控，对服务器上下行流量进行监控，异常则报警。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vMerge w:val="continue"/>
            <w:vAlign w:val="center"/>
          </w:tcPr>
          <w:p>
            <w:pPr>
              <w:adjustRightInd w:val="0"/>
              <w:snapToGrid w:val="0"/>
              <w:jc w:val="center"/>
              <w:rPr>
                <w:rFonts w:hint="eastAsia" w:ascii="宋体" w:hAnsi="宋体" w:eastAsia="宋体" w:cs="宋体"/>
                <w:b/>
                <w:kern w:val="0"/>
                <w:sz w:val="20"/>
                <w:szCs w:val="20"/>
                <w:highlight w:val="none"/>
              </w:rPr>
            </w:pPr>
          </w:p>
        </w:tc>
        <w:tc>
          <w:tcPr>
            <w:tcW w:w="1134" w:type="dxa"/>
            <w:vMerge w:val="continue"/>
            <w:vAlign w:val="center"/>
          </w:tcPr>
          <w:p>
            <w:pPr>
              <w:adjustRightInd w:val="0"/>
              <w:snapToGrid w:val="0"/>
              <w:jc w:val="center"/>
              <w:rPr>
                <w:rFonts w:hint="eastAsia" w:ascii="宋体" w:hAnsi="宋体" w:eastAsia="宋体" w:cs="宋体"/>
                <w:b/>
                <w:kern w:val="0"/>
                <w:sz w:val="20"/>
                <w:szCs w:val="20"/>
                <w:highlight w:val="none"/>
              </w:rPr>
            </w:pPr>
          </w:p>
        </w:tc>
        <w:tc>
          <w:tcPr>
            <w:tcW w:w="1701" w:type="dxa"/>
            <w:vAlign w:val="center"/>
          </w:tcPr>
          <w:p>
            <w:pPr>
              <w:adjustRightInd w:val="0"/>
              <w:snapToGrid w:val="0"/>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知识库管理</w:t>
            </w:r>
          </w:p>
        </w:tc>
        <w:tc>
          <w:tcPr>
            <w:tcW w:w="5245" w:type="dxa"/>
            <w:vAlign w:val="center"/>
          </w:tcPr>
          <w:p>
            <w:pPr>
              <w:adjustRightInd w:val="0"/>
              <w:snapToGrid w:val="0"/>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实现知识库本地化，并根据医院实际情况进行自助调整且定期更新。</w:t>
            </w:r>
          </w:p>
        </w:tc>
      </w:tr>
    </w:tbl>
    <w:p>
      <w:pPr>
        <w:pStyle w:val="4"/>
        <w:rPr>
          <w:rFonts w:hint="eastAsia" w:ascii="宋体" w:hAnsi="宋体" w:eastAsia="宋体" w:cs="宋体"/>
          <w:sz w:val="28"/>
          <w:szCs w:val="36"/>
          <w:highlight w:val="none"/>
        </w:rPr>
      </w:pPr>
      <w:r>
        <w:rPr>
          <w:rFonts w:hint="eastAsia" w:ascii="宋体" w:hAnsi="宋体" w:eastAsia="宋体" w:cs="宋体"/>
          <w:sz w:val="28"/>
          <w:szCs w:val="36"/>
          <w:highlight w:val="none"/>
        </w:rPr>
        <w:t>数据管理</w:t>
      </w:r>
    </w:p>
    <w:p>
      <w:pPr>
        <w:pStyle w:val="5"/>
        <w:rPr>
          <w:rFonts w:hint="eastAsia" w:ascii="宋体" w:hAnsi="宋体" w:eastAsia="宋体" w:cs="宋体"/>
          <w:highlight w:val="none"/>
        </w:rPr>
      </w:pPr>
      <w:r>
        <w:rPr>
          <w:rFonts w:hint="eastAsia" w:ascii="宋体" w:hAnsi="宋体" w:eastAsia="宋体" w:cs="宋体"/>
          <w:highlight w:val="none"/>
        </w:rPr>
        <w:t>病案首页质控</w:t>
      </w:r>
    </w:p>
    <w:tbl>
      <w:tblPr>
        <w:tblStyle w:val="22"/>
        <w:tblW w:w="92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73"/>
        <w:gridCol w:w="1173"/>
        <w:gridCol w:w="1652"/>
        <w:gridCol w:w="5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模块</w:t>
            </w:r>
          </w:p>
        </w:tc>
        <w:tc>
          <w:tcPr>
            <w:tcW w:w="1173" w:type="dxa"/>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菜单</w:t>
            </w:r>
          </w:p>
        </w:tc>
        <w:tc>
          <w:tcPr>
            <w:tcW w:w="1652" w:type="dxa"/>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功能</w:t>
            </w:r>
          </w:p>
        </w:tc>
        <w:tc>
          <w:tcPr>
            <w:tcW w:w="5211" w:type="dxa"/>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需求说明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p>
        </w:tc>
        <w:tc>
          <w:tcPr>
            <w:tcW w:w="1173"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医院概览</w:t>
            </w: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医院多维度数据分析展示</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根据购买模块，分不同界面，滚动展示病案首页，医保清单，医务科，医保科，质控，财务等科室关注全院维度指标。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restart"/>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病案首页质控</w:t>
            </w:r>
          </w:p>
        </w:tc>
        <w:tc>
          <w:tcPr>
            <w:tcW w:w="1173"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多院区</w:t>
            </w:r>
          </w:p>
        </w:tc>
        <w:tc>
          <w:tcPr>
            <w:tcW w:w="1652" w:type="dxa"/>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sz w:val="20"/>
                <w:szCs w:val="20"/>
                <w:highlight w:val="none"/>
              </w:rPr>
              <w:t>多院区部署/分析</w:t>
            </w:r>
          </w:p>
        </w:tc>
        <w:tc>
          <w:tcPr>
            <w:tcW w:w="5211" w:type="dxa"/>
            <w:shd w:val="clear" w:color="auto" w:fill="auto"/>
            <w:vAlign w:val="center"/>
          </w:tcPr>
          <w:p>
            <w:pPr>
              <w:widowControl/>
              <w:spacing w:line="240" w:lineRule="auto"/>
              <w:rPr>
                <w:rFonts w:hint="eastAsia" w:ascii="宋体" w:hAnsi="宋体" w:eastAsia="宋体" w:cs="宋体"/>
                <w:kern w:val="0"/>
                <w:sz w:val="20"/>
                <w:szCs w:val="20"/>
                <w:highlight w:val="none"/>
              </w:rPr>
            </w:pPr>
            <w:r>
              <w:rPr>
                <w:rFonts w:hint="eastAsia" w:ascii="宋体" w:hAnsi="宋体" w:eastAsia="宋体" w:cs="宋体"/>
                <w:sz w:val="20"/>
                <w:szCs w:val="20"/>
                <w:highlight w:val="none"/>
              </w:rPr>
              <w:t>系统支持多院区部署对接，可自动同步不通院区（医院是同一套数据源和系统）来同步数据与核对数据。支持为每个院区都提供全平台服务能力。院区可配置到某个用户，来实现可见院区控制。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p>
        </w:tc>
        <w:tc>
          <w:tcPr>
            <w:tcW w:w="1173" w:type="dxa"/>
            <w:vMerge w:val="restart"/>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sz w:val="20"/>
                <w:szCs w:val="20"/>
                <w:highlight w:val="none"/>
              </w:rPr>
              <w:t>数据核对</w:t>
            </w: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月份/文件</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所有同步至平台的病案数据，支持按批次或月份维度展示。点击病案数，进入「病案列表」查看每份病案首页的分组质控结果。可导出有修改的病案首页为Excel表，查看修改后的病案首页内容。根据分组器、标杆、质控规则的更新可手动重新计算历史的病案，用最近的规则进行分组和质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数据核对</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匹配视图同步的病案首页数据与首页质控数据量差异，可对差异进行手动同步保持病案首页数据量的一致性。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分类统计</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支持根据病案首页不同错误类型，进行分类统计，并能分类展示病案首页明细，每日进行同步及展示。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数据导出</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支持自定义导出模板配置。可支持按字段范围及顺序、字段名称、值域类型、ICD版本等维度自定义设置导出模板。支持按月份或批次，导出病案统计系统所需格式或标准上报格式的文件，包括HQMS西医、HQMS中医。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HQMS导出</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支持按月份或批次，导出病案统计系统所需格式或标准上报格式的文件，包括HQMS西医、HQMS中医。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卫统4导出</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支持按月份或批次，导出病案统计系统所需格式或标准上报格式的卫统4文件导出。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首页质量快速分类入口</w:t>
            </w:r>
          </w:p>
        </w:tc>
        <w:tc>
          <w:tcPr>
            <w:tcW w:w="5211" w:type="dxa"/>
            <w:shd w:val="clear" w:color="auto" w:fill="auto"/>
            <w:vAlign w:val="center"/>
          </w:tcPr>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根据主诊断主手术匹配，其他编码问题，非编码扣分项，未入组/异常，费用极高，费用极低，待复核病案等维度，快速将病案首页分类，并支持病案明细，病案详情查看，方便人员快速定位问题病案。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首页质控</w:t>
            </w:r>
          </w:p>
        </w:tc>
        <w:tc>
          <w:tcPr>
            <w:tcW w:w="5211" w:type="dxa"/>
            <w:shd w:val="clear" w:color="auto" w:fill="auto"/>
            <w:vAlign w:val="center"/>
          </w:tcPr>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1.系统支持对病案首页进行非编码质控、编码质控、诊断漏编质控。非编码质控提供首页全字段的质控，编码质控针对诊断和手术填写问题进行提示；</w:t>
            </w:r>
          </w:p>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2. 质控得分分析，可按病案首页填写规范进行扣减分数提示。编码和非编码扣减分数医院自己自定义设置；</w:t>
            </w:r>
          </w:p>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3. 编码规则和非编码规则，用户可根据自己需要来手动控制医师和编码人员需要使用的规则，进行手动控制开启和关闭。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编码转码</w:t>
            </w:r>
          </w:p>
        </w:tc>
        <w:tc>
          <w:tcPr>
            <w:tcW w:w="5211" w:type="dxa"/>
            <w:shd w:val="clear" w:color="auto" w:fill="auto"/>
            <w:vAlign w:val="center"/>
          </w:tcPr>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1.根据医院码本进行转码临床2.0版本和医保2.0版本，用于分组和质控。如果有转码失败情况会进行提示，直接看到转码失败的编码；</w:t>
            </w:r>
          </w:p>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2. 医院可自定义转码关系，按医院要求手动添加自定义转码。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手术标签</w:t>
            </w:r>
          </w:p>
        </w:tc>
        <w:tc>
          <w:tcPr>
            <w:tcW w:w="5211" w:type="dxa"/>
            <w:shd w:val="clear" w:color="auto" w:fill="auto"/>
            <w:vAlign w:val="center"/>
          </w:tcPr>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手术进行一级手术、二级手术、三级手术、四级手术、日间手术、手术和介入治疗、微创手术的标记。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首页列表</w:t>
            </w:r>
          </w:p>
        </w:tc>
        <w:tc>
          <w:tcPr>
            <w:tcW w:w="5211" w:type="dxa"/>
            <w:shd w:val="clear" w:color="auto" w:fill="auto"/>
            <w:vAlign w:val="center"/>
          </w:tcPr>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1.该列表展示病案的基本信息，可通过本列表筛选病案的分组情况、质控问题、转码问题、入组费用情况。帮助医院更方便管理和查找有问题的病案；</w:t>
            </w:r>
          </w:p>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2. 可自定义列表的表头，根据首页字段添加和删除列表展示的字段，满足各类人员查看习惯。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首页详情</w:t>
            </w:r>
          </w:p>
        </w:tc>
        <w:tc>
          <w:tcPr>
            <w:tcW w:w="5211" w:type="dxa"/>
            <w:shd w:val="clear" w:color="auto" w:fill="auto"/>
            <w:vAlign w:val="center"/>
          </w:tcPr>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1. 该页面提供病案首页的分组及分组问题说明、质控问题批注等信息的展示，帮助用户定位病案问题；</w:t>
            </w:r>
          </w:p>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2. 提供在线编辑修改对的功能，辅助问题修正。提供实时的修改后查看最近分组结果和质控结果；</w:t>
            </w:r>
          </w:p>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3. 对修改后的审核可记录操作留痕，记录每次修改变化；</w:t>
            </w:r>
          </w:p>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4. 可将首页数据导出为PDF或Excel格式的文件。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内涵质控</w:t>
            </w:r>
          </w:p>
        </w:tc>
        <w:tc>
          <w:tcPr>
            <w:tcW w:w="5211" w:type="dxa"/>
            <w:shd w:val="clear" w:color="auto" w:fill="auto"/>
            <w:vAlign w:val="center"/>
          </w:tcPr>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基于EMR，执行医嘱数据，医疗服务项目服务与代码，对比病案首页诊断与手术操作的已填项，提示出存在漏填的诊断与手术，及其对应版本的编码。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首页审核</w:t>
            </w:r>
          </w:p>
        </w:tc>
        <w:tc>
          <w:tcPr>
            <w:tcW w:w="5211" w:type="dxa"/>
            <w:shd w:val="clear" w:color="auto" w:fill="auto"/>
            <w:vAlign w:val="center"/>
          </w:tcPr>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系统支持多角色协同审核病案首页问题，支持病案审核人员审核通过病案首页，也支持病案审核人员点击审核不通过将问题病案指派至对应临床医生了解临床真实情况后确定修改方案，并提交复审，交由审核人员再次审核。审核支持单份审核，同时支持批量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更多组合</w:t>
            </w:r>
          </w:p>
        </w:tc>
        <w:tc>
          <w:tcPr>
            <w:tcW w:w="5211" w:type="dxa"/>
            <w:shd w:val="clear" w:color="auto" w:fill="auto"/>
            <w:vAlign w:val="center"/>
          </w:tcPr>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sz w:val="20"/>
                <w:szCs w:val="20"/>
                <w:highlight w:val="none"/>
              </w:rPr>
              <w:t>自动分析诊断编码可能对应的DRG入组情况，与权重/分值情况。帮助管理人员判定入组是否合理。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restart"/>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入组分析</w:t>
            </w:r>
          </w:p>
        </w:tc>
        <w:tc>
          <w:tcPr>
            <w:tcW w:w="1652" w:type="dxa"/>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sz w:val="20"/>
                <w:szCs w:val="20"/>
                <w:highlight w:val="none"/>
              </w:rPr>
              <w:t>入组分布与趋势</w:t>
            </w:r>
          </w:p>
        </w:tc>
        <w:tc>
          <w:tcPr>
            <w:tcW w:w="5211" w:type="dxa"/>
            <w:shd w:val="clear" w:color="auto" w:fill="auto"/>
            <w:vAlign w:val="center"/>
          </w:tcPr>
          <w:p>
            <w:pPr>
              <w:widowControl/>
              <w:spacing w:line="240" w:lineRule="auto"/>
              <w:rPr>
                <w:rFonts w:hint="eastAsia" w:ascii="宋体" w:hAnsi="宋体" w:eastAsia="宋体" w:cs="宋体"/>
                <w:kern w:val="0"/>
                <w:sz w:val="20"/>
                <w:szCs w:val="20"/>
                <w:highlight w:val="none"/>
              </w:rPr>
            </w:pPr>
            <w:r>
              <w:rPr>
                <w:rFonts w:hint="eastAsia" w:ascii="宋体" w:hAnsi="宋体" w:eastAsia="宋体" w:cs="宋体"/>
                <w:sz w:val="20"/>
                <w:szCs w:val="20"/>
                <w:highlight w:val="none"/>
              </w:rPr>
              <w:t>可基于CN、CHS入组结果，本院、各科室、诊疗组、住院医师、主治医师、科主任、主任(副主任）医师、编码员的病案多维度统计病案入组、未入组，按病组结算和非病组结算比例。可查看病案入组的趋势变化。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sz w:val="20"/>
                <w:szCs w:val="20"/>
                <w:highlight w:val="none"/>
              </w:rPr>
              <w:t>入组风险统计</w:t>
            </w:r>
          </w:p>
        </w:tc>
        <w:tc>
          <w:tcPr>
            <w:tcW w:w="5211" w:type="dxa"/>
            <w:shd w:val="clear" w:color="auto" w:fill="auto"/>
            <w:vAlign w:val="center"/>
          </w:tcPr>
          <w:p>
            <w:pPr>
              <w:widowControl/>
              <w:spacing w:line="240" w:lineRule="auto"/>
              <w:rPr>
                <w:rFonts w:hint="eastAsia" w:ascii="宋体" w:hAnsi="宋体" w:eastAsia="宋体" w:cs="宋体"/>
                <w:kern w:val="0"/>
                <w:sz w:val="20"/>
                <w:szCs w:val="20"/>
                <w:highlight w:val="none"/>
              </w:rPr>
            </w:pPr>
            <w:r>
              <w:rPr>
                <w:rFonts w:hint="eastAsia" w:ascii="宋体" w:hAnsi="宋体" w:eastAsia="宋体" w:cs="宋体"/>
                <w:sz w:val="20"/>
                <w:szCs w:val="20"/>
                <w:highlight w:val="none"/>
              </w:rPr>
              <w:t>可基于CN、CHS入组结果，本院、各科室、诊疗组、住院医师、主治医师、科主任、主任(副主任）医师、编码员的病案多维度风险统计分析。风险标签包括未入组病案、低风险死亡病案、费用极低/极高病案。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指标导出</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根据医院选择不同分组器，科室，付款方式，时间周期等维度，导出未入组病案、低风险死亡病案、费用极低/极高病案指标，形成Excel格式。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0"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restart"/>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问题分析</w:t>
            </w:r>
          </w:p>
        </w:tc>
        <w:tc>
          <w:tcPr>
            <w:tcW w:w="1652" w:type="dxa"/>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sz w:val="20"/>
                <w:szCs w:val="20"/>
                <w:highlight w:val="none"/>
              </w:rPr>
              <w:t>问题分析</w:t>
            </w:r>
          </w:p>
        </w:tc>
        <w:tc>
          <w:tcPr>
            <w:tcW w:w="5211" w:type="dxa"/>
            <w:shd w:val="clear" w:color="auto" w:fill="auto"/>
            <w:vAlign w:val="center"/>
          </w:tcPr>
          <w:p>
            <w:pPr>
              <w:widowControl/>
              <w:spacing w:line="240" w:lineRule="auto"/>
              <w:rPr>
                <w:rFonts w:hint="eastAsia" w:ascii="宋体" w:hAnsi="宋体" w:eastAsia="宋体" w:cs="宋体"/>
                <w:bCs/>
                <w:kern w:val="0"/>
                <w:sz w:val="20"/>
                <w:szCs w:val="20"/>
                <w:highlight w:val="none"/>
              </w:rPr>
            </w:pPr>
            <w:r>
              <w:rPr>
                <w:rFonts w:hint="eastAsia" w:ascii="宋体" w:hAnsi="宋体" w:eastAsia="宋体" w:cs="宋体"/>
                <w:sz w:val="20"/>
                <w:szCs w:val="20"/>
                <w:highlight w:val="none"/>
              </w:rPr>
              <w:t>基于质控结果，统计分析，本院、各科室、诊疗组、住院医师、主治医师、科主任、主任(副主任）医师、编码员的病案产生的编码问题、非编码问题的统计。按趋势图展示不同问题的近期的变化趋势和数量。按统计维度汇总明细展示问题类型的数量与占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问题明细</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统计每个编码问题、非编码问题的数量和占比和与上期比较，可通过明细问题查看有此问题的病案。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问题导出</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可将各类问题根据时间，科室，错误类型分类导出问题汇总，问题分类，问题明细和对应病案列表形成Excel。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restart"/>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sz w:val="20"/>
                <w:szCs w:val="20"/>
                <w:highlight w:val="none"/>
              </w:rPr>
              <w:t>得分分析</w:t>
            </w:r>
          </w:p>
        </w:tc>
        <w:tc>
          <w:tcPr>
            <w:tcW w:w="1652" w:type="dxa"/>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sz w:val="20"/>
                <w:szCs w:val="20"/>
                <w:highlight w:val="none"/>
              </w:rPr>
              <w:t>得分分析</w:t>
            </w:r>
          </w:p>
        </w:tc>
        <w:tc>
          <w:tcPr>
            <w:tcW w:w="5211" w:type="dxa"/>
            <w:shd w:val="clear" w:color="auto" w:fill="auto"/>
            <w:vAlign w:val="center"/>
          </w:tcPr>
          <w:p>
            <w:pPr>
              <w:widowControl/>
              <w:spacing w:line="240" w:lineRule="auto"/>
              <w:rPr>
                <w:rFonts w:hint="eastAsia" w:ascii="宋体" w:hAnsi="宋体" w:eastAsia="宋体" w:cs="宋体"/>
                <w:kern w:val="0"/>
                <w:sz w:val="20"/>
                <w:szCs w:val="20"/>
                <w:highlight w:val="none"/>
              </w:rPr>
            </w:pPr>
            <w:r>
              <w:rPr>
                <w:rFonts w:hint="eastAsia" w:ascii="宋体" w:hAnsi="宋体" w:eastAsia="宋体" w:cs="宋体"/>
                <w:sz w:val="20"/>
                <w:szCs w:val="20"/>
                <w:highlight w:val="none"/>
              </w:rPr>
              <w:t>统计本院、各科室、诊疗组、住院医师、主治医师、科主任、主任(副主任）医师、编码员的病案产生的扣分问题情况。分析各个科室、医师、编码员负责的病案的质控得分情况。有扣分问题的明细和受影响的病案列表，。可查看不合格病案的明细列表直接定位不合格病案。病案质量的优秀、合格、不合格可医院自己配置分数。可自定义控制规则中扣分多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得分趋势</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支持对于病案数，病案得分，优秀病案，合格病案，不合格病案进行分类统计并支持趋势展示。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得分导出</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支持质控得分，扣分问题，不合格病案的病案列表，分科室，不同时间周期Excel导出。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restart"/>
            <w:shd w:val="clear" w:color="auto" w:fill="auto"/>
            <w:vAlign w:val="center"/>
          </w:tcPr>
          <w:p>
            <w:pPr>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医生端/病案员端预分组及质控助手</w:t>
            </w: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悬浮质控</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支持嵌入医生工作站以及病案管理系统，采用悬浮弹窗的方式展示编目前及编目后病案数据的实时质控和不同分组器预分组结果，方便实时对病案数据进行调整。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sz w:val="20"/>
                <w:szCs w:val="20"/>
                <w:highlight w:val="none"/>
              </w:rPr>
              <w:t>首页质控</w:t>
            </w:r>
          </w:p>
        </w:tc>
        <w:tc>
          <w:tcPr>
            <w:tcW w:w="5211" w:type="dxa"/>
            <w:shd w:val="clear" w:color="auto" w:fill="auto"/>
            <w:vAlign w:val="center"/>
          </w:tcPr>
          <w:p>
            <w:pPr>
              <w:widowControl/>
              <w:spacing w:line="240" w:lineRule="auto"/>
              <w:rPr>
                <w:rFonts w:hint="eastAsia" w:ascii="宋体" w:hAnsi="宋体" w:eastAsia="宋体" w:cs="宋体"/>
                <w:kern w:val="0"/>
                <w:sz w:val="20"/>
                <w:szCs w:val="20"/>
                <w:highlight w:val="none"/>
              </w:rPr>
            </w:pPr>
            <w:r>
              <w:rPr>
                <w:rFonts w:hint="eastAsia" w:ascii="宋体" w:hAnsi="宋体" w:eastAsia="宋体" w:cs="宋体"/>
                <w:sz w:val="20"/>
                <w:szCs w:val="20"/>
                <w:highlight w:val="none"/>
              </w:rPr>
              <w:t>对病案首页的填写质量进行编码问题、非编码问题、诊断漏编问题的分析，帮助快速排查问题，找到修改方式。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kern w:val="0"/>
                <w:sz w:val="20"/>
                <w:szCs w:val="20"/>
                <w:highlight w:val="none"/>
              </w:rPr>
              <w:t>内涵质控</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kern w:val="0"/>
                <w:sz w:val="20"/>
                <w:szCs w:val="20"/>
                <w:highlight w:val="none"/>
              </w:rPr>
              <w:t>基于EMR，执行医嘱数据，医疗服务项目服务与代码，对比病案首页诊断与手术操作的已填项，提示出存在漏填的诊断与手术，及其对应版本的编码。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sz w:val="20"/>
                <w:szCs w:val="20"/>
                <w:highlight w:val="none"/>
              </w:rPr>
              <w:t>首页分组</w:t>
            </w:r>
          </w:p>
        </w:tc>
        <w:tc>
          <w:tcPr>
            <w:tcW w:w="5211" w:type="dxa"/>
            <w:shd w:val="clear" w:color="auto" w:fill="auto"/>
            <w:vAlign w:val="center"/>
          </w:tcPr>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系统支持对病案首页同时进行CHS-DRG，CN-DRG两类预分组，且可一键切换查看。</w:t>
            </w:r>
          </w:p>
          <w:p>
            <w:pPr>
              <w:widowControl/>
              <w:spacing w:line="240" w:lineRule="auto"/>
              <w:rPr>
                <w:rFonts w:hint="eastAsia" w:ascii="宋体" w:hAnsi="宋体" w:eastAsia="宋体" w:cs="宋体"/>
                <w:sz w:val="20"/>
                <w:szCs w:val="20"/>
                <w:highlight w:val="none"/>
              </w:rPr>
            </w:pPr>
            <w:r>
              <w:rPr>
                <w:rFonts w:hint="eastAsia" w:ascii="宋体" w:hAnsi="宋体" w:eastAsia="宋体" w:cs="宋体"/>
                <w:sz w:val="20"/>
                <w:szCs w:val="20"/>
                <w:highlight w:val="none"/>
              </w:rPr>
              <w:t>CHS：可看到分组结果，费用倍率，自付比，病组权重，校正权重，结算标准，结余预估，成本统计（需要数据对接），盈利预测，病案得分，特殊标签（高低倍率，低风险死亡，未入组，QY，总控组等），MCC/CC编码，更多分组组合，重点问题提示。总费用，药品和耗材，住院日与区域标杆值对比。</w:t>
            </w:r>
          </w:p>
          <w:p>
            <w:pPr>
              <w:widowControl/>
              <w:spacing w:line="240" w:lineRule="auto"/>
              <w:rPr>
                <w:rFonts w:hint="eastAsia" w:ascii="宋体" w:hAnsi="宋体" w:eastAsia="宋体" w:cs="宋体"/>
                <w:kern w:val="0"/>
                <w:sz w:val="20"/>
                <w:szCs w:val="20"/>
                <w:highlight w:val="none"/>
              </w:rPr>
            </w:pPr>
            <w:r>
              <w:rPr>
                <w:rFonts w:hint="eastAsia" w:ascii="宋体" w:hAnsi="宋体" w:eastAsia="宋体" w:cs="宋体"/>
                <w:sz w:val="20"/>
                <w:szCs w:val="20"/>
                <w:highlight w:val="none"/>
              </w:rPr>
              <w:t>CN：可看到分组结果，费用倍率，病组权重，风险等级，MCC/CC编码，更多分组组合，重点问题提示。总费用，药品和耗材，住院日与区域标杆值对比。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sz w:val="20"/>
                <w:szCs w:val="20"/>
                <w:highlight w:val="none"/>
              </w:rPr>
              <w:t>审核消息</w:t>
            </w:r>
          </w:p>
        </w:tc>
        <w:tc>
          <w:tcPr>
            <w:tcW w:w="5211" w:type="dxa"/>
            <w:shd w:val="clear" w:color="auto" w:fill="auto"/>
            <w:vAlign w:val="center"/>
          </w:tcPr>
          <w:p>
            <w:pPr>
              <w:widowControl/>
              <w:spacing w:line="240" w:lineRule="auto"/>
              <w:rPr>
                <w:rFonts w:hint="eastAsia" w:ascii="宋体" w:hAnsi="宋体" w:eastAsia="宋体" w:cs="宋体"/>
                <w:kern w:val="0"/>
                <w:sz w:val="20"/>
                <w:szCs w:val="20"/>
                <w:highlight w:val="none"/>
              </w:rPr>
            </w:pPr>
            <w:r>
              <w:rPr>
                <w:rFonts w:hint="eastAsia" w:ascii="宋体" w:hAnsi="宋体" w:eastAsia="宋体" w:cs="宋体"/>
                <w:sz w:val="20"/>
                <w:szCs w:val="20"/>
                <w:highlight w:val="none"/>
              </w:rPr>
              <w:t>在系统管理端，编码人员可以给临床医师指派病案质控或分组问题，临床医生在插件端可收到消息内容，及时去修改病案问题，问题修改后可发起重新审核提醒。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sz w:val="20"/>
                <w:szCs w:val="20"/>
                <w:highlight w:val="none"/>
              </w:rPr>
              <w:t>更多组合推荐</w:t>
            </w:r>
          </w:p>
        </w:tc>
        <w:tc>
          <w:tcPr>
            <w:tcW w:w="5211" w:type="dxa"/>
            <w:shd w:val="clear" w:color="auto" w:fill="auto"/>
            <w:vAlign w:val="center"/>
          </w:tcPr>
          <w:p>
            <w:pPr>
              <w:widowControl/>
              <w:spacing w:line="240" w:lineRule="auto"/>
              <w:rPr>
                <w:rFonts w:hint="eastAsia" w:ascii="宋体" w:hAnsi="宋体" w:eastAsia="宋体" w:cs="宋体"/>
                <w:kern w:val="0"/>
                <w:sz w:val="20"/>
                <w:szCs w:val="20"/>
                <w:highlight w:val="none"/>
              </w:rPr>
            </w:pPr>
            <w:r>
              <w:rPr>
                <w:rFonts w:hint="eastAsia" w:ascii="宋体" w:hAnsi="宋体" w:eastAsia="宋体" w:cs="宋体"/>
                <w:sz w:val="20"/>
                <w:szCs w:val="20"/>
                <w:highlight w:val="none"/>
              </w:rPr>
              <w:t>根据首页诊断和手术及操作填写情况，进行排列组合，按权重/分值推荐更优的病组组合方式，可查看推荐病组的诊断和手术及操作，权重/分值，费用倍率，结算标准，结余预估，及病组的总费用，药品占比，耗材占比，住院日与区域标杆值对比，方便根据入组结果进行对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173" w:type="dxa"/>
            <w:vMerge w:val="continue"/>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652" w:type="dxa"/>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sz w:val="20"/>
                <w:szCs w:val="20"/>
                <w:highlight w:val="none"/>
              </w:rPr>
              <w:t>病组查询</w:t>
            </w:r>
          </w:p>
        </w:tc>
        <w:tc>
          <w:tcPr>
            <w:tcW w:w="5211" w:type="dxa"/>
            <w:shd w:val="clear" w:color="auto" w:fill="auto"/>
            <w:vAlign w:val="center"/>
          </w:tcPr>
          <w:p>
            <w:pPr>
              <w:widowControl/>
              <w:spacing w:line="240" w:lineRule="auto"/>
              <w:rPr>
                <w:rFonts w:hint="eastAsia" w:ascii="宋体" w:hAnsi="宋体" w:eastAsia="宋体" w:cs="宋体"/>
                <w:kern w:val="0"/>
                <w:sz w:val="20"/>
                <w:szCs w:val="20"/>
                <w:highlight w:val="none"/>
              </w:rPr>
            </w:pPr>
            <w:r>
              <w:rPr>
                <w:rFonts w:hint="eastAsia" w:ascii="宋体" w:hAnsi="宋体" w:eastAsia="宋体" w:cs="宋体"/>
                <w:sz w:val="20"/>
                <w:szCs w:val="20"/>
                <w:highlight w:val="none"/>
              </w:rPr>
              <w:t>针对有首页的病案，提供分组查询助手，医生可手动输入诊断、手术和入组的患者基础信息，手动查询本地分组结果。可看到分组结果，病种类型，基层病种，费用倍率，自付比，病组权重，校正权重，结算标准，结余预估，成本统计（需要数据对接），盈利预测，病案得分，特殊标签（高低倍率，低风险死亡，未入组，QY，总控组等），MCC/CC编码，更多分组组合，重点问题提示。总费用，药品和耗材，住院日与区域标杆值对比。</w:t>
            </w:r>
          </w:p>
        </w:tc>
      </w:tr>
    </w:tbl>
    <w:p>
      <w:pPr>
        <w:pStyle w:val="5"/>
        <w:rPr>
          <w:rFonts w:hint="eastAsia" w:ascii="宋体" w:hAnsi="宋体" w:eastAsia="宋体" w:cs="宋体"/>
          <w:highlight w:val="none"/>
        </w:rPr>
      </w:pPr>
      <w:r>
        <w:rPr>
          <w:rFonts w:hint="eastAsia" w:ascii="宋体" w:hAnsi="宋体" w:eastAsia="宋体" w:cs="宋体"/>
          <w:highlight w:val="none"/>
        </w:rPr>
        <w:t>结算清单质控</w:t>
      </w:r>
    </w:p>
    <w:tbl>
      <w:tblPr>
        <w:tblStyle w:val="22"/>
        <w:tblW w:w="94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9"/>
        <w:gridCol w:w="1276"/>
        <w:gridCol w:w="1795"/>
        <w:gridCol w:w="5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tcBorders>
              <w:top w:val="single" w:color="auto" w:sz="4" w:space="0"/>
              <w:left w:val="single" w:color="auto" w:sz="4" w:space="0"/>
              <w:bottom w:val="single" w:color="auto" w:sz="4" w:space="0"/>
              <w:right w:val="single" w:color="auto" w:sz="4" w:space="0"/>
            </w:tcBorders>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模块</w:t>
            </w:r>
          </w:p>
        </w:tc>
        <w:tc>
          <w:tcPr>
            <w:tcW w:w="1276" w:type="dxa"/>
            <w:tcBorders>
              <w:top w:val="single" w:color="auto" w:sz="4" w:space="0"/>
              <w:left w:val="single" w:color="auto" w:sz="4" w:space="0"/>
              <w:bottom w:val="single" w:color="auto" w:sz="4" w:space="0"/>
              <w:right w:val="single" w:color="auto" w:sz="4" w:space="0"/>
            </w:tcBorders>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菜单</w:t>
            </w:r>
          </w:p>
        </w:tc>
        <w:tc>
          <w:tcPr>
            <w:tcW w:w="1795" w:type="dxa"/>
            <w:tcBorders>
              <w:top w:val="single" w:color="auto" w:sz="4" w:space="0"/>
              <w:left w:val="single" w:color="auto" w:sz="4" w:space="0"/>
              <w:bottom w:val="single" w:color="auto" w:sz="4" w:space="0"/>
              <w:right w:val="single" w:color="auto" w:sz="4" w:space="0"/>
            </w:tcBorders>
            <w:shd w:val="clear" w:color="auto" w:fill="AEAAAA" w:themeFill="background2" w:themeFillShade="BF"/>
            <w:noWrap/>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功能</w:t>
            </w:r>
          </w:p>
        </w:tc>
        <w:tc>
          <w:tcPr>
            <w:tcW w:w="5245" w:type="dxa"/>
            <w:tcBorders>
              <w:top w:val="single" w:color="auto" w:sz="4" w:space="0"/>
              <w:left w:val="single" w:color="auto" w:sz="4" w:space="0"/>
              <w:bottom w:val="single" w:color="auto" w:sz="4" w:space="0"/>
              <w:right w:val="single" w:color="auto" w:sz="4" w:space="0"/>
            </w:tcBorders>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需求说明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restart"/>
            <w:tcBorders>
              <w:top w:val="single" w:color="auto" w:sz="4" w:space="0"/>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 </w:t>
            </w:r>
          </w:p>
          <w:p>
            <w:pPr>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结算清单质控</w:t>
            </w:r>
          </w:p>
        </w:tc>
        <w:tc>
          <w:tcPr>
            <w:tcW w:w="12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多院区部署</w:t>
            </w: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多院区部署/分析</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系统支持多院区部署对接，可自动同步不通院区（医院是同一套数据源和系统）来同步数据与核对数据。支持为每个院区都提供全平台服务能力。院区可配置到某个用户，来实现可见院区控制。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color w:val="000000"/>
                <w:sz w:val="20"/>
                <w:szCs w:val="20"/>
                <w:highlight w:val="none"/>
              </w:rPr>
              <w:t>多系统对接</w:t>
            </w: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color w:val="000000"/>
                <w:sz w:val="20"/>
                <w:szCs w:val="20"/>
                <w:highlight w:val="none"/>
              </w:rPr>
              <w:t>多系统对接</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kern w:val="0"/>
                <w:sz w:val="20"/>
                <w:szCs w:val="20"/>
                <w:highlight w:val="none"/>
              </w:rPr>
            </w:pPr>
            <w:r>
              <w:rPr>
                <w:rFonts w:hint="eastAsia" w:ascii="宋体" w:hAnsi="宋体" w:eastAsia="宋体" w:cs="宋体"/>
                <w:color w:val="000000"/>
                <w:sz w:val="20"/>
                <w:szCs w:val="20"/>
                <w:highlight w:val="none"/>
              </w:rPr>
              <w:t>系统支持根据医院实际业务情况可以分别介入医生端编目前，病案端编目后或信息化厂家贯标后数据；并能自主上报或回传HIS进行上报。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restart"/>
            <w:tcBorders>
              <w:top w:val="single" w:color="auto" w:sz="4" w:space="0"/>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清单核对</w:t>
            </w: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清单数据核对</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可核对院内病案数在平台生成清单数量，是否有差异。可查看差异病案信息。可手动同步差异病案，保证清单数量的一致性。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同步清单</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支持每日自动同步数据生成清单，也可手动从院内同步数据生成清单。生成方式可按医院实际情况使用院内已有清单，HIS数据组成清单等方式。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bottom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数据预处理</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清单成功生成后，系统支持根据值域配置自动对院内数据值域进行转换变更为医保结算清单要求值域范围，进行转码处理。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restart"/>
            <w:tcBorders>
              <w:top w:val="single" w:color="auto" w:sz="4" w:space="0"/>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清单质控</w:t>
            </w: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清单预分组</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系统支持对医保清单同时进行CHS预分组。同时提供当前预分组的分组结果，病种类型，基层病种，费用倍率，自付比，病组权重/分值，校正权重/分值，结算标准，结余预估，成本统计（需要数据对接），盈利预测，病案得分，特殊标签（高低倍率，低风险死亡，未入组，QY，总控组等），MCC/CC编码，更多分组组合，重点问题提示。总费用，药品和耗材，住院日与区域标杆值对比。其中：</w:t>
            </w:r>
            <w:r>
              <w:rPr>
                <w:rFonts w:hint="eastAsia" w:ascii="宋体" w:hAnsi="宋体" w:eastAsia="宋体" w:cs="宋体"/>
                <w:bCs/>
                <w:kern w:val="0"/>
                <w:sz w:val="20"/>
                <w:szCs w:val="20"/>
                <w:highlight w:val="none"/>
              </w:rPr>
              <w:br w:type="textWrapping"/>
            </w:r>
            <w:r>
              <w:rPr>
                <w:rFonts w:hint="eastAsia" w:ascii="宋体" w:hAnsi="宋体" w:eastAsia="宋体" w:cs="宋体"/>
                <w:bCs/>
                <w:kern w:val="0"/>
                <w:sz w:val="20"/>
                <w:szCs w:val="20"/>
                <w:highlight w:val="none"/>
              </w:rPr>
              <w:t>CHS-DRG分组器：默认使用国家版CHS分组器，也支持基于本地分组结果反推的CHS高拟态分组器。（制作本地分组器和规则需要医院配合提供相关资料）。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清单质控</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系统支持对清单数据进行包括医保非编码规则，编码规则，主要诊断调整建议，多编，漏编，其他诊断过滤建议及转码质控等问题排查，错误分析，提示当前问题情况及修改意见。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文件总列表</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用户可在该页面中以文件维度查看详细数据同步及生成情况，查看生成处理时间并可查看文件维度下成功生成清单及清单生成失败详细原因，并可导出下载具体内容。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月度总列表</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用户可在该页面中以月份时间维度查看详细数据同步及生成情况，查看生成处理时间并可查看文件维度下成功生成清单及清单生成失败详细原因，另外也可查看月份下清单审核具体情况及上报情况。用户可在该页面下对月份数据进行重新生成，导出及上报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清单列表</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列表，可通过时间维度、病案号、质控问题类型、患者非别等字段搜索清单，也可以通过高级筛选来更加精确查找清单。提供快捷的清单问题指标统计，可点击问题指标快捷筛选对应清单列表数据。清单列表可查看到每个清单的关键信息、分组信息、质控信息、审核信息等。可通过清单列表批量审核、批量解锁，操作清单。也可将列表清单导出为Excel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自定义列表</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清单列表的表头可自定义，根据用户自己的查看需求，手动调整清单可现实的字段和表格顺序。可对表格的表头进行固定位置。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清单详情页</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用户可在该页面中完成对清单全内容查看及编辑处理操作，并可同时在页面中看到当前数据内容预分组情况及质控问题情况，帮助用户进行错误定位并实时修改编辑问题，获得合理分组结果。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清单审核</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系统支持多角色协同审核及处理清单问题，支持用户标记无问题清单，也可支持病案科、医保科、财务科等科室参与审核过程。可点击审核存疑将问题清单指派至对应临床医生以了解临床真实情况快速解决问题。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★自定义清单审核流程</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医院可按院内各个科室要求，设置清单需要经过多个科室审核后才可上报。支持多节点设置，多种定义方式满足医院按指定人员、指定科室、指定角色等方式配置清单审核的流程。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审核消息</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可查看清单审核过程中发送的审核消息，了解各个科室处理清单的问题记录和反馈。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清单附页</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可查看清单与病案关联的部分字典信息，包括对应病案的科主任、住院医师等人员信息，患者医保类型等数据的信息。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数据更新</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可查看本清单 院内数据与平台数据上本清单每个字段的差异，可手动选择对某个字段进行同步更新。保证需上报的数据的准确性。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转码情况</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可查看院内编码转码医保码本的转码结果，是否成功或是否有失败，对失败的转码关系可以进行维护转码关系。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手术标签</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可查看手术编码的标记，比如四级、三级、二级、一级、无创等手术相关标记。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★解除锁定</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可设置清单上报后自动锁定归档，锁定归档后不可对清单进行编辑和修改，也可手动批量或单个解除锁定归档状态。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查看病程记录</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可查看清单关联的全病例数据包括但不限于入院记录、病程记录、出院记录等。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操作日志</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记录清单的每一个编辑、审核的记录的留痕日志。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其他功能</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导出清单数据为pdf文件、打印清单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bottom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我的待办</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编码员/医保科用户在进行问题指派审核存疑动作后，被指派用户可在该页面查看所有指派至个人的全指派任务。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restart"/>
            <w:tcBorders>
              <w:top w:val="single" w:color="auto" w:sz="4" w:space="0"/>
              <w:left w:val="single" w:color="auto" w:sz="4" w:space="0"/>
              <w:right w:val="single" w:color="auto" w:sz="4" w:space="0"/>
            </w:tcBorders>
            <w:shd w:val="clear" w:color="auto" w:fill="auto"/>
            <w:vAlign w:val="center"/>
          </w:tcPr>
          <w:p>
            <w:pPr>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上报记录</w:t>
            </w:r>
          </w:p>
        </w:tc>
        <w:tc>
          <w:tcPr>
            <w:tcW w:w="1795" w:type="dxa"/>
            <w:vMerge w:val="restart"/>
            <w:tcBorders>
              <w:top w:val="single" w:color="auto" w:sz="4" w:space="0"/>
              <w:left w:val="single" w:color="auto" w:sz="4" w:space="0"/>
              <w:right w:val="single" w:color="auto" w:sz="4" w:space="0"/>
            </w:tcBorders>
            <w:shd w:val="clear" w:color="auto" w:fill="auto"/>
            <w:noWrap/>
            <w:vAlign w:val="center"/>
          </w:tcPr>
          <w:p>
            <w:pPr>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上报医保</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color w:val="000000"/>
                <w:kern w:val="0"/>
                <w:sz w:val="20"/>
                <w:szCs w:val="20"/>
                <w:highlight w:val="none"/>
                <w:lang w:val="en-GB"/>
              </w:rPr>
            </w:pPr>
            <w:r>
              <w:rPr>
                <w:rFonts w:hint="eastAsia" w:ascii="宋体" w:hAnsi="宋体" w:eastAsia="宋体" w:cs="宋体"/>
                <w:color w:val="000000"/>
                <w:sz w:val="20"/>
                <w:szCs w:val="20"/>
                <w:highlight w:val="none"/>
              </w:rPr>
              <w:t>系统通过设置支持多种类型分组器，多种类型支付类型患者同时批量上报，系统可以自动匹配不同类型患者进行对口上传。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vMerge w:val="continue"/>
            <w:tcBorders>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系统支持进行地区上报接口对接，并支持用户筛选清单，并在确认选择清单整体情况后进行进一步上报动作。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清单上报</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管理清单上报，可查看上报成功清单数、上报失败数、未上报清单数、超时未上报清单数等信息，管理每个清单的上报情况。如果上报失败可查看失败原因，进行修改后的多次上报。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上报日志</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用户在通过并联多个筛选条件下对已上报清单进行筛选索引，帮助用户对已上报数据内容进行定位索引。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bottom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自动上报</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可以配置清单满足某些条件，如无限制上报问题、无强制编码/非编码问题、已审核通过、指定合同单位等要求来确定自动上报。减少人工操作步骤。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restart"/>
            <w:tcBorders>
              <w:top w:val="single" w:color="auto" w:sz="4" w:space="0"/>
              <w:left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医生预填写清单</w:t>
            </w: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清单预填写</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可在临床医生端助手插件，开启清单预填写。医师可通过病案首页上的诊断及手术及操作信息，标记是否作为清单的诊断和手术及操作数据，标记后可以通过 医生端直接生成清单的编码信息，同时系统会从其他系统组合清单剩余数据生成清单。满足医院同时填写首页或也填写完清单编码数据。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tcBorders>
              <w:left w:val="single" w:color="auto" w:sz="4" w:space="0"/>
              <w:bottom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276" w:type="dxa"/>
            <w:vMerge w:val="continue"/>
            <w:tcBorders>
              <w:left w:val="single" w:color="auto" w:sz="4" w:space="0"/>
              <w:bottom w:val="single" w:color="auto" w:sz="4" w:space="0"/>
              <w:right w:val="single" w:color="auto" w:sz="4" w:space="0"/>
            </w:tcBorders>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p>
        </w:tc>
        <w:tc>
          <w:tcPr>
            <w:tcW w:w="17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分组查询</w:t>
            </w:r>
          </w:p>
        </w:tc>
        <w:tc>
          <w:tcPr>
            <w:tcW w:w="5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根据预填写的清单编码数据，进行预分组，可按CHS-DRG进行分组，同时提供当前预分组的分组结果，病种类型，费用倍率，自付比，病组权重/分值，校正权重/分值，结算标准，结余预估，成本统计（需要数据对接），盈利预测，病案得分，特殊标签（高低倍率，低风险死亡，未入组，QY，总控组等），MCC/CC编码，更多分组组合，重点问题提示。总费用，药品和耗材，住院日与区域标杆值对比。</w:t>
            </w:r>
          </w:p>
        </w:tc>
      </w:tr>
    </w:tbl>
    <w:p>
      <w:pPr>
        <w:pStyle w:val="4"/>
        <w:rPr>
          <w:rFonts w:hint="eastAsia" w:ascii="宋体" w:hAnsi="宋体" w:eastAsia="宋体" w:cs="宋体"/>
          <w:sz w:val="28"/>
          <w:szCs w:val="36"/>
          <w:highlight w:val="none"/>
        </w:rPr>
      </w:pPr>
      <w:r>
        <w:rPr>
          <w:rFonts w:hint="eastAsia" w:ascii="宋体" w:hAnsi="宋体" w:eastAsia="宋体" w:cs="宋体"/>
          <w:sz w:val="28"/>
          <w:szCs w:val="36"/>
          <w:highlight w:val="none"/>
        </w:rPr>
        <w:t>医保管理</w:t>
      </w:r>
    </w:p>
    <w:p>
      <w:pPr>
        <w:pStyle w:val="5"/>
        <w:rPr>
          <w:rFonts w:hint="eastAsia" w:ascii="宋体" w:hAnsi="宋体" w:eastAsia="宋体" w:cs="宋体"/>
          <w:highlight w:val="none"/>
        </w:rPr>
      </w:pPr>
      <w:r>
        <w:rPr>
          <w:rFonts w:hint="eastAsia" w:ascii="宋体" w:hAnsi="宋体" w:eastAsia="宋体" w:cs="宋体"/>
          <w:highlight w:val="none"/>
        </w:rPr>
        <w:t>医保费用管控</w:t>
      </w:r>
    </w:p>
    <w:tbl>
      <w:tblPr>
        <w:tblStyle w:val="22"/>
        <w:tblW w:w="92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9"/>
        <w:gridCol w:w="1276"/>
        <w:gridCol w:w="1559"/>
        <w:gridCol w:w="5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trPr>
        <w:tc>
          <w:tcPr>
            <w:tcW w:w="1129" w:type="dxa"/>
            <w:shd w:val="clear" w:color="auto" w:fill="AEAAAA" w:themeFill="background2" w:themeFillShade="BF"/>
            <w:noWrap/>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模块</w:t>
            </w:r>
          </w:p>
        </w:tc>
        <w:tc>
          <w:tcPr>
            <w:tcW w:w="1276" w:type="dxa"/>
            <w:shd w:val="clear" w:color="auto" w:fill="AEAAAA" w:themeFill="background2" w:themeFillShade="BF"/>
            <w:noWrap/>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菜单</w:t>
            </w:r>
          </w:p>
        </w:tc>
        <w:tc>
          <w:tcPr>
            <w:tcW w:w="1559" w:type="dxa"/>
            <w:shd w:val="clear" w:color="auto" w:fill="AEAAAA" w:themeFill="background2" w:themeFillShade="BF"/>
            <w:noWrap/>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功能</w:t>
            </w:r>
          </w:p>
        </w:tc>
        <w:tc>
          <w:tcPr>
            <w:tcW w:w="5245" w:type="dxa"/>
            <w:shd w:val="clear" w:color="auto" w:fill="AEAAAA" w:themeFill="background2" w:themeFillShade="BF"/>
            <w:vAlign w:val="center"/>
          </w:tcPr>
          <w:p>
            <w:pPr>
              <w:widowControl/>
              <w:spacing w:line="240" w:lineRule="auto"/>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需求说明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29" w:type="dxa"/>
            <w:shd w:val="clear" w:color="auto" w:fill="auto"/>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医保盈亏</w:t>
            </w:r>
          </w:p>
        </w:tc>
        <w:tc>
          <w:tcPr>
            <w:tcW w:w="1276"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盈亏分析</w:t>
            </w: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盈亏分析</w:t>
            </w:r>
          </w:p>
        </w:tc>
        <w:tc>
          <w:tcPr>
            <w:tcW w:w="5245" w:type="dxa"/>
            <w:shd w:val="clear" w:color="auto" w:fill="auto"/>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按医院与医保结算类型，将医保清单合理划分为按DRG或其他结算方式划分。按科室、医生、病组、病案不同维度分析盈亏情况、亏损原因，结余情况。可明确分析到每个科室、医生的具体盈亏原因。</w:t>
            </w:r>
          </w:p>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可按患者医保类型、医疗付款方式、医保反馈数据等不同方式统计分析数据。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0" w:hRule="atLeast"/>
        </w:trPr>
        <w:tc>
          <w:tcPr>
            <w:tcW w:w="1129" w:type="dxa"/>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医保助手</w:t>
            </w:r>
          </w:p>
        </w:tc>
        <w:tc>
          <w:tcPr>
            <w:tcW w:w="1276"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预分组</w:t>
            </w: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预分组</w:t>
            </w:r>
          </w:p>
        </w:tc>
        <w:tc>
          <w:tcPr>
            <w:tcW w:w="5245" w:type="dxa"/>
            <w:shd w:val="clear" w:color="auto" w:fill="auto"/>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系统支持预填疾病和手术编码等病历基本信息，进行预分组，实时提供DRG分组结果展示</w:t>
            </w:r>
            <w:r>
              <w:rPr>
                <w:rFonts w:hint="eastAsia" w:ascii="宋体" w:hAnsi="宋体" w:eastAsia="宋体" w:cs="宋体"/>
                <w:bCs/>
                <w:kern w:val="0"/>
                <w:sz w:val="20"/>
                <w:szCs w:val="20"/>
                <w:highlight w:val="none"/>
              </w:rPr>
              <w:t>，病种类型，基层病种，费用倍率，自付比，病组权重/分值，校正权重/分值，结算标准，结余预估，成本统计（需要数据对接），盈利预测，病案得分，特殊标签（高低倍率，低风险死亡，未入组，QY，总控组等），辅助目录，更多分组组合，重点问题提示。总费用，药品和耗材，住院日与区域标杆值对比。同时</w:t>
            </w:r>
            <w:r>
              <w:rPr>
                <w:rFonts w:hint="eastAsia" w:ascii="宋体" w:hAnsi="宋体" w:eastAsia="宋体" w:cs="宋体"/>
                <w:kern w:val="0"/>
                <w:sz w:val="20"/>
                <w:szCs w:val="20"/>
                <w:highlight w:val="none"/>
              </w:rPr>
              <w:t>提供病组在本区域、本院的费用结构对比图。</w:t>
            </w:r>
          </w:p>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1. DRG分组器：默认使用国家版DRG分组器，也支持基于本地DRG技术规范定制研发本地DRG分组器。</w:t>
            </w:r>
          </w:p>
          <w:p>
            <w:pPr>
              <w:widowControl/>
              <w:spacing w:line="240" w:lineRule="auto"/>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2. DRG标杆：提供本地标杆并支持由我院提供的数据标杆。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restart"/>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DRG核心指标分析</w:t>
            </w:r>
          </w:p>
        </w:tc>
        <w:tc>
          <w:tcPr>
            <w:tcW w:w="1276"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核心指标</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统计</w:t>
            </w: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核心指标</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统计</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从科室、医生、病组和病案的维度，分析结余情况、次均费用、次均住院日、药占比、材占比、时间消耗指数、费用消耗指数、低风险病组死亡率、15日再入院率、CMI值、病组数和入组率的情况。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restart"/>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费用控制</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w:t>
            </w: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费用控制分析总览</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从科室、医生、病组和病案的维度，分析次均费用、次均住院日、药占比、材占比情况，给出目标完成情况、趋势变化，并给出具体的优化方向。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次均费用分析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从科室、医生、病组和病案的维度，分析次均费用目标控制情况，针对指标控制不合理提供针对性优化建议。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次均住院日分析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从科室、医生、病组和病案的维度，分析次均住院日目标控制情况，针对指标控制不合理提供针对性优化建议。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药占比分析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从科室、医生、病组和病案的维度，分析药占比目标控制情况，针对指标控制不合理提供针对性优化建议。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材占比分析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从科室、医生、病组和病案的维度，分析材占比目标控制情况，针对指标控制不合理提供针对性优化建议。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restart"/>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服务能力</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w:t>
            </w: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服务能力</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分析总览</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从科室、医生和病案的维度，分析CMI值、病组数和入组率情况，给出目标完成情况、趋势变化，并给出具体的优化方向。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病组数分析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从科室、医生和病案的维度，分析病组数目标控制情况，针对指标控制不合理提供针对性优化建议。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入组率分析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从科室、医生和病案的维度，分析入组率目标控制情况，针对指标控制不合理提供针对性优化建议。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CMI值分析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从科室、医生和病案的维度，分析CMI值目标控制情况，针对指标控制不合理提供针对性优化建议。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restart"/>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质量效率</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w:t>
            </w:r>
          </w:p>
        </w:tc>
        <w:tc>
          <w:tcPr>
            <w:tcW w:w="1559" w:type="dxa"/>
            <w:shd w:val="clear" w:color="auto" w:fill="auto"/>
            <w:noWrap/>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质量效率</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分析总览</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从科室、医生、病组和病案的维度，分析时间消耗指数、费用消耗指数、低风险病组死亡率、15日再入院率完成情况，给出目标完成情况、趋势变化，并给出具体的优化方向。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sz w:val="20"/>
                <w:szCs w:val="20"/>
                <w:highlight w:val="none"/>
              </w:rPr>
            </w:pPr>
            <w:r>
              <w:rPr>
                <w:rFonts w:hint="eastAsia" w:ascii="宋体" w:hAnsi="宋体" w:eastAsia="宋体" w:cs="宋体"/>
                <w:bCs/>
                <w:kern w:val="0"/>
                <w:sz w:val="20"/>
                <w:szCs w:val="20"/>
                <w:highlight w:val="none"/>
              </w:rPr>
              <w:t>费用消耗指数分析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从科室、医生、病组和病案的维度，分析费用消耗指数目标控制情况，针对指标控制不合理提供针对性优化建议。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时间消耗指数分析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从科室、医生、病组和病案的维度，分析时间消耗指数目标控制情况，针对指标控制不合理提供针对性优化建议。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低风险死亡病组分析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从科室、医生、病组和病案的维度，分析低风险死亡病组目标控制情况，针对指标控制不合理提供针对性优化建议。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15日再入院率分析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从科室、医生、病组和病案的维度，分15日再入院率目标控制情况，针对指标控制不合理提供针对性优化建议。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restart"/>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异常行为监测</w:t>
            </w:r>
          </w:p>
        </w:tc>
        <w:tc>
          <w:tcPr>
            <w:tcW w:w="1276"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科室数据</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w:t>
            </w:r>
          </w:p>
        </w:tc>
        <w:tc>
          <w:tcPr>
            <w:tcW w:w="1559" w:type="dxa"/>
            <w:shd w:val="clear" w:color="auto" w:fill="auto"/>
            <w:noWrap/>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科室数据</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科室数据分析：使用波士顿矩阵分析法，重新对科室进行定位分析。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医生数据</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w:t>
            </w:r>
          </w:p>
        </w:tc>
        <w:tc>
          <w:tcPr>
            <w:tcW w:w="1559" w:type="dxa"/>
            <w:shd w:val="clear" w:color="auto" w:fill="auto"/>
            <w:noWrap/>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医生数据</w:t>
            </w:r>
          </w:p>
          <w:p>
            <w:pPr>
              <w:widowControl/>
              <w:spacing w:line="240" w:lineRule="auto"/>
              <w:jc w:val="center"/>
              <w:rPr>
                <w:rFonts w:hint="eastAsia" w:ascii="宋体" w:hAnsi="宋体" w:eastAsia="宋体" w:cs="宋体"/>
                <w:bCs/>
                <w:sz w:val="20"/>
                <w:szCs w:val="20"/>
                <w:highlight w:val="none"/>
              </w:rPr>
            </w:pPr>
            <w:r>
              <w:rPr>
                <w:rFonts w:hint="eastAsia" w:ascii="宋体" w:hAnsi="宋体" w:eastAsia="宋体" w:cs="宋体"/>
                <w:bCs/>
                <w:kern w:val="0"/>
                <w:sz w:val="20"/>
                <w:szCs w:val="20"/>
                <w:highlight w:val="none"/>
              </w:rPr>
              <w:t>分析</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特殊医生分析：使用波士顿矩阵分析法，重新对科室进行定位分析。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restart"/>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特殊病案</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w:t>
            </w: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病案数据</w:t>
            </w:r>
          </w:p>
          <w:p>
            <w:pPr>
              <w:widowControl/>
              <w:spacing w:line="240" w:lineRule="auto"/>
              <w:jc w:val="center"/>
              <w:rPr>
                <w:rFonts w:hint="eastAsia" w:ascii="宋体" w:hAnsi="宋体" w:eastAsia="宋体" w:cs="宋体"/>
                <w:bCs/>
                <w:sz w:val="20"/>
                <w:szCs w:val="20"/>
                <w:highlight w:val="none"/>
              </w:rPr>
            </w:pPr>
            <w:r>
              <w:rPr>
                <w:rFonts w:hint="eastAsia" w:ascii="宋体" w:hAnsi="宋体" w:eastAsia="宋体" w:cs="宋体"/>
                <w:bCs/>
                <w:kern w:val="0"/>
                <w:sz w:val="20"/>
                <w:szCs w:val="20"/>
                <w:highlight w:val="none"/>
              </w:rPr>
              <w:t>总揽</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综合分析特殊病案的变化情况，与占比情况。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入组异常</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病案</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分析入组异常病案问题产生原因，统计问题病案分布情况。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高倍率病案</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分析高倍率病案问题产生原因，统计问题病案分布情况。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低倍率病案</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分析低倍率病案问题产生原因，统计问题病案分布情况。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低风险病组死亡病案</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分析低风险病组死亡病案问题产生原因，统计问题病案分布情况。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药占比异常病案</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分析药占比异常病案问题产生原因，统计问题病案分布情况。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材占比异常病案</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分析材占比异常病案问题产生原因，统计问题病案分布情况。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vMerge w:val="continue"/>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p>
        </w:tc>
        <w:tc>
          <w:tcPr>
            <w:tcW w:w="1559" w:type="dxa"/>
            <w:shd w:val="clear" w:color="auto" w:fill="auto"/>
            <w:noWrap/>
            <w:vAlign w:val="center"/>
          </w:tcPr>
          <w:p>
            <w:pPr>
              <w:widowControl/>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病组数据</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总览</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综合分析特殊病组的优劣势定位，分析占比情况。</w:t>
            </w:r>
          </w:p>
        </w:tc>
      </w:tr>
    </w:tbl>
    <w:p>
      <w:pPr>
        <w:pStyle w:val="5"/>
        <w:rPr>
          <w:rFonts w:hint="eastAsia" w:ascii="宋体" w:hAnsi="宋体" w:eastAsia="宋体" w:cs="宋体"/>
          <w:highlight w:val="none"/>
        </w:rPr>
      </w:pPr>
      <w:r>
        <w:rPr>
          <w:rFonts w:hint="eastAsia" w:ascii="宋体" w:hAnsi="宋体" w:eastAsia="宋体" w:cs="宋体"/>
          <w:highlight w:val="none"/>
        </w:rPr>
        <w:t>医保运营报告</w:t>
      </w:r>
    </w:p>
    <w:tbl>
      <w:tblPr>
        <w:tblStyle w:val="22"/>
        <w:tblW w:w="92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9"/>
        <w:gridCol w:w="1276"/>
        <w:gridCol w:w="1559"/>
        <w:gridCol w:w="5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restart"/>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运行分析报告</w:t>
            </w:r>
          </w:p>
        </w:tc>
        <w:tc>
          <w:tcPr>
            <w:tcW w:w="1276"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全院运行</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报告</w:t>
            </w: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sz w:val="20"/>
                <w:szCs w:val="20"/>
                <w:highlight w:val="none"/>
              </w:rPr>
              <w:t>全院运行</w:t>
            </w:r>
            <w:r>
              <w:rPr>
                <w:rFonts w:hint="eastAsia" w:ascii="宋体" w:hAnsi="宋体" w:eastAsia="宋体" w:cs="宋体"/>
                <w:bCs/>
                <w:kern w:val="0"/>
                <w:sz w:val="20"/>
                <w:szCs w:val="20"/>
                <w:highlight w:val="none"/>
              </w:rPr>
              <w:t>报告</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全院的精细化分析报表，内容包括指标完成情况、主要原因、费用结构、重点科室、重点病组等。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科室运行</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报告</w:t>
            </w:r>
          </w:p>
        </w:tc>
        <w:tc>
          <w:tcPr>
            <w:tcW w:w="1559" w:type="dxa"/>
            <w:shd w:val="clear" w:color="auto" w:fill="auto"/>
            <w:noWrap/>
            <w:vAlign w:val="center"/>
          </w:tcPr>
          <w:p>
            <w:pPr>
              <w:widowControl/>
              <w:spacing w:line="240" w:lineRule="auto"/>
              <w:jc w:val="center"/>
              <w:rPr>
                <w:rFonts w:hint="eastAsia" w:ascii="宋体" w:hAnsi="宋体" w:eastAsia="宋体" w:cs="宋体"/>
                <w:bCs/>
                <w:sz w:val="20"/>
                <w:szCs w:val="20"/>
                <w:highlight w:val="none"/>
              </w:rPr>
            </w:pPr>
            <w:r>
              <w:rPr>
                <w:rFonts w:hint="eastAsia" w:ascii="宋体" w:hAnsi="宋体" w:eastAsia="宋体" w:cs="宋体"/>
                <w:bCs/>
                <w:kern w:val="0"/>
                <w:sz w:val="20"/>
                <w:szCs w:val="20"/>
                <w:highlight w:val="none"/>
              </w:rPr>
              <w:t>科室运行报告</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每个科室的精细化分析报表，内容包括指标完成情况、主要原因、费用结构、重点科室、重点病组等。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病组运行</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报告</w:t>
            </w: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病组运行报告</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每个病组的精细化分析报表，内容包括指标完成情况、主要原因、费用结构、重点科室、重点病组等。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29" w:type="dxa"/>
            <w:vMerge w:val="continue"/>
            <w:vAlign w:val="center"/>
          </w:tcPr>
          <w:p>
            <w:pPr>
              <w:widowControl/>
              <w:spacing w:line="240" w:lineRule="auto"/>
              <w:jc w:val="left"/>
              <w:rPr>
                <w:rFonts w:hint="eastAsia" w:ascii="宋体" w:hAnsi="宋体" w:eastAsia="宋体" w:cs="宋体"/>
                <w:bCs/>
                <w:kern w:val="0"/>
                <w:sz w:val="20"/>
                <w:szCs w:val="20"/>
                <w:highlight w:val="none"/>
              </w:rPr>
            </w:pPr>
          </w:p>
        </w:tc>
        <w:tc>
          <w:tcPr>
            <w:tcW w:w="1276"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医生运行</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报告</w:t>
            </w:r>
          </w:p>
        </w:tc>
        <w:tc>
          <w:tcPr>
            <w:tcW w:w="1559" w:type="dxa"/>
            <w:shd w:val="clear" w:color="auto" w:fill="auto"/>
            <w:noWrap/>
            <w:vAlign w:val="center"/>
          </w:tcPr>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sz w:val="20"/>
                <w:szCs w:val="20"/>
                <w:highlight w:val="none"/>
              </w:rPr>
              <w:t>医生运行</w:t>
            </w:r>
            <w:r>
              <w:rPr>
                <w:rFonts w:hint="eastAsia" w:ascii="宋体" w:hAnsi="宋体" w:eastAsia="宋体" w:cs="宋体"/>
                <w:bCs/>
                <w:kern w:val="0"/>
                <w:sz w:val="20"/>
                <w:szCs w:val="20"/>
                <w:highlight w:val="none"/>
              </w:rPr>
              <w:t>报告</w:t>
            </w:r>
          </w:p>
        </w:tc>
        <w:tc>
          <w:tcPr>
            <w:tcW w:w="5245" w:type="dxa"/>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bCs/>
                <w:kern w:val="0"/>
                <w:sz w:val="20"/>
                <w:szCs w:val="20"/>
                <w:highlight w:val="none"/>
              </w:rPr>
              <w:t>每个医生的精细化分析报表，内容包括指标完成情况、主要原因、费用结构、重点科室、重点病组等。</w:t>
            </w:r>
          </w:p>
        </w:tc>
      </w:tr>
    </w:tbl>
    <w:p>
      <w:pPr>
        <w:pStyle w:val="5"/>
        <w:rPr>
          <w:rFonts w:hint="eastAsia" w:ascii="宋体" w:hAnsi="宋体" w:eastAsia="宋体" w:cs="宋体"/>
          <w:highlight w:val="none"/>
        </w:rPr>
      </w:pPr>
      <w:r>
        <w:rPr>
          <w:rFonts w:hint="eastAsia" w:ascii="宋体" w:hAnsi="宋体" w:eastAsia="宋体" w:cs="宋体"/>
          <w:highlight w:val="none"/>
        </w:rPr>
        <w:t>医保智能审核</w:t>
      </w:r>
    </w:p>
    <w:tbl>
      <w:tblPr>
        <w:tblStyle w:val="22"/>
        <w:tblW w:w="9209" w:type="dxa"/>
        <w:tblInd w:w="0" w:type="dxa"/>
        <w:tblLayout w:type="autofit"/>
        <w:tblCellMar>
          <w:top w:w="0" w:type="dxa"/>
          <w:left w:w="108" w:type="dxa"/>
          <w:bottom w:w="0" w:type="dxa"/>
          <w:right w:w="108" w:type="dxa"/>
        </w:tblCellMar>
      </w:tblPr>
      <w:tblGrid>
        <w:gridCol w:w="1129"/>
        <w:gridCol w:w="1275"/>
        <w:gridCol w:w="1560"/>
        <w:gridCol w:w="5245"/>
      </w:tblGrid>
      <w:tr>
        <w:tblPrEx>
          <w:tblCellMar>
            <w:top w:w="0" w:type="dxa"/>
            <w:left w:w="108" w:type="dxa"/>
            <w:bottom w:w="0" w:type="dxa"/>
            <w:right w:w="108" w:type="dxa"/>
          </w:tblCellMar>
        </w:tblPrEx>
        <w:trPr>
          <w:trHeight w:val="660" w:hRule="atLeast"/>
        </w:trPr>
        <w:tc>
          <w:tcPr>
            <w:tcW w:w="1129" w:type="dxa"/>
            <w:tcBorders>
              <w:top w:val="single" w:color="auto" w:sz="4" w:space="0"/>
              <w:left w:val="single" w:color="auto" w:sz="4" w:space="0"/>
              <w:bottom w:val="single" w:color="auto" w:sz="4" w:space="0"/>
              <w:right w:val="single" w:color="auto" w:sz="4" w:space="0"/>
            </w:tcBorders>
            <w:shd w:val="clear" w:color="auto" w:fill="AEAAAA" w:themeFill="background2" w:themeFillShade="BF"/>
            <w:vAlign w:val="center"/>
          </w:tcPr>
          <w:p>
            <w:pPr>
              <w:widowControl/>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模块</w:t>
            </w:r>
          </w:p>
        </w:tc>
        <w:tc>
          <w:tcPr>
            <w:tcW w:w="1275" w:type="dxa"/>
            <w:tcBorders>
              <w:top w:val="single" w:color="auto" w:sz="4" w:space="0"/>
              <w:left w:val="nil"/>
              <w:bottom w:val="single" w:color="auto" w:sz="4" w:space="0"/>
              <w:right w:val="single" w:color="auto" w:sz="4" w:space="0"/>
            </w:tcBorders>
            <w:shd w:val="clear" w:color="auto" w:fill="AEAAAA" w:themeFill="background2" w:themeFillShade="BF"/>
            <w:noWrap/>
            <w:vAlign w:val="center"/>
          </w:tcPr>
          <w:p>
            <w:pPr>
              <w:widowControl/>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菜单</w:t>
            </w:r>
          </w:p>
        </w:tc>
        <w:tc>
          <w:tcPr>
            <w:tcW w:w="1560" w:type="dxa"/>
            <w:tcBorders>
              <w:top w:val="single" w:color="auto" w:sz="4" w:space="0"/>
              <w:left w:val="nil"/>
              <w:bottom w:val="single" w:color="auto" w:sz="4" w:space="0"/>
              <w:right w:val="single" w:color="auto" w:sz="4" w:space="0"/>
            </w:tcBorders>
            <w:shd w:val="clear" w:color="auto" w:fill="AEAAAA" w:themeFill="background2" w:themeFillShade="BF"/>
            <w:noWrap/>
            <w:vAlign w:val="center"/>
          </w:tcPr>
          <w:p>
            <w:pPr>
              <w:widowControl/>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功能</w:t>
            </w:r>
          </w:p>
        </w:tc>
        <w:tc>
          <w:tcPr>
            <w:tcW w:w="5245" w:type="dxa"/>
            <w:tcBorders>
              <w:top w:val="single" w:color="auto" w:sz="4" w:space="0"/>
              <w:left w:val="nil"/>
              <w:bottom w:val="single" w:color="auto" w:sz="4" w:space="0"/>
              <w:right w:val="single" w:color="auto" w:sz="4" w:space="0"/>
            </w:tcBorders>
            <w:shd w:val="clear" w:color="auto" w:fill="AEAAAA" w:themeFill="background2" w:themeFillShade="BF"/>
            <w:vAlign w:val="center"/>
          </w:tcPr>
          <w:p>
            <w:pPr>
              <w:widowControl/>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需求说明</w:t>
            </w:r>
          </w:p>
        </w:tc>
      </w:tr>
      <w:tr>
        <w:tblPrEx>
          <w:tblCellMar>
            <w:top w:w="0" w:type="dxa"/>
            <w:left w:w="108" w:type="dxa"/>
            <w:bottom w:w="0" w:type="dxa"/>
            <w:right w:w="108" w:type="dxa"/>
          </w:tblCellMar>
        </w:tblPrEx>
        <w:trPr>
          <w:trHeight w:val="660" w:hRule="atLeast"/>
        </w:trPr>
        <w:tc>
          <w:tcPr>
            <w:tcW w:w="1129"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事前审核预警</w:t>
            </w:r>
          </w:p>
        </w:tc>
        <w:tc>
          <w:tcPr>
            <w:tcW w:w="1275"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医嘱实时</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提醒</w:t>
            </w:r>
          </w:p>
        </w:tc>
        <w:tc>
          <w:tcPr>
            <w:tcW w:w="156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医嘱实时</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提醒</w:t>
            </w:r>
          </w:p>
        </w:tc>
        <w:tc>
          <w:tcPr>
            <w:tcW w:w="5245"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医师开具医嘱并提交保存时，HIS系统自动调用医嘱智能审核服务对待保存的医嘱进行实时审核，发现违规项目后（限定适应症限定儿童、限定性别、限定就医方式</w:t>
            </w:r>
            <w:r>
              <w:rPr>
                <w:rFonts w:hint="eastAsia" w:ascii="宋体" w:hAnsi="宋体" w:eastAsia="宋体" w:cs="宋体"/>
                <w:sz w:val="20"/>
                <w:szCs w:val="20"/>
                <w:highlight w:val="none"/>
              </w:rPr>
              <w:t>、限定频次、项目匹配、重复收费等</w:t>
            </w:r>
            <w:r>
              <w:rPr>
                <w:rFonts w:hint="eastAsia" w:ascii="宋体" w:hAnsi="宋体" w:eastAsia="宋体" w:cs="宋体"/>
                <w:kern w:val="0"/>
                <w:sz w:val="20"/>
                <w:szCs w:val="20"/>
                <w:highlight w:val="none"/>
              </w:rPr>
              <w:t>等）即时提醒医师，辅助医师掌握规则，从源头避免违规行为的发生。</w:t>
            </w:r>
          </w:p>
        </w:tc>
      </w:tr>
      <w:tr>
        <w:tblPrEx>
          <w:tblCellMar>
            <w:top w:w="0" w:type="dxa"/>
            <w:left w:w="108" w:type="dxa"/>
            <w:bottom w:w="0" w:type="dxa"/>
            <w:right w:w="108" w:type="dxa"/>
          </w:tblCellMar>
        </w:tblPrEx>
        <w:trPr>
          <w:trHeight w:val="660" w:hRule="atLeast"/>
        </w:trPr>
        <w:tc>
          <w:tcPr>
            <w:tcW w:w="112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住院事中预审核</w:t>
            </w:r>
          </w:p>
        </w:tc>
        <w:tc>
          <w:tcPr>
            <w:tcW w:w="1275"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科室出院</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预审核</w:t>
            </w:r>
          </w:p>
        </w:tc>
        <w:tc>
          <w:tcPr>
            <w:tcW w:w="156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科室出院</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预审核</w:t>
            </w:r>
          </w:p>
        </w:tc>
        <w:tc>
          <w:tcPr>
            <w:tcW w:w="5245"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sz w:val="20"/>
                <w:szCs w:val="20"/>
                <w:highlight w:val="none"/>
              </w:rPr>
              <w:t>临床科室医务人员在为病人办理出院手续时对本次住院费用进行审核，如有违规项目进行实时提醒，支持主管医生生对本人或科主任对本科室的在院患者进行出院前的费用审核。</w:t>
            </w:r>
          </w:p>
        </w:tc>
      </w:tr>
      <w:tr>
        <w:tblPrEx>
          <w:tblCellMar>
            <w:top w:w="0" w:type="dxa"/>
            <w:left w:w="108" w:type="dxa"/>
            <w:bottom w:w="0" w:type="dxa"/>
            <w:right w:w="108" w:type="dxa"/>
          </w:tblCellMar>
        </w:tblPrEx>
        <w:trPr>
          <w:trHeight w:val="660" w:hRule="atLeast"/>
        </w:trPr>
        <w:tc>
          <w:tcPr>
            <w:tcW w:w="112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hint="eastAsia" w:ascii="宋体" w:hAnsi="宋体" w:eastAsia="宋体" w:cs="宋体"/>
                <w:bCs/>
                <w:kern w:val="0"/>
                <w:sz w:val="20"/>
                <w:szCs w:val="20"/>
                <w:highlight w:val="none"/>
              </w:rPr>
            </w:pPr>
          </w:p>
        </w:tc>
        <w:tc>
          <w:tcPr>
            <w:tcW w:w="1275"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医保出院</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预审核</w:t>
            </w:r>
          </w:p>
        </w:tc>
        <w:tc>
          <w:tcPr>
            <w:tcW w:w="156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医保出院</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预审核</w:t>
            </w:r>
          </w:p>
        </w:tc>
        <w:tc>
          <w:tcPr>
            <w:tcW w:w="5245"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sz w:val="20"/>
                <w:szCs w:val="20"/>
                <w:highlight w:val="none"/>
              </w:rPr>
              <w:t>病人出院结算前，医保办对本次住院费用进行审核，如有违规项目则进行实时提醒，协助医保办对患者住院费用的合理性和合规性进行最后的把关。</w:t>
            </w:r>
          </w:p>
        </w:tc>
      </w:tr>
      <w:tr>
        <w:tblPrEx>
          <w:tblCellMar>
            <w:top w:w="0" w:type="dxa"/>
            <w:left w:w="108" w:type="dxa"/>
            <w:bottom w:w="0" w:type="dxa"/>
            <w:right w:w="108" w:type="dxa"/>
          </w:tblCellMar>
        </w:tblPrEx>
        <w:trPr>
          <w:trHeight w:val="660" w:hRule="atLeast"/>
        </w:trPr>
        <w:tc>
          <w:tcPr>
            <w:tcW w:w="112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lang w:eastAsia="zh-Hans"/>
              </w:rPr>
              <w:t>住院事后审核分析</w:t>
            </w:r>
          </w:p>
        </w:tc>
        <w:tc>
          <w:tcPr>
            <w:tcW w:w="1275"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智能审核</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 xml:space="preserve">结果统计 </w:t>
            </w:r>
          </w:p>
        </w:tc>
        <w:tc>
          <w:tcPr>
            <w:tcW w:w="156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智能审核</w:t>
            </w:r>
          </w:p>
          <w:p>
            <w:pPr>
              <w:widowControl/>
              <w:spacing w:line="240" w:lineRule="auto"/>
              <w:jc w:val="center"/>
              <w:rPr>
                <w:rFonts w:hint="eastAsia" w:ascii="宋体" w:hAnsi="宋体" w:eastAsia="宋体" w:cs="宋体"/>
                <w:bCs/>
                <w:kern w:val="0"/>
                <w:sz w:val="20"/>
                <w:szCs w:val="20"/>
                <w:highlight w:val="none"/>
              </w:rPr>
            </w:pPr>
            <w:r>
              <w:rPr>
                <w:rFonts w:hint="eastAsia" w:ascii="宋体" w:hAnsi="宋体" w:eastAsia="宋体" w:cs="宋体"/>
                <w:kern w:val="0"/>
                <w:sz w:val="20"/>
                <w:szCs w:val="20"/>
                <w:highlight w:val="none"/>
              </w:rPr>
              <w:t xml:space="preserve">结果统计 </w:t>
            </w:r>
          </w:p>
        </w:tc>
        <w:tc>
          <w:tcPr>
            <w:tcW w:w="5245"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bCs/>
                <w:kern w:val="0"/>
                <w:sz w:val="20"/>
                <w:szCs w:val="20"/>
                <w:highlight w:val="none"/>
              </w:rPr>
            </w:pPr>
            <w:r>
              <w:rPr>
                <w:rFonts w:hint="eastAsia" w:ascii="宋体" w:hAnsi="宋体" w:eastAsia="宋体" w:cs="宋体"/>
                <w:sz w:val="20"/>
                <w:szCs w:val="20"/>
                <w:highlight w:val="none"/>
              </w:rPr>
              <w:t>对当前在院或者出院患者的智能审核结果进行统计，提供违规项目的整体排名与查看功能。精准定位全院主要的违规类型解决了过去人工统计费时费力且结果不准确等问题。</w:t>
            </w:r>
          </w:p>
        </w:tc>
      </w:tr>
      <w:tr>
        <w:tblPrEx>
          <w:tblCellMar>
            <w:top w:w="0" w:type="dxa"/>
            <w:left w:w="108" w:type="dxa"/>
            <w:bottom w:w="0" w:type="dxa"/>
            <w:right w:w="108" w:type="dxa"/>
          </w:tblCellMar>
        </w:tblPrEx>
        <w:trPr>
          <w:trHeight w:val="660" w:hRule="atLeast"/>
        </w:trPr>
        <w:tc>
          <w:tcPr>
            <w:tcW w:w="1129" w:type="dxa"/>
            <w:vMerge w:val="continue"/>
            <w:tcBorders>
              <w:top w:val="single" w:color="auto" w:sz="4" w:space="0"/>
              <w:left w:val="single" w:color="auto" w:sz="4" w:space="0"/>
              <w:right w:val="single" w:color="auto" w:sz="4" w:space="0"/>
            </w:tcBorders>
            <w:vAlign w:val="center"/>
          </w:tcPr>
          <w:p>
            <w:pPr>
              <w:widowControl/>
              <w:spacing w:line="240" w:lineRule="auto"/>
              <w:jc w:val="left"/>
              <w:rPr>
                <w:rFonts w:hint="eastAsia" w:ascii="宋体" w:hAnsi="宋体" w:eastAsia="宋体" w:cs="宋体"/>
                <w:kern w:val="0"/>
                <w:sz w:val="20"/>
                <w:szCs w:val="20"/>
                <w:highlight w:val="none"/>
                <w:lang w:eastAsia="zh-Hans"/>
              </w:rPr>
            </w:pPr>
          </w:p>
        </w:tc>
        <w:tc>
          <w:tcPr>
            <w:tcW w:w="1275"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智能审核</w:t>
            </w:r>
          </w:p>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结果查看</w:t>
            </w:r>
          </w:p>
        </w:tc>
        <w:tc>
          <w:tcPr>
            <w:tcW w:w="156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智能审核</w:t>
            </w:r>
          </w:p>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结果查看</w:t>
            </w:r>
          </w:p>
        </w:tc>
        <w:tc>
          <w:tcPr>
            <w:tcW w:w="5245" w:type="dxa"/>
            <w:tcBorders>
              <w:top w:val="single" w:color="auto" w:sz="4" w:space="0"/>
              <w:left w:val="nil"/>
              <w:bottom w:val="nil"/>
              <w:right w:val="single" w:color="auto" w:sz="4" w:space="0"/>
            </w:tcBorders>
            <w:shd w:val="clear" w:color="auto" w:fill="auto"/>
            <w:vAlign w:val="center"/>
          </w:tcPr>
          <w:p>
            <w:pPr>
              <w:widowControl/>
              <w:spacing w:line="240" w:lineRule="auto"/>
              <w:jc w:val="left"/>
              <w:rPr>
                <w:rFonts w:hint="eastAsia" w:ascii="宋体" w:hAnsi="宋体" w:eastAsia="宋体" w:cs="宋体"/>
                <w:sz w:val="20"/>
                <w:szCs w:val="20"/>
                <w:highlight w:val="none"/>
              </w:rPr>
            </w:pPr>
            <w:r>
              <w:rPr>
                <w:rFonts w:hint="eastAsia" w:ascii="宋体" w:hAnsi="宋体" w:eastAsia="宋体" w:cs="宋体"/>
                <w:sz w:val="20"/>
                <w:szCs w:val="20"/>
                <w:highlight w:val="none"/>
              </w:rPr>
              <w:t>以患者或项目为主体，提供快速定位和查看不同患者的具体违规明细情况。</w:t>
            </w:r>
          </w:p>
        </w:tc>
      </w:tr>
      <w:tr>
        <w:tblPrEx>
          <w:tblCellMar>
            <w:top w:w="0" w:type="dxa"/>
            <w:left w:w="108" w:type="dxa"/>
            <w:bottom w:w="0" w:type="dxa"/>
            <w:right w:w="108" w:type="dxa"/>
          </w:tblCellMar>
        </w:tblPrEx>
        <w:trPr>
          <w:trHeight w:val="660" w:hRule="atLeast"/>
        </w:trPr>
        <w:tc>
          <w:tcPr>
            <w:tcW w:w="1129" w:type="dxa"/>
            <w:vMerge w:val="continue"/>
            <w:tcBorders>
              <w:left w:val="single" w:color="auto" w:sz="4" w:space="0"/>
              <w:bottom w:val="single" w:color="auto" w:sz="4" w:space="0"/>
              <w:right w:val="single" w:color="auto" w:sz="4" w:space="0"/>
            </w:tcBorders>
            <w:vAlign w:val="center"/>
          </w:tcPr>
          <w:p>
            <w:pPr>
              <w:widowControl/>
              <w:spacing w:line="240" w:lineRule="auto"/>
              <w:jc w:val="left"/>
              <w:rPr>
                <w:rFonts w:hint="eastAsia" w:ascii="宋体" w:hAnsi="宋体" w:eastAsia="宋体" w:cs="宋体"/>
                <w:kern w:val="0"/>
                <w:sz w:val="20"/>
                <w:szCs w:val="20"/>
                <w:highlight w:val="none"/>
                <w:lang w:eastAsia="zh-Hans"/>
              </w:rPr>
            </w:pPr>
          </w:p>
        </w:tc>
        <w:tc>
          <w:tcPr>
            <w:tcW w:w="1275"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 xml:space="preserve">智能审核违规结果排名 </w:t>
            </w:r>
          </w:p>
        </w:tc>
        <w:tc>
          <w:tcPr>
            <w:tcW w:w="156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 xml:space="preserve">智能审核违规结果排名 </w:t>
            </w:r>
          </w:p>
        </w:tc>
        <w:tc>
          <w:tcPr>
            <w:tcW w:w="5245" w:type="dxa"/>
            <w:tcBorders>
              <w:top w:val="nil"/>
              <w:left w:val="nil"/>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sz w:val="20"/>
                <w:szCs w:val="20"/>
                <w:highlight w:val="none"/>
              </w:rPr>
            </w:pPr>
            <w:r>
              <w:rPr>
                <w:rFonts w:hint="eastAsia" w:ascii="宋体" w:hAnsi="宋体" w:eastAsia="宋体" w:cs="宋体"/>
                <w:sz w:val="20"/>
                <w:szCs w:val="20"/>
                <w:highlight w:val="none"/>
              </w:rPr>
              <w:t>按全院维度，通过图表汇总某段时间内全院违规费用排名前10位数据，并可查看违规详情。</w:t>
            </w:r>
          </w:p>
        </w:tc>
      </w:tr>
      <w:tr>
        <w:tblPrEx>
          <w:tblCellMar>
            <w:top w:w="0" w:type="dxa"/>
            <w:left w:w="108" w:type="dxa"/>
            <w:bottom w:w="0" w:type="dxa"/>
            <w:right w:w="108" w:type="dxa"/>
          </w:tblCellMar>
        </w:tblPrEx>
        <w:trPr>
          <w:trHeight w:val="660" w:hRule="atLeast"/>
        </w:trPr>
        <w:tc>
          <w:tcPr>
            <w:tcW w:w="112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hint="eastAsia" w:ascii="宋体" w:hAnsi="宋体" w:eastAsia="宋体" w:cs="宋体"/>
                <w:kern w:val="0"/>
                <w:sz w:val="20"/>
                <w:szCs w:val="20"/>
                <w:highlight w:val="none"/>
                <w:lang w:eastAsia="zh-Hans"/>
              </w:rPr>
            </w:pPr>
            <w:r>
              <w:rPr>
                <w:rFonts w:hint="eastAsia" w:ascii="宋体" w:hAnsi="宋体" w:eastAsia="宋体" w:cs="宋体"/>
                <w:kern w:val="0"/>
                <w:sz w:val="20"/>
                <w:szCs w:val="20"/>
                <w:highlight w:val="none"/>
                <w:lang w:eastAsia="zh-Hans"/>
              </w:rPr>
              <w:t>规则引擎管理</w:t>
            </w:r>
          </w:p>
        </w:tc>
        <w:tc>
          <w:tcPr>
            <w:tcW w:w="1275"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医保规则</w:t>
            </w:r>
          </w:p>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引擎</w:t>
            </w:r>
          </w:p>
        </w:tc>
        <w:tc>
          <w:tcPr>
            <w:tcW w:w="156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医保规则</w:t>
            </w:r>
          </w:p>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引擎</w:t>
            </w:r>
          </w:p>
        </w:tc>
        <w:tc>
          <w:tcPr>
            <w:tcW w:w="5245"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sz w:val="20"/>
                <w:szCs w:val="20"/>
                <w:highlight w:val="none"/>
              </w:rPr>
            </w:pPr>
            <w:r>
              <w:rPr>
                <w:rFonts w:hint="eastAsia" w:ascii="宋体" w:hAnsi="宋体" w:eastAsia="宋体" w:cs="宋体"/>
                <w:sz w:val="20"/>
                <w:szCs w:val="20"/>
                <w:highlight w:val="none"/>
              </w:rPr>
              <w:t>具备规则库库引擎，需要包括医疗保险规则、收费规则和医疗用药规则（包括：限定频次、限项目匹配、限重复收费、限定就医方式、限医院级别类型、限儿童、限性别、限定适应症(条件)用药、限定疗程、违反限定适应症(条件)项目、分解住院、阶梯用药等），具有规则引擎能力的执行环境负责执行已定制的医疗服务监控规则库，规则引擎由系统后台自动运行，基本不存在前台页面。</w:t>
            </w:r>
          </w:p>
        </w:tc>
      </w:tr>
      <w:tr>
        <w:tblPrEx>
          <w:tblCellMar>
            <w:top w:w="0" w:type="dxa"/>
            <w:left w:w="108" w:type="dxa"/>
            <w:bottom w:w="0" w:type="dxa"/>
            <w:right w:w="108" w:type="dxa"/>
          </w:tblCellMar>
        </w:tblPrEx>
        <w:trPr>
          <w:trHeight w:val="660" w:hRule="atLeast"/>
        </w:trPr>
        <w:tc>
          <w:tcPr>
            <w:tcW w:w="112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hint="eastAsia" w:ascii="宋体" w:hAnsi="宋体" w:eastAsia="宋体" w:cs="宋体"/>
                <w:kern w:val="0"/>
                <w:sz w:val="20"/>
                <w:szCs w:val="20"/>
                <w:highlight w:val="none"/>
                <w:lang w:eastAsia="zh-Hans"/>
              </w:rPr>
            </w:pPr>
          </w:p>
        </w:tc>
        <w:tc>
          <w:tcPr>
            <w:tcW w:w="1275"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基础规则</w:t>
            </w:r>
          </w:p>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管理</w:t>
            </w:r>
          </w:p>
        </w:tc>
        <w:tc>
          <w:tcPr>
            <w:tcW w:w="156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基础规则</w:t>
            </w:r>
          </w:p>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管理</w:t>
            </w:r>
          </w:p>
        </w:tc>
        <w:tc>
          <w:tcPr>
            <w:tcW w:w="5245"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sz w:val="20"/>
                <w:szCs w:val="20"/>
                <w:highlight w:val="none"/>
              </w:rPr>
            </w:pPr>
            <w:r>
              <w:rPr>
                <w:rFonts w:hint="eastAsia" w:ascii="宋体" w:hAnsi="宋体" w:eastAsia="宋体" w:cs="宋体"/>
                <w:sz w:val="20"/>
                <w:szCs w:val="20"/>
                <w:highlight w:val="none"/>
              </w:rPr>
              <w:t>客户可以参照模板新增规则，对审核规则进行新增、修改、删除等操作，系统会根据变更后的规则明细进行数据分析，反馈至临床使用部门。</w:t>
            </w:r>
          </w:p>
        </w:tc>
      </w:tr>
      <w:tr>
        <w:tblPrEx>
          <w:tblCellMar>
            <w:top w:w="0" w:type="dxa"/>
            <w:left w:w="108" w:type="dxa"/>
            <w:bottom w:w="0" w:type="dxa"/>
            <w:right w:w="108" w:type="dxa"/>
          </w:tblCellMar>
        </w:tblPrEx>
        <w:trPr>
          <w:trHeight w:val="660" w:hRule="atLeast"/>
        </w:trPr>
        <w:tc>
          <w:tcPr>
            <w:tcW w:w="112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hint="eastAsia" w:ascii="宋体" w:hAnsi="宋体" w:eastAsia="宋体" w:cs="宋体"/>
                <w:kern w:val="0"/>
                <w:sz w:val="20"/>
                <w:szCs w:val="20"/>
                <w:highlight w:val="none"/>
                <w:lang w:eastAsia="zh-Hans"/>
              </w:rPr>
            </w:pPr>
          </w:p>
        </w:tc>
        <w:tc>
          <w:tcPr>
            <w:tcW w:w="1275"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字典配置</w:t>
            </w:r>
          </w:p>
        </w:tc>
        <w:tc>
          <w:tcPr>
            <w:tcW w:w="156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字典配置</w:t>
            </w:r>
          </w:p>
        </w:tc>
        <w:tc>
          <w:tcPr>
            <w:tcW w:w="5245"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sz w:val="20"/>
                <w:szCs w:val="20"/>
                <w:highlight w:val="none"/>
              </w:rPr>
            </w:pPr>
            <w:r>
              <w:rPr>
                <w:rFonts w:hint="eastAsia" w:ascii="宋体" w:hAnsi="宋体" w:eastAsia="宋体" w:cs="宋体"/>
                <w:sz w:val="20"/>
                <w:szCs w:val="20"/>
                <w:highlight w:val="none"/>
              </w:rPr>
              <w:t>对系统相关字典参数进行设置。</w:t>
            </w:r>
          </w:p>
        </w:tc>
      </w:tr>
    </w:tbl>
    <w:p>
      <w:pPr>
        <w:pStyle w:val="4"/>
        <w:rPr>
          <w:rFonts w:hint="eastAsia" w:ascii="宋体" w:hAnsi="宋体" w:eastAsia="宋体" w:cs="宋体"/>
          <w:sz w:val="28"/>
          <w:szCs w:val="36"/>
          <w:highlight w:val="none"/>
        </w:rPr>
      </w:pPr>
      <w:r>
        <w:rPr>
          <w:rFonts w:hint="eastAsia" w:ascii="宋体" w:hAnsi="宋体" w:eastAsia="宋体" w:cs="宋体"/>
          <w:sz w:val="28"/>
          <w:szCs w:val="36"/>
          <w:highlight w:val="none"/>
        </w:rPr>
        <w:t>医务管理</w:t>
      </w:r>
    </w:p>
    <w:tbl>
      <w:tblPr>
        <w:tblStyle w:val="22"/>
        <w:tblW w:w="9096"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16"/>
        <w:gridCol w:w="1276"/>
        <w:gridCol w:w="1559"/>
        <w:gridCol w:w="5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016" w:type="dxa"/>
            <w:shd w:val="clear" w:color="auto" w:fill="AEAAAA" w:themeFill="background2" w:themeFillShade="BF"/>
            <w:noWrap/>
            <w:vAlign w:val="center"/>
          </w:tcPr>
          <w:p>
            <w:pPr>
              <w:widowControl/>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模块</w:t>
            </w:r>
          </w:p>
        </w:tc>
        <w:tc>
          <w:tcPr>
            <w:tcW w:w="1276" w:type="dxa"/>
            <w:shd w:val="clear" w:color="auto" w:fill="AEAAAA" w:themeFill="background2" w:themeFillShade="BF"/>
            <w:noWrap/>
            <w:vAlign w:val="center"/>
          </w:tcPr>
          <w:p>
            <w:pPr>
              <w:widowControl/>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菜单</w:t>
            </w:r>
          </w:p>
        </w:tc>
        <w:tc>
          <w:tcPr>
            <w:tcW w:w="1559" w:type="dxa"/>
            <w:shd w:val="clear" w:color="auto" w:fill="AEAAAA" w:themeFill="background2" w:themeFillShade="BF"/>
            <w:noWrap/>
            <w:vAlign w:val="center"/>
          </w:tcPr>
          <w:p>
            <w:pPr>
              <w:widowControl/>
              <w:jc w:val="center"/>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功能</w:t>
            </w:r>
          </w:p>
        </w:tc>
        <w:tc>
          <w:tcPr>
            <w:tcW w:w="5245" w:type="dxa"/>
            <w:shd w:val="clear" w:color="auto" w:fill="AEAAAA" w:themeFill="background2" w:themeFillShade="BF"/>
            <w:vAlign w:val="center"/>
          </w:tcPr>
          <w:p>
            <w:pPr>
              <w:widowControl/>
              <w:jc w:val="left"/>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需求说明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restart"/>
            <w:shd w:val="clear" w:color="000000" w:fill="FFFFFF"/>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公立医院绩效考核</w:t>
            </w: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考核指标</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考核指标</w:t>
            </w:r>
          </w:p>
        </w:tc>
        <w:tc>
          <w:tcPr>
            <w:tcW w:w="5245" w:type="dxa"/>
            <w:shd w:val="clear" w:color="000000" w:fill="FFFFFF"/>
            <w:noWrap/>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提供全院“国考”中与病案首页相关的6个指标的分析，各指标对应目标达成等4个值的计算结果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单病种</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单病种</w:t>
            </w:r>
          </w:p>
        </w:tc>
        <w:tc>
          <w:tcPr>
            <w:tcW w:w="5245" w:type="dxa"/>
            <w:shd w:val="clear" w:color="000000" w:fill="FFFFFF"/>
            <w:noWrap/>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提供全院“国考”中与单病种相关的11个指标的分析，各指标对应目标达成等4个值的计算结果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restart"/>
            <w:shd w:val="clear" w:color="000000" w:fill="FFFFFF"/>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医院等级评审</w:t>
            </w: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评审指标</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评审指标</w:t>
            </w:r>
          </w:p>
        </w:tc>
        <w:tc>
          <w:tcPr>
            <w:tcW w:w="5245" w:type="dxa"/>
            <w:shd w:val="clear" w:color="000000" w:fill="FFFFFF"/>
            <w:noWrap/>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三级医院评审标准（2020 年版）中与病案首页相关的112个指标。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监测病种</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监测病种</w:t>
            </w:r>
          </w:p>
        </w:tc>
        <w:tc>
          <w:tcPr>
            <w:tcW w:w="5245" w:type="dxa"/>
            <w:shd w:val="clear" w:color="000000" w:fill="FFFFFF"/>
            <w:noWrap/>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三级医院评审标准（2020 年版）中规定的51个单病种（术种）质量控制指标。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restart"/>
            <w:shd w:val="clear" w:color="000000" w:fill="FFFFFF"/>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运营管理指标</w:t>
            </w: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服务能力</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服务能力</w:t>
            </w:r>
          </w:p>
        </w:tc>
        <w:tc>
          <w:tcPr>
            <w:tcW w:w="5245" w:type="dxa"/>
            <w:shd w:val="clear" w:color="000000" w:fill="FFFFFF"/>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提供全院/科室/医师服务能力指标的分类评级分析、各指标对应目标达成等5个值的计算结果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服务效率</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服务效率</w:t>
            </w:r>
          </w:p>
        </w:tc>
        <w:tc>
          <w:tcPr>
            <w:tcW w:w="5245" w:type="dxa"/>
            <w:shd w:val="clear" w:color="000000" w:fill="FFFFFF"/>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提供全院/科室/医师服务效率指标的分类评级分析，各指标对应目标达成等5个值的计算结果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质量安全</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质量安全</w:t>
            </w:r>
          </w:p>
        </w:tc>
        <w:tc>
          <w:tcPr>
            <w:tcW w:w="5245" w:type="dxa"/>
            <w:shd w:val="clear" w:color="000000" w:fill="FFFFFF"/>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提供全院/科室/医师质量安全指标的分类评级分析，各指标对应目标达成等5个值的计算结果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科室绩效</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科室绩效</w:t>
            </w:r>
          </w:p>
        </w:tc>
        <w:tc>
          <w:tcPr>
            <w:tcW w:w="5245" w:type="dxa"/>
            <w:shd w:val="clear" w:color="000000" w:fill="FFFFFF"/>
            <w:noWrap/>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提供各临床科室整体绩效的分类评级分析，了解本院各个临床科室的整体绩效得分、对应7个指标的开展情况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医师绩效</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医师绩效</w:t>
            </w:r>
          </w:p>
        </w:tc>
        <w:tc>
          <w:tcPr>
            <w:tcW w:w="5245" w:type="dxa"/>
            <w:shd w:val="clear" w:color="000000" w:fill="FFFFFF"/>
            <w:noWrap/>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提供某科室各级别医师的整体绩效分析，涉及8个指标的分析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vMerge w:val="restart"/>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学科建设</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对标分析</w:t>
            </w:r>
          </w:p>
        </w:tc>
        <w:tc>
          <w:tcPr>
            <w:tcW w:w="5245" w:type="dxa"/>
            <w:shd w:val="clear" w:color="000000" w:fill="FFFFFF"/>
            <w:noWrap/>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提供5个指标的行业对标分析、4个指标的行业定位分布情况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MDC均衡性分析</w:t>
            </w:r>
          </w:p>
        </w:tc>
        <w:tc>
          <w:tcPr>
            <w:tcW w:w="5245" w:type="dxa"/>
            <w:shd w:val="clear" w:color="000000" w:fill="FFFFFF"/>
            <w:noWrap/>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提供各学科的分类评级分析，了解本院各个MDC整体评价、对应的5个绝对指标、5个相对指标的开展情况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重点专业</w:t>
            </w:r>
          </w:p>
        </w:tc>
        <w:tc>
          <w:tcPr>
            <w:tcW w:w="5245" w:type="dxa"/>
            <w:shd w:val="clear" w:color="000000" w:fill="FFFFFF"/>
            <w:noWrap/>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提供各专业的分类评级分析，了解本院各个主要专业整体评价、对应的4个相对指标的开展情况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疾病结构</w:t>
            </w:r>
          </w:p>
        </w:tc>
        <w:tc>
          <w:tcPr>
            <w:tcW w:w="5245" w:type="dxa"/>
            <w:shd w:val="clear" w:color="000000" w:fill="FFFFFF"/>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（1）提供本院与标杆的权重分布结构对比分析，了解本院的疾病结构；</w:t>
            </w:r>
            <w:r>
              <w:rPr>
                <w:rFonts w:hint="eastAsia" w:ascii="宋体" w:hAnsi="宋体" w:eastAsia="宋体" w:cs="宋体"/>
                <w:sz w:val="20"/>
                <w:szCs w:val="20"/>
                <w:highlight w:val="none"/>
              </w:rPr>
              <w:br w:type="textWrapping"/>
            </w:r>
            <w:r>
              <w:rPr>
                <w:rFonts w:hint="eastAsia" w:ascii="宋体" w:hAnsi="宋体" w:eastAsia="宋体" w:cs="宋体"/>
                <w:kern w:val="0"/>
                <w:sz w:val="20"/>
                <w:szCs w:val="20"/>
                <w:highlight w:val="none"/>
              </w:rPr>
              <w:t>（2）提供本院已开展DRGs的详细分析，涉及本院及标杆共7个指标的分析；</w:t>
            </w:r>
            <w:r>
              <w:rPr>
                <w:rFonts w:hint="eastAsia" w:ascii="宋体" w:hAnsi="宋体" w:eastAsia="宋体" w:cs="宋体"/>
                <w:sz w:val="20"/>
                <w:szCs w:val="20"/>
                <w:highlight w:val="none"/>
              </w:rPr>
              <w:br w:type="textWrapping"/>
            </w:r>
            <w:r>
              <w:rPr>
                <w:rFonts w:hint="eastAsia" w:ascii="宋体" w:hAnsi="宋体" w:eastAsia="宋体" w:cs="宋体"/>
                <w:kern w:val="0"/>
                <w:sz w:val="20"/>
                <w:szCs w:val="20"/>
                <w:highlight w:val="none"/>
              </w:rPr>
              <w:t>（3）提供本院未开展DRGs的详细分析，涉及标杆4个指标的分析。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restart"/>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运行分析报告</w:t>
            </w: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全院运行报告</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全院运行报告</w:t>
            </w:r>
          </w:p>
        </w:tc>
        <w:tc>
          <w:tcPr>
            <w:tcW w:w="5245" w:type="dxa"/>
            <w:shd w:val="clear" w:color="000000" w:fill="FFFFFF"/>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全院的精细化分析报表，内容包括指标完成情况、主要原因、费用结构、重点科室、重点病组、优化方向等。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科室运行报告</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科室运行报告</w:t>
            </w:r>
          </w:p>
        </w:tc>
        <w:tc>
          <w:tcPr>
            <w:tcW w:w="5245" w:type="dxa"/>
            <w:shd w:val="clear" w:color="000000" w:fill="FFFFFF"/>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每个科室的精细化分析报表，内容包括指标完成情况、主要原因、费用结构、重点科室、重点病组、优化方向等。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病组运行报告</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病组运行报告</w:t>
            </w:r>
          </w:p>
        </w:tc>
        <w:tc>
          <w:tcPr>
            <w:tcW w:w="5245" w:type="dxa"/>
            <w:shd w:val="clear" w:color="000000" w:fill="FFFFFF"/>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每个病组的精细化分析报表，内容包括指标完成情况、主要原因、费用结构、重点科室、重点病组、优化方向等。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16" w:type="dxa"/>
            <w:vMerge w:val="continue"/>
            <w:shd w:val="clear" w:color="auto" w:fill="auto"/>
            <w:vAlign w:val="center"/>
          </w:tcPr>
          <w:p>
            <w:pPr>
              <w:widowControl/>
              <w:jc w:val="left"/>
              <w:rPr>
                <w:rFonts w:hint="eastAsia" w:ascii="宋体" w:hAnsi="宋体" w:eastAsia="宋体" w:cs="宋体"/>
                <w:kern w:val="0"/>
                <w:sz w:val="20"/>
                <w:szCs w:val="20"/>
                <w:highlight w:val="none"/>
              </w:rPr>
            </w:pP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医生运行报告</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医生运行报告</w:t>
            </w:r>
          </w:p>
        </w:tc>
        <w:tc>
          <w:tcPr>
            <w:tcW w:w="5245" w:type="dxa"/>
            <w:shd w:val="clear" w:color="000000" w:fill="FFFFFF"/>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rPr>
              <w:t>每个医生的精细化分析报表，内容包括指标完成情况、主要原因、费用结构、重点科室、重点病组、优化方向等。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1016" w:type="dxa"/>
            <w:shd w:val="clear" w:color="auto" w:fill="auto"/>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lang w:val="en-US" w:eastAsia="zh-CN"/>
              </w:rPr>
              <w:t>接口管理</w:t>
            </w: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lang w:val="en-US" w:eastAsia="zh-CN"/>
              </w:rPr>
              <w:t>HIS、电子病历对接、病案管理等</w:t>
            </w: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p>
        </w:tc>
        <w:tc>
          <w:tcPr>
            <w:tcW w:w="5245" w:type="dxa"/>
            <w:shd w:val="clear" w:color="000000" w:fill="FFFFFF"/>
            <w:vAlign w:val="center"/>
          </w:tcPr>
          <w:p>
            <w:pPr>
              <w:widowControl/>
              <w:jc w:val="left"/>
              <w:rPr>
                <w:rFonts w:hint="eastAsia" w:ascii="宋体" w:hAnsi="宋体" w:eastAsia="宋体" w:cs="宋体"/>
                <w:kern w:val="0"/>
                <w:sz w:val="20"/>
                <w:szCs w:val="20"/>
                <w:highlight w:val="none"/>
              </w:rPr>
            </w:pPr>
            <w:r>
              <w:rPr>
                <w:rFonts w:hint="eastAsia" w:ascii="宋体" w:hAnsi="宋体" w:eastAsia="宋体" w:cs="宋体"/>
                <w:kern w:val="0"/>
                <w:sz w:val="20"/>
                <w:szCs w:val="20"/>
                <w:highlight w:val="none"/>
                <w:lang w:val="en-US" w:eastAsia="zh-CN"/>
              </w:rPr>
              <w:t>负责与院内所需系统协商对接，接口所需费用由中标方承担。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1016" w:type="dxa"/>
            <w:shd w:val="clear" w:color="auto" w:fill="auto"/>
            <w:vAlign w:val="center"/>
          </w:tcPr>
          <w:p>
            <w:pPr>
              <w:widowControl/>
              <w:jc w:val="left"/>
              <w:rPr>
                <w:rFonts w:hint="eastAsia" w:ascii="宋体" w:hAnsi="宋体" w:eastAsia="宋体" w:cs="宋体"/>
                <w:kern w:val="0"/>
                <w:sz w:val="20"/>
                <w:szCs w:val="20"/>
                <w:highlight w:val="none"/>
                <w:lang w:val="en-US" w:eastAsia="zh-CN"/>
              </w:rPr>
            </w:pPr>
            <w:r>
              <w:rPr>
                <w:rFonts w:hint="eastAsia" w:ascii="宋体" w:hAnsi="宋体" w:eastAsia="宋体" w:cs="宋体"/>
                <w:kern w:val="0"/>
                <w:sz w:val="20"/>
                <w:szCs w:val="20"/>
                <w:highlight w:val="none"/>
                <w:lang w:val="en-US" w:eastAsia="zh-CN"/>
              </w:rPr>
              <w:t>附加要求</w:t>
            </w:r>
          </w:p>
        </w:tc>
        <w:tc>
          <w:tcPr>
            <w:tcW w:w="1276" w:type="dxa"/>
            <w:shd w:val="clear" w:color="000000" w:fill="FFFFFF"/>
            <w:noWrap/>
            <w:vAlign w:val="center"/>
          </w:tcPr>
          <w:p>
            <w:pPr>
              <w:widowControl/>
              <w:jc w:val="center"/>
              <w:rPr>
                <w:rFonts w:hint="eastAsia" w:ascii="宋体" w:hAnsi="宋体" w:eastAsia="宋体" w:cs="宋体"/>
                <w:kern w:val="0"/>
                <w:sz w:val="20"/>
                <w:szCs w:val="20"/>
                <w:highlight w:val="none"/>
                <w:lang w:val="en-US" w:eastAsia="zh-CN"/>
              </w:rPr>
            </w:pPr>
          </w:p>
        </w:tc>
        <w:tc>
          <w:tcPr>
            <w:tcW w:w="1559" w:type="dxa"/>
            <w:shd w:val="clear" w:color="000000" w:fill="FFFFFF"/>
            <w:noWrap/>
            <w:vAlign w:val="center"/>
          </w:tcPr>
          <w:p>
            <w:pPr>
              <w:widowControl/>
              <w:jc w:val="center"/>
              <w:rPr>
                <w:rFonts w:hint="eastAsia" w:ascii="宋体" w:hAnsi="宋体" w:eastAsia="宋体" w:cs="宋体"/>
                <w:kern w:val="0"/>
                <w:sz w:val="20"/>
                <w:szCs w:val="20"/>
                <w:highlight w:val="none"/>
              </w:rPr>
            </w:pPr>
          </w:p>
        </w:tc>
        <w:tc>
          <w:tcPr>
            <w:tcW w:w="5245" w:type="dxa"/>
            <w:shd w:val="clear" w:color="000000" w:fill="FFFFFF"/>
            <w:vAlign w:val="center"/>
          </w:tcPr>
          <w:p>
            <w:pPr>
              <w:widowControl/>
              <w:jc w:val="left"/>
              <w:rPr>
                <w:rFonts w:hint="eastAsia" w:ascii="宋体" w:hAnsi="宋体" w:eastAsia="宋体" w:cs="宋体"/>
                <w:kern w:val="0"/>
                <w:sz w:val="20"/>
                <w:szCs w:val="20"/>
                <w:highlight w:val="none"/>
                <w:lang w:val="en-US" w:eastAsia="zh-CN"/>
              </w:rPr>
            </w:pPr>
            <w:r>
              <w:rPr>
                <w:rFonts w:hint="eastAsia" w:ascii="宋体" w:hAnsi="宋体" w:eastAsia="宋体" w:cs="宋体"/>
                <w:kern w:val="0"/>
                <w:sz w:val="20"/>
                <w:szCs w:val="20"/>
                <w:highlight w:val="none"/>
                <w:lang w:val="en-US" w:eastAsia="zh-CN"/>
              </w:rPr>
              <w:t>按照本地考核与业务要求，免费同步补充、修订、完善、变更实际功能需求（包括政策调整医保支付方式为DIP等）</w:t>
            </w:r>
          </w:p>
        </w:tc>
      </w:tr>
    </w:tbl>
    <w:p>
      <w:pPr>
        <w:pStyle w:val="2"/>
        <w:numPr>
          <w:ilvl w:val="0"/>
          <w:numId w:val="0"/>
        </w:numPr>
        <w:rPr>
          <w:rFonts w:hint="default" w:hAnsi="宋体" w:eastAsia="宋体"/>
          <w:szCs w:val="24"/>
          <w:highlight w:val="none"/>
          <w:lang w:val="en-US" w:eastAsia="zh-CN"/>
        </w:rPr>
      </w:pPr>
    </w:p>
    <w:p>
      <w:pPr>
        <w:pStyle w:val="40"/>
        <w:numPr>
          <w:ilvl w:val="0"/>
          <w:numId w:val="0"/>
        </w:numPr>
        <w:tabs>
          <w:tab w:val="left" w:pos="0"/>
        </w:tabs>
        <w:spacing w:beforeAutospacing="0" w:afterAutospacing="0" w:line="480" w:lineRule="auto"/>
        <w:ind w:firstLine="420" w:firstLineChars="200"/>
        <w:rPr>
          <w:rFonts w:hint="eastAsia" w:ascii="宋体" w:hAnsi="宋体" w:eastAsia="宋体" w:cs="宋体"/>
          <w:b w:val="0"/>
          <w:bCs/>
          <w:caps w:val="0"/>
          <w:color w:val="auto"/>
          <w:kern w:val="0"/>
          <w:sz w:val="21"/>
          <w:szCs w:val="21"/>
          <w:highlight w:val="none"/>
          <w:vertAlign w:val="baseline"/>
          <w:lang w:val="en-US" w:eastAsia="zh-CN" w:bidi="ar"/>
        </w:rPr>
      </w:pPr>
    </w:p>
    <w:p>
      <w:pPr>
        <w:pStyle w:val="40"/>
        <w:numPr>
          <w:ilvl w:val="0"/>
          <w:numId w:val="0"/>
        </w:numPr>
        <w:tabs>
          <w:tab w:val="left" w:pos="0"/>
        </w:tabs>
        <w:spacing w:beforeAutospacing="0" w:afterAutospacing="0" w:line="480" w:lineRule="auto"/>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br w:type="page"/>
      </w:r>
    </w:p>
    <w:p>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default" w:ascii="Times New Roman" w:hAnsi="Times New Roman" w:eastAsia="宋体" w:cs="Times New Roman"/>
          <w:b/>
          <w:bCs/>
          <w:caps w:val="0"/>
          <w:color w:val="000000"/>
          <w:sz w:val="44"/>
          <w:szCs w:val="44"/>
          <w:highlight w:val="none"/>
          <w:vertAlign w:val="baseline"/>
        </w:rPr>
      </w:pPr>
      <w:r>
        <w:rPr>
          <w:rFonts w:hint="eastAsia" w:ascii="Times New Roman" w:hAnsi="宋体" w:eastAsia="宋体" w:cs="宋体"/>
          <w:b/>
          <w:bCs/>
          <w:caps w:val="0"/>
          <w:color w:val="000000"/>
          <w:sz w:val="44"/>
          <w:szCs w:val="44"/>
          <w:highlight w:val="none"/>
          <w:vertAlign w:val="baseline"/>
        </w:rPr>
        <w:t>第五部分</w:t>
      </w:r>
      <w:r>
        <w:rPr>
          <w:rFonts w:hint="default" w:ascii="Times New Roman" w:hAnsi="Times New Roman" w:eastAsia="宋体" w:cs="Times New Roman"/>
          <w:b/>
          <w:bCs/>
          <w:caps w:val="0"/>
          <w:color w:val="000000"/>
          <w:sz w:val="44"/>
          <w:szCs w:val="44"/>
          <w:highlight w:val="none"/>
          <w:vertAlign w:val="baseline"/>
        </w:rPr>
        <w:t xml:space="preserve">  </w:t>
      </w:r>
      <w:r>
        <w:rPr>
          <w:rFonts w:hint="eastAsia" w:ascii="Times New Roman" w:hAnsi="宋体" w:eastAsia="宋体" w:cs="宋体"/>
          <w:b/>
          <w:bCs/>
          <w:caps w:val="0"/>
          <w:color w:val="000000"/>
          <w:sz w:val="44"/>
          <w:szCs w:val="44"/>
          <w:highlight w:val="none"/>
          <w:vertAlign w:val="baseline"/>
        </w:rPr>
        <w:t>合同条款</w:t>
      </w:r>
      <w:bookmarkEnd w:id="97"/>
      <w:bookmarkEnd w:id="98"/>
    </w:p>
    <w:p>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Cs/>
          <w:caps w:val="0"/>
          <w:color w:val="auto"/>
          <w:sz w:val="24"/>
          <w:szCs w:val="24"/>
          <w:highlight w:val="none"/>
          <w:vertAlign w:val="baseline"/>
          <w:lang w:bidi="ar"/>
        </w:rPr>
      </w:pPr>
      <w:bookmarkStart w:id="100" w:name="_Toc9722"/>
      <w:r>
        <w:rPr>
          <w:rFonts w:hint="eastAsia" w:ascii="宋体" w:hAnsi="宋体" w:cs="宋体"/>
          <w:b/>
          <w:bCs/>
          <w:caps w:val="0"/>
          <w:color w:val="auto"/>
          <w:kern w:val="2"/>
          <w:sz w:val="32"/>
          <w:szCs w:val="32"/>
          <w:highlight w:val="none"/>
          <w:vertAlign w:val="baseline"/>
          <w:lang w:val="en-US" w:eastAsia="zh-CN" w:bidi="ar"/>
        </w:rPr>
        <w:t>以最终签订合同为准。</w:t>
      </w:r>
      <w:bookmarkEnd w:id="100"/>
      <w:r>
        <w:rPr>
          <w:rFonts w:hint="eastAsia" w:ascii="宋体" w:hAnsi="宋体" w:eastAsia="宋体" w:cs="宋体"/>
          <w:b w:val="0"/>
          <w:bCs/>
          <w:caps w:val="0"/>
          <w:color w:val="auto"/>
          <w:kern w:val="0"/>
          <w:sz w:val="24"/>
          <w:szCs w:val="24"/>
          <w:highlight w:val="none"/>
          <w:vertAlign w:val="baseline"/>
          <w:lang w:val="en-US" w:eastAsia="zh-CN" w:bidi="ar"/>
        </w:rPr>
        <w:br w:type="page"/>
      </w:r>
    </w:p>
    <w:p>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default" w:ascii="Times New Roman" w:hAnsi="Times New Roman" w:eastAsia="宋体" w:cs="Times New Roman"/>
          <w:b/>
          <w:bCs/>
          <w:caps w:val="0"/>
          <w:color w:val="000000"/>
          <w:sz w:val="44"/>
          <w:szCs w:val="44"/>
          <w:highlight w:val="none"/>
          <w:vertAlign w:val="baseline"/>
        </w:rPr>
      </w:pPr>
      <w:bookmarkStart w:id="101" w:name="_Toc54891397"/>
      <w:bookmarkStart w:id="102" w:name="_Toc48760976"/>
      <w:r>
        <w:rPr>
          <w:rFonts w:hint="eastAsia" w:ascii="Times New Roman" w:hAnsi="宋体" w:eastAsia="宋体" w:cs="宋体"/>
          <w:b/>
          <w:bCs/>
          <w:caps w:val="0"/>
          <w:color w:val="000000"/>
          <w:sz w:val="44"/>
          <w:szCs w:val="44"/>
          <w:highlight w:val="none"/>
          <w:vertAlign w:val="baseline"/>
        </w:rPr>
        <w:t>第六部分</w:t>
      </w:r>
      <w:r>
        <w:rPr>
          <w:rFonts w:hint="default" w:ascii="Times New Roman" w:hAnsi="Times New Roman" w:eastAsia="宋体" w:cs="Times New Roman"/>
          <w:b/>
          <w:bCs/>
          <w:caps w:val="0"/>
          <w:color w:val="000000"/>
          <w:sz w:val="44"/>
          <w:szCs w:val="44"/>
          <w:highlight w:val="none"/>
          <w:vertAlign w:val="baseline"/>
        </w:rPr>
        <w:t xml:space="preserve">  </w:t>
      </w:r>
      <w:r>
        <w:rPr>
          <w:rFonts w:hint="eastAsia" w:hAnsi="宋体" w:cs="宋体"/>
          <w:b/>
          <w:bCs/>
          <w:caps w:val="0"/>
          <w:color w:val="000000"/>
          <w:sz w:val="44"/>
          <w:szCs w:val="44"/>
          <w:highlight w:val="none"/>
          <w:vertAlign w:val="baseline"/>
          <w:lang w:eastAsia="zh-CN"/>
        </w:rPr>
        <w:t>响应文件</w:t>
      </w:r>
      <w:r>
        <w:rPr>
          <w:rFonts w:hint="eastAsia" w:ascii="Times New Roman" w:hAnsi="宋体" w:eastAsia="宋体" w:cs="宋体"/>
          <w:b/>
          <w:bCs/>
          <w:caps w:val="0"/>
          <w:color w:val="000000"/>
          <w:sz w:val="44"/>
          <w:szCs w:val="44"/>
          <w:highlight w:val="none"/>
          <w:vertAlign w:val="baseline"/>
        </w:rPr>
        <w:t>格式</w:t>
      </w:r>
      <w:bookmarkEnd w:id="101"/>
      <w:bookmarkEnd w:id="102"/>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default" w:ascii="Times New Roman" w:hAnsi="Times New Roman" w:eastAsia="黑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default" w:ascii="Times New Roman" w:hAnsi="Times New Roman" w:eastAsia="黑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default" w:ascii="Times New Roman" w:hAnsi="Times New Roman" w:eastAsia="黑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default" w:ascii="Times New Roman" w:hAnsi="Times New Roman" w:eastAsia="黑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default" w:ascii="Times New Roman" w:hAnsi="Times New Roman" w:eastAsia="黑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Times New Roman" w:hAnsi="Times New Roman" w:eastAsia="黑体" w:cs="Times New Roman"/>
          <w:caps w:val="0"/>
          <w:color w:val="000000"/>
          <w:sz w:val="20"/>
          <w:szCs w:val="20"/>
          <w:highlight w:val="none"/>
          <w:vertAlign w:val="baseline"/>
        </w:rPr>
      </w:pPr>
      <w:r>
        <w:rPr>
          <w:rFonts w:hint="eastAsia" w:ascii="Times New Roman" w:hAnsi="宋体" w:eastAsia="黑体" w:cs="黑体"/>
          <w:b w:val="0"/>
          <w:bCs w:val="0"/>
          <w:caps w:val="0"/>
          <w:color w:val="000000"/>
          <w:kern w:val="0"/>
          <w:sz w:val="28"/>
          <w:szCs w:val="28"/>
          <w:highlight w:val="none"/>
          <w:vertAlign w:val="baseline"/>
          <w:lang w:val="en-US" w:eastAsia="zh-CN" w:bidi="ar"/>
        </w:rPr>
        <w:t>（项目名称）（标段名称）</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Times New Roman" w:hAnsi="Times New Roman" w:eastAsia="黑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黑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Times New Roman" w:hAnsi="Times New Roman" w:eastAsia="黑体" w:cs="Times New Roman"/>
          <w:caps w:val="0"/>
          <w:color w:val="000000"/>
          <w:sz w:val="144"/>
          <w:szCs w:val="144"/>
          <w:highlight w:val="none"/>
          <w:vertAlign w:val="baseline"/>
        </w:rPr>
      </w:pPr>
      <w:r>
        <w:rPr>
          <w:rFonts w:hint="eastAsia" w:ascii="Times New Roman" w:hAnsi="宋体" w:eastAsia="黑体" w:cs="黑体"/>
          <w:b w:val="0"/>
          <w:bCs w:val="0"/>
          <w:caps w:val="0"/>
          <w:color w:val="000000"/>
          <w:kern w:val="0"/>
          <w:sz w:val="144"/>
          <w:szCs w:val="144"/>
          <w:highlight w:val="none"/>
          <w:vertAlign w:val="baseline"/>
          <w:lang w:val="en-US" w:eastAsia="zh-CN" w:bidi="ar"/>
        </w:rPr>
        <w:t>响应文件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Times New Roman" w:hAnsi="Times New Roman" w:eastAsia="黑体" w:cs="Times New Roman"/>
          <w:caps w:val="0"/>
          <w:color w:val="000000"/>
          <w:sz w:val="28"/>
          <w:szCs w:val="28"/>
          <w:highlight w:val="none"/>
          <w:vertAlign w:val="baseline"/>
        </w:rPr>
      </w:pPr>
      <w:r>
        <w:rPr>
          <w:rFonts w:hint="eastAsia" w:ascii="Times New Roman" w:hAnsi="宋体" w:eastAsia="黑体" w:cs="黑体"/>
          <w:b w:val="0"/>
          <w:bCs w:val="0"/>
          <w:caps w:val="0"/>
          <w:color w:val="000000"/>
          <w:kern w:val="0"/>
          <w:sz w:val="28"/>
          <w:szCs w:val="28"/>
          <w:highlight w:val="none"/>
          <w:vertAlign w:val="baseline"/>
          <w:lang w:val="en-US" w:eastAsia="zh-CN" w:bidi="ar"/>
        </w:rPr>
        <w:t>项目编号：</w:t>
      </w:r>
      <w:r>
        <w:rPr>
          <w:rFonts w:hint="eastAsia" w:ascii="黑体" w:hAnsi="宋体" w:eastAsia="黑体" w:cs="黑体"/>
          <w:b/>
          <w:bCs/>
          <w:caps w:val="0"/>
          <w:color w:val="000000"/>
          <w:kern w:val="0"/>
          <w:sz w:val="32"/>
          <w:szCs w:val="32"/>
          <w:highlight w:val="none"/>
          <w:vertAlign w:val="baseline"/>
          <w:lang w:val="en-US" w:eastAsia="zh-CN" w:bidi="ar"/>
        </w:rPr>
        <w:t xml:space="preserve">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黑体" w:cs="Times New Roman"/>
          <w:caps w:val="0"/>
          <w:color w:val="000000"/>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黑体" w:cs="Times New Roman"/>
          <w:caps w:val="0"/>
          <w:color w:val="000000"/>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黑体" w:cs="Times New Roman"/>
          <w:caps w:val="0"/>
          <w:color w:val="000000"/>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黑体" w:cs="Times New Roman"/>
          <w:caps w:val="0"/>
          <w:color w:val="000000"/>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黑体" w:cs="Times New Roman"/>
          <w:caps w:val="0"/>
          <w:color w:val="000000"/>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黑体" w:cs="Times New Roman"/>
          <w:caps w:val="0"/>
          <w:color w:val="000000"/>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Times New Roman" w:hAnsi="Times New Roman" w:eastAsia="黑体" w:cs="Times New Roman"/>
          <w:caps w:val="0"/>
          <w:color w:val="000000"/>
          <w:sz w:val="28"/>
          <w:szCs w:val="28"/>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Times New Roman" w:hAnsi="Times New Roman" w:eastAsia="黑体" w:cs="Times New Roman"/>
          <w:caps w:val="0"/>
          <w:color w:val="000000"/>
          <w:sz w:val="28"/>
          <w:szCs w:val="28"/>
          <w:highlight w:val="none"/>
          <w:u w:val="single"/>
          <w:vertAlign w:val="baseline"/>
        </w:rPr>
      </w:pPr>
      <w:r>
        <w:rPr>
          <w:rFonts w:hint="eastAsia" w:ascii="Times New Roman" w:hAnsi="宋体" w:eastAsia="黑体" w:cs="黑体"/>
          <w:b w:val="0"/>
          <w:bCs w:val="0"/>
          <w:caps w:val="0"/>
          <w:color w:val="000000"/>
          <w:kern w:val="0"/>
          <w:sz w:val="28"/>
          <w:szCs w:val="28"/>
          <w:highlight w:val="none"/>
          <w:vertAlign w:val="baseline"/>
          <w:lang w:val="en-US" w:eastAsia="zh-CN" w:bidi="ar"/>
        </w:rPr>
        <w:t>供应商：（盖单位章）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Times New Roman" w:hAnsi="Times New Roman" w:eastAsia="黑体" w:cs="Times New Roman"/>
          <w:caps w:val="0"/>
          <w:color w:val="000000"/>
          <w:sz w:val="28"/>
          <w:szCs w:val="28"/>
          <w:highlight w:val="none"/>
          <w:vertAlign w:val="baseline"/>
        </w:rPr>
      </w:pPr>
      <w:r>
        <w:rPr>
          <w:rFonts w:hint="eastAsia" w:ascii="Times New Roman" w:hAnsi="宋体" w:eastAsia="黑体" w:cs="黑体"/>
          <w:b w:val="0"/>
          <w:bCs w:val="0"/>
          <w:caps w:val="0"/>
          <w:color w:val="000000"/>
          <w:kern w:val="0"/>
          <w:sz w:val="28"/>
          <w:szCs w:val="28"/>
          <w:highlight w:val="none"/>
          <w:vertAlign w:val="baseline"/>
          <w:lang w:val="en-US" w:eastAsia="zh-CN" w:bidi="ar"/>
        </w:rPr>
        <w:t>法定代表人或其委托代理人：（签字）</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default" w:ascii="Times New Roman" w:hAnsi="Times New Roman" w:eastAsia="黑体" w:cs="Times New Roman"/>
          <w:caps w:val="0"/>
          <w:color w:val="000000"/>
          <w:sz w:val="28"/>
          <w:szCs w:val="28"/>
          <w:highlight w:val="none"/>
          <w:vertAlign w:val="baseline"/>
        </w:rPr>
      </w:pPr>
      <w:r>
        <w:rPr>
          <w:rFonts w:hint="eastAsia" w:ascii="Times New Roman" w:hAnsi="宋体" w:eastAsia="黑体" w:cs="黑体"/>
          <w:b w:val="0"/>
          <w:bCs w:val="0"/>
          <w:caps w:val="0"/>
          <w:color w:val="000000"/>
          <w:kern w:val="0"/>
          <w:sz w:val="28"/>
          <w:szCs w:val="28"/>
          <w:highlight w:val="none"/>
          <w:vertAlign w:val="baseline"/>
          <w:lang w:val="en-US" w:eastAsia="zh-CN" w:bidi="ar"/>
        </w:rPr>
        <w:t>年月日</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32"/>
          <w:szCs w:val="32"/>
          <w:highlight w:val="none"/>
          <w:vertAlign w:val="baseline"/>
        </w:rPr>
      </w:pPr>
      <w:r>
        <w:rPr>
          <w:rFonts w:hint="eastAsia" w:ascii="宋体" w:hAnsi="宋体" w:eastAsia="宋体" w:cs="宋体"/>
          <w:b w:val="0"/>
          <w:bCs w:val="0"/>
          <w:caps w:val="0"/>
          <w:color w:val="000000"/>
          <w:kern w:val="0"/>
          <w:sz w:val="32"/>
          <w:szCs w:val="32"/>
          <w:highlight w:val="none"/>
          <w:vertAlign w:val="baseline"/>
          <w:lang w:val="en-US"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32"/>
          <w:szCs w:val="32"/>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32"/>
          <w:szCs w:val="32"/>
          <w:highlight w:val="none"/>
          <w:vertAlign w:val="baseline"/>
        </w:rPr>
      </w:pPr>
      <w:r>
        <w:rPr>
          <w:rFonts w:hint="eastAsia" w:ascii="宋体" w:hAnsi="宋体" w:eastAsia="宋体" w:cs="宋体"/>
          <w:b/>
          <w:bCs/>
          <w:caps w:val="0"/>
          <w:color w:val="000000"/>
          <w:kern w:val="0"/>
          <w:sz w:val="32"/>
          <w:szCs w:val="32"/>
          <w:highlight w:val="none"/>
          <w:vertAlign w:val="baseline"/>
          <w:lang w:val="en-US" w:eastAsia="zh-CN" w:bidi="ar"/>
        </w:rPr>
        <w:t>目  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一、开标一览表</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二、投标函及投标函附录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三、法定代表人资格证明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四、法定代表人授权委托书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五、磋商保证金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六、服务承诺</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七、优惠条件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八、</w:t>
      </w:r>
      <w:r>
        <w:rPr>
          <w:rFonts w:hint="eastAsia" w:ascii="宋体" w:hAnsi="宋体" w:eastAsia="宋体" w:cs="Times New Roman"/>
          <w:b w:val="0"/>
          <w:bCs w:val="0"/>
          <w:caps w:val="0"/>
          <w:color w:val="000000"/>
          <w:kern w:val="0"/>
          <w:sz w:val="21"/>
          <w:szCs w:val="21"/>
          <w:highlight w:val="none"/>
          <w:vertAlign w:val="baseline"/>
          <w:lang w:val="en-US" w:eastAsia="zh-CN" w:bidi="ar"/>
        </w:rPr>
        <w:t>资格审查资料</w:t>
      </w:r>
      <w:r>
        <w:rPr>
          <w:rFonts w:hint="eastAsia" w:ascii="宋体" w:hAnsi="宋体" w:eastAsia="宋体" w:cs="宋体"/>
          <w:b w:val="0"/>
          <w:bCs w:val="0"/>
          <w:caps w:val="0"/>
          <w:color w:val="000000"/>
          <w:kern w:val="0"/>
          <w:sz w:val="21"/>
          <w:szCs w:val="21"/>
          <w:highlight w:val="none"/>
          <w:vertAlign w:val="baseline"/>
          <w:lang w:val="en-US" w:eastAsia="zh-CN" w:bidi="ar"/>
        </w:rPr>
        <w:t xml:space="preserve">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九、中小企业声明函</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十、商务条款偏离表</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十一、技术条款偏离表</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十二、其他</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caps w:val="0"/>
          <w:color w:val="000000"/>
          <w:sz w:val="20"/>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156" w:beforeAutospacing="0" w:after="156" w:afterAutospacing="0" w:line="400" w:lineRule="exact"/>
        <w:ind w:left="0" w:right="0" w:firstLine="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一、</w:t>
      </w:r>
      <w:r>
        <w:rPr>
          <w:rFonts w:hint="eastAsia" w:ascii="宋体" w:hAnsi="宋体" w:eastAsia="宋体" w:cs="宋体"/>
          <w:b/>
          <w:bCs/>
          <w:caps w:val="0"/>
          <w:color w:val="000000"/>
          <w:kern w:val="0"/>
          <w:sz w:val="32"/>
          <w:szCs w:val="32"/>
          <w:highlight w:val="none"/>
          <w:vertAlign w:val="baseline"/>
          <w:lang w:val="en-US" w:eastAsia="zh-CN" w:bidi="ar"/>
        </w:rPr>
        <w:t>开 标 一 览 表</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41" w:leftChars="-109" w:right="0" w:hanging="370" w:hangingChars="185"/>
        <w:jc w:val="left"/>
        <w:outlineLvl w:val="9"/>
        <w:rPr>
          <w:rFonts w:hint="eastAsia" w:ascii="宋体" w:hAnsi="宋体" w:eastAsia="宋体" w:cs="宋体"/>
          <w:caps w:val="0"/>
          <w:color w:val="000000"/>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20" w:lineRule="exact"/>
        <w:ind w:left="-359" w:leftChars="-171" w:right="0" w:firstLine="1155" w:firstLineChars="55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项目编号：                                       开标时间：</w:t>
      </w:r>
    </w:p>
    <w:tbl>
      <w:tblPr>
        <w:tblStyle w:val="22"/>
        <w:tblW w:w="9283"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89"/>
        <w:gridCol w:w="1243"/>
        <w:gridCol w:w="929"/>
        <w:gridCol w:w="1743"/>
        <w:gridCol w:w="1135"/>
        <w:gridCol w:w="1222"/>
        <w:gridCol w:w="1222"/>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662" w:hRule="atLeast"/>
          <w:jc w:val="center"/>
        </w:trPr>
        <w:tc>
          <w:tcPr>
            <w:tcW w:w="1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供应商</w:t>
            </w:r>
          </w:p>
        </w:tc>
        <w:tc>
          <w:tcPr>
            <w:tcW w:w="1243"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投标报价</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（元）</w:t>
            </w:r>
          </w:p>
        </w:tc>
        <w:tc>
          <w:tcPr>
            <w:tcW w:w="929"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磋商保证金 </w:t>
            </w:r>
          </w:p>
        </w:tc>
        <w:tc>
          <w:tcPr>
            <w:tcW w:w="1743"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合同履行期限</w:t>
            </w:r>
          </w:p>
        </w:tc>
        <w:tc>
          <w:tcPr>
            <w:tcW w:w="1135"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优惠条件</w:t>
            </w:r>
          </w:p>
        </w:tc>
        <w:tc>
          <w:tcPr>
            <w:tcW w:w="1222"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服务承诺</w:t>
            </w:r>
          </w:p>
        </w:tc>
        <w:tc>
          <w:tcPr>
            <w:tcW w:w="1222"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质保期</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236" w:hRule="atLeast"/>
          <w:jc w:val="center"/>
        </w:trPr>
        <w:tc>
          <w:tcPr>
            <w:tcW w:w="1789"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p>
        </w:tc>
        <w:tc>
          <w:tcPr>
            <w:tcW w:w="1243"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16" w:firstLine="0"/>
              <w:jc w:val="center"/>
              <w:outlineLvl w:val="9"/>
              <w:rPr>
                <w:rFonts w:hint="eastAsia" w:ascii="宋体" w:hAnsi="宋体" w:eastAsia="宋体" w:cs="宋体"/>
                <w:caps w:val="0"/>
                <w:color w:val="000000"/>
                <w:sz w:val="21"/>
                <w:szCs w:val="21"/>
                <w:highlight w:val="none"/>
                <w:vertAlign w:val="baseline"/>
                <w:lang w:bidi="ar"/>
              </w:rPr>
            </w:pPr>
          </w:p>
        </w:tc>
        <w:tc>
          <w:tcPr>
            <w:tcW w:w="92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（有/无）</w:t>
            </w:r>
          </w:p>
        </w:tc>
        <w:tc>
          <w:tcPr>
            <w:tcW w:w="1743"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p>
        </w:tc>
        <w:tc>
          <w:tcPr>
            <w:tcW w:w="113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有</w:t>
            </w:r>
          </w:p>
        </w:tc>
        <w:tc>
          <w:tcPr>
            <w:tcW w:w="1222"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有</w:t>
            </w:r>
          </w:p>
        </w:tc>
        <w:tc>
          <w:tcPr>
            <w:tcW w:w="1222"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val="en-US" w:eastAsia="zh-CN" w:bidi="ar"/>
              </w:rPr>
            </w:pPr>
          </w:p>
        </w:tc>
      </w:tr>
    </w:tbl>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11" w:firstLineChars="196"/>
        <w:jc w:val="left"/>
        <w:outlineLvl w:val="9"/>
        <w:rPr>
          <w:rFonts w:hint="eastAsia" w:ascii="宋体" w:hAnsi="宋体" w:eastAsia="宋体" w:cs="宋体"/>
          <w:bCs/>
          <w:caps w:val="0"/>
          <w:color w:val="000000"/>
          <w:sz w:val="21"/>
          <w:szCs w:val="21"/>
          <w:highlight w:val="none"/>
          <w:vertAlign w:val="baseline"/>
        </w:rPr>
      </w:pPr>
      <w:r>
        <w:rPr>
          <w:rFonts w:hint="eastAsia" w:ascii="宋体" w:hAnsi="宋体" w:eastAsia="宋体" w:cs="宋体"/>
          <w:b w:val="0"/>
          <w:bCs/>
          <w:caps w:val="0"/>
          <w:color w:val="000000"/>
          <w:kern w:val="0"/>
          <w:sz w:val="21"/>
          <w:szCs w:val="21"/>
          <w:highlight w:val="none"/>
          <w:vertAlign w:val="baseline"/>
          <w:lang w:val="en-US" w:eastAsia="zh-CN" w:bidi="ar"/>
        </w:rPr>
        <w:t>注：1、本表只作唱标用，但本表的一切内容均具有法律效力，不得更改；</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hanging="420" w:hangingChars="200"/>
        <w:jc w:val="left"/>
        <w:outlineLvl w:val="9"/>
        <w:rPr>
          <w:rFonts w:hint="eastAsia" w:ascii="宋体" w:hAnsi="宋体" w:eastAsia="宋体" w:cs="宋体"/>
          <w:bCs/>
          <w:caps w:val="0"/>
          <w:color w:val="000000"/>
          <w:sz w:val="21"/>
          <w:szCs w:val="21"/>
          <w:highlight w:val="none"/>
          <w:vertAlign w:val="baseline"/>
        </w:rPr>
      </w:pPr>
      <w:r>
        <w:rPr>
          <w:rFonts w:hint="eastAsia" w:ascii="宋体" w:hAnsi="宋体" w:eastAsia="宋体" w:cs="宋体"/>
          <w:b w:val="0"/>
          <w:bCs/>
          <w:caps w:val="0"/>
          <w:color w:val="000000"/>
          <w:kern w:val="0"/>
          <w:sz w:val="21"/>
          <w:szCs w:val="21"/>
          <w:highlight w:val="none"/>
          <w:vertAlign w:val="baseline"/>
          <w:lang w:val="en-US" w:eastAsia="zh-CN" w:bidi="ar"/>
        </w:rPr>
        <w:t xml:space="preserve">        2、优惠条件、服务承诺两项，详细内容必须在投标书中载明，如内容较多，本表只填写“有”或“无”即可；</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firstLine="420"/>
        <w:jc w:val="left"/>
        <w:outlineLvl w:val="9"/>
        <w:rPr>
          <w:rFonts w:hint="eastAsia" w:ascii="宋体" w:hAnsi="宋体" w:eastAsia="宋体" w:cs="宋体"/>
          <w:bCs/>
          <w:caps w:val="0"/>
          <w:color w:val="000000"/>
          <w:sz w:val="21"/>
          <w:szCs w:val="21"/>
          <w:highlight w:val="none"/>
          <w:vertAlign w:val="baseline"/>
        </w:rPr>
      </w:pPr>
      <w:r>
        <w:rPr>
          <w:rFonts w:hint="eastAsia" w:ascii="宋体" w:hAnsi="宋体" w:eastAsia="宋体" w:cs="宋体"/>
          <w:b w:val="0"/>
          <w:bCs/>
          <w:caps w:val="0"/>
          <w:color w:val="000000"/>
          <w:kern w:val="0"/>
          <w:sz w:val="21"/>
          <w:szCs w:val="21"/>
          <w:highlight w:val="none"/>
          <w:vertAlign w:val="baseline"/>
          <w:lang w:val="en-US" w:eastAsia="zh-CN" w:bidi="ar"/>
        </w:rPr>
        <w:t>3、投标报价不得超过采购预算，否则按废标处理，报标要有大小写，小写单元必须是元，精确到小数点后两位，不能是万元。</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firstLine="420"/>
        <w:jc w:val="left"/>
        <w:outlineLvl w:val="9"/>
        <w:rPr>
          <w:rFonts w:hint="eastAsia" w:ascii="宋体" w:hAnsi="宋体" w:eastAsia="宋体" w:cs="宋体"/>
          <w:bCs/>
          <w:caps w:val="0"/>
          <w:color w:val="000000"/>
          <w:sz w:val="21"/>
          <w:szCs w:val="21"/>
          <w:highlight w:val="none"/>
          <w:vertAlign w:val="baseline"/>
        </w:rPr>
      </w:pPr>
      <w:r>
        <w:rPr>
          <w:rFonts w:hint="eastAsia" w:ascii="宋体" w:hAnsi="宋体" w:eastAsia="宋体" w:cs="宋体"/>
          <w:b w:val="0"/>
          <w:bCs/>
          <w:caps w:val="0"/>
          <w:color w:val="000000"/>
          <w:kern w:val="0"/>
          <w:sz w:val="21"/>
          <w:szCs w:val="21"/>
          <w:highlight w:val="none"/>
          <w:vertAlign w:val="baseline"/>
          <w:lang w:val="en-US" w:eastAsia="zh-CN" w:bidi="ar"/>
        </w:rPr>
        <w:t>4、本表格须装订在响应文件内。然后再将开表一览表打印一份签字和加盖印章后，单独密封在一个小信封内，随响应文件一同递交、以便开标时唱标用。</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80" w:lineRule="exact"/>
        <w:ind w:left="0" w:right="0" w:firstLine="394" w:firstLineChars="196"/>
        <w:jc w:val="left"/>
        <w:outlineLvl w:val="9"/>
        <w:rPr>
          <w:rFonts w:hint="eastAsia" w:ascii="宋体" w:hAnsi="宋体" w:eastAsia="宋体" w:cs="宋体"/>
          <w:b/>
          <w:bCs/>
          <w:caps w:val="0"/>
          <w:color w:val="000000"/>
          <w:sz w:val="20"/>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80" w:lineRule="exact"/>
        <w:ind w:left="0" w:right="0" w:firstLine="0"/>
        <w:jc w:val="left"/>
        <w:outlineLvl w:val="9"/>
        <w:rPr>
          <w:rFonts w:hint="eastAsia" w:ascii="宋体" w:hAnsi="宋体" w:eastAsia="宋体" w:cs="宋体"/>
          <w:b/>
          <w:bCs/>
          <w:caps w:val="0"/>
          <w:color w:val="000000"/>
          <w:sz w:val="20"/>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供应商：                （公章）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法定代表人：            （盖章）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委托代理人：            （签字）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32"/>
          <w:szCs w:val="32"/>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日　　期：</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32"/>
          <w:szCs w:val="32"/>
          <w:highlight w:val="none"/>
          <w:vertAlign w:val="baseline"/>
          <w:lang w:bidi="ar"/>
        </w:rPr>
      </w:pPr>
      <w:r>
        <w:rPr>
          <w:rFonts w:hint="eastAsia" w:ascii="宋体" w:hAnsi="宋体" w:eastAsia="宋体" w:cs="宋体"/>
          <w:b/>
          <w:bCs/>
          <w:caps w:val="0"/>
          <w:color w:val="000000"/>
          <w:kern w:val="0"/>
          <w:sz w:val="32"/>
          <w:szCs w:val="32"/>
          <w:highlight w:val="none"/>
          <w:vertAlign w:val="baseline"/>
          <w:lang w:val="en-US"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156" w:beforeAutospacing="0" w:after="156" w:afterAutospacing="0" w:line="400" w:lineRule="exact"/>
        <w:ind w:left="0" w:right="0" w:firstLine="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二、投标函及投标函附录</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center"/>
        <w:outlineLvl w:val="9"/>
        <w:rPr>
          <w:rFonts w:hint="eastAsia" w:ascii="宋体" w:hAnsi="宋体" w:eastAsia="宋体" w:cs="宋体"/>
          <w:caps w:val="0"/>
          <w:color w:val="auto"/>
          <w:kern w:val="0"/>
          <w:sz w:val="28"/>
          <w:szCs w:val="28"/>
          <w:highlight w:val="none"/>
          <w:vertAlign w:val="baseline"/>
          <w:lang w:bidi="ar"/>
        </w:rPr>
      </w:pPr>
      <w:r>
        <w:rPr>
          <w:rFonts w:hint="eastAsia" w:ascii="宋体" w:hAnsi="宋体" w:eastAsia="宋体" w:cs="宋体"/>
          <w:b w:val="0"/>
          <w:bCs w:val="0"/>
          <w:caps w:val="0"/>
          <w:color w:val="auto"/>
          <w:kern w:val="0"/>
          <w:sz w:val="28"/>
          <w:szCs w:val="28"/>
          <w:highlight w:val="none"/>
          <w:vertAlign w:val="baseline"/>
          <w:lang w:val="en-US" w:eastAsia="zh-CN" w:bidi="ar"/>
        </w:rPr>
        <w:t>（一）投标函</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left"/>
        <w:outlineLvl w:val="9"/>
        <w:rPr>
          <w:rFonts w:hint="eastAsia" w:ascii="宋体" w:hAnsi="宋体" w:eastAsia="宋体" w:cs="宋体"/>
          <w:caps w:val="0"/>
          <w:color w:val="auto"/>
          <w:kern w:val="0"/>
          <w:sz w:val="20"/>
          <w:szCs w:val="21"/>
          <w:highlight w:val="none"/>
          <w:u w:val="single"/>
          <w:vertAlign w:val="baseline"/>
          <w:lang w:bidi="ar"/>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(采购人名称)：</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1.我方已仔细研究了</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(项目名称)　    　</w:t>
      </w:r>
      <w:r>
        <w:rPr>
          <w:rFonts w:hint="eastAsia" w:ascii="宋体" w:hAnsi="宋体" w:eastAsia="宋体" w:cs="宋体"/>
          <w:b w:val="0"/>
          <w:bCs w:val="0"/>
          <w:caps w:val="0"/>
          <w:color w:val="auto"/>
          <w:kern w:val="0"/>
          <w:sz w:val="21"/>
          <w:szCs w:val="21"/>
          <w:highlight w:val="none"/>
          <w:vertAlign w:val="baseline"/>
          <w:lang w:val="en-US" w:eastAsia="zh-CN" w:bidi="ar"/>
        </w:rPr>
        <w:t>采购文件的全部内容，我方愿按投标报价</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，服务期为</w:t>
      </w:r>
      <w:r>
        <w:rPr>
          <w:rFonts w:hint="eastAsia" w:ascii="宋体" w:hAnsi="宋体" w:eastAsia="宋体" w:cs="宋体"/>
          <w:b w:val="0"/>
          <w:bCs/>
          <w:caps w:val="0"/>
          <w:color w:val="auto"/>
          <w:kern w:val="0"/>
          <w:sz w:val="21"/>
          <w:szCs w:val="21"/>
          <w:highlight w:val="none"/>
          <w:u w:val="single"/>
          <w:vertAlign w:val="baseline"/>
          <w:lang w:val="zh-CN"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，按合同约定实施和完成承包上述招标项目。</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2.我方承诺在投标有效期</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天内不修改、撤销响应文件。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3.随同本投标函提交磋商保证金一份，金额为人民币(大写)</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元(¥</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4.如我方中标：</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(1)我方承诺在收到中标通知书后，在中标通知书规定的期限内与你方签订合同，并遵守合同中关于权利和义务的约定；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8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spacing w:val="-10"/>
          <w:kern w:val="0"/>
          <w:sz w:val="21"/>
          <w:szCs w:val="21"/>
          <w:highlight w:val="none"/>
          <w:vertAlign w:val="baseline"/>
          <w:lang w:val="en-US" w:eastAsia="zh-CN" w:bidi="ar"/>
        </w:rPr>
        <w:t xml:space="preserve"> (2)</w:t>
      </w:r>
      <w:r>
        <w:rPr>
          <w:rFonts w:hint="eastAsia" w:ascii="宋体" w:hAnsi="宋体" w:eastAsia="宋体" w:cs="宋体"/>
          <w:b w:val="0"/>
          <w:bCs w:val="0"/>
          <w:caps w:val="0"/>
          <w:color w:val="auto"/>
          <w:kern w:val="0"/>
          <w:sz w:val="21"/>
          <w:szCs w:val="21"/>
          <w:highlight w:val="none"/>
          <w:vertAlign w:val="baseline"/>
          <w:lang w:val="en-US" w:eastAsia="zh-CN" w:bidi="ar"/>
        </w:rPr>
        <w:t>我方承诺按照采购文件中规定的采购需求在合同约定的期限内，完成并移交全部合同内容。</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5.我方在此声明，所递交的响应文件及有关资料内容完整、真实和准确。</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6．</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(其他补充说明)。</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投 标 人：</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(盖单位章)</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法定代表人或其授权委托代理人：</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(签字)</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地    址：</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网    址：</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电    话：</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传    真：</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邮政编码：</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500" w:lineRule="exact"/>
        <w:ind w:left="0" w:right="0" w:firstLine="0"/>
        <w:jc w:val="righ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年</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月</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日</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center"/>
        <w:outlineLvl w:val="9"/>
        <w:rPr>
          <w:rFonts w:hint="eastAsia" w:ascii="宋体" w:hAnsi="宋体" w:eastAsia="宋体" w:cs="Times New Roman"/>
          <w:caps w:val="0"/>
          <w:color w:val="auto"/>
          <w:sz w:val="28"/>
          <w:szCs w:val="28"/>
          <w:highlight w:val="none"/>
          <w:vertAlign w:val="baseline"/>
          <w:lang w:bidi="ar"/>
        </w:rPr>
      </w:pPr>
      <w:r>
        <w:rPr>
          <w:rFonts w:hint="eastAsia" w:ascii="宋体" w:hAnsi="宋体" w:eastAsia="宋体" w:cs="宋体"/>
          <w:b w:val="0"/>
          <w:bCs w:val="0"/>
          <w:caps w:val="0"/>
          <w:color w:val="auto"/>
          <w:kern w:val="0"/>
          <w:sz w:val="20"/>
          <w:szCs w:val="21"/>
          <w:highlight w:val="none"/>
          <w:vertAlign w:val="baseline"/>
          <w:lang w:val="en-US" w:eastAsia="zh-CN" w:bidi="ar"/>
        </w:rPr>
        <w:br w:type="page"/>
      </w:r>
      <w:bookmarkStart w:id="103" w:name="_Toc247085876"/>
      <w:bookmarkStart w:id="104" w:name="_Toc152042579"/>
      <w:bookmarkStart w:id="105" w:name="_Toc246996358"/>
      <w:bookmarkStart w:id="106" w:name="_Toc246997101"/>
      <w:bookmarkStart w:id="107" w:name="_Toc179632810"/>
      <w:bookmarkStart w:id="108" w:name="_Toc363457205"/>
      <w:bookmarkStart w:id="109" w:name="_Toc152045790"/>
      <w:bookmarkStart w:id="110" w:name="_Toc144974859"/>
      <w:r>
        <w:rPr>
          <w:rFonts w:hint="eastAsia" w:ascii="宋体" w:hAnsi="宋体" w:eastAsia="宋体" w:cs="宋体"/>
          <w:b w:val="0"/>
          <w:bCs w:val="0"/>
          <w:caps w:val="0"/>
          <w:color w:val="auto"/>
          <w:kern w:val="0"/>
          <w:sz w:val="28"/>
          <w:szCs w:val="28"/>
          <w:highlight w:val="none"/>
          <w:vertAlign w:val="baseline"/>
          <w:lang w:val="en-US" w:eastAsia="zh-CN" w:bidi="ar"/>
        </w:rPr>
        <w:t>（二）投标函附录</w:t>
      </w:r>
      <w:bookmarkEnd w:id="103"/>
      <w:bookmarkEnd w:id="104"/>
      <w:bookmarkEnd w:id="105"/>
      <w:bookmarkEnd w:id="106"/>
      <w:bookmarkEnd w:id="107"/>
      <w:bookmarkEnd w:id="108"/>
      <w:bookmarkEnd w:id="109"/>
      <w:bookmarkEnd w:id="110"/>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Times New Roman"/>
          <w:caps w:val="0"/>
          <w:color w:val="auto"/>
          <w:sz w:val="20"/>
          <w:szCs w:val="20"/>
          <w:highlight w:val="none"/>
          <w:vertAlign w:val="baseline"/>
          <w:lang w:bidi="ar"/>
        </w:rPr>
      </w:pPr>
    </w:p>
    <w:tbl>
      <w:tblPr>
        <w:tblStyle w:val="22"/>
        <w:tblW w:w="0" w:type="auto"/>
        <w:tblInd w:w="12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728"/>
        <w:gridCol w:w="2137"/>
        <w:gridCol w:w="4321"/>
        <w:gridCol w:w="1885"/>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65"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Times New Roman"/>
                <w:b/>
                <w:bCs/>
                <w:caps w:val="0"/>
                <w:color w:val="auto"/>
                <w:sz w:val="21"/>
                <w:szCs w:val="21"/>
                <w:highlight w:val="none"/>
                <w:vertAlign w:val="baseline"/>
                <w:lang w:bidi="ar"/>
              </w:rPr>
            </w:pPr>
            <w:r>
              <w:rPr>
                <w:rFonts w:hint="eastAsia" w:ascii="宋体" w:hAnsi="宋体" w:eastAsia="宋体" w:cs="Times New Roman"/>
                <w:b/>
                <w:bCs/>
                <w:caps w:val="0"/>
                <w:color w:val="auto"/>
                <w:kern w:val="0"/>
                <w:sz w:val="21"/>
                <w:szCs w:val="21"/>
                <w:highlight w:val="none"/>
                <w:vertAlign w:val="baseline"/>
                <w:lang w:val="en-US" w:eastAsia="zh-CN" w:bidi="ar"/>
              </w:rPr>
              <w:t>序号</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Times New Roman"/>
                <w:b/>
                <w:bCs/>
                <w:caps w:val="0"/>
                <w:color w:val="auto"/>
                <w:sz w:val="21"/>
                <w:szCs w:val="21"/>
                <w:highlight w:val="none"/>
                <w:vertAlign w:val="baseline"/>
                <w:lang w:bidi="ar"/>
              </w:rPr>
            </w:pPr>
            <w:r>
              <w:rPr>
                <w:rFonts w:hint="eastAsia" w:ascii="宋体" w:hAnsi="宋体" w:eastAsia="宋体" w:cs="Times New Roman"/>
                <w:b/>
                <w:bCs/>
                <w:caps w:val="0"/>
                <w:color w:val="auto"/>
                <w:kern w:val="0"/>
                <w:sz w:val="21"/>
                <w:szCs w:val="21"/>
                <w:highlight w:val="none"/>
                <w:vertAlign w:val="baseline"/>
                <w:lang w:val="en-US" w:eastAsia="zh-CN" w:bidi="ar"/>
              </w:rPr>
              <w:t>条款名称</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Times New Roman"/>
                <w:b/>
                <w:bCs/>
                <w:caps w:val="0"/>
                <w:color w:val="auto"/>
                <w:sz w:val="21"/>
                <w:szCs w:val="21"/>
                <w:highlight w:val="none"/>
                <w:vertAlign w:val="baseline"/>
                <w:lang w:bidi="ar"/>
              </w:rPr>
            </w:pPr>
            <w:r>
              <w:rPr>
                <w:rFonts w:hint="eastAsia" w:ascii="宋体" w:hAnsi="宋体" w:eastAsia="宋体" w:cs="Times New Roman"/>
                <w:b/>
                <w:bCs/>
                <w:caps w:val="0"/>
                <w:color w:val="auto"/>
                <w:kern w:val="0"/>
                <w:sz w:val="21"/>
                <w:szCs w:val="21"/>
                <w:highlight w:val="none"/>
                <w:vertAlign w:val="baseline"/>
                <w:lang w:val="en-US" w:eastAsia="zh-CN" w:bidi="ar"/>
              </w:rPr>
              <w:t>约定内容</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Times New Roman"/>
                <w:b/>
                <w:bCs/>
                <w:caps w:val="0"/>
                <w:color w:val="auto"/>
                <w:sz w:val="21"/>
                <w:szCs w:val="21"/>
                <w:highlight w:val="none"/>
                <w:vertAlign w:val="baseline"/>
                <w:lang w:bidi="ar"/>
              </w:rPr>
            </w:pPr>
            <w:r>
              <w:rPr>
                <w:rFonts w:hint="eastAsia" w:ascii="宋体" w:hAnsi="宋体" w:eastAsia="宋体" w:cs="Times New Roman"/>
                <w:b/>
                <w:bCs/>
                <w:caps w:val="0"/>
                <w:color w:val="auto"/>
                <w:kern w:val="0"/>
                <w:sz w:val="21"/>
                <w:szCs w:val="21"/>
                <w:highlight w:val="none"/>
                <w:vertAlign w:val="baseline"/>
                <w:lang w:val="en-US" w:eastAsia="zh-CN" w:bidi="ar"/>
              </w:rPr>
              <w:t>是否响应</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1</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default" w:ascii="宋体" w:hAnsi="宋体" w:eastAsia="宋体" w:cs="Times New Roman"/>
                <w:caps w:val="0"/>
                <w:color w:val="auto"/>
                <w:sz w:val="21"/>
                <w:szCs w:val="21"/>
                <w:highlight w:val="none"/>
                <w:vertAlign w:val="baseline"/>
                <w:lang w:val="en-US"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合同履行期限</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suppressLineNumbers w:val="0"/>
              <w:suppressAutoHyphens w:val="0"/>
              <w:kinsoku/>
              <w:wordWrap/>
              <w:overflowPunct/>
              <w:topLinePunct w:val="0"/>
              <w:autoSpaceDE w:val="0"/>
              <w:autoSpaceDN w:val="0"/>
              <w:bidi w:val="0"/>
              <w:adjustRightInd w:val="0"/>
              <w:snapToGrid/>
              <w:spacing w:before="0" w:beforeAutospacing="0" w:after="0" w:afterAutospacing="0" w:line="320" w:lineRule="exact"/>
              <w:ind w:left="0" w:right="0" w:firstLine="0"/>
              <w:jc w:val="both"/>
              <w:outlineLvl w:val="9"/>
              <w:rPr>
                <w:rFonts w:hint="eastAsia" w:ascii="宋体" w:hAnsi="宋体" w:eastAsia="宋体" w:cs="宋体"/>
                <w:caps w:val="0"/>
                <w:color w:val="auto"/>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2</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项目负责人</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u w:val="single"/>
                <w:vertAlign w:val="baseline"/>
                <w:lang w:bidi="ar"/>
              </w:rPr>
            </w:pP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3</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center"/>
              <w:outlineLvl w:val="9"/>
              <w:rPr>
                <w:rFonts w:hint="eastAsia" w:ascii="宋体" w:hAnsi="宋体" w:eastAsia="宋体" w:cs="仿宋_GB2312"/>
                <w:caps w:val="0"/>
                <w:color w:val="auto"/>
                <w:kern w:val="0"/>
                <w:sz w:val="21"/>
                <w:szCs w:val="21"/>
                <w:highlight w:val="none"/>
                <w:vertAlign w:val="baseline"/>
                <w:lang w:bidi="ar"/>
              </w:rPr>
            </w:pPr>
            <w:r>
              <w:rPr>
                <w:rFonts w:hint="eastAsia" w:ascii="宋体" w:hAnsi="宋体" w:eastAsia="宋体" w:cs="仿宋_GB2312"/>
                <w:b w:val="0"/>
                <w:bCs w:val="0"/>
                <w:caps w:val="0"/>
                <w:color w:val="auto"/>
                <w:kern w:val="0"/>
                <w:sz w:val="21"/>
                <w:szCs w:val="21"/>
                <w:highlight w:val="none"/>
                <w:vertAlign w:val="baseline"/>
                <w:lang w:val="en-US" w:eastAsia="zh-CN" w:bidi="ar"/>
              </w:rPr>
              <w:t>投标有效期</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left"/>
              <w:outlineLvl w:val="9"/>
              <w:rPr>
                <w:rFonts w:hint="eastAsia" w:ascii="宋体" w:hAnsi="宋体" w:eastAsia="宋体" w:cs="仿宋_GB2312"/>
                <w:caps w:val="0"/>
                <w:color w:val="auto"/>
                <w:kern w:val="0"/>
                <w:sz w:val="21"/>
                <w:szCs w:val="21"/>
                <w:highlight w:val="none"/>
                <w:vertAlign w:val="baseline"/>
                <w:lang w:bidi="ar"/>
              </w:rPr>
            </w:pPr>
            <w:r>
              <w:rPr>
                <w:rFonts w:hint="eastAsia" w:ascii="宋体" w:hAnsi="宋体" w:eastAsia="宋体" w:cs="仿宋_GB2312"/>
                <w:b w:val="0"/>
                <w:bCs w:val="0"/>
                <w:caps w:val="0"/>
                <w:color w:val="auto"/>
                <w:kern w:val="0"/>
                <w:sz w:val="21"/>
                <w:szCs w:val="21"/>
                <w:highlight w:val="none"/>
                <w:vertAlign w:val="baseline"/>
                <w:lang w:val="en-US" w:eastAsia="zh-CN" w:bidi="ar"/>
              </w:rPr>
              <w:t xml:space="preserve"> </w:t>
            </w:r>
            <w:r>
              <w:rPr>
                <w:rFonts w:hint="eastAsia" w:ascii="宋体" w:hAnsi="宋体" w:eastAsia="宋体" w:cs="仿宋_GB2312"/>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仿宋_GB2312"/>
                <w:b w:val="0"/>
                <w:bCs w:val="0"/>
                <w:caps w:val="0"/>
                <w:color w:val="auto"/>
                <w:kern w:val="0"/>
                <w:sz w:val="21"/>
                <w:szCs w:val="21"/>
                <w:highlight w:val="none"/>
                <w:vertAlign w:val="baseline"/>
                <w:lang w:val="en-US" w:eastAsia="zh-CN" w:bidi="ar"/>
              </w:rPr>
              <w:t>天</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4</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center"/>
              <w:outlineLvl w:val="9"/>
              <w:rPr>
                <w:rFonts w:hint="eastAsia" w:ascii="宋体" w:hAnsi="宋体" w:eastAsia="宋体" w:cs="仿宋_GB2312"/>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权利义务</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left"/>
              <w:outlineLvl w:val="9"/>
              <w:rPr>
                <w:rFonts w:hint="eastAsia" w:ascii="宋体" w:hAnsi="宋体" w:eastAsia="宋体" w:cs="仿宋_GB2312"/>
                <w:caps w:val="0"/>
                <w:color w:val="auto"/>
                <w:kern w:val="0"/>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zh-CN" w:eastAsia="zh-CN" w:bidi="ar"/>
              </w:rPr>
              <w:t>符合第四章“合同格式”规定</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5</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center"/>
              <w:outlineLvl w:val="9"/>
              <w:rPr>
                <w:rFonts w:hint="eastAsia" w:ascii="宋体" w:hAnsi="宋体" w:eastAsia="宋体" w:cs="仿宋_GB2312"/>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采购需求</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left"/>
              <w:outlineLvl w:val="9"/>
              <w:rPr>
                <w:rFonts w:hint="eastAsia" w:ascii="宋体" w:hAnsi="宋体" w:eastAsia="宋体" w:cs="仿宋_GB2312"/>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符合第五章“采购需求”规定。</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6</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leftChars="0" w:right="0" w:rightChars="0" w:firstLine="0" w:firstLineChars="0"/>
              <w:jc w:val="center"/>
              <w:outlineLvl w:val="9"/>
              <w:rPr>
                <w:rFonts w:hint="eastAsia" w:ascii="宋体" w:hAnsi="宋体" w:eastAsia="宋体" w:cs="Times New Roman"/>
                <w:caps w:val="0"/>
                <w:color w:val="auto"/>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其他</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leftChars="0" w:right="0" w:rightChars="0" w:firstLine="0" w:firstLineChars="0"/>
              <w:jc w:val="left"/>
              <w:outlineLvl w:val="9"/>
              <w:rPr>
                <w:rFonts w:hint="eastAsia" w:ascii="宋体" w:hAnsi="宋体" w:eastAsia="宋体" w:cs="Times New Roman"/>
                <w:caps w:val="0"/>
                <w:color w:val="auto"/>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bl>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500" w:lineRule="exact"/>
        <w:ind w:left="0" w:right="0" w:firstLine="0"/>
        <w:jc w:val="right"/>
        <w:outlineLvl w:val="9"/>
        <w:rPr>
          <w:rFonts w:hint="eastAsia" w:ascii="宋体" w:hAnsi="宋体" w:eastAsia="宋体" w:cs="宋体"/>
          <w:caps w:val="0"/>
          <w:color w:val="auto"/>
          <w:kern w:val="0"/>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left"/>
        <w:outlineLvl w:val="9"/>
        <w:rPr>
          <w:rFonts w:hint="eastAsia" w:ascii="宋体" w:hAnsi="宋体" w:eastAsia="宋体" w:cs="宋体"/>
          <w:b/>
          <w:bCs/>
          <w:caps w:val="0"/>
          <w:color w:val="auto"/>
          <w:sz w:val="20"/>
          <w:szCs w:val="21"/>
          <w:highlight w:val="none"/>
          <w:vertAlign w:val="baseline"/>
          <w:lang w:val="zh-CN" w:eastAsia="zh-CN" w:bidi="ar"/>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center"/>
        <w:outlineLvl w:val="9"/>
        <w:rPr>
          <w:rFonts w:hint="eastAsia" w:ascii="宋体" w:hAnsi="宋体" w:eastAsia="宋体" w:cs="宋体"/>
          <w:caps w:val="0"/>
          <w:color w:val="auto"/>
          <w:kern w:val="0"/>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0"/>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0"/>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1" w:line="360" w:lineRule="auto"/>
        <w:ind w:left="0" w:right="0" w:firstLine="0"/>
        <w:jc w:val="center"/>
        <w:outlineLvl w:val="9"/>
        <w:rPr>
          <w:rFonts w:hint="eastAsia" w:ascii="宋体" w:hAnsi="宋体" w:eastAsia="宋体" w:cs="宋体"/>
          <w:b/>
          <w:bCs/>
          <w:caps w:val="0"/>
          <w:color w:val="000000"/>
          <w:sz w:val="32"/>
          <w:szCs w:val="32"/>
          <w:highlight w:val="none"/>
          <w:vertAlign w:val="baseline"/>
          <w:lang w:bidi="ar"/>
        </w:rPr>
      </w:pPr>
    </w:p>
    <w:p>
      <w:pPr>
        <w:keepNext w:val="0"/>
        <w:keepLines w:val="0"/>
        <w:pageBreakBefore w:val="0"/>
        <w:widowControl w:val="0"/>
        <w:numPr>
          <w:ilvl w:val="0"/>
          <w:numId w:val="6"/>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880" w:right="0" w:hanging="72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32"/>
          <w:szCs w:val="32"/>
          <w:highlight w:val="none"/>
          <w:vertAlign w:val="baseline"/>
          <w:lang w:val="en-US" w:eastAsia="zh-CN" w:bidi="ar"/>
        </w:rPr>
        <w:br w:type="page"/>
      </w:r>
      <w:r>
        <w:rPr>
          <w:rFonts w:hint="eastAsia" w:ascii="宋体" w:hAnsi="宋体" w:eastAsia="宋体" w:cs="宋体"/>
          <w:b/>
          <w:bCs/>
          <w:caps w:val="0"/>
          <w:color w:val="000000"/>
          <w:kern w:val="0"/>
          <w:sz w:val="28"/>
          <w:szCs w:val="28"/>
          <w:highlight w:val="none"/>
          <w:vertAlign w:val="baseline"/>
          <w:lang w:val="zh-CN" w:eastAsia="zh-CN" w:bidi="ar"/>
        </w:rPr>
        <w:t>法定代表人资格证明</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1" w:line="360" w:lineRule="auto"/>
        <w:ind w:left="980" w:right="0" w:firstLine="0"/>
        <w:jc w:val="center"/>
        <w:outlineLvl w:val="9"/>
        <w:rPr>
          <w:rFonts w:hint="eastAsia" w:ascii="宋体" w:hAnsi="宋体" w:eastAsia="宋体" w:cs="宋体"/>
          <w:caps w:val="0"/>
          <w:color w:val="000000"/>
          <w:sz w:val="32"/>
          <w:szCs w:val="32"/>
          <w:highlight w:val="none"/>
          <w:vertAlign w:val="baseline"/>
        </w:rPr>
      </w:pPr>
    </w:p>
    <w:p>
      <w:pPr>
        <w:keepNext w:val="0"/>
        <w:keepLines w:val="0"/>
        <w:pageBreakBefore w:val="0"/>
        <w:widowControl/>
        <w:suppressLineNumbers w:val="0"/>
        <w:tabs>
          <w:tab w:val="left" w:pos="400"/>
        </w:tabs>
        <w:suppressAutoHyphens w:val="0"/>
        <w:kinsoku/>
        <w:wordWrap/>
        <w:overflowPunct/>
        <w:topLinePunct w:val="0"/>
        <w:autoSpaceDE w:val="0"/>
        <w:autoSpaceDN w:val="0"/>
        <w:bidi w:val="0"/>
        <w:adjustRightInd w:val="0"/>
        <w:snapToGrid/>
        <w:spacing w:before="0" w:beforeAutospacing="0" w:after="0" w:afterAutospacing="0" w:line="480" w:lineRule="auto"/>
        <w:ind w:left="143" w:leftChars="68" w:right="0" w:firstLine="205" w:firstLineChars="98"/>
        <w:jc w:val="left"/>
        <w:outlineLvl w:val="9"/>
        <w:rPr>
          <w:rFonts w:hint="eastAsia" w:ascii="宋体" w:hAnsi="宋体" w:eastAsia="宋体" w:cs="宋体"/>
          <w:caps w:val="0"/>
          <w:color w:val="000000"/>
          <w:sz w:val="21"/>
          <w:szCs w:val="21"/>
          <w:highlight w:val="none"/>
          <w:u w:val="singl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供应商名称：</w:t>
      </w:r>
      <w:r>
        <w:rPr>
          <w:rFonts w:hint="eastAsia" w:ascii="宋体" w:hAnsi="宋体" w:eastAsia="宋体" w:cs="宋体"/>
          <w:b w:val="0"/>
          <w:bCs w:val="0"/>
          <w:caps w:val="0"/>
          <w:color w:val="000000"/>
          <w:kern w:val="0"/>
          <w:sz w:val="21"/>
          <w:szCs w:val="21"/>
          <w:highlight w:val="none"/>
          <w:u w:val="single"/>
          <w:vertAlign w:val="baseline"/>
          <w:lang w:val="zh-CN" w:eastAsia="zh-CN" w:bidi="ar"/>
        </w:rPr>
        <w:t>_</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单位性质：</w:t>
      </w:r>
      <w:r>
        <w:rPr>
          <w:rFonts w:hint="eastAsia" w:ascii="宋体" w:hAnsi="宋体" w:eastAsia="宋体" w:cs="宋体"/>
          <w:b w:val="0"/>
          <w:bCs w:val="0"/>
          <w:caps w:val="0"/>
          <w:color w:val="000000"/>
          <w:kern w:val="0"/>
          <w:sz w:val="21"/>
          <w:szCs w:val="21"/>
          <w:highlight w:val="none"/>
          <w:u w:val="single"/>
          <w:vertAlign w:val="baseline"/>
          <w:lang w:val="zh-CN" w:eastAsia="zh-CN" w:bidi="ar"/>
        </w:rPr>
        <w:t>_</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u w:val="singl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地址：</w:t>
      </w:r>
      <w:r>
        <w:rPr>
          <w:rFonts w:hint="eastAsia" w:ascii="宋体" w:hAnsi="宋体" w:eastAsia="宋体" w:cs="宋体"/>
          <w:b w:val="0"/>
          <w:bCs w:val="0"/>
          <w:caps w:val="0"/>
          <w:color w:val="000000"/>
          <w:kern w:val="0"/>
          <w:sz w:val="21"/>
          <w:szCs w:val="21"/>
          <w:highlight w:val="none"/>
          <w:u w:val="single"/>
          <w:vertAlign w:val="baseline"/>
          <w:lang w:val="zh-CN" w:eastAsia="zh-CN" w:bidi="ar"/>
        </w:rPr>
        <w:t>_</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成立时间</w:t>
      </w:r>
      <w:r>
        <w:rPr>
          <w:rFonts w:hint="eastAsia" w:ascii="宋体" w:hAnsi="宋体" w:eastAsia="宋体" w:cs="宋体"/>
          <w:b w:val="0"/>
          <w:bCs w:val="0"/>
          <w:caps w:val="0"/>
          <w:color w:val="000000"/>
          <w:kern w:val="0"/>
          <w:sz w:val="21"/>
          <w:szCs w:val="21"/>
          <w:highlight w:val="none"/>
          <w:u w:val="single"/>
          <w:vertAlign w:val="baseline"/>
          <w:lang w:val="zh-CN"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年月日</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经营期限：</w:t>
      </w:r>
      <w:r>
        <w:rPr>
          <w:rFonts w:hint="eastAsia" w:ascii="宋体" w:hAnsi="宋体" w:eastAsia="宋体" w:cs="宋体"/>
          <w:b w:val="0"/>
          <w:bCs w:val="0"/>
          <w:caps w:val="0"/>
          <w:color w:val="000000"/>
          <w:kern w:val="0"/>
          <w:sz w:val="21"/>
          <w:szCs w:val="21"/>
          <w:highlight w:val="none"/>
          <w:u w:val="single"/>
          <w:vertAlign w:val="baseline"/>
          <w:lang w:val="zh-CN" w:eastAsia="zh-CN" w:bidi="ar"/>
        </w:rPr>
        <w:t>_</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姓名： 性别： 年龄： 职务：</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系(供应商名称)的法定代表人。</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0"/>
          <w:szCs w:val="18"/>
          <w:highlight w:val="none"/>
          <w:vertAlign w:val="baseline"/>
          <w:lang w:val="zh-CN" w:eastAsia="zh-CN" w:bidi="ar"/>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0"/>
          <w:szCs w:val="18"/>
          <w:highlight w:val="none"/>
          <w:vertAlign w:val="baseline"/>
          <w:lang w:val="zh-CN"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840" w:firstLineChars="4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特此证明。</w:t>
      </w:r>
    </w:p>
    <w:tbl>
      <w:tblPr>
        <w:tblStyle w:val="22"/>
        <w:tblW w:w="0" w:type="auto"/>
        <w:tblInd w:w="0" w:type="dxa"/>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shd w:val="clear" w:color="auto" w:fill="auto"/>
        <w:tblLayout w:type="autofit"/>
        <w:tblCellMar>
          <w:top w:w="0" w:type="dxa"/>
          <w:left w:w="108" w:type="dxa"/>
          <w:bottom w:w="0" w:type="dxa"/>
          <w:right w:w="108" w:type="dxa"/>
        </w:tblCellMar>
      </w:tblPr>
      <w:tblGrid>
        <w:gridCol w:w="9039"/>
      </w:tblGrid>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976" w:hRule="atLeast"/>
        </w:trPr>
        <w:tc>
          <w:tcPr>
            <w:tcW w:w="9039"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附：法定代表人身份证复印件</w:t>
            </w:r>
          </w:p>
        </w:tc>
      </w:tr>
    </w:tbl>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0"/>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righ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0"/>
          <w:szCs w:val="21"/>
          <w:highlight w:val="none"/>
          <w:vertAlign w:val="baseline"/>
          <w:lang w:val="en-US" w:eastAsia="zh-CN" w:bidi="ar"/>
        </w:rPr>
        <w:t xml:space="preserve">  </w:t>
      </w:r>
      <w:r>
        <w:rPr>
          <w:rFonts w:hint="eastAsia" w:ascii="宋体" w:hAnsi="宋体" w:eastAsia="宋体" w:cs="宋体"/>
          <w:b w:val="0"/>
          <w:bCs w:val="0"/>
          <w:caps w:val="0"/>
          <w:color w:val="000000"/>
          <w:kern w:val="0"/>
          <w:sz w:val="21"/>
          <w:szCs w:val="21"/>
          <w:highlight w:val="none"/>
          <w:vertAlign w:val="baseline"/>
          <w:lang w:val="en-US" w:eastAsia="zh-CN" w:bidi="ar"/>
        </w:rPr>
        <w:t xml:space="preserve"> 供应商：              （公章）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righ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360" w:lineRule="auto"/>
        <w:ind w:left="0" w:right="0" w:firstLine="0"/>
        <w:jc w:val="right"/>
        <w:outlineLvl w:val="9"/>
        <w:rPr>
          <w:rFonts w:hint="eastAsia" w:ascii="宋体" w:hAnsi="宋体" w:eastAsia="宋体" w:cs="宋体"/>
          <w:caps w:val="0"/>
          <w:color w:val="000000"/>
          <w:sz w:val="20"/>
          <w:szCs w:val="18"/>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                  日  期：      年      月      日</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exact"/>
        <w:ind w:left="0" w:right="0" w:firstLine="0"/>
        <w:jc w:val="left"/>
        <w:outlineLvl w:val="9"/>
        <w:rPr>
          <w:rFonts w:hint="eastAsia" w:ascii="宋体" w:hAnsi="宋体" w:eastAsia="宋体" w:cs="宋体"/>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32"/>
          <w:szCs w:val="32"/>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1" w:line="360" w:lineRule="auto"/>
        <w:ind w:left="0" w:right="0" w:firstLine="0"/>
        <w:jc w:val="center"/>
        <w:outlineLvl w:val="9"/>
        <w:rPr>
          <w:rFonts w:hint="eastAsia" w:ascii="宋体" w:hAnsi="宋体" w:eastAsia="宋体" w:cs="宋体"/>
          <w:b/>
          <w:bCs/>
          <w:caps w:val="0"/>
          <w:color w:val="000000"/>
          <w:sz w:val="32"/>
          <w:szCs w:val="32"/>
          <w:highlight w:val="none"/>
          <w:vertAlign w:val="baseline"/>
          <w:lang w:bidi="ar"/>
        </w:rPr>
      </w:pPr>
      <w:r>
        <w:rPr>
          <w:rFonts w:hint="eastAsia" w:ascii="宋体" w:hAnsi="宋体" w:eastAsia="宋体" w:cs="宋体"/>
          <w:b/>
          <w:bCs/>
          <w:caps w:val="0"/>
          <w:color w:val="000000"/>
          <w:kern w:val="0"/>
          <w:sz w:val="32"/>
          <w:szCs w:val="32"/>
          <w:highlight w:val="none"/>
          <w:vertAlign w:val="baseline"/>
          <w:lang w:val="en-US"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000000"/>
          <w:sz w:val="20"/>
          <w:szCs w:val="20"/>
          <w:highlight w:val="none"/>
          <w:vertAlign w:val="baseline"/>
        </w:rPr>
      </w:pPr>
    </w:p>
    <w:p>
      <w:pPr>
        <w:keepNext w:val="0"/>
        <w:keepLines w:val="0"/>
        <w:pageBreakBefore w:val="0"/>
        <w:widowControl w:val="0"/>
        <w:numPr>
          <w:ilvl w:val="0"/>
          <w:numId w:val="6"/>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880" w:right="0" w:hanging="72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法定代表人授权委托书</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本授权委托书声明：</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我（姓名）系（供应商名称）的法定代表人，现授权委托（姓名）为我公司代表，以（供应商名称）的名义参加本项目投标活动。</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委托代理人在开标、评标、合同谈判过程中签署的一切文件和处理与之有关的一切事务，我均予以承认。</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委托代理人无转委托权。</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特此委托。</w:t>
      </w:r>
    </w:p>
    <w:tbl>
      <w:tblPr>
        <w:tblStyle w:val="22"/>
        <w:tblW w:w="0" w:type="auto"/>
        <w:tblInd w:w="0" w:type="dxa"/>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shd w:val="clear" w:color="auto" w:fill="auto"/>
        <w:tblLayout w:type="autofit"/>
        <w:tblCellMar>
          <w:top w:w="0" w:type="dxa"/>
          <w:left w:w="108" w:type="dxa"/>
          <w:bottom w:w="0" w:type="dxa"/>
          <w:right w:w="108" w:type="dxa"/>
        </w:tblCellMar>
      </w:tblPr>
      <w:tblGrid>
        <w:gridCol w:w="9399"/>
      </w:tblGrid>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954" w:hRule="atLeast"/>
        </w:trPr>
        <w:tc>
          <w:tcPr>
            <w:tcW w:w="9400"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附：委托代理人身份证复印件</w:t>
            </w:r>
          </w:p>
        </w:tc>
      </w:tr>
    </w:tbl>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供  应  商：                （公章）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法定代表人：                （盖章）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                （签字）</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9" w:lineRule="exact"/>
        <w:ind w:left="0" w:right="0" w:firstLine="420" w:firstLineChars="20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日      期：      年      月      日</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9" w:lineRule="exact"/>
        <w:ind w:left="0" w:right="0" w:firstLine="0"/>
        <w:jc w:val="left"/>
        <w:outlineLvl w:val="9"/>
        <w:rPr>
          <w:rFonts w:hint="eastAsia" w:ascii="宋体" w:hAnsi="宋体" w:eastAsia="宋体" w:cs="宋体"/>
          <w:caps w:val="0"/>
          <w:color w:val="000000"/>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仿宋_GB2312"/>
          <w:caps w:val="0"/>
          <w:color w:val="000000"/>
          <w:spacing w:val="14"/>
          <w:sz w:val="32"/>
          <w:szCs w:val="32"/>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Times New Roman" w:hAnsi="Times New Roman" w:eastAsia="宋体" w:cs="Times New Roman"/>
          <w:caps w:val="0"/>
          <w:color w:val="000000"/>
          <w:sz w:val="20"/>
          <w:szCs w:val="20"/>
          <w:highlight w:val="none"/>
          <w:vertAlign w:val="baseline"/>
        </w:rPr>
      </w:pPr>
      <w:bookmarkStart w:id="111" w:name="_Toc455576013"/>
      <w:bookmarkStart w:id="112" w:name="_Toc201719190"/>
      <w:bookmarkStart w:id="113" w:name="_Toc455496977"/>
      <w:r>
        <w:rPr>
          <w:rFonts w:hint="default" w:ascii="Times New Roman" w:hAnsi="Times New Roman" w:eastAsia="宋体" w:cs="Times New Roman"/>
          <w:b w:val="0"/>
          <w:bCs w:val="0"/>
          <w:caps w:val="0"/>
          <w:color w:val="000000"/>
          <w:kern w:val="0"/>
          <w:sz w:val="20"/>
          <w:szCs w:val="20"/>
          <w:highlight w:val="none"/>
          <w:vertAlign w:val="baseline"/>
          <w:lang w:val="en-US" w:eastAsia="zh-CN" w:bidi="ar"/>
        </w:rPr>
        <w:br w:type="page"/>
      </w:r>
      <w:bookmarkStart w:id="114" w:name="_Toc476591081"/>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Times New Roman" w:hAnsi="Times New Roman" w:eastAsia="宋体" w:cs="Times New Roman"/>
          <w:caps w:val="0"/>
          <w:color w:val="000000"/>
          <w:sz w:val="20"/>
          <w:szCs w:val="20"/>
          <w:highlight w:val="none"/>
          <w:vertAlign w:val="baseline"/>
        </w:rPr>
      </w:pPr>
    </w:p>
    <w:bookmarkEnd w:id="111"/>
    <w:bookmarkEnd w:id="112"/>
    <w:bookmarkEnd w:id="113"/>
    <w:bookmarkEnd w:id="114"/>
    <w:p>
      <w:pPr>
        <w:keepNext w:val="0"/>
        <w:keepLines w:val="0"/>
        <w:pageBreakBefore w:val="0"/>
        <w:widowControl w:val="0"/>
        <w:numPr>
          <w:ilvl w:val="0"/>
          <w:numId w:val="6"/>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880" w:right="0" w:hanging="72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磋商保证金</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00" w:lineRule="exact"/>
        <w:ind w:left="0" w:right="0" w:firstLine="0"/>
        <w:jc w:val="left"/>
        <w:outlineLvl w:val="9"/>
        <w:rPr>
          <w:rFonts w:hint="eastAsia" w:ascii="宋体" w:hAnsi="宋体" w:eastAsia="宋体" w:cs="MS Sans Serif"/>
          <w:caps w:val="0"/>
          <w:color w:val="000000"/>
          <w:sz w:val="20"/>
          <w:szCs w:val="18"/>
          <w:highlight w:val="none"/>
          <w:u w:val="single"/>
          <w:vertAlign w:val="baseline"/>
          <w:lang w:val="zh-CN"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bookmarkStart w:id="115" w:name="_Toc476591082"/>
      <w:r>
        <w:rPr>
          <w:rFonts w:hint="eastAsia" w:ascii="宋体" w:hAnsi="宋体" w:eastAsia="宋体" w:cs="宋体"/>
          <w:b w:val="0"/>
          <w:bCs w:val="0"/>
          <w:caps w:val="0"/>
          <w:color w:val="000000"/>
          <w:kern w:val="0"/>
          <w:sz w:val="21"/>
          <w:szCs w:val="21"/>
          <w:highlight w:val="none"/>
          <w:vertAlign w:val="baseline"/>
          <w:lang w:val="en-US" w:eastAsia="zh-CN" w:bidi="ar"/>
        </w:rPr>
        <w:t>致（招标代理机构名称）：</w:t>
      </w:r>
      <w:bookmarkEnd w:id="115"/>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bookmarkStart w:id="116" w:name="_Toc476591083"/>
      <w:r>
        <w:rPr>
          <w:rFonts w:hint="eastAsia" w:ascii="宋体" w:hAnsi="宋体" w:eastAsia="宋体" w:cs="宋体"/>
          <w:b w:val="0"/>
          <w:bCs w:val="0"/>
          <w:caps w:val="0"/>
          <w:color w:val="000000"/>
          <w:kern w:val="0"/>
          <w:sz w:val="21"/>
          <w:szCs w:val="21"/>
          <w:highlight w:val="none"/>
          <w:vertAlign w:val="baseline"/>
          <w:lang w:val="en-US" w:eastAsia="zh-CN" w:bidi="ar"/>
        </w:rPr>
        <w:t>[供应商名称]（以下称“供应商”）于年月日递交了　　　 (项目名称)的响应文件。并附有人民币    万元做为磋商保证金。</w:t>
      </w:r>
      <w:bookmarkEnd w:id="116"/>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bookmarkStart w:id="117" w:name="_Toc476591084"/>
      <w:r>
        <w:rPr>
          <w:rFonts w:hint="eastAsia" w:ascii="宋体" w:hAnsi="宋体" w:eastAsia="宋体" w:cs="宋体"/>
          <w:b w:val="0"/>
          <w:bCs w:val="0"/>
          <w:caps w:val="0"/>
          <w:color w:val="000000"/>
          <w:kern w:val="0"/>
          <w:sz w:val="21"/>
          <w:szCs w:val="21"/>
          <w:highlight w:val="none"/>
          <w:vertAlign w:val="baseline"/>
          <w:lang w:val="en-US" w:eastAsia="zh-CN" w:bidi="ar"/>
        </w:rPr>
        <w:t>我方同意采购文件中有关磋商保证金的规定，并对我方有约束力。</w:t>
      </w:r>
      <w:bookmarkEnd w:id="117"/>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tbl>
      <w:tblPr>
        <w:tblStyle w:val="22"/>
        <w:tblW w:w="0" w:type="auto"/>
        <w:tblInd w:w="608"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autofit"/>
        <w:tblCellMar>
          <w:top w:w="0" w:type="dxa"/>
          <w:left w:w="108" w:type="dxa"/>
          <w:bottom w:w="0" w:type="dxa"/>
          <w:right w:w="108" w:type="dxa"/>
        </w:tblCellMar>
      </w:tblPr>
      <w:tblGrid>
        <w:gridCol w:w="8122"/>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899" w:hRule="atLeast"/>
        </w:trPr>
        <w:tc>
          <w:tcPr>
            <w:tcW w:w="8122"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bookmarkStart w:id="118" w:name="_Toc476591085"/>
            <w:r>
              <w:rPr>
                <w:rFonts w:hint="eastAsia" w:ascii="宋体" w:hAnsi="宋体" w:eastAsia="宋体" w:cs="宋体"/>
                <w:b w:val="0"/>
                <w:bCs w:val="0"/>
                <w:caps w:val="0"/>
                <w:color w:val="000000"/>
                <w:kern w:val="0"/>
                <w:sz w:val="21"/>
                <w:szCs w:val="21"/>
                <w:highlight w:val="none"/>
                <w:vertAlign w:val="baseline"/>
                <w:lang w:val="en-US" w:eastAsia="zh-CN" w:bidi="ar"/>
              </w:rPr>
              <w:t>附：磋商保证金递交证明复印件。</w:t>
            </w:r>
            <w:bookmarkEnd w:id="118"/>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tc>
      </w:tr>
    </w:tbl>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供  应  商：                （公章）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法定代表人：                （盖章）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                （签字）</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日      期：      年      月      日</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00" w:lineRule="exact"/>
        <w:ind w:left="0" w:right="0" w:firstLine="0"/>
        <w:jc w:val="left"/>
        <w:outlineLvl w:val="9"/>
        <w:rPr>
          <w:rFonts w:hint="eastAsia" w:ascii="宋体" w:hAnsi="宋体" w:eastAsia="宋体" w:cs="宋体"/>
          <w:caps w:val="0"/>
          <w:color w:val="000000"/>
          <w:sz w:val="20"/>
          <w:szCs w:val="21"/>
          <w:highlight w:val="none"/>
          <w:vertAlign w:val="baseline"/>
        </w:rPr>
      </w:pPr>
    </w:p>
    <w:p>
      <w:pPr>
        <w:keepNext w:val="0"/>
        <w:keepLines w:val="0"/>
        <w:pageBreakBefore w:val="0"/>
        <w:widowControl/>
        <w:numPr>
          <w:ilvl w:val="-1"/>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en-US" w:eastAsia="zh-CN" w:bidi="ar"/>
        </w:rPr>
        <w:t>六、</w:t>
      </w:r>
      <w:r>
        <w:rPr>
          <w:rFonts w:hint="eastAsia" w:ascii="宋体" w:hAnsi="宋体" w:eastAsia="宋体" w:cs="宋体"/>
          <w:b/>
          <w:bCs/>
          <w:caps w:val="0"/>
          <w:color w:val="000000"/>
          <w:kern w:val="0"/>
          <w:sz w:val="28"/>
          <w:szCs w:val="28"/>
          <w:highlight w:val="none"/>
          <w:vertAlign w:val="baseline"/>
          <w:lang w:val="zh-CN" w:eastAsia="zh-CN" w:bidi="ar"/>
        </w:rPr>
        <w:t>服务承诺</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00" w:firstLineChars="250"/>
        <w:jc w:val="left"/>
        <w:outlineLvl w:val="9"/>
        <w:rPr>
          <w:rFonts w:hint="eastAsia" w:ascii="宋体" w:hAnsi="宋体" w:eastAsia="宋体" w:cs="宋体"/>
          <w:caps w:val="0"/>
          <w:color w:val="000000"/>
          <w:sz w:val="20"/>
          <w:szCs w:val="21"/>
          <w:highlight w:val="none"/>
          <w:vertAlign w:val="baseline"/>
        </w:rPr>
      </w:pPr>
      <w:r>
        <w:rPr>
          <w:rFonts w:hint="eastAsia" w:ascii="宋体" w:hAnsi="宋体" w:eastAsia="宋体" w:cs="宋体"/>
          <w:b w:val="0"/>
          <w:bCs w:val="0"/>
          <w:caps w:val="0"/>
          <w:color w:val="000000"/>
          <w:kern w:val="0"/>
          <w:sz w:val="20"/>
          <w:szCs w:val="21"/>
          <w:highlight w:val="none"/>
          <w:vertAlign w:val="baseline"/>
          <w:lang w:val="en-US" w:eastAsia="zh-CN" w:bidi="ar"/>
        </w:rPr>
        <w:t>供  应  商：                （公章）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caps w:val="0"/>
          <w:color w:val="000000"/>
          <w:sz w:val="20"/>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00" w:firstLineChars="250"/>
        <w:jc w:val="left"/>
        <w:outlineLvl w:val="9"/>
        <w:rPr>
          <w:rFonts w:hint="eastAsia" w:ascii="宋体" w:hAnsi="宋体" w:eastAsia="宋体" w:cs="宋体"/>
          <w:caps w:val="0"/>
          <w:color w:val="000000"/>
          <w:sz w:val="20"/>
          <w:szCs w:val="21"/>
          <w:highlight w:val="none"/>
          <w:vertAlign w:val="baseline"/>
        </w:rPr>
      </w:pPr>
      <w:r>
        <w:rPr>
          <w:rFonts w:hint="eastAsia" w:ascii="宋体" w:hAnsi="宋体" w:eastAsia="宋体" w:cs="宋体"/>
          <w:b w:val="0"/>
          <w:bCs w:val="0"/>
          <w:caps w:val="0"/>
          <w:color w:val="000000"/>
          <w:kern w:val="0"/>
          <w:sz w:val="20"/>
          <w:szCs w:val="21"/>
          <w:highlight w:val="none"/>
          <w:vertAlign w:val="baseline"/>
          <w:lang w:val="en-US" w:eastAsia="zh-CN" w:bidi="ar"/>
        </w:rPr>
        <w:t>法定代表人：                （盖章）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caps w:val="0"/>
          <w:color w:val="000000"/>
          <w:sz w:val="20"/>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00" w:firstLineChars="250"/>
        <w:jc w:val="left"/>
        <w:outlineLvl w:val="9"/>
        <w:rPr>
          <w:rFonts w:hint="eastAsia" w:ascii="宋体" w:hAnsi="宋体" w:eastAsia="宋体" w:cs="宋体"/>
          <w:caps w:val="0"/>
          <w:color w:val="000000"/>
          <w:sz w:val="20"/>
          <w:szCs w:val="21"/>
          <w:highlight w:val="none"/>
          <w:vertAlign w:val="baseline"/>
        </w:rPr>
      </w:pPr>
      <w:r>
        <w:rPr>
          <w:rFonts w:hint="eastAsia" w:ascii="宋体" w:hAnsi="宋体" w:eastAsia="宋体" w:cs="宋体"/>
          <w:b w:val="0"/>
          <w:bCs w:val="0"/>
          <w:caps w:val="0"/>
          <w:color w:val="000000"/>
          <w:kern w:val="0"/>
          <w:sz w:val="20"/>
          <w:szCs w:val="21"/>
          <w:highlight w:val="none"/>
          <w:vertAlign w:val="baseline"/>
          <w:lang w:val="en-US" w:eastAsia="zh-CN" w:bidi="ar"/>
        </w:rPr>
        <w:t>委托代理人：                （签字）</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caps w:val="0"/>
          <w:color w:val="000000"/>
          <w:sz w:val="20"/>
          <w:szCs w:val="21"/>
          <w:highlight w:val="none"/>
          <w:vertAlign w:val="baseline"/>
        </w:rPr>
      </w:pPr>
      <w:r>
        <w:rPr>
          <w:rFonts w:hint="eastAsia" w:ascii="宋体" w:hAnsi="宋体" w:eastAsia="宋体" w:cs="宋体"/>
          <w:b w:val="0"/>
          <w:bCs w:val="0"/>
          <w:caps w:val="0"/>
          <w:color w:val="000000"/>
          <w:kern w:val="0"/>
          <w:sz w:val="20"/>
          <w:szCs w:val="21"/>
          <w:highlight w:val="none"/>
          <w:vertAlign w:val="baseline"/>
          <w:lang w:val="en-US" w:eastAsia="zh-CN" w:bidi="ar"/>
        </w:rPr>
        <w:t xml:space="preserve"> 日      期：      年      月      日</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b/>
          <w:bCs/>
          <w:caps w:val="0"/>
          <w:color w:val="000000"/>
          <w:sz w:val="32"/>
          <w:szCs w:val="32"/>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000000"/>
          <w:sz w:val="20"/>
          <w:szCs w:val="20"/>
          <w:highlight w:val="none"/>
          <w:vertAlign w:val="baseline"/>
        </w:rPr>
      </w:pPr>
    </w:p>
    <w:p>
      <w:pPr>
        <w:rPr>
          <w:rFonts w:hint="eastAsia" w:ascii="宋体" w:hAnsi="宋体" w:eastAsia="宋体" w:cs="宋体"/>
          <w:b/>
          <w:bCs/>
          <w:caps w:val="0"/>
          <w:color w:val="000000"/>
          <w:kern w:val="0"/>
          <w:sz w:val="32"/>
          <w:szCs w:val="32"/>
          <w:highlight w:val="none"/>
          <w:vertAlign w:val="baseline"/>
          <w:lang w:val="en-US" w:eastAsia="zh-CN" w:bidi="ar"/>
        </w:rPr>
      </w:pPr>
      <w:r>
        <w:rPr>
          <w:rFonts w:hint="eastAsia" w:ascii="宋体" w:hAnsi="宋体" w:eastAsia="宋体" w:cs="宋体"/>
          <w:b/>
          <w:bCs/>
          <w:caps w:val="0"/>
          <w:color w:val="000000"/>
          <w:kern w:val="0"/>
          <w:sz w:val="32"/>
          <w:szCs w:val="32"/>
          <w:highlight w:val="none"/>
          <w:vertAlign w:val="baseline"/>
          <w:lang w:val="en-US"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1" w:line="480" w:lineRule="auto"/>
        <w:ind w:left="0" w:right="0" w:firstLine="0"/>
        <w:jc w:val="center"/>
        <w:outlineLvl w:val="9"/>
        <w:rPr>
          <w:rFonts w:hint="eastAsia" w:ascii="宋体" w:hAnsi="宋体" w:eastAsia="宋体" w:cs="宋体"/>
          <w:b/>
          <w:bCs/>
          <w:caps w:val="0"/>
          <w:color w:val="000000"/>
          <w:sz w:val="32"/>
          <w:szCs w:val="32"/>
          <w:highlight w:val="none"/>
          <w:vertAlign w:val="baseline"/>
          <w:lang w:bidi="ar"/>
        </w:rPr>
      </w:pPr>
      <w:r>
        <w:rPr>
          <w:rFonts w:hint="eastAsia" w:ascii="宋体" w:hAnsi="宋体" w:eastAsia="宋体" w:cs="宋体"/>
          <w:b/>
          <w:bCs/>
          <w:caps w:val="0"/>
          <w:color w:val="000000"/>
          <w:kern w:val="0"/>
          <w:sz w:val="32"/>
          <w:szCs w:val="32"/>
          <w:highlight w:val="none"/>
          <w:vertAlign w:val="baseline"/>
          <w:lang w:val="en-US" w:eastAsia="zh-CN" w:bidi="ar"/>
        </w:rPr>
        <w:t>七、优惠条件</w:t>
      </w: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caps w:val="0"/>
          <w:color w:val="000000"/>
          <w:sz w:val="20"/>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30" w:firstLineChars="3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供  应  商：                （公章）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30" w:firstLineChars="3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法定代表人：                （盖章）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30" w:firstLineChars="3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                （签字）</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630" w:firstLineChars="3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日      期：      年      月      日</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000000"/>
          <w:sz w:val="20"/>
          <w:szCs w:val="20"/>
          <w:highlight w:val="none"/>
          <w:vertAlign w:val="baseline"/>
        </w:rPr>
      </w:pPr>
    </w:p>
    <w:p>
      <w:pPr>
        <w:rPr>
          <w:rFonts w:hint="eastAsia" w:ascii="宋体" w:hAnsi="宋体" w:eastAsia="宋体" w:cs="宋体"/>
          <w:b/>
          <w:bCs/>
          <w:caps w:val="0"/>
          <w:color w:val="000000"/>
          <w:kern w:val="0"/>
          <w:sz w:val="28"/>
          <w:szCs w:val="28"/>
          <w:highlight w:val="none"/>
          <w:vertAlign w:val="baseline"/>
          <w:lang w:val="en-US" w:eastAsia="zh-CN" w:bidi="ar"/>
        </w:rPr>
      </w:pPr>
      <w:bookmarkStart w:id="119" w:name="_Toc60537410"/>
      <w:bookmarkStart w:id="120" w:name="_Toc284060544"/>
      <w:r>
        <w:rPr>
          <w:rFonts w:hint="eastAsia" w:ascii="宋体" w:hAnsi="宋体" w:eastAsia="宋体" w:cs="宋体"/>
          <w:b/>
          <w:bCs/>
          <w:caps w:val="0"/>
          <w:color w:val="000000"/>
          <w:kern w:val="0"/>
          <w:sz w:val="28"/>
          <w:szCs w:val="28"/>
          <w:highlight w:val="none"/>
          <w:vertAlign w:val="baseline"/>
          <w:lang w:val="en-US" w:eastAsia="zh-CN" w:bidi="ar"/>
        </w:rPr>
        <w:br w:type="page"/>
      </w:r>
    </w:p>
    <w:p>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sz w:val="28"/>
          <w:szCs w:val="28"/>
          <w:highlight w:val="none"/>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t>八、资格审查资料</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（一）投标单位基本情况表</w:t>
      </w:r>
    </w:p>
    <w:tbl>
      <w:tblPr>
        <w:tblStyle w:val="22"/>
        <w:tblW w:w="0" w:type="auto"/>
        <w:jc w:val="center"/>
        <w:tblLayout w:type="fixed"/>
        <w:tblCellMar>
          <w:top w:w="0" w:type="dxa"/>
          <w:left w:w="108" w:type="dxa"/>
          <w:bottom w:w="0" w:type="dxa"/>
          <w:right w:w="108" w:type="dxa"/>
        </w:tblCellMar>
      </w:tblPr>
      <w:tblGrid>
        <w:gridCol w:w="1800"/>
        <w:gridCol w:w="1080"/>
        <w:gridCol w:w="1440"/>
        <w:gridCol w:w="1260"/>
        <w:gridCol w:w="1260"/>
        <w:gridCol w:w="360"/>
        <w:gridCol w:w="1221"/>
        <w:gridCol w:w="1299"/>
      </w:tblGrid>
      <w:tr>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供应商名称</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44"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注册地址</w:t>
            </w:r>
          </w:p>
        </w:tc>
        <w:tc>
          <w:tcPr>
            <w:tcW w:w="3780"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邮政编码</w:t>
            </w:r>
          </w:p>
        </w:tc>
        <w:tc>
          <w:tcPr>
            <w:tcW w:w="2880"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18" w:hRule="atLeast"/>
          <w:jc w:val="center"/>
        </w:trPr>
        <w:tc>
          <w:tcPr>
            <w:tcW w:w="180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联系方式</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联系人</w:t>
            </w:r>
          </w:p>
        </w:tc>
        <w:tc>
          <w:tcPr>
            <w:tcW w:w="2700"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电  话</w:t>
            </w:r>
          </w:p>
        </w:tc>
        <w:tc>
          <w:tcPr>
            <w:tcW w:w="2880"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44" w:hRule="atLeast"/>
          <w:jc w:val="center"/>
        </w:trPr>
        <w:tc>
          <w:tcPr>
            <w:tcW w:w="180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传  真</w:t>
            </w:r>
          </w:p>
        </w:tc>
        <w:tc>
          <w:tcPr>
            <w:tcW w:w="2700"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网  址</w:t>
            </w:r>
          </w:p>
        </w:tc>
        <w:tc>
          <w:tcPr>
            <w:tcW w:w="2880"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组织结构</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1063"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法定代表人</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姓  名</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技术职称</w:t>
            </w:r>
          </w:p>
        </w:tc>
        <w:tc>
          <w:tcPr>
            <w:tcW w:w="1620"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电话</w:t>
            </w:r>
          </w:p>
        </w:tc>
        <w:tc>
          <w:tcPr>
            <w:tcW w:w="12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成立时间</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营业执照号</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注册资金</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开户银行</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账    号</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经营范围</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员工总人数</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r>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备    注</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b w:val="0"/>
                <w:bCs w:val="0"/>
                <w:caps w:val="0"/>
                <w:color w:val="auto"/>
                <w:kern w:val="0"/>
                <w:sz w:val="21"/>
                <w:szCs w:val="21"/>
                <w:highlight w:val="none"/>
                <w:vertAlign w:val="baseline"/>
                <w:lang w:val="en-US" w:eastAsia="zh-CN" w:bidi="ar"/>
              </w:rPr>
            </w:pPr>
          </w:p>
        </w:tc>
      </w:tr>
    </w:tbl>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后附营业执照(副本)等材料复印件。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caps w:val="0"/>
          <w:color w:val="auto"/>
          <w:kern w:val="0"/>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8"/>
          <w:szCs w:val="28"/>
          <w:highlight w:val="none"/>
          <w:vertAlign w:val="baseline"/>
          <w:lang w:bidi="ar"/>
        </w:rPr>
      </w:pPr>
      <w:r>
        <w:rPr>
          <w:rFonts w:hint="eastAsia" w:ascii="宋体" w:hAnsi="宋体" w:eastAsia="宋体" w:cs="Times New Roman"/>
          <w:b w:val="0"/>
          <w:bCs w:val="0"/>
          <w:caps w:val="0"/>
          <w:color w:val="auto"/>
          <w:kern w:val="0"/>
          <w:sz w:val="28"/>
          <w:szCs w:val="28"/>
          <w:highlight w:val="none"/>
          <w:vertAlign w:val="baseline"/>
          <w:lang w:val="en-US" w:eastAsia="zh-CN" w:bidi="ar"/>
        </w:rPr>
        <w:t>(二)供应商已完成类似项目情况</w:t>
      </w:r>
    </w:p>
    <w:tbl>
      <w:tblPr>
        <w:tblStyle w:val="22"/>
        <w:tblW w:w="0" w:type="auto"/>
        <w:tblInd w:w="108"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720"/>
        <w:gridCol w:w="1620"/>
        <w:gridCol w:w="2405"/>
        <w:gridCol w:w="2275"/>
        <w:gridCol w:w="1260"/>
        <w:gridCol w:w="777"/>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104"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序号</w:t>
            </w: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起止时间</w:t>
            </w: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项目概况</w:t>
            </w: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业主单位</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完成情况</w:t>
            </w: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备注</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62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7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bl>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注：1、供应商应将近3年内已完成的类似项目情况填入本表中。</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20" w:firstLineChars="200"/>
        <w:jc w:val="left"/>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2、项目概况包括：项目名称、规模、金额等。</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0" w:firstLineChars="200"/>
        <w:jc w:val="left"/>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3、供应商应随本表出具所填项目的委托合同或其他证明材料的复印件，否则，采购人将不考虑供应商所填项目的业绩。</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caps w:val="0"/>
          <w:color w:val="auto"/>
          <w:kern w:val="0"/>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418" w:rightChars="-199" w:firstLine="0"/>
        <w:jc w:val="left"/>
        <w:outlineLvl w:val="9"/>
        <w:rPr>
          <w:rFonts w:hint="eastAsia" w:ascii="宋体" w:hAnsi="宋体" w:eastAsia="宋体" w:cs="Times New Roman"/>
          <w:caps w:val="0"/>
          <w:color w:val="auto"/>
          <w:kern w:val="0"/>
          <w:sz w:val="28"/>
          <w:szCs w:val="28"/>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418" w:rightChars="-199" w:firstLine="0"/>
        <w:jc w:val="center"/>
        <w:outlineLvl w:val="9"/>
        <w:rPr>
          <w:rFonts w:hint="eastAsia" w:ascii="宋体" w:hAnsi="宋体" w:eastAsia="宋体" w:cs="Times New Roman"/>
          <w:caps w:val="0"/>
          <w:color w:val="auto"/>
          <w:kern w:val="0"/>
          <w:sz w:val="28"/>
          <w:szCs w:val="28"/>
          <w:highlight w:val="none"/>
          <w:vertAlign w:val="baseline"/>
          <w:lang w:bidi="ar"/>
        </w:rPr>
      </w:pPr>
      <w:r>
        <w:rPr>
          <w:rFonts w:hint="eastAsia" w:ascii="宋体" w:hAnsi="宋体" w:eastAsia="宋体" w:cs="Times New Roman"/>
          <w:b w:val="0"/>
          <w:bCs w:val="0"/>
          <w:caps w:val="0"/>
          <w:color w:val="auto"/>
          <w:kern w:val="0"/>
          <w:sz w:val="28"/>
          <w:szCs w:val="28"/>
          <w:highlight w:val="none"/>
          <w:vertAlign w:val="baseline"/>
          <w:lang w:val="en-US" w:eastAsia="zh-CN" w:bidi="ar"/>
        </w:rPr>
        <w:br w:type="page"/>
      </w:r>
      <w:r>
        <w:rPr>
          <w:rFonts w:hint="eastAsia" w:ascii="宋体" w:hAnsi="宋体" w:eastAsia="宋体" w:cs="Times New Roman"/>
          <w:b w:val="0"/>
          <w:bCs w:val="0"/>
          <w:caps w:val="0"/>
          <w:color w:val="auto"/>
          <w:kern w:val="0"/>
          <w:sz w:val="28"/>
          <w:szCs w:val="28"/>
          <w:highlight w:val="none"/>
          <w:vertAlign w:val="baseline"/>
          <w:lang w:val="en-US" w:eastAsia="zh-CN" w:bidi="ar"/>
        </w:rPr>
        <w:t>(三)管理团队人员基本情况表</w:t>
      </w:r>
    </w:p>
    <w:tbl>
      <w:tblPr>
        <w:tblStyle w:val="22"/>
        <w:tblW w:w="0" w:type="auto"/>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28"/>
        <w:gridCol w:w="1260"/>
        <w:gridCol w:w="1080"/>
        <w:gridCol w:w="1260"/>
        <w:gridCol w:w="1260"/>
        <w:gridCol w:w="234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289"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在本项目中所担任的职务</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姓名</w:t>
            </w: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性别</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年龄</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学历及</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所学专业</w:t>
            </w: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现任职务及职称</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Times New Roman"/>
                <w:caps w:val="0"/>
                <w:color w:val="auto"/>
                <w:kern w:val="0"/>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bl>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注：1、供应商应根据采购文件要求和招标项目的实际需要，列出拟配备的人员清单。</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20" w:firstLineChars="200"/>
        <w:jc w:val="left"/>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2、供应商应按表五格式分别填写本表所列人员的资历。</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caps w:val="0"/>
          <w:color w:val="auto"/>
          <w:kern w:val="0"/>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caps w:val="0"/>
          <w:color w:val="auto"/>
          <w:kern w:val="0"/>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Times New Roman"/>
          <w:caps w:val="0"/>
          <w:color w:val="auto"/>
          <w:kern w:val="0"/>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418" w:rightChars="-199" w:firstLine="0"/>
        <w:jc w:val="center"/>
        <w:outlineLvl w:val="9"/>
        <w:rPr>
          <w:rFonts w:hint="eastAsia" w:ascii="宋体" w:hAnsi="宋体" w:eastAsia="宋体" w:cs="Times New Roman"/>
          <w:caps w:val="0"/>
          <w:color w:val="auto"/>
          <w:kern w:val="0"/>
          <w:sz w:val="28"/>
          <w:szCs w:val="28"/>
          <w:highlight w:val="none"/>
          <w:vertAlign w:val="baseline"/>
          <w:lang w:bidi="ar"/>
        </w:rPr>
      </w:pPr>
      <w:r>
        <w:rPr>
          <w:rFonts w:hint="eastAsia" w:ascii="宋体" w:hAnsi="宋体" w:eastAsia="宋体" w:cs="Times New Roman"/>
          <w:b w:val="0"/>
          <w:bCs w:val="0"/>
          <w:caps w:val="0"/>
          <w:color w:val="auto"/>
          <w:kern w:val="0"/>
          <w:sz w:val="20"/>
          <w:szCs w:val="21"/>
          <w:highlight w:val="none"/>
          <w:vertAlign w:val="baseline"/>
          <w:lang w:val="en-US" w:eastAsia="zh-CN" w:bidi="ar"/>
        </w:rPr>
        <w:br w:type="page"/>
      </w:r>
      <w:r>
        <w:rPr>
          <w:rFonts w:hint="eastAsia" w:ascii="宋体" w:hAnsi="宋体" w:eastAsia="宋体" w:cs="Times New Roman"/>
          <w:b w:val="0"/>
          <w:bCs w:val="0"/>
          <w:caps w:val="0"/>
          <w:color w:val="auto"/>
          <w:kern w:val="0"/>
          <w:sz w:val="28"/>
          <w:szCs w:val="28"/>
          <w:highlight w:val="none"/>
          <w:vertAlign w:val="baseline"/>
          <w:lang w:val="en-US" w:eastAsia="zh-CN" w:bidi="ar"/>
        </w:rPr>
        <w:t>(四)主要管理人员资历表</w:t>
      </w:r>
    </w:p>
    <w:tbl>
      <w:tblPr>
        <w:tblStyle w:val="22"/>
        <w:tblW w:w="0" w:type="auto"/>
        <w:tblInd w:w="12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86"/>
        <w:gridCol w:w="1692"/>
        <w:gridCol w:w="1549"/>
        <w:gridCol w:w="1818"/>
        <w:gridCol w:w="14"/>
        <w:gridCol w:w="952"/>
        <w:gridCol w:w="1246"/>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62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Times New Roman"/>
                <w:b/>
                <w:bCs/>
                <w:caps w:val="0"/>
                <w:color w:val="auto"/>
                <w:sz w:val="21"/>
                <w:szCs w:val="21"/>
                <w:highlight w:val="none"/>
                <w:vertAlign w:val="baseline"/>
                <w:lang w:bidi="ar"/>
              </w:rPr>
            </w:pPr>
            <w:r>
              <w:rPr>
                <w:rFonts w:hint="eastAsia" w:ascii="宋体" w:hAnsi="宋体" w:eastAsia="宋体" w:cs="Times New Roman"/>
                <w:b/>
                <w:bCs/>
                <w:caps w:val="0"/>
                <w:color w:val="auto"/>
                <w:kern w:val="0"/>
                <w:sz w:val="21"/>
                <w:szCs w:val="21"/>
                <w:highlight w:val="none"/>
                <w:vertAlign w:val="baseline"/>
                <w:lang w:val="en-US" w:eastAsia="zh-CN" w:bidi="ar"/>
              </w:rPr>
              <w:t>1．一般情况</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42"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姓名</w:t>
            </w:r>
          </w:p>
        </w:tc>
        <w:tc>
          <w:tcPr>
            <w:tcW w:w="1692"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54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性别</w:t>
            </w:r>
          </w:p>
        </w:tc>
        <w:tc>
          <w:tcPr>
            <w:tcW w:w="1832"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952"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年龄</w:t>
            </w: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2"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在本合同中</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拟任职</w:t>
            </w:r>
          </w:p>
        </w:tc>
        <w:tc>
          <w:tcPr>
            <w:tcW w:w="1692"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154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身份证号码</w:t>
            </w:r>
          </w:p>
        </w:tc>
        <w:tc>
          <w:tcPr>
            <w:tcW w:w="4030"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6"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学历</w:t>
            </w:r>
          </w:p>
        </w:tc>
        <w:tc>
          <w:tcPr>
            <w:tcW w:w="7271"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年毕业于 （学校） （专业）</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62"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Times New Roman"/>
                <w:b/>
                <w:bCs/>
                <w:caps w:val="0"/>
                <w:color w:val="auto"/>
                <w:sz w:val="21"/>
                <w:szCs w:val="21"/>
                <w:highlight w:val="none"/>
                <w:vertAlign w:val="baseline"/>
                <w:lang w:bidi="ar"/>
              </w:rPr>
            </w:pPr>
            <w:r>
              <w:rPr>
                <w:rFonts w:hint="eastAsia" w:ascii="宋体" w:hAnsi="宋体" w:eastAsia="宋体" w:cs="Times New Roman"/>
                <w:b/>
                <w:bCs/>
                <w:caps w:val="0"/>
                <w:color w:val="auto"/>
                <w:kern w:val="0"/>
                <w:sz w:val="21"/>
                <w:szCs w:val="21"/>
                <w:highlight w:val="none"/>
                <w:vertAlign w:val="baseline"/>
                <w:lang w:val="en-US" w:eastAsia="zh-CN" w:bidi="ar"/>
              </w:rPr>
              <w:t>2．工作经历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7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时间</w:t>
            </w: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参与过的项目</w:t>
            </w: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该项目中任职</w:t>
            </w: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备注</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1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1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64"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Times New Roman"/>
                <w:b/>
                <w:bCs/>
                <w:caps w:val="0"/>
                <w:color w:val="auto"/>
                <w:sz w:val="21"/>
                <w:szCs w:val="21"/>
                <w:highlight w:val="none"/>
                <w:vertAlign w:val="baseline"/>
                <w:lang w:bidi="ar"/>
              </w:rPr>
            </w:pPr>
            <w:r>
              <w:rPr>
                <w:rFonts w:hint="eastAsia" w:ascii="宋体" w:hAnsi="宋体" w:eastAsia="宋体" w:cs="Times New Roman"/>
                <w:b/>
                <w:bCs/>
                <w:caps w:val="0"/>
                <w:color w:val="auto"/>
                <w:kern w:val="0"/>
                <w:sz w:val="21"/>
                <w:szCs w:val="21"/>
                <w:highlight w:val="none"/>
                <w:vertAlign w:val="baseline"/>
                <w:lang w:val="en-US" w:eastAsia="zh-CN" w:bidi="ar"/>
              </w:rPr>
              <w:t>3．获奖情况</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1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0"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Times New Roman"/>
                <w:b/>
                <w:bCs/>
                <w:caps w:val="0"/>
                <w:color w:val="auto"/>
                <w:sz w:val="21"/>
                <w:szCs w:val="21"/>
                <w:highlight w:val="none"/>
                <w:vertAlign w:val="baseline"/>
                <w:lang w:bidi="ar"/>
              </w:rPr>
            </w:pPr>
            <w:r>
              <w:rPr>
                <w:rFonts w:hint="eastAsia" w:ascii="宋体" w:hAnsi="宋体" w:eastAsia="宋体" w:cs="Times New Roman"/>
                <w:b/>
                <w:bCs/>
                <w:caps w:val="0"/>
                <w:color w:val="auto"/>
                <w:kern w:val="0"/>
                <w:sz w:val="21"/>
                <w:szCs w:val="21"/>
                <w:highlight w:val="none"/>
                <w:vertAlign w:val="baseline"/>
                <w:lang w:val="en-US" w:eastAsia="zh-CN" w:bidi="ar"/>
              </w:rPr>
              <w:t>4．目前承担的任务</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0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p>
        </w:tc>
      </w:tr>
    </w:tbl>
    <w:p>
      <w:pPr>
        <w:keepNext w:val="0"/>
        <w:keepLines w:val="0"/>
        <w:pageBreakBefore w:val="0"/>
        <w:widowControl/>
        <w:suppressLineNumbers w:val="0"/>
        <w:suppressAutoHyphens w:val="0"/>
        <w:kinsoku/>
        <w:wordWrap w:val="0"/>
        <w:overflowPunct/>
        <w:topLinePunct w:val="0"/>
        <w:autoSpaceDE/>
        <w:autoSpaceDN w:val="0"/>
        <w:bidi w:val="0"/>
        <w:adjustRightInd/>
        <w:snapToGrid/>
        <w:spacing w:before="156" w:beforeAutospacing="0" w:after="156" w:afterAutospacing="0" w:line="240" w:lineRule="auto"/>
        <w:ind w:left="0" w:right="420" w:firstLine="0"/>
        <w:jc w:val="right"/>
        <w:outlineLvl w:val="9"/>
        <w:rPr>
          <w:rFonts w:hint="eastAsia" w:ascii="宋体" w:hAnsi="宋体" w:eastAsia="宋体" w:cs="Times New Roman"/>
          <w:caps w:val="0"/>
          <w:color w:val="auto"/>
          <w:kern w:val="0"/>
          <w:sz w:val="20"/>
          <w:szCs w:val="21"/>
          <w:highlight w:val="none"/>
          <w:u w:val="singl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身份证及学历证书或岗位证或职称证等复印件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960" w:right="0" w:hanging="960" w:hangingChars="400"/>
        <w:jc w:val="left"/>
        <w:outlineLvl w:val="9"/>
        <w:rPr>
          <w:rFonts w:hint="eastAsia" w:ascii="宋体" w:hAnsi="宋体" w:eastAsia="宋体" w:cs="Times New Roman"/>
          <w:caps w:val="0"/>
          <w:color w:val="auto"/>
          <w:sz w:val="24"/>
          <w:szCs w:val="24"/>
          <w:highlight w:val="none"/>
          <w:u w:val="singl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960" w:right="0" w:hanging="960" w:hangingChars="400"/>
        <w:jc w:val="left"/>
        <w:outlineLvl w:val="9"/>
        <w:rPr>
          <w:rFonts w:hint="eastAsia" w:ascii="宋体" w:hAnsi="宋体" w:eastAsia="宋体" w:cs="Times New Roman"/>
          <w:caps w:val="0"/>
          <w:color w:val="auto"/>
          <w:sz w:val="24"/>
          <w:szCs w:val="24"/>
          <w:highlight w:val="none"/>
          <w:u w:val="singl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b/>
          <w:bCs/>
          <w:caps w:val="0"/>
          <w:color w:val="auto"/>
          <w:kern w:val="0"/>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b/>
          <w:bCs/>
          <w:caps w:val="0"/>
          <w:color w:val="auto"/>
          <w:kern w:val="0"/>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b/>
          <w:bCs/>
          <w:caps w:val="0"/>
          <w:color w:val="auto"/>
          <w:kern w:val="0"/>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注：1、供应商投入本项目的所有人员均应填写本简历表。本表所填写人员即为管理团队人员。</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宋体" w:hAnsi="宋体" w:eastAsia="宋体" w:cs="Times New Roman"/>
          <w:caps w:val="0"/>
          <w:color w:val="auto"/>
          <w:kern w:val="0"/>
          <w:sz w:val="21"/>
          <w:szCs w:val="21"/>
          <w:highlight w:val="none"/>
          <w:vertAlign w:val="baseline"/>
          <w:lang w:val="en-US"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 xml:space="preserve">    2、</w:t>
      </w:r>
      <w:r>
        <w:rPr>
          <w:rFonts w:hint="eastAsia" w:ascii="宋体" w:hAnsi="宋体" w:eastAsia="宋体" w:cs="宋体"/>
          <w:b w:val="0"/>
          <w:bCs w:val="0"/>
          <w:caps w:val="0"/>
          <w:color w:val="auto"/>
          <w:kern w:val="0"/>
          <w:sz w:val="21"/>
          <w:szCs w:val="21"/>
          <w:highlight w:val="none"/>
          <w:vertAlign w:val="baseline"/>
          <w:lang w:val="en-US" w:eastAsia="zh-CN" w:bidi="ar"/>
        </w:rPr>
        <w:t>项目负责人附相关专业资格证书</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Times New Roman"/>
          <w:caps w:val="0"/>
          <w:color w:val="auto"/>
          <w:kern w:val="0"/>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3、附业绩证明材料委托合同或其他证明材料复印件；</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Calibri"/>
          <w:b/>
          <w:bCs/>
          <w:caps w:val="0"/>
          <w:color w:val="auto"/>
          <w:sz w:val="28"/>
          <w:szCs w:val="28"/>
          <w:highlight w:val="none"/>
          <w:vertAlign w:val="baseline"/>
          <w:lang w:bidi="ar"/>
        </w:rPr>
      </w:pPr>
      <w:r>
        <w:rPr>
          <w:rFonts w:hint="eastAsia" w:ascii="宋体" w:hAnsi="宋体" w:eastAsia="宋体" w:cs="Times New Roman"/>
          <w:b w:val="0"/>
          <w:bCs w:val="0"/>
          <w:caps w:val="0"/>
          <w:color w:val="auto"/>
          <w:kern w:val="0"/>
          <w:sz w:val="28"/>
          <w:szCs w:val="28"/>
          <w:highlight w:val="none"/>
          <w:vertAlign w:val="baseline"/>
          <w:lang w:val="en-US" w:eastAsia="zh-CN" w:bidi="ar"/>
        </w:rPr>
        <w:br w:type="page"/>
      </w:r>
      <w:r>
        <w:rPr>
          <w:rFonts w:hint="eastAsia" w:ascii="宋体" w:hAnsi="宋体" w:eastAsia="宋体" w:cs="Times New Roman"/>
          <w:b w:val="0"/>
          <w:bCs w:val="0"/>
          <w:caps w:val="0"/>
          <w:color w:val="auto"/>
          <w:kern w:val="0"/>
          <w:sz w:val="28"/>
          <w:szCs w:val="28"/>
          <w:highlight w:val="none"/>
          <w:vertAlign w:val="baseline"/>
          <w:lang w:val="en-US" w:eastAsia="zh-CN" w:bidi="ar"/>
        </w:rPr>
        <w:t>(五)</w:t>
      </w:r>
      <w:r>
        <w:rPr>
          <w:rFonts w:hint="eastAsia" w:ascii="宋体" w:hAnsi="宋体" w:eastAsia="宋体" w:cs="Calibri"/>
          <w:b/>
          <w:bCs/>
          <w:caps w:val="0"/>
          <w:color w:val="auto"/>
          <w:kern w:val="0"/>
          <w:sz w:val="28"/>
          <w:szCs w:val="28"/>
          <w:highlight w:val="none"/>
          <w:vertAlign w:val="baseline"/>
          <w:lang w:val="en-US" w:eastAsia="zh-CN" w:bidi="ar"/>
        </w:rPr>
        <w:t xml:space="preserve"> </w:t>
      </w:r>
      <w:r>
        <w:rPr>
          <w:rFonts w:hint="eastAsia" w:ascii="宋体" w:hAnsi="宋体" w:eastAsia="宋体" w:cs="Calibri"/>
          <w:b w:val="0"/>
          <w:bCs/>
          <w:caps w:val="0"/>
          <w:color w:val="auto"/>
          <w:kern w:val="0"/>
          <w:sz w:val="28"/>
          <w:szCs w:val="28"/>
          <w:highlight w:val="none"/>
          <w:vertAlign w:val="baseline"/>
          <w:lang w:val="en-US" w:eastAsia="zh-CN" w:bidi="ar"/>
        </w:rPr>
        <w:t>近年财务状况表</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default" w:ascii="Times New Roman" w:hAnsi="Times New Roman" w:eastAsia="宋体" w:cs="Times New Roman"/>
          <w:caps w:val="0"/>
          <w:color w:val="auto"/>
          <w:sz w:val="20"/>
          <w:szCs w:val="20"/>
          <w:highlight w:val="none"/>
          <w:vertAlign w:val="baseline"/>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具有良好的商业信誉和健全的财务会计制度，近三年（2020年－2022年）财务状况良好；须提供经会计师事务所审计的财务审计报告（当投标单位成立日期在2020年－2022年之间的，提供2020至2022年之间的经会计师事务所审计的财务审计报告，2023年或以后新成立的公司无财务审计报告的，需提供自成立之日起至今的财务报表及财务状况良好承诺书）</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承诺书格式如下：</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center"/>
        <w:outlineLvl w:val="9"/>
        <w:rPr>
          <w:rFonts w:hint="eastAsia" w:ascii="宋体" w:hAnsi="宋体" w:eastAsia="宋体" w:cs="Times New Roman"/>
          <w:caps w:val="0"/>
          <w:color w:val="auto"/>
          <w:sz w:val="21"/>
          <w:szCs w:val="21"/>
          <w:highlight w:val="none"/>
          <w:vertAlign w:val="baseline"/>
          <w:lang w:val="zh-CN" w:eastAsia="zh-CN" w:bidi="ar"/>
        </w:rPr>
      </w:pPr>
      <w:r>
        <w:rPr>
          <w:rFonts w:hint="eastAsia" w:ascii="宋体" w:hAnsi="宋体" w:eastAsia="宋体" w:cs="Times New Roman"/>
          <w:b w:val="0"/>
          <w:bCs w:val="0"/>
          <w:caps w:val="0"/>
          <w:color w:val="auto"/>
          <w:kern w:val="0"/>
          <w:sz w:val="21"/>
          <w:szCs w:val="21"/>
          <w:highlight w:val="none"/>
          <w:vertAlign w:val="baseline"/>
          <w:lang w:val="zh-CN" w:eastAsia="zh-CN" w:bidi="ar"/>
        </w:rPr>
        <w:t>承 诺 书</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center"/>
        <w:outlineLvl w:val="9"/>
        <w:rPr>
          <w:rFonts w:hint="eastAsia" w:ascii="宋体" w:hAnsi="宋体" w:eastAsia="宋体" w:cs="Times New Roman"/>
          <w:caps w:val="0"/>
          <w:color w:val="auto"/>
          <w:sz w:val="21"/>
          <w:szCs w:val="21"/>
          <w:highlight w:val="none"/>
          <w:vertAlign w:val="baseline"/>
          <w:lang w:val="zh-CN"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Times New Roman"/>
          <w:caps w:val="0"/>
          <w:color w:val="auto"/>
          <w:sz w:val="21"/>
          <w:szCs w:val="21"/>
          <w:highlight w:val="none"/>
          <w:vertAlign w:val="baseline"/>
          <w:lang w:val="zh-CN" w:eastAsia="zh-CN" w:bidi="ar"/>
        </w:rPr>
      </w:pPr>
      <w:r>
        <w:rPr>
          <w:rFonts w:hint="eastAsia" w:ascii="宋体" w:hAnsi="宋体" w:eastAsia="宋体" w:cs="Times New Roman"/>
          <w:b w:val="0"/>
          <w:bCs w:val="0"/>
          <w:caps w:val="0"/>
          <w:color w:val="auto"/>
          <w:kern w:val="0"/>
          <w:sz w:val="21"/>
          <w:szCs w:val="21"/>
          <w:highlight w:val="none"/>
          <w:vertAlign w:val="baseline"/>
          <w:lang w:val="zh-CN" w:eastAsia="zh-CN" w:bidi="ar"/>
        </w:rPr>
        <w:t>致： (采购人）</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Times New Roman"/>
          <w:caps w:val="0"/>
          <w:color w:val="auto"/>
          <w:sz w:val="21"/>
          <w:szCs w:val="21"/>
          <w:highlight w:val="none"/>
          <w:vertAlign w:val="baseline"/>
          <w:lang w:val="zh-CN" w:eastAsia="zh-CN" w:bidi="ar"/>
        </w:rPr>
      </w:pPr>
      <w:r>
        <w:rPr>
          <w:rFonts w:hint="eastAsia" w:ascii="宋体" w:hAnsi="宋体" w:eastAsia="宋体" w:cs="Times New Roman"/>
          <w:b w:val="0"/>
          <w:bCs w:val="0"/>
          <w:caps w:val="0"/>
          <w:color w:val="auto"/>
          <w:kern w:val="0"/>
          <w:sz w:val="21"/>
          <w:szCs w:val="21"/>
          <w:highlight w:val="none"/>
          <w:vertAlign w:val="baseline"/>
          <w:lang w:val="zh-CN" w:eastAsia="zh-CN" w:bidi="ar"/>
        </w:rPr>
        <w:t xml:space="preserve">     我公司承诺</w:t>
      </w:r>
      <w:r>
        <w:rPr>
          <w:rFonts w:hint="eastAsia" w:ascii="宋体" w:hAnsi="宋体" w:eastAsia="宋体" w:cs="Times New Roman"/>
          <w:b w:val="0"/>
          <w:bCs w:val="0"/>
          <w:caps w:val="0"/>
          <w:color w:val="auto"/>
          <w:kern w:val="0"/>
          <w:sz w:val="21"/>
          <w:szCs w:val="21"/>
          <w:highlight w:val="none"/>
          <w:vertAlign w:val="baseline"/>
          <w:lang w:val="en-US" w:eastAsia="zh-CN" w:bidi="ar"/>
        </w:rPr>
        <w:t>自我司成立之日（ 年  月  日）起至今财务状况良好</w:t>
      </w:r>
      <w:r>
        <w:rPr>
          <w:rFonts w:hint="eastAsia" w:ascii="宋体" w:hAnsi="宋体" w:eastAsia="宋体" w:cs="Times New Roman"/>
          <w:b w:val="0"/>
          <w:bCs w:val="0"/>
          <w:caps w:val="0"/>
          <w:color w:val="auto"/>
          <w:kern w:val="0"/>
          <w:sz w:val="21"/>
          <w:szCs w:val="21"/>
          <w:highlight w:val="none"/>
          <w:vertAlign w:val="baseline"/>
          <w:lang w:val="zh-CN"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Times New Roman"/>
          <w:caps w:val="0"/>
          <w:color w:val="auto"/>
          <w:sz w:val="21"/>
          <w:szCs w:val="21"/>
          <w:highlight w:val="none"/>
          <w:vertAlign w:val="baseline"/>
          <w:lang w:val="zh-CN" w:eastAsia="zh-CN" w:bidi="ar"/>
        </w:rPr>
      </w:pPr>
      <w:r>
        <w:rPr>
          <w:rFonts w:hint="eastAsia" w:ascii="宋体" w:hAnsi="宋体" w:eastAsia="宋体" w:cs="Times New Roman"/>
          <w:b w:val="0"/>
          <w:bCs w:val="0"/>
          <w:caps w:val="0"/>
          <w:color w:val="auto"/>
          <w:kern w:val="0"/>
          <w:sz w:val="21"/>
          <w:szCs w:val="21"/>
          <w:highlight w:val="none"/>
          <w:vertAlign w:val="baseline"/>
          <w:lang w:val="zh-CN" w:eastAsia="zh-CN" w:bidi="ar"/>
        </w:rPr>
        <w:t xml:space="preserve">     特此承诺。</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Times New Roman"/>
          <w:caps w:val="0"/>
          <w:color w:val="auto"/>
          <w:sz w:val="21"/>
          <w:szCs w:val="21"/>
          <w:highlight w:val="none"/>
          <w:vertAlign w:val="baseline"/>
          <w:lang w:val="zh-CN"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Times New Roman"/>
          <w:caps w:val="0"/>
          <w:color w:val="auto"/>
          <w:sz w:val="21"/>
          <w:szCs w:val="21"/>
          <w:highlight w:val="none"/>
          <w:vertAlign w:val="baseline"/>
          <w:lang w:val="zh-CN"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Times New Roman"/>
          <w:caps w:val="0"/>
          <w:color w:val="auto"/>
          <w:sz w:val="21"/>
          <w:szCs w:val="21"/>
          <w:highlight w:val="none"/>
          <w:vertAlign w:val="baseline"/>
          <w:lang w:val="zh-CN" w:eastAsia="zh-CN"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Times New Roman"/>
          <w:caps w:val="0"/>
          <w:color w:val="auto"/>
          <w:sz w:val="21"/>
          <w:szCs w:val="21"/>
          <w:highlight w:val="none"/>
          <w:vertAlign w:val="baseline"/>
          <w:lang w:val="zh-CN" w:eastAsia="zh-CN" w:bidi="ar"/>
        </w:rPr>
      </w:pPr>
      <w:r>
        <w:rPr>
          <w:rFonts w:hint="eastAsia" w:ascii="宋体" w:hAnsi="宋体" w:eastAsia="宋体" w:cs="Times New Roman"/>
          <w:b w:val="0"/>
          <w:bCs w:val="0"/>
          <w:caps w:val="0"/>
          <w:color w:val="auto"/>
          <w:kern w:val="0"/>
          <w:sz w:val="21"/>
          <w:szCs w:val="21"/>
          <w:highlight w:val="none"/>
          <w:vertAlign w:val="baseline"/>
          <w:lang w:val="zh-CN" w:eastAsia="zh-CN" w:bidi="ar"/>
        </w:rPr>
        <w:t>供应商：                             （盖单位章）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Times New Roman"/>
          <w:caps w:val="0"/>
          <w:color w:val="auto"/>
          <w:sz w:val="21"/>
          <w:szCs w:val="21"/>
          <w:highlight w:val="none"/>
          <w:vertAlign w:val="baseline"/>
          <w:lang w:val="zh-CN" w:eastAsia="zh-CN" w:bidi="ar"/>
        </w:rPr>
      </w:pPr>
      <w:r>
        <w:rPr>
          <w:rFonts w:hint="eastAsia" w:ascii="宋体" w:hAnsi="宋体" w:eastAsia="宋体" w:cs="Times New Roman"/>
          <w:b w:val="0"/>
          <w:bCs w:val="0"/>
          <w:caps w:val="0"/>
          <w:color w:val="auto"/>
          <w:kern w:val="0"/>
          <w:sz w:val="21"/>
          <w:szCs w:val="21"/>
          <w:highlight w:val="none"/>
          <w:vertAlign w:val="baseline"/>
          <w:lang w:val="zh-CN" w:eastAsia="zh-CN" w:bidi="ar"/>
        </w:rPr>
        <w:t>法定代表人或其委托代理人：               （签字或盖章）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Times New Roman"/>
          <w:caps w:val="0"/>
          <w:color w:val="auto"/>
          <w:sz w:val="20"/>
          <w:szCs w:val="21"/>
          <w:highlight w:val="none"/>
          <w:vertAlign w:val="baseline"/>
          <w:lang w:val="zh-CN" w:eastAsia="zh-CN" w:bidi="ar"/>
        </w:rPr>
      </w:pPr>
      <w:r>
        <w:rPr>
          <w:rFonts w:hint="eastAsia" w:ascii="宋体" w:hAnsi="宋体" w:eastAsia="宋体" w:cs="Times New Roman"/>
          <w:b w:val="0"/>
          <w:bCs w:val="0"/>
          <w:caps w:val="0"/>
          <w:color w:val="auto"/>
          <w:kern w:val="0"/>
          <w:sz w:val="21"/>
          <w:szCs w:val="21"/>
          <w:highlight w:val="none"/>
          <w:vertAlign w:val="baseline"/>
          <w:lang w:val="zh-CN" w:eastAsia="zh-CN" w:bidi="ar"/>
        </w:rPr>
        <w:t xml:space="preserve">                                     年        月        日</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00" w:firstLineChars="200"/>
        <w:jc w:val="left"/>
        <w:outlineLvl w:val="9"/>
        <w:rPr>
          <w:rFonts w:hint="eastAsia" w:ascii="宋体" w:hAnsi="宋体" w:eastAsia="宋体" w:cs="Times New Roman"/>
          <w:caps w:val="0"/>
          <w:color w:val="auto"/>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120" w:afterAutospacing="0" w:line="440" w:lineRule="exact"/>
        <w:ind w:left="0" w:right="0" w:firstLine="480"/>
        <w:jc w:val="center"/>
        <w:outlineLvl w:val="9"/>
        <w:rPr>
          <w:rFonts w:hint="eastAsia" w:ascii="宋体" w:hAnsi="宋体" w:eastAsia="宋体" w:cs="Times New Roman"/>
          <w:caps w:val="0"/>
          <w:color w:val="auto"/>
          <w:kern w:val="2"/>
          <w:sz w:val="24"/>
          <w:szCs w:val="24"/>
          <w:highlight w:val="none"/>
          <w:vertAlign w:val="baseline"/>
          <w:lang w:val="en-US" w:eastAsia="zh-CN" w:bidi="ar"/>
        </w:rPr>
      </w:pPr>
      <w:r>
        <w:rPr>
          <w:rFonts w:hint="eastAsia" w:ascii="宋体" w:hAnsi="宋体" w:eastAsia="宋体" w:cs="Times New Roman"/>
          <w:b w:val="0"/>
          <w:bCs w:val="0"/>
          <w:caps w:val="0"/>
          <w:color w:val="auto"/>
          <w:kern w:val="2"/>
          <w:sz w:val="21"/>
          <w:szCs w:val="21"/>
          <w:highlight w:val="none"/>
          <w:vertAlign w:val="baseline"/>
          <w:lang w:val="en-US" w:eastAsia="zh-CN" w:bidi="ar"/>
        </w:rPr>
        <w:br w:type="page"/>
      </w:r>
      <w:r>
        <w:rPr>
          <w:rFonts w:hint="eastAsia" w:ascii="宋体" w:hAnsi="宋体" w:eastAsia="宋体" w:cs="Calibri"/>
          <w:b w:val="0"/>
          <w:bCs/>
          <w:caps w:val="0"/>
          <w:color w:val="auto"/>
          <w:kern w:val="2"/>
          <w:sz w:val="28"/>
          <w:szCs w:val="28"/>
          <w:highlight w:val="none"/>
          <w:vertAlign w:val="baseline"/>
          <w:lang w:val="en-US" w:eastAsia="zh-CN" w:bidi="ar"/>
        </w:rPr>
        <w:t>（六）依法缴纳税收的证明</w:t>
      </w:r>
    </w:p>
    <w:p>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0"/>
        <w:jc w:val="left"/>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420" w:firstLineChars="200"/>
        <w:jc w:val="left"/>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1、供应商应提供近半年任意一个月依法纳税的凭证（银行出具的缴税凭证或税务机关出具的证明的复印件，并加盖本单位公章）。</w:t>
      </w:r>
    </w:p>
    <w:p>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420" w:firstLineChars="200"/>
        <w:jc w:val="left"/>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2、依法免税的供应商，应提供相应文件证明其依法免税。</w:t>
      </w:r>
      <w:bookmarkStart w:id="121" w:name="_Toc2794"/>
      <w:bookmarkStart w:id="122" w:name="_Toc16271"/>
      <w:bookmarkStart w:id="123" w:name="_Toc532560555"/>
    </w:p>
    <w:p>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0"/>
        <w:jc w:val="center"/>
        <w:outlineLvl w:val="9"/>
        <w:rPr>
          <w:rFonts w:hint="eastAsia" w:ascii="宋体" w:hAnsi="宋体" w:eastAsia="宋体" w:cs="Times New Roman"/>
          <w:caps w:val="0"/>
          <w:color w:val="auto"/>
          <w:sz w:val="24"/>
          <w:szCs w:val="24"/>
          <w:highlight w:val="none"/>
          <w:vertAlign w:val="baseline"/>
          <w:lang w:bidi="ar"/>
        </w:rPr>
      </w:pPr>
      <w:bookmarkStart w:id="124" w:name="_Toc7021491"/>
      <w:bookmarkStart w:id="125" w:name="_Toc8555"/>
      <w:r>
        <w:rPr>
          <w:rFonts w:hint="eastAsia" w:ascii="宋体" w:hAnsi="宋体" w:eastAsia="宋体" w:cs="Times New Roman"/>
          <w:b w:val="0"/>
          <w:bCs w:val="0"/>
          <w:caps w:val="0"/>
          <w:color w:val="auto"/>
          <w:kern w:val="0"/>
          <w:sz w:val="21"/>
          <w:szCs w:val="21"/>
          <w:highlight w:val="none"/>
          <w:vertAlign w:val="baseline"/>
          <w:lang w:val="en-US" w:eastAsia="zh-CN" w:bidi="ar"/>
        </w:rPr>
        <w:t>社会保障资金缴纳记录</w:t>
      </w:r>
      <w:bookmarkEnd w:id="121"/>
      <w:bookmarkEnd w:id="122"/>
      <w:bookmarkEnd w:id="123"/>
      <w:bookmarkEnd w:id="124"/>
      <w:bookmarkEnd w:id="125"/>
    </w:p>
    <w:p>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420" w:leftChars="200" w:right="-57" w:rightChars="-27" w:firstLine="0"/>
        <w:jc w:val="left"/>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420" w:firstLineChars="200"/>
        <w:jc w:val="left"/>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1、供应商应提供近半年任意一个月的社会缴纳社会保险的凭据（专用收据或社会保险缴纳清单），并加盖本单位公章。</w:t>
      </w:r>
    </w:p>
    <w:p>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420" w:firstLineChars="200"/>
        <w:jc w:val="left"/>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2、不需要缴纳社会保障资金的供应商，应提供相应文件证明其不需要缴纳社会保障资金。</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0"/>
        <w:jc w:val="left"/>
        <w:outlineLvl w:val="9"/>
        <w:rPr>
          <w:rFonts w:hint="eastAsia" w:ascii="宋体" w:hAnsi="宋体" w:eastAsia="宋体" w:cs="Times New Roman"/>
          <w:caps w:val="0"/>
          <w:color w:val="auto"/>
          <w:sz w:val="21"/>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Times New Roman"/>
          <w:caps w:val="0"/>
          <w:color w:val="auto"/>
          <w:sz w:val="24"/>
          <w:szCs w:val="24"/>
          <w:highlight w:val="none"/>
          <w:vertAlign w:val="baseline"/>
          <w:lang w:bidi="ar"/>
        </w:rPr>
      </w:pPr>
      <w:r>
        <w:rPr>
          <w:rFonts w:hint="eastAsia" w:ascii="宋体" w:hAnsi="宋体" w:eastAsia="宋体" w:cs="Times New Roman"/>
          <w:b w:val="0"/>
          <w:bCs w:val="0"/>
          <w:caps w:val="0"/>
          <w:color w:val="auto"/>
          <w:kern w:val="0"/>
          <w:sz w:val="24"/>
          <w:szCs w:val="24"/>
          <w:highlight w:val="none"/>
          <w:vertAlign w:val="baseline"/>
          <w:lang w:val="en-US" w:eastAsia="zh-CN" w:bidi="ar"/>
        </w:rPr>
        <w:br w:type="page"/>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Calibri"/>
          <w:bCs/>
          <w:caps w:val="0"/>
          <w:color w:val="auto"/>
          <w:sz w:val="28"/>
          <w:szCs w:val="28"/>
          <w:highlight w:val="none"/>
          <w:vertAlign w:val="baseline"/>
          <w:lang w:bidi="ar"/>
        </w:rPr>
      </w:pPr>
      <w:r>
        <w:rPr>
          <w:rFonts w:hint="eastAsia" w:ascii="宋体" w:hAnsi="宋体" w:eastAsia="宋体" w:cs="Calibri"/>
          <w:b w:val="0"/>
          <w:bCs/>
          <w:caps w:val="0"/>
          <w:color w:val="auto"/>
          <w:kern w:val="0"/>
          <w:sz w:val="28"/>
          <w:szCs w:val="28"/>
          <w:highlight w:val="none"/>
          <w:vertAlign w:val="baseline"/>
          <w:lang w:val="en-US" w:eastAsia="zh-CN" w:bidi="ar"/>
        </w:rPr>
        <w:t>（七）信誉要求</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center"/>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“信用中国”网站（www.creditchina.gov.cn）截图</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center"/>
        <w:outlineLvl w:val="9"/>
        <w:rPr>
          <w:rFonts w:hint="eastAsia" w:ascii="宋体" w:hAnsi="宋体" w:eastAsia="宋体" w:cs="宋体"/>
          <w:bCs/>
          <w:caps w:val="0"/>
          <w:color w:val="auto"/>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en-US" w:eastAsia="zh-CN" w:bidi="ar"/>
        </w:rPr>
        <w:t>中国政府采购网（www.ccgp.gov.cn）截图</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中国裁判文书网（http://wenshu.court.gov.cn/）网站截图</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Calibri"/>
          <w:b/>
          <w:bCs/>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bCs/>
          <w:caps w:val="0"/>
          <w:color w:val="auto"/>
          <w:sz w:val="20"/>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bCs/>
          <w:caps w:val="0"/>
          <w:color w:val="auto"/>
          <w:sz w:val="20"/>
          <w:szCs w:val="21"/>
          <w:highlight w:val="none"/>
          <w:vertAlign w:val="baseline"/>
          <w:lang w:bidi="ar"/>
        </w:rPr>
      </w:pPr>
    </w:p>
    <w:p>
      <w:pPr>
        <w:rPr>
          <w:highlight w:val="none"/>
        </w:rPr>
        <w:sectPr>
          <w:footerReference r:id="rId4" w:type="first"/>
          <w:footerReference r:id="rId3" w:type="default"/>
          <w:pgSz w:w="11906" w:h="16838"/>
          <w:pgMar w:top="1304" w:right="1361" w:bottom="1304" w:left="1361" w:header="851" w:footer="992" w:gutter="1"/>
          <w:pgBorders w:offsetFrom="page">
            <w:top w:val="none" w:sz="0" w:space="0"/>
            <w:left w:val="none" w:sz="0" w:space="0"/>
            <w:bottom w:val="none" w:sz="0" w:space="0"/>
            <w:right w:val="none" w:sz="0" w:space="0"/>
          </w:pgBorders>
          <w:pgNumType w:fmt="decimal" w:start="1"/>
          <w:cols w:space="425" w:num="1"/>
          <w:titlePg/>
          <w:docGrid w:type="lines" w:linePitch="312" w:charSpace="0"/>
        </w:sect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b/>
          <w:bCs/>
          <w:caps w:val="0"/>
          <w:color w:val="auto"/>
          <w:sz w:val="24"/>
          <w:szCs w:val="24"/>
          <w:highlight w:val="none"/>
          <w:vertAlign w:val="baseline"/>
          <w:lang w:bidi="ar"/>
        </w:rPr>
      </w:pPr>
      <w:r>
        <w:rPr>
          <w:rFonts w:hint="eastAsia" w:ascii="宋体" w:hAnsi="宋体" w:eastAsia="宋体" w:cs="Times New Roman"/>
          <w:b/>
          <w:bCs/>
          <w:caps w:val="0"/>
          <w:color w:val="auto"/>
          <w:kern w:val="0"/>
          <w:sz w:val="24"/>
          <w:szCs w:val="24"/>
          <w:highlight w:val="none"/>
          <w:vertAlign w:val="baseline"/>
          <w:lang w:val="en-US" w:eastAsia="zh-CN" w:bidi="ar"/>
        </w:rPr>
        <w:t>信誉承诺书</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b/>
          <w:bCs/>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Times New Roman"/>
          <w:b/>
          <w:bCs/>
          <w:caps w:val="0"/>
          <w:color w:val="auto"/>
          <w:sz w:val="24"/>
          <w:szCs w:val="24"/>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为表我司对本项目的诚意，我司承诺如我单位中标，我单位将配合采购人要求提供响应文件中提及的所有资料（如：业绩等）及资格审查文件中要求的资料（如营业执照等）等原件供采购人核实审查，我公司无企业不良行为记录，不是政府取消投标资格记录期间的企业。能够自觉遵守国家法律法规、执业准则和职业道德，近三年内没有因违法违规受过行政主管部门和行业协会的行政处罚。不是被列入失信被执行人，重大税收违法案件当事人名单、政府采购严重违法失信行为记录名单的供应商。</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如发现提供的资料虚假资料的，采购人有权取消我司中标资格，没收磋商保证金，由此对采购人造成的一切损失由我司承担。</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特此承诺！</w:t>
      </w:r>
    </w:p>
    <w:p>
      <w:pPr>
        <w:keepNext w:val="0"/>
        <w:keepLines w:val="0"/>
        <w:pageBreakBefore w:val="0"/>
        <w:widowControl/>
        <w:suppressLineNumbers w:val="0"/>
        <w:suppressAutoHyphens w:val="0"/>
        <w:kinsoku/>
        <w:wordWrap w:val="0"/>
        <w:overflowPunct/>
        <w:topLinePunct w:val="0"/>
        <w:autoSpaceDE/>
        <w:autoSpaceDN w:val="0"/>
        <w:bidi w:val="0"/>
        <w:adjustRightInd/>
        <w:snapToGrid/>
        <w:spacing w:before="0" w:beforeAutospacing="0" w:after="0" w:afterAutospacing="0" w:line="360" w:lineRule="auto"/>
        <w:ind w:left="0" w:right="480" w:firstLine="0"/>
        <w:jc w:val="left"/>
        <w:outlineLvl w:val="9"/>
        <w:rPr>
          <w:rFonts w:hint="eastAsia" w:ascii="宋体" w:hAnsi="宋体" w:eastAsia="宋体" w:cs="Times New Roman"/>
          <w:caps w:val="0"/>
          <w:color w:val="auto"/>
          <w:sz w:val="21"/>
          <w:szCs w:val="21"/>
          <w:highlight w:val="none"/>
          <w:vertAlign w:val="baseline"/>
          <w:lang w:bidi="ar"/>
        </w:rPr>
      </w:pPr>
    </w:p>
    <w:p>
      <w:pPr>
        <w:keepNext w:val="0"/>
        <w:keepLines w:val="0"/>
        <w:pageBreakBefore w:val="0"/>
        <w:widowControl/>
        <w:suppressLineNumbers w:val="0"/>
        <w:suppressAutoHyphens w:val="0"/>
        <w:kinsoku/>
        <w:wordWrap w:val="0"/>
        <w:overflowPunct/>
        <w:topLinePunct w:val="0"/>
        <w:autoSpaceDE/>
        <w:autoSpaceDN w:val="0"/>
        <w:bidi w:val="0"/>
        <w:adjustRightInd/>
        <w:snapToGrid/>
        <w:spacing w:before="0" w:beforeAutospacing="0" w:after="0" w:afterAutospacing="0" w:line="360" w:lineRule="auto"/>
        <w:ind w:left="0" w:right="480" w:firstLine="0"/>
        <w:jc w:val="left"/>
        <w:outlineLvl w:val="9"/>
        <w:rPr>
          <w:rFonts w:hint="eastAsia" w:ascii="宋体" w:hAnsi="宋体" w:eastAsia="宋体" w:cs="Times New Roman"/>
          <w:caps w:val="0"/>
          <w:color w:val="auto"/>
          <w:sz w:val="21"/>
          <w:szCs w:val="21"/>
          <w:highlight w:val="none"/>
          <w:vertAlign w:val="baseline"/>
          <w:lang w:bidi="ar"/>
        </w:rPr>
      </w:pPr>
    </w:p>
    <w:p>
      <w:pPr>
        <w:keepNext w:val="0"/>
        <w:keepLines w:val="0"/>
        <w:pageBreakBefore w:val="0"/>
        <w:widowControl/>
        <w:suppressLineNumbers w:val="0"/>
        <w:suppressAutoHyphens w:val="0"/>
        <w:kinsoku/>
        <w:wordWrap w:val="0"/>
        <w:overflowPunct/>
        <w:topLinePunct w:val="0"/>
        <w:autoSpaceDE/>
        <w:autoSpaceDN w:val="0"/>
        <w:bidi w:val="0"/>
        <w:adjustRightInd/>
        <w:snapToGrid/>
        <w:spacing w:before="0" w:beforeAutospacing="0" w:after="0" w:afterAutospacing="0" w:line="360" w:lineRule="auto"/>
        <w:ind w:left="0" w:right="480" w:firstLine="0"/>
        <w:jc w:val="left"/>
        <w:outlineLvl w:val="9"/>
        <w:rPr>
          <w:rFonts w:hint="eastAsia" w:ascii="宋体" w:hAnsi="宋体" w:eastAsia="宋体" w:cs="Times New Roman"/>
          <w:caps w:val="0"/>
          <w:color w:val="auto"/>
          <w:sz w:val="21"/>
          <w:szCs w:val="21"/>
          <w:highlight w:val="none"/>
          <w:vertAlign w:val="baseline"/>
          <w:lang w:bidi="ar"/>
        </w:rPr>
      </w:pPr>
    </w:p>
    <w:p>
      <w:pPr>
        <w:keepNext w:val="0"/>
        <w:keepLines w:val="0"/>
        <w:pageBreakBefore w:val="0"/>
        <w:widowControl/>
        <w:suppressLineNumbers w:val="0"/>
        <w:suppressAutoHyphens w:val="0"/>
        <w:kinsoku/>
        <w:wordWrap w:val="0"/>
        <w:overflowPunct/>
        <w:topLinePunct w:val="0"/>
        <w:autoSpaceDE/>
        <w:autoSpaceDN w:val="0"/>
        <w:bidi w:val="0"/>
        <w:adjustRightInd/>
        <w:snapToGrid/>
        <w:spacing w:before="0" w:beforeAutospacing="0" w:after="0" w:afterAutospacing="0" w:line="360" w:lineRule="auto"/>
        <w:ind w:left="0" w:right="480" w:firstLine="0"/>
        <w:jc w:val="left"/>
        <w:outlineLvl w:val="9"/>
        <w:rPr>
          <w:rFonts w:hint="eastAsia" w:ascii="宋体" w:hAnsi="宋体" w:eastAsia="宋体" w:cs="Times New Roman"/>
          <w:caps w:val="0"/>
          <w:color w:val="auto"/>
          <w:sz w:val="21"/>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1050" w:right="0" w:hanging="1050" w:hangingChars="50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 xml:space="preserve">                  供应商（盖单位公章）：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1050" w:right="0" w:hanging="1050" w:hangingChars="500"/>
        <w:jc w:val="center"/>
        <w:outlineLvl w:val="9"/>
        <w:rPr>
          <w:rFonts w:hint="eastAsia" w:ascii="宋体" w:hAnsi="宋体" w:eastAsia="宋体" w:cs="Times New Roman"/>
          <w:caps w:val="0"/>
          <w:color w:val="auto"/>
          <w:sz w:val="21"/>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1050" w:right="0" w:hanging="1050" w:hangingChars="50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 xml:space="preserve">                     法定代表人（签字或盖章）：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1050" w:right="0" w:hanging="1050" w:hangingChars="500"/>
        <w:jc w:val="center"/>
        <w:outlineLvl w:val="9"/>
        <w:rPr>
          <w:rFonts w:hint="eastAsia" w:ascii="宋体" w:hAnsi="宋体" w:eastAsia="宋体" w:cs="Times New Roman"/>
          <w:caps w:val="0"/>
          <w:color w:val="auto"/>
          <w:sz w:val="21"/>
          <w:szCs w:val="21"/>
          <w:highlight w:val="none"/>
          <w:vertAlign w:val="baseline"/>
          <w:lang w:bidi="ar"/>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1050" w:right="0" w:hanging="1050" w:hangingChars="500"/>
        <w:jc w:val="center"/>
        <w:outlineLvl w:val="9"/>
        <w:rPr>
          <w:rFonts w:hint="eastAsia" w:ascii="宋体" w:hAnsi="宋体" w:eastAsia="宋体" w:cs="Times New Roman"/>
          <w:caps w:val="0"/>
          <w:color w:val="auto"/>
          <w:sz w:val="21"/>
          <w:szCs w:val="21"/>
          <w:highlight w:val="none"/>
          <w:vertAlign w:val="baseline"/>
          <w:lang w:bidi="ar"/>
        </w:rPr>
      </w:pPr>
      <w:r>
        <w:rPr>
          <w:rFonts w:hint="eastAsia" w:ascii="宋体" w:hAnsi="宋体" w:eastAsia="宋体" w:cs="Times New Roman"/>
          <w:b w:val="0"/>
          <w:bCs w:val="0"/>
          <w:caps w:val="0"/>
          <w:color w:val="auto"/>
          <w:kern w:val="0"/>
          <w:sz w:val="21"/>
          <w:szCs w:val="21"/>
          <w:highlight w:val="none"/>
          <w:vertAlign w:val="baseline"/>
          <w:lang w:val="en-US" w:eastAsia="zh-CN" w:bidi="ar"/>
        </w:rPr>
        <w:t xml:space="preserve">             年     月     日</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Times New Roman"/>
          <w:caps w:val="0"/>
          <w:color w:val="auto"/>
          <w:kern w:val="0"/>
          <w:sz w:val="44"/>
          <w:szCs w:val="44"/>
          <w:highlight w:val="none"/>
          <w:vertAlign w:val="baseline"/>
          <w:lang w:bidi="ar"/>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000000"/>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0"/>
        <w:jc w:val="both"/>
        <w:textAlignment w:val="baseline"/>
        <w:outlineLvl w:val="9"/>
        <w:rPr>
          <w:rFonts w:hint="default" w:ascii="Times New Roman" w:hAnsi="Times New Roman" w:eastAsia="宋体" w:cs="Times New Roman"/>
          <w:caps w:val="0"/>
          <w:color w:val="000000"/>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000000"/>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000000"/>
          <w:sz w:val="28"/>
          <w:szCs w:val="28"/>
          <w:highlight w:val="none"/>
          <w:vertAlign w:val="baseline"/>
        </w:rPr>
      </w:pPr>
    </w:p>
    <w:p>
      <w:pPr>
        <w:pStyle w:val="18"/>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0"/>
        <w:jc w:val="both"/>
        <w:textAlignment w:val="baseline"/>
        <w:outlineLvl w:val="9"/>
        <w:rPr>
          <w:rFonts w:hint="default" w:ascii="Times New Roman" w:hAnsi="Times New Roman" w:eastAsia="宋体" w:cs="Times New Roman"/>
          <w:caps w:val="0"/>
          <w:color w:val="000000"/>
          <w:sz w:val="28"/>
          <w:szCs w:val="28"/>
          <w:highlight w:val="none"/>
          <w:vertAlign w:val="baseline"/>
        </w:rPr>
      </w:pPr>
      <w:r>
        <w:rPr>
          <w:rFonts w:hint="default" w:ascii="Times New Roman" w:hAnsi="Times New Roman" w:eastAsia="宋体" w:cs="Times New Roman"/>
          <w:b w:val="0"/>
          <w:bCs w:val="0"/>
          <w:caps w:val="0"/>
          <w:color w:val="000000"/>
          <w:kern w:val="0"/>
          <w:sz w:val="28"/>
          <w:szCs w:val="28"/>
          <w:highlight w:val="none"/>
          <w:vertAlign w:val="baseline"/>
          <w:lang w:val="en-US" w:eastAsia="zh-CN" w:bidi="ar"/>
        </w:rPr>
        <w:br w:type="page"/>
      </w:r>
    </w:p>
    <w:bookmarkEnd w:id="119"/>
    <w:bookmarkEnd w:id="120"/>
    <w:p>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sz w:val="28"/>
          <w:szCs w:val="28"/>
          <w:highlight w:val="none"/>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t>九、中小企业声明函</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Times New Roman" w:hAnsi="Times New Roman" w:eastAsia="宋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default" w:ascii="Times New Roman" w:hAnsi="Times New Roman" w:eastAsia="宋体" w:cs="Times New Roman"/>
          <w:caps w:val="0"/>
          <w:color w:val="000000"/>
          <w:sz w:val="20"/>
          <w:szCs w:val="20"/>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【不属于小微企业的无需填写】</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本公司（联合体）郑重声明，根据《政府采购促进中小企业发展管理办法》（财库﹝2020﹞46 号）的规定，本公司（联合体）参加（单位名称）的（项目名称）采购活动，服务全部由符合政策要求的中小企业承接。相关企业（含联合体中的中小企业、签订分包意向协议的中小企业）的具体情况如下：</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9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1.（标的名称），属于（采购文件中明确的所属行业）；服务企业为（企业名称），从业人员 人，营业收入为  万元，资产总额为  万元，属于（中型企业、小型企业、微型企业）；</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9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9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以上企业，不属于大企业的分支机构，不存在控股股东为大企业的情形，也不存在与大企业的负责人为同一人的情形。</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9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本企业对上述声明内容的真实性负责。如有虚假，将依法承担相应责任。</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9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9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企业名称（盖章）：</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90"/>
        <w:jc w:val="left"/>
        <w:outlineLvl w:val="9"/>
        <w:rPr>
          <w:rFonts w:hint="eastAsia" w:ascii="宋体" w:hAnsi="宋体" w:eastAsia="宋体" w:cs="宋体"/>
          <w:caps w:val="0"/>
          <w:color w:val="000000"/>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9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日 期：　　</w:t>
      </w: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90"/>
        <w:jc w:val="left"/>
        <w:outlineLvl w:val="9"/>
        <w:rPr>
          <w:rFonts w:hint="default" w:ascii="Times New Roman" w:hAnsi="Times New Roman" w:eastAsia="宋体" w:cs="Times New Roman"/>
          <w:caps w:val="0"/>
          <w:color w:val="auto"/>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90"/>
        <w:jc w:val="left"/>
        <w:outlineLvl w:val="9"/>
        <w:rPr>
          <w:rFonts w:hint="default" w:ascii="Times New Roman" w:hAnsi="Times New Roman" w:eastAsia="宋体" w:cs="Times New Roman"/>
          <w:caps w:val="0"/>
          <w:color w:val="auto"/>
          <w:sz w:val="21"/>
          <w:szCs w:val="21"/>
          <w:highlight w:val="none"/>
          <w:vertAlign w:val="baseline"/>
        </w:rPr>
      </w:pPr>
    </w:p>
    <w:p>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90"/>
        <w:jc w:val="left"/>
        <w:outlineLvl w:val="9"/>
        <w:rPr>
          <w:rFonts w:hint="eastAsia" w:ascii="Times New Roman" w:hAnsi="宋体" w:eastAsia="宋体" w:cs="宋体"/>
          <w:b w:val="0"/>
          <w:bCs w:val="0"/>
          <w:caps w:val="0"/>
          <w:color w:val="auto"/>
          <w:kern w:val="0"/>
          <w:sz w:val="21"/>
          <w:szCs w:val="21"/>
          <w:highlight w:val="none"/>
          <w:vertAlign w:val="baseline"/>
          <w:lang w:val="en-US" w:eastAsia="zh-CN" w:bidi="ar"/>
        </w:rPr>
      </w:pPr>
      <w:r>
        <w:rPr>
          <w:rFonts w:hint="eastAsia" w:ascii="Times New Roman" w:hAnsi="宋体" w:eastAsia="宋体" w:cs="宋体"/>
          <w:b w:val="0"/>
          <w:bCs w:val="0"/>
          <w:caps w:val="0"/>
          <w:color w:val="auto"/>
          <w:kern w:val="0"/>
          <w:sz w:val="21"/>
          <w:szCs w:val="21"/>
          <w:highlight w:val="none"/>
          <w:vertAlign w:val="baseline"/>
          <w:lang w:val="en-US" w:eastAsia="zh-CN" w:bidi="ar"/>
        </w:rPr>
        <w:t>注：从业人员、营业收入、资产总额填报上一年度数据，无上一年度数据的新成立企业可不填报。</w:t>
      </w:r>
      <w:bookmarkEnd w:id="0"/>
    </w:p>
    <w:p>
      <w:pPr>
        <w:rPr>
          <w:rFonts w:hint="eastAsia" w:ascii="Times New Roman" w:hAnsi="宋体" w:eastAsia="宋体" w:cs="宋体"/>
          <w:b w:val="0"/>
          <w:bCs w:val="0"/>
          <w:caps w:val="0"/>
          <w:color w:val="auto"/>
          <w:kern w:val="0"/>
          <w:sz w:val="21"/>
          <w:szCs w:val="21"/>
          <w:highlight w:val="none"/>
          <w:vertAlign w:val="baseline"/>
          <w:lang w:val="en-US" w:eastAsia="zh-CN" w:bidi="ar"/>
        </w:rPr>
      </w:pPr>
      <w:r>
        <w:rPr>
          <w:rFonts w:hint="eastAsia" w:ascii="Times New Roman" w:hAnsi="宋体" w:eastAsia="宋体" w:cs="宋体"/>
          <w:b w:val="0"/>
          <w:bCs w:val="0"/>
          <w:caps w:val="0"/>
          <w:color w:val="auto"/>
          <w:kern w:val="0"/>
          <w:sz w:val="21"/>
          <w:szCs w:val="21"/>
          <w:highlight w:val="none"/>
          <w:vertAlign w:val="baseline"/>
          <w:lang w:val="en-US" w:eastAsia="zh-CN" w:bidi="ar"/>
        </w:rPr>
        <w:br w:type="page"/>
      </w:r>
    </w:p>
    <w:p>
      <w:pPr>
        <w:keepNext w:val="0"/>
        <w:keepLines w:val="0"/>
        <w:pageBreakBefore w:val="0"/>
        <w:widowControl w:val="0"/>
        <w:numPr>
          <w:ilvl w:val="0"/>
          <w:numId w:val="0"/>
        </w:numPr>
        <w:suppressAutoHyphens w:val="0"/>
        <w:kinsoku/>
        <w:wordWrap/>
        <w:overflowPunct/>
        <w:topLinePunct w:val="0"/>
        <w:autoSpaceDE/>
        <w:autoSpaceDN w:val="0"/>
        <w:bidi w:val="0"/>
        <w:spacing w:afterAutospacing="1" w:line="360" w:lineRule="auto"/>
        <w:ind w:left="160"/>
        <w:jc w:val="center"/>
        <w:textAlignment w:val="auto"/>
        <w:outlineLvl w:val="1"/>
        <w:rPr>
          <w:rFonts w:hint="eastAsia" w:ascii="宋体" w:hAnsi="宋体" w:eastAsia="宋体" w:cs="宋体"/>
          <w:b/>
          <w:color w:val="auto"/>
          <w:sz w:val="32"/>
          <w:szCs w:val="32"/>
          <w:highlight w:val="none"/>
        </w:rPr>
      </w:pPr>
      <w:r>
        <w:rPr>
          <w:rFonts w:hint="eastAsia" w:ascii="宋体" w:hAnsi="宋体" w:eastAsia="宋体" w:cs="宋体"/>
          <w:b/>
          <w:bCs/>
          <w:caps w:val="0"/>
          <w:color w:val="000000"/>
          <w:kern w:val="0"/>
          <w:sz w:val="28"/>
          <w:szCs w:val="28"/>
          <w:highlight w:val="none"/>
          <w:vertAlign w:val="baseline"/>
          <w:lang w:val="en-US" w:eastAsia="zh-CN" w:bidi="ar"/>
        </w:rPr>
        <w:t>十、</w:t>
      </w:r>
      <w:r>
        <w:rPr>
          <w:rFonts w:hint="eastAsia" w:ascii="宋体" w:hAnsi="宋体" w:eastAsia="宋体" w:cs="宋体"/>
          <w:b/>
          <w:color w:val="auto"/>
          <w:sz w:val="32"/>
          <w:szCs w:val="32"/>
          <w:highlight w:val="none"/>
        </w:rPr>
        <w:t>商务条款偏离表</w:t>
      </w:r>
    </w:p>
    <w:p>
      <w:pPr>
        <w:pageBreakBefore w:val="0"/>
        <w:kinsoku/>
        <w:wordWrap w:val="0"/>
        <w:overflowPunct/>
        <w:topLinePunct w:val="0"/>
        <w:bidi w:val="0"/>
        <w:spacing w:line="44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p>
    <w:p>
      <w:pPr>
        <w:pageBreakBefore w:val="0"/>
        <w:kinsoku/>
        <w:wordWrap w:val="0"/>
        <w:overflowPunct/>
        <w:topLinePunct w:val="0"/>
        <w:bidi w:val="0"/>
        <w:spacing w:line="44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p>
    <w:p>
      <w:pPr>
        <w:pStyle w:val="10"/>
        <w:pageBreakBefore w:val="0"/>
        <w:kinsoku/>
        <w:wordWrap w:val="0"/>
        <w:overflowPunct/>
        <w:topLinePunct w:val="0"/>
        <w:bidi w:val="0"/>
        <w:spacing w:after="0"/>
        <w:rPr>
          <w:rFonts w:hint="eastAsia" w:ascii="宋体" w:hAnsi="宋体" w:eastAsia="宋体" w:cs="宋体"/>
          <w:color w:val="auto"/>
          <w:highlight w:val="none"/>
        </w:rPr>
      </w:pPr>
    </w:p>
    <w:tbl>
      <w:tblPr>
        <w:tblStyle w:val="22"/>
        <w:tblW w:w="98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1"/>
        <w:gridCol w:w="1200"/>
        <w:gridCol w:w="2893"/>
        <w:gridCol w:w="2936"/>
        <w:gridCol w:w="206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
                <w:color w:val="auto"/>
                <w:sz w:val="24"/>
                <w:szCs w:val="24"/>
                <w:highlight w:val="none"/>
              </w:rPr>
            </w:pPr>
            <w:bookmarkStart w:id="126" w:name="_Toc16858225"/>
            <w:bookmarkStart w:id="127" w:name="_Toc10451"/>
            <w:bookmarkStart w:id="128" w:name="_Toc23541"/>
            <w:bookmarkStart w:id="129" w:name="_Toc16666392"/>
            <w:bookmarkStart w:id="130" w:name="_Toc11340"/>
            <w:bookmarkStart w:id="131" w:name="_Toc9156"/>
            <w:bookmarkStart w:id="132" w:name="_Toc492451841"/>
            <w:r>
              <w:rPr>
                <w:rFonts w:hint="eastAsia" w:ascii="宋体" w:hAnsi="宋体" w:eastAsia="宋体" w:cs="宋体"/>
                <w:b/>
                <w:color w:val="auto"/>
                <w:sz w:val="24"/>
                <w:szCs w:val="24"/>
                <w:highlight w:val="none"/>
              </w:rPr>
              <w:t>序号</w:t>
            </w:r>
            <w:bookmarkEnd w:id="126"/>
            <w:bookmarkEnd w:id="127"/>
            <w:bookmarkEnd w:id="128"/>
            <w:bookmarkEnd w:id="129"/>
            <w:bookmarkEnd w:id="130"/>
            <w:bookmarkEnd w:id="131"/>
            <w:bookmarkEnd w:id="132"/>
          </w:p>
        </w:tc>
        <w:tc>
          <w:tcPr>
            <w:tcW w:w="12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
                <w:color w:val="auto"/>
                <w:sz w:val="24"/>
                <w:szCs w:val="24"/>
                <w:highlight w:val="none"/>
              </w:rPr>
            </w:pPr>
            <w:bookmarkStart w:id="133" w:name="_Toc4669"/>
            <w:bookmarkStart w:id="134" w:name="_Toc492451842"/>
            <w:bookmarkStart w:id="135" w:name="_Toc15409"/>
            <w:bookmarkStart w:id="136" w:name="_Toc26098"/>
            <w:bookmarkStart w:id="137" w:name="_Toc7422"/>
            <w:bookmarkStart w:id="138" w:name="_Toc16666393"/>
            <w:bookmarkStart w:id="139" w:name="_Toc16858226"/>
            <w:r>
              <w:rPr>
                <w:rFonts w:hint="eastAsia" w:ascii="宋体" w:hAnsi="宋体" w:eastAsia="宋体" w:cs="宋体"/>
                <w:b/>
                <w:color w:val="auto"/>
                <w:sz w:val="24"/>
                <w:szCs w:val="24"/>
                <w:highlight w:val="none"/>
              </w:rPr>
              <w:t>名称</w:t>
            </w:r>
            <w:bookmarkEnd w:id="133"/>
            <w:bookmarkEnd w:id="134"/>
            <w:bookmarkEnd w:id="135"/>
            <w:bookmarkEnd w:id="136"/>
            <w:bookmarkEnd w:id="137"/>
            <w:bookmarkEnd w:id="138"/>
            <w:bookmarkEnd w:id="139"/>
          </w:p>
        </w:tc>
        <w:tc>
          <w:tcPr>
            <w:tcW w:w="2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
                <w:color w:val="auto"/>
                <w:sz w:val="24"/>
                <w:szCs w:val="24"/>
                <w:highlight w:val="none"/>
              </w:rPr>
            </w:pPr>
            <w:bookmarkStart w:id="140" w:name="_Toc16666394"/>
            <w:bookmarkStart w:id="141" w:name="_Toc492451843"/>
            <w:bookmarkStart w:id="142" w:name="_Toc16858227"/>
            <w:bookmarkStart w:id="143" w:name="_Toc10148"/>
            <w:bookmarkStart w:id="144" w:name="_Toc19811"/>
            <w:bookmarkStart w:id="145" w:name="_Toc3291"/>
            <w:bookmarkStart w:id="146" w:name="_Toc6174"/>
            <w:bookmarkStart w:id="147" w:name="_Toc25441"/>
            <w:r>
              <w:rPr>
                <w:rFonts w:hint="eastAsia" w:ascii="宋体" w:hAnsi="宋体" w:eastAsia="宋体" w:cs="宋体"/>
                <w:b/>
                <w:color w:val="auto"/>
                <w:sz w:val="24"/>
                <w:szCs w:val="24"/>
                <w:highlight w:val="none"/>
                <w:lang w:val="en-US" w:eastAsia="zh-CN"/>
              </w:rPr>
              <w:t>采购</w:t>
            </w:r>
            <w:r>
              <w:rPr>
                <w:rFonts w:hint="eastAsia" w:ascii="宋体" w:hAnsi="宋体" w:eastAsia="宋体" w:cs="宋体"/>
                <w:b/>
                <w:color w:val="auto"/>
                <w:sz w:val="24"/>
                <w:szCs w:val="24"/>
                <w:highlight w:val="none"/>
              </w:rPr>
              <w:t>文件规定的商务条款</w:t>
            </w:r>
            <w:bookmarkEnd w:id="140"/>
            <w:bookmarkEnd w:id="141"/>
            <w:bookmarkEnd w:id="142"/>
            <w:bookmarkEnd w:id="143"/>
            <w:bookmarkEnd w:id="144"/>
            <w:bookmarkEnd w:id="145"/>
            <w:bookmarkEnd w:id="146"/>
            <w:bookmarkEnd w:id="147"/>
          </w:p>
        </w:tc>
        <w:tc>
          <w:tcPr>
            <w:tcW w:w="29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
                <w:color w:val="auto"/>
                <w:sz w:val="24"/>
                <w:szCs w:val="24"/>
                <w:highlight w:val="none"/>
              </w:rPr>
            </w:pPr>
            <w:bookmarkStart w:id="148" w:name="_Toc16858228"/>
            <w:bookmarkStart w:id="149" w:name="_Toc30914"/>
            <w:bookmarkStart w:id="150" w:name="_Toc492451844"/>
            <w:bookmarkStart w:id="151" w:name="_Toc21331"/>
            <w:bookmarkStart w:id="152" w:name="_Toc18316"/>
            <w:bookmarkStart w:id="153" w:name="_Toc343"/>
            <w:bookmarkStart w:id="154" w:name="_Toc16666395"/>
            <w:bookmarkStart w:id="155" w:name="_Toc6683"/>
            <w:r>
              <w:rPr>
                <w:rFonts w:hint="eastAsia" w:ascii="宋体" w:hAnsi="宋体" w:eastAsia="宋体" w:cs="宋体"/>
                <w:b/>
                <w:color w:val="auto"/>
                <w:sz w:val="24"/>
                <w:szCs w:val="24"/>
                <w:highlight w:val="none"/>
                <w:lang w:val="en-US" w:eastAsia="zh-CN"/>
              </w:rPr>
              <w:t>响应</w:t>
            </w:r>
            <w:r>
              <w:rPr>
                <w:rFonts w:hint="eastAsia" w:ascii="宋体" w:hAnsi="宋体" w:eastAsia="宋体" w:cs="宋体"/>
                <w:b/>
                <w:color w:val="auto"/>
                <w:sz w:val="24"/>
                <w:szCs w:val="24"/>
                <w:highlight w:val="none"/>
              </w:rPr>
              <w:t>文件对应的商务条款</w:t>
            </w:r>
            <w:bookmarkEnd w:id="148"/>
            <w:bookmarkEnd w:id="149"/>
            <w:bookmarkEnd w:id="150"/>
            <w:bookmarkEnd w:id="151"/>
            <w:bookmarkEnd w:id="152"/>
            <w:bookmarkEnd w:id="153"/>
            <w:bookmarkEnd w:id="154"/>
            <w:bookmarkEnd w:id="155"/>
          </w:p>
        </w:tc>
        <w:tc>
          <w:tcPr>
            <w:tcW w:w="20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偏离（正/无/负）情况说明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pStyle w:val="14"/>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lang w:val="en-US" w:eastAsia="zh-CN"/>
              </w:rPr>
            </w:pPr>
          </w:p>
        </w:tc>
        <w:tc>
          <w:tcPr>
            <w:tcW w:w="2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9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0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9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0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9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0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9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0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9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20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r>
    </w:tbl>
    <w:p>
      <w:pPr>
        <w:pageBreakBefore w:val="0"/>
        <w:kinsoku/>
        <w:wordWrap w:val="0"/>
        <w:overflowPunct/>
        <w:topLinePunct w:val="0"/>
        <w:bidi w:val="0"/>
        <w:rPr>
          <w:rFonts w:hint="eastAsia" w:ascii="宋体" w:hAnsi="宋体" w:eastAsia="宋体" w:cs="宋体"/>
          <w:color w:val="auto"/>
          <w:sz w:val="24"/>
          <w:szCs w:val="24"/>
          <w:highlight w:val="none"/>
        </w:rPr>
      </w:pPr>
    </w:p>
    <w:p>
      <w:pPr>
        <w:pageBreakBefore w:val="0"/>
        <w:kinsoku/>
        <w:wordWrap w:val="0"/>
        <w:overflowPunct/>
        <w:topLinePunct w:val="0"/>
        <w:bidi w:val="0"/>
        <w:rPr>
          <w:rFonts w:hint="eastAsia" w:ascii="宋体" w:hAnsi="宋体" w:eastAsia="宋体" w:cs="宋体"/>
          <w:color w:val="auto"/>
          <w:sz w:val="24"/>
          <w:szCs w:val="24"/>
          <w:highlight w:val="none"/>
        </w:rPr>
      </w:pPr>
    </w:p>
    <w:p>
      <w:pPr>
        <w:pageBreakBefore w:val="0"/>
        <w:kinsoku/>
        <w:wordWrap w:val="0"/>
        <w:overflowPunct/>
        <w:topLinePunct w:val="0"/>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rPr>
        <w:t>（盖单位公章）</w:t>
      </w:r>
    </w:p>
    <w:p>
      <w:pPr>
        <w:pageBreakBefore w:val="0"/>
        <w:kinsoku/>
        <w:wordWrap w:val="0"/>
        <w:overflowPunct/>
        <w:topLinePunct w:val="0"/>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法定代表人或委托代理人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pPr>
        <w:pageBreakBefore w:val="0"/>
        <w:kinsoku/>
        <w:wordWrap w:val="0"/>
        <w:overflowPunct/>
        <w:topLinePunct w:val="0"/>
        <w:bidi w:val="0"/>
        <w:spacing w:line="480" w:lineRule="auto"/>
        <w:ind w:firstLine="4800" w:firstLineChars="20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pPr>
        <w:pageBreakBefore w:val="0"/>
        <w:kinsoku/>
        <w:wordWrap w:val="0"/>
        <w:overflowPunct/>
        <w:topLinePunct w:val="0"/>
        <w:bidi w:val="0"/>
        <w:rPr>
          <w:rFonts w:hint="eastAsia" w:ascii="宋体" w:hAnsi="宋体" w:eastAsia="宋体" w:cs="宋体"/>
          <w:color w:val="auto"/>
          <w:sz w:val="24"/>
          <w:szCs w:val="24"/>
          <w:highlight w:val="none"/>
        </w:rPr>
      </w:pPr>
    </w:p>
    <w:p>
      <w:pPr>
        <w:pageBreakBefore w:val="0"/>
        <w:kinsoku/>
        <w:wordWrap w:val="0"/>
        <w:overflowPunct/>
        <w:topLinePunct w:val="0"/>
        <w:bidi w:val="0"/>
        <w:spacing w:line="360" w:lineRule="auto"/>
        <w:rPr>
          <w:rFonts w:hint="eastAsia" w:ascii="宋体" w:hAnsi="宋体" w:eastAsia="宋体" w:cs="宋体"/>
          <w:color w:val="auto"/>
          <w:sz w:val="24"/>
          <w:szCs w:val="24"/>
          <w:highlight w:val="none"/>
        </w:rPr>
      </w:pPr>
    </w:p>
    <w:p>
      <w:pPr>
        <w:pageBreakBefore w:val="0"/>
        <w:kinsoku/>
        <w:wordWrap w:val="0"/>
        <w:overflowPunct/>
        <w:topLinePunct w:val="0"/>
        <w:bidi w:val="0"/>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注：</w:t>
      </w:r>
    </w:p>
    <w:p>
      <w:pPr>
        <w:pageBreakBefore w:val="0"/>
        <w:kinsoku/>
        <w:wordWrap w:val="0"/>
        <w:overflowPunct/>
        <w:topLinePunct w:val="0"/>
        <w:bidi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1.商务条款偏离表应根据招标文件的要求对商务条款偏离情况</w:t>
      </w:r>
      <w:r>
        <w:rPr>
          <w:rFonts w:hint="eastAsia" w:ascii="宋体" w:hAnsi="宋体" w:eastAsia="宋体" w:cs="宋体"/>
          <w:color w:val="auto"/>
          <w:sz w:val="24"/>
          <w:szCs w:val="24"/>
          <w:highlight w:val="none"/>
          <w:lang w:eastAsia="zh-CN"/>
        </w:rPr>
        <w:t>如实</w:t>
      </w:r>
      <w:r>
        <w:rPr>
          <w:rFonts w:hint="eastAsia" w:ascii="宋体" w:hAnsi="宋体" w:eastAsia="宋体" w:cs="宋体"/>
          <w:color w:val="auto"/>
          <w:sz w:val="24"/>
          <w:szCs w:val="24"/>
          <w:highlight w:val="none"/>
        </w:rPr>
        <w:t>填列。</w:t>
      </w:r>
    </w:p>
    <w:p>
      <w:pPr>
        <w:pageBreakBefore w:val="0"/>
        <w:kinsoku/>
        <w:wordWrap w:val="0"/>
        <w:overflowPunct/>
        <w:topLinePunct w:val="0"/>
        <w:bidi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2.商务条款主要填列供货时间、供货地点、售后服务、质量保证等重要条款方面的偏离情况。</w:t>
      </w:r>
    </w:p>
    <w:p>
      <w:pPr>
        <w:pageBreakBefore w:val="0"/>
        <w:kinsoku/>
        <w:wordWrap w:val="0"/>
        <w:overflowPunct/>
        <w:topLinePunct w:val="0"/>
        <w:bidi w:val="0"/>
        <w:spacing w:line="44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3．“投标货物商务条款偏离表”是评审的重要依据，无论所提供的货物与招标文件的要求是否有偏离，</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均须详细填报“商务条款偏离表”</w:t>
      </w:r>
      <w:r>
        <w:rPr>
          <w:rFonts w:hint="eastAsia" w:ascii="宋体" w:hAnsi="宋体" w:eastAsia="宋体" w:cs="宋体"/>
          <w:color w:val="auto"/>
          <w:sz w:val="24"/>
          <w:szCs w:val="24"/>
          <w:highlight w:val="none"/>
          <w:lang w:eastAsia="zh-CN"/>
        </w:rPr>
        <w:t>。</w:t>
      </w:r>
    </w:p>
    <w:p>
      <w:pPr>
        <w:pageBreakBefore w:val="0"/>
        <w:kinsoku/>
        <w:wordWrap w:val="0"/>
        <w:overflowPunct/>
        <w:topLinePunct w:val="0"/>
        <w:bidi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4.表内如果填列不全，可另外附页说明并按规定签字和加盖公章。</w:t>
      </w:r>
    </w:p>
    <w:p>
      <w:pPr>
        <w:pageBreakBefore w:val="0"/>
        <w:kinsoku/>
        <w:wordWrap w:val="0"/>
        <w:overflowPunct/>
        <w:topLinePunct w:val="0"/>
        <w:bidi w:val="0"/>
        <w:spacing w:line="440" w:lineRule="exact"/>
        <w:ind w:firstLine="480" w:firstLineChars="200"/>
        <w:rPr>
          <w:rFonts w:hint="eastAsia" w:ascii="宋体" w:hAnsi="宋体" w:eastAsia="宋体" w:cs="宋体"/>
          <w:color w:val="auto"/>
          <w:highlight w:val="none"/>
        </w:rPr>
      </w:pPr>
      <w:bookmarkStart w:id="156" w:name="_Toc16666397"/>
      <w:bookmarkStart w:id="157" w:name="_Toc9118"/>
      <w:bookmarkStart w:id="158" w:name="_Toc27161"/>
      <w:bookmarkStart w:id="159" w:name="_Toc25931"/>
      <w:bookmarkStart w:id="160" w:name="_Toc18836"/>
      <w:bookmarkStart w:id="161" w:name="_Toc16858230"/>
      <w:bookmarkStart w:id="162" w:name="_Toc26039"/>
      <w:bookmarkStart w:id="163" w:name="_Toc492451846"/>
      <w:r>
        <w:rPr>
          <w:rFonts w:hint="eastAsia" w:ascii="宋体" w:hAnsi="宋体" w:eastAsia="宋体" w:cs="宋体"/>
          <w:color w:val="auto"/>
          <w:sz w:val="24"/>
          <w:szCs w:val="24"/>
          <w:highlight w:val="none"/>
        </w:rPr>
        <w:t>5.此表可根据需要自行拉长加宽。</w:t>
      </w:r>
      <w:bookmarkEnd w:id="156"/>
      <w:bookmarkEnd w:id="157"/>
      <w:bookmarkEnd w:id="158"/>
      <w:bookmarkEnd w:id="159"/>
      <w:bookmarkEnd w:id="160"/>
      <w:bookmarkEnd w:id="161"/>
      <w:bookmarkEnd w:id="162"/>
      <w:bookmarkEnd w:id="163"/>
    </w:p>
    <w:p>
      <w:pPr>
        <w:keepNext w:val="0"/>
        <w:keepLines w:val="0"/>
        <w:pageBreakBefore w:val="0"/>
        <w:widowControl w:val="0"/>
        <w:tabs>
          <w:tab w:val="left" w:pos="1365"/>
        </w:tabs>
        <w:kinsoku/>
        <w:wordWrap w:val="0"/>
        <w:overflowPunct/>
        <w:topLinePunct w:val="0"/>
        <w:autoSpaceDE/>
        <w:autoSpaceDN/>
        <w:bidi w:val="0"/>
        <w:spacing w:line="360" w:lineRule="auto"/>
        <w:jc w:val="center"/>
        <w:textAlignment w:val="auto"/>
        <w:rPr>
          <w:rFonts w:hint="eastAsia" w:ascii="宋体" w:hAnsi="宋体" w:eastAsia="宋体" w:cs="宋体"/>
          <w:b/>
          <w:color w:val="auto"/>
          <w:sz w:val="32"/>
          <w:szCs w:val="32"/>
          <w:highlight w:val="none"/>
        </w:rPr>
      </w:pPr>
      <w:r>
        <w:rPr>
          <w:rFonts w:hint="eastAsia" w:ascii="宋体" w:hAnsi="宋体" w:eastAsia="宋体" w:cs="宋体"/>
          <w:color w:val="auto"/>
          <w:highlight w:val="none"/>
        </w:rPr>
        <w:br w:type="page"/>
      </w:r>
      <w:r>
        <w:rPr>
          <w:rFonts w:hint="eastAsia" w:ascii="宋体" w:hAnsi="宋体" w:eastAsia="宋体" w:cs="宋体"/>
          <w:b/>
          <w:color w:val="auto"/>
          <w:sz w:val="32"/>
          <w:szCs w:val="32"/>
          <w:highlight w:val="none"/>
          <w:lang w:val="en-US" w:eastAsia="zh-CN"/>
        </w:rPr>
        <w:t>十一</w:t>
      </w:r>
      <w:r>
        <w:rPr>
          <w:rFonts w:hint="eastAsia" w:ascii="宋体" w:hAnsi="宋体" w:eastAsia="宋体" w:cs="宋体"/>
          <w:b/>
          <w:color w:val="auto"/>
          <w:sz w:val="32"/>
          <w:szCs w:val="32"/>
          <w:highlight w:val="none"/>
        </w:rPr>
        <w:t>、技术服务响应及偏离表</w:t>
      </w:r>
    </w:p>
    <w:p>
      <w:pPr>
        <w:pageBreakBefore w:val="0"/>
        <w:kinsoku/>
        <w:wordWrap w:val="0"/>
        <w:overflowPunct/>
        <w:topLinePunct w:val="0"/>
        <w:bidi w:val="0"/>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一</w:t>
      </w:r>
      <w:r>
        <w:rPr>
          <w:rFonts w:hint="eastAsia" w:ascii="宋体" w:hAnsi="宋体" w:eastAsia="宋体" w:cs="宋体"/>
          <w:b/>
          <w:bCs/>
          <w:color w:val="auto"/>
          <w:sz w:val="28"/>
          <w:szCs w:val="28"/>
          <w:highlight w:val="none"/>
          <w:lang w:val="zh-CN"/>
        </w:rPr>
        <w:t>）技术</w:t>
      </w:r>
      <w:r>
        <w:rPr>
          <w:rFonts w:hint="eastAsia" w:ascii="宋体" w:hAnsi="宋体" w:eastAsia="宋体" w:cs="宋体"/>
          <w:b/>
          <w:bCs/>
          <w:color w:val="auto"/>
          <w:sz w:val="28"/>
          <w:szCs w:val="28"/>
          <w:highlight w:val="none"/>
          <w:lang w:val="en-US" w:eastAsia="zh-CN"/>
        </w:rPr>
        <w:t>响应</w:t>
      </w:r>
      <w:r>
        <w:rPr>
          <w:rFonts w:hint="eastAsia" w:ascii="宋体" w:hAnsi="宋体" w:eastAsia="宋体" w:cs="宋体"/>
          <w:b/>
          <w:bCs/>
          <w:color w:val="auto"/>
          <w:sz w:val="28"/>
          <w:szCs w:val="28"/>
          <w:highlight w:val="none"/>
          <w:lang w:val="zh-CN"/>
        </w:rPr>
        <w:t>偏离表</w:t>
      </w:r>
    </w:p>
    <w:p>
      <w:pPr>
        <w:pageBreakBefore w:val="0"/>
        <w:kinsoku/>
        <w:wordWrap w:val="0"/>
        <w:overflowPunct/>
        <w:topLinePunct w:val="0"/>
        <w:bidi w:val="0"/>
        <w:spacing w:line="44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p>
    <w:p>
      <w:pPr>
        <w:pageBreakBefore w:val="0"/>
        <w:kinsoku/>
        <w:wordWrap w:val="0"/>
        <w:overflowPunct/>
        <w:topLinePunct w:val="0"/>
        <w:bidi w:val="0"/>
        <w:spacing w:line="44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p>
    <w:tbl>
      <w:tblPr>
        <w:tblStyle w:val="22"/>
        <w:tblW w:w="992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9"/>
        <w:gridCol w:w="1809"/>
        <w:gridCol w:w="2000"/>
        <w:gridCol w:w="2050"/>
        <w:gridCol w:w="2216"/>
        <w:gridCol w:w="98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b/>
                <w:bCs/>
                <w:color w:val="auto"/>
                <w:sz w:val="24"/>
                <w:szCs w:val="24"/>
                <w:highlight w:val="none"/>
              </w:rPr>
            </w:pPr>
            <w:bookmarkStart w:id="164" w:name="_Toc24288"/>
            <w:bookmarkStart w:id="165" w:name="_Toc21933"/>
            <w:bookmarkStart w:id="166" w:name="_Toc420593292"/>
            <w:bookmarkStart w:id="167" w:name="_Toc11"/>
            <w:bookmarkStart w:id="168" w:name="_Toc11797"/>
            <w:bookmarkStart w:id="169" w:name="_Toc10809"/>
            <w:bookmarkStart w:id="170" w:name="_Toc492451847"/>
            <w:bookmarkStart w:id="171" w:name="_Toc16858231"/>
            <w:bookmarkStart w:id="172" w:name="_Toc16666398"/>
            <w:r>
              <w:rPr>
                <w:rFonts w:hint="eastAsia" w:ascii="宋体" w:hAnsi="宋体" w:eastAsia="宋体" w:cs="宋体"/>
                <w:b/>
                <w:bCs/>
                <w:color w:val="auto"/>
                <w:sz w:val="24"/>
                <w:szCs w:val="24"/>
                <w:highlight w:val="none"/>
              </w:rPr>
              <w:t>序号</w:t>
            </w:r>
            <w:bookmarkEnd w:id="164"/>
            <w:bookmarkEnd w:id="165"/>
            <w:bookmarkEnd w:id="166"/>
            <w:bookmarkEnd w:id="167"/>
            <w:bookmarkEnd w:id="168"/>
            <w:bookmarkEnd w:id="169"/>
            <w:bookmarkEnd w:id="170"/>
            <w:bookmarkEnd w:id="171"/>
            <w:bookmarkEnd w:id="172"/>
          </w:p>
        </w:tc>
        <w:tc>
          <w:tcPr>
            <w:tcW w:w="18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b/>
                <w:bCs/>
                <w:color w:val="auto"/>
                <w:sz w:val="24"/>
                <w:szCs w:val="24"/>
                <w:highlight w:val="none"/>
              </w:rPr>
            </w:pPr>
            <w:bookmarkStart w:id="173" w:name="_Toc11780"/>
            <w:bookmarkStart w:id="174" w:name="_Toc27788"/>
            <w:bookmarkStart w:id="175" w:name="_Toc420593293"/>
            <w:bookmarkStart w:id="176" w:name="_Toc4074"/>
            <w:bookmarkStart w:id="177" w:name="_Toc16858232"/>
            <w:bookmarkStart w:id="178" w:name="_Toc16666399"/>
            <w:bookmarkStart w:id="179" w:name="_Toc492451848"/>
            <w:bookmarkStart w:id="180" w:name="_Toc21924"/>
            <w:bookmarkStart w:id="181" w:name="_Toc26210"/>
            <w:r>
              <w:rPr>
                <w:rFonts w:hint="eastAsia" w:ascii="宋体" w:hAnsi="宋体" w:eastAsia="宋体" w:cs="宋体"/>
                <w:b/>
                <w:bCs/>
                <w:color w:val="auto"/>
                <w:sz w:val="24"/>
                <w:szCs w:val="24"/>
                <w:highlight w:val="none"/>
              </w:rPr>
              <w:t>名称</w:t>
            </w:r>
            <w:bookmarkEnd w:id="173"/>
            <w:bookmarkEnd w:id="174"/>
            <w:bookmarkEnd w:id="175"/>
            <w:bookmarkEnd w:id="176"/>
            <w:bookmarkEnd w:id="177"/>
            <w:bookmarkEnd w:id="178"/>
            <w:bookmarkEnd w:id="179"/>
            <w:bookmarkEnd w:id="180"/>
            <w:bookmarkEnd w:id="181"/>
          </w:p>
        </w:tc>
        <w:tc>
          <w:tcPr>
            <w:tcW w:w="200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b/>
                <w:bCs/>
                <w:color w:val="auto"/>
                <w:sz w:val="24"/>
                <w:szCs w:val="24"/>
                <w:highlight w:val="none"/>
              </w:rPr>
            </w:pPr>
            <w:bookmarkStart w:id="182" w:name="_Toc2647"/>
            <w:bookmarkStart w:id="183" w:name="_Toc492451849"/>
            <w:bookmarkStart w:id="184" w:name="_Toc420593294"/>
            <w:bookmarkStart w:id="185" w:name="_Toc12732"/>
            <w:bookmarkStart w:id="186" w:name="_Toc16858233"/>
            <w:bookmarkStart w:id="187" w:name="_Toc5005"/>
            <w:bookmarkStart w:id="188" w:name="_Toc16666400"/>
            <w:bookmarkStart w:id="189" w:name="_Toc4729"/>
            <w:bookmarkStart w:id="190" w:name="_Toc18583"/>
            <w:r>
              <w:rPr>
                <w:rFonts w:hint="eastAsia" w:ascii="宋体" w:hAnsi="宋体" w:eastAsia="宋体" w:cs="宋体"/>
                <w:b/>
                <w:bCs/>
                <w:color w:val="auto"/>
                <w:sz w:val="24"/>
                <w:szCs w:val="24"/>
                <w:highlight w:val="none"/>
                <w:lang w:val="en-US" w:eastAsia="zh-CN"/>
              </w:rPr>
              <w:t>采购</w:t>
            </w:r>
            <w:r>
              <w:rPr>
                <w:rFonts w:hint="eastAsia" w:ascii="宋体" w:hAnsi="宋体" w:eastAsia="宋体" w:cs="宋体"/>
                <w:b/>
                <w:bCs/>
                <w:color w:val="auto"/>
                <w:sz w:val="24"/>
                <w:szCs w:val="24"/>
                <w:highlight w:val="none"/>
              </w:rPr>
              <w:t>文件规定的</w:t>
            </w:r>
            <w:r>
              <w:rPr>
                <w:rFonts w:hint="eastAsia" w:ascii="宋体" w:hAnsi="宋体" w:eastAsia="宋体" w:cs="宋体"/>
                <w:b/>
                <w:bCs/>
                <w:color w:val="auto"/>
                <w:sz w:val="24"/>
                <w:szCs w:val="24"/>
                <w:highlight w:val="none"/>
                <w:lang w:val="en-US" w:eastAsia="zh-CN"/>
              </w:rPr>
              <w:t>采购需求、</w:t>
            </w:r>
            <w:r>
              <w:rPr>
                <w:rFonts w:hint="eastAsia" w:ascii="宋体" w:hAnsi="宋体" w:eastAsia="宋体" w:cs="宋体"/>
                <w:b/>
                <w:bCs/>
                <w:color w:val="auto"/>
                <w:sz w:val="24"/>
                <w:szCs w:val="24"/>
                <w:highlight w:val="none"/>
              </w:rPr>
              <w:t>技术</w:t>
            </w:r>
            <w:bookmarkEnd w:id="182"/>
            <w:bookmarkEnd w:id="183"/>
            <w:bookmarkEnd w:id="184"/>
            <w:r>
              <w:rPr>
                <w:rFonts w:hint="eastAsia" w:ascii="宋体" w:hAnsi="宋体" w:eastAsia="宋体" w:cs="宋体"/>
                <w:b/>
                <w:bCs/>
                <w:color w:val="auto"/>
                <w:sz w:val="24"/>
                <w:szCs w:val="24"/>
                <w:highlight w:val="none"/>
                <w:lang w:val="en-US" w:eastAsia="zh-CN"/>
              </w:rPr>
              <w:t>参数</w:t>
            </w:r>
            <w:r>
              <w:rPr>
                <w:rFonts w:hint="eastAsia" w:ascii="宋体" w:hAnsi="宋体" w:eastAsia="宋体" w:cs="宋体"/>
                <w:b/>
                <w:bCs/>
                <w:color w:val="auto"/>
                <w:sz w:val="24"/>
                <w:szCs w:val="24"/>
                <w:highlight w:val="none"/>
              </w:rPr>
              <w:t>及要求</w:t>
            </w:r>
            <w:bookmarkEnd w:id="185"/>
            <w:bookmarkEnd w:id="186"/>
            <w:bookmarkEnd w:id="187"/>
            <w:bookmarkEnd w:id="188"/>
            <w:bookmarkEnd w:id="189"/>
            <w:bookmarkEnd w:id="190"/>
          </w:p>
        </w:tc>
        <w:tc>
          <w:tcPr>
            <w:tcW w:w="205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b/>
                <w:bCs/>
                <w:color w:val="auto"/>
                <w:sz w:val="24"/>
                <w:szCs w:val="24"/>
                <w:highlight w:val="none"/>
              </w:rPr>
            </w:pPr>
            <w:bookmarkStart w:id="191" w:name="_Toc16258"/>
            <w:bookmarkStart w:id="192" w:name="_Toc23866"/>
            <w:bookmarkStart w:id="193" w:name="_Toc492451850"/>
            <w:bookmarkStart w:id="194" w:name="_Toc420593295"/>
            <w:bookmarkStart w:id="195" w:name="_Toc31317"/>
            <w:bookmarkStart w:id="196" w:name="_Toc12680"/>
            <w:bookmarkStart w:id="197" w:name="_Toc16858234"/>
            <w:bookmarkStart w:id="198" w:name="_Toc16666401"/>
            <w:bookmarkStart w:id="199" w:name="_Toc2807"/>
            <w:r>
              <w:rPr>
                <w:rFonts w:hint="eastAsia" w:ascii="宋体" w:hAnsi="宋体" w:eastAsia="宋体" w:cs="宋体"/>
                <w:b/>
                <w:bCs/>
                <w:color w:val="auto"/>
                <w:sz w:val="24"/>
                <w:szCs w:val="24"/>
                <w:highlight w:val="none"/>
              </w:rPr>
              <w:t>投标产品对应的</w:t>
            </w:r>
            <w:bookmarkEnd w:id="191"/>
            <w:bookmarkEnd w:id="192"/>
            <w:bookmarkEnd w:id="193"/>
            <w:bookmarkEnd w:id="194"/>
            <w:bookmarkEnd w:id="195"/>
            <w:bookmarkEnd w:id="196"/>
            <w:bookmarkEnd w:id="197"/>
            <w:bookmarkEnd w:id="198"/>
            <w:bookmarkEnd w:id="199"/>
            <w:r>
              <w:rPr>
                <w:rFonts w:hint="eastAsia" w:ascii="宋体" w:hAnsi="宋体" w:eastAsia="宋体" w:cs="宋体"/>
                <w:b/>
                <w:bCs/>
                <w:color w:val="auto"/>
                <w:sz w:val="24"/>
                <w:szCs w:val="24"/>
                <w:highlight w:val="none"/>
                <w:lang w:val="en-US" w:eastAsia="zh-CN"/>
              </w:rPr>
              <w:t>采购需求、</w:t>
            </w:r>
            <w:r>
              <w:rPr>
                <w:rFonts w:hint="eastAsia" w:ascii="宋体" w:hAnsi="宋体" w:eastAsia="宋体" w:cs="宋体"/>
                <w:b/>
                <w:bCs/>
                <w:color w:val="auto"/>
                <w:sz w:val="24"/>
                <w:szCs w:val="24"/>
                <w:highlight w:val="none"/>
              </w:rPr>
              <w:t>技术</w:t>
            </w:r>
            <w:r>
              <w:rPr>
                <w:rFonts w:hint="eastAsia" w:ascii="宋体" w:hAnsi="宋体" w:eastAsia="宋体" w:cs="宋体"/>
                <w:b/>
                <w:bCs/>
                <w:color w:val="auto"/>
                <w:sz w:val="24"/>
                <w:szCs w:val="24"/>
                <w:highlight w:val="none"/>
                <w:lang w:val="en-US" w:eastAsia="zh-CN"/>
              </w:rPr>
              <w:t>参数</w:t>
            </w:r>
            <w:r>
              <w:rPr>
                <w:rFonts w:hint="eastAsia" w:ascii="宋体" w:hAnsi="宋体" w:eastAsia="宋体" w:cs="宋体"/>
                <w:b/>
                <w:bCs/>
                <w:color w:val="auto"/>
                <w:sz w:val="24"/>
                <w:szCs w:val="24"/>
                <w:highlight w:val="none"/>
              </w:rPr>
              <w:t>及要求</w:t>
            </w:r>
          </w:p>
        </w:tc>
        <w:tc>
          <w:tcPr>
            <w:tcW w:w="221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b/>
                <w:bCs/>
                <w:color w:val="auto"/>
                <w:sz w:val="24"/>
                <w:szCs w:val="24"/>
                <w:highlight w:val="none"/>
              </w:rPr>
            </w:pPr>
            <w:bookmarkStart w:id="200" w:name="_Toc3951"/>
            <w:bookmarkStart w:id="201" w:name="_Toc420593296"/>
            <w:bookmarkStart w:id="202" w:name="_Toc492451851"/>
            <w:bookmarkStart w:id="203" w:name="_Toc16666402"/>
            <w:bookmarkStart w:id="204" w:name="_Toc23363"/>
            <w:bookmarkStart w:id="205" w:name="_Toc27957"/>
            <w:bookmarkStart w:id="206" w:name="_Toc20300"/>
            <w:bookmarkStart w:id="207" w:name="_Toc22555"/>
            <w:bookmarkStart w:id="208" w:name="_Toc16858235"/>
            <w:r>
              <w:rPr>
                <w:rFonts w:hint="eastAsia" w:ascii="宋体" w:hAnsi="宋体" w:eastAsia="宋体" w:cs="宋体"/>
                <w:b/>
                <w:bCs/>
                <w:color w:val="auto"/>
                <w:sz w:val="24"/>
                <w:szCs w:val="24"/>
                <w:highlight w:val="none"/>
              </w:rPr>
              <w:t>偏离</w:t>
            </w:r>
            <w:bookmarkEnd w:id="200"/>
            <w:bookmarkEnd w:id="201"/>
            <w:bookmarkEnd w:id="202"/>
            <w:r>
              <w:rPr>
                <w:rFonts w:hint="eastAsia" w:ascii="宋体" w:hAnsi="宋体" w:eastAsia="宋体" w:cs="宋体"/>
                <w:b/>
                <w:bCs/>
                <w:color w:val="auto"/>
                <w:sz w:val="24"/>
                <w:szCs w:val="24"/>
                <w:highlight w:val="none"/>
              </w:rPr>
              <w:t>（正/无/负）</w:t>
            </w:r>
            <w:bookmarkEnd w:id="203"/>
            <w:bookmarkEnd w:id="204"/>
            <w:bookmarkEnd w:id="205"/>
            <w:bookmarkEnd w:id="206"/>
            <w:bookmarkEnd w:id="207"/>
            <w:bookmarkEnd w:id="208"/>
            <w:r>
              <w:rPr>
                <w:rFonts w:hint="eastAsia" w:ascii="宋体" w:hAnsi="宋体" w:eastAsia="宋体" w:cs="宋体"/>
                <w:b/>
                <w:color w:val="auto"/>
                <w:sz w:val="24"/>
                <w:szCs w:val="24"/>
                <w:highlight w:val="none"/>
              </w:rPr>
              <w:t>情况说明</w:t>
            </w:r>
          </w:p>
        </w:tc>
        <w:tc>
          <w:tcPr>
            <w:tcW w:w="985"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1809" w:type="dxa"/>
            <w:tcBorders>
              <w:top w:val="single" w:color="auto" w:sz="4" w:space="0"/>
              <w:left w:val="single" w:color="auto" w:sz="4" w:space="0"/>
              <w:bottom w:val="single" w:color="auto" w:sz="4" w:space="0"/>
              <w:right w:val="single" w:color="auto" w:sz="4" w:space="0"/>
            </w:tcBorders>
            <w:noWrap w:val="0"/>
            <w:vAlign w:val="center"/>
          </w:tcPr>
          <w:p>
            <w:pPr>
              <w:pStyle w:val="14"/>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lang w:val="en-US" w:eastAsia="zh-CN"/>
              </w:rPr>
            </w:pPr>
          </w:p>
        </w:tc>
        <w:tc>
          <w:tcPr>
            <w:tcW w:w="200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05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21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985"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18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00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05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21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985"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18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00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05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21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985"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18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00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05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21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985"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18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00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05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21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985"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18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00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05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221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c>
          <w:tcPr>
            <w:tcW w:w="985"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val="0"/>
              <w:overflowPunct/>
              <w:topLinePunct w:val="0"/>
              <w:bidi w:val="0"/>
              <w:spacing w:line="440" w:lineRule="exact"/>
              <w:jc w:val="center"/>
              <w:rPr>
                <w:rFonts w:hint="eastAsia" w:ascii="宋体" w:hAnsi="宋体" w:eastAsia="宋体" w:cs="宋体"/>
                <w:color w:val="auto"/>
                <w:sz w:val="24"/>
                <w:szCs w:val="24"/>
                <w:highlight w:val="none"/>
              </w:rPr>
            </w:pPr>
          </w:p>
        </w:tc>
      </w:tr>
    </w:tbl>
    <w:p>
      <w:pPr>
        <w:pageBreakBefore w:val="0"/>
        <w:kinsoku/>
        <w:wordWrap w:val="0"/>
        <w:overflowPunct/>
        <w:topLinePunct w:val="0"/>
        <w:bidi w:val="0"/>
        <w:spacing w:line="480" w:lineRule="auto"/>
        <w:rPr>
          <w:rFonts w:hint="eastAsia" w:ascii="宋体" w:hAnsi="宋体" w:eastAsia="宋体" w:cs="宋体"/>
          <w:color w:val="auto"/>
          <w:sz w:val="24"/>
          <w:szCs w:val="24"/>
          <w:highlight w:val="none"/>
        </w:rPr>
      </w:pPr>
    </w:p>
    <w:p>
      <w:pPr>
        <w:pageBreakBefore w:val="0"/>
        <w:kinsoku/>
        <w:wordWrap w:val="0"/>
        <w:overflowPunct/>
        <w:topLinePunct w:val="0"/>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rPr>
        <w:t>（盖单位公章）</w:t>
      </w:r>
    </w:p>
    <w:p>
      <w:pPr>
        <w:pageBreakBefore w:val="0"/>
        <w:kinsoku/>
        <w:wordWrap w:val="0"/>
        <w:overflowPunct/>
        <w:topLinePunct w:val="0"/>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法定代表人或委托代理人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pPr>
        <w:pageBreakBefore w:val="0"/>
        <w:kinsoku/>
        <w:wordWrap w:val="0"/>
        <w:overflowPunct/>
        <w:topLinePunct w:val="0"/>
        <w:bidi w:val="0"/>
        <w:spacing w:line="480" w:lineRule="auto"/>
        <w:ind w:firstLine="4800" w:firstLineChars="20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pPr>
        <w:pageBreakBefore w:val="0"/>
        <w:kinsoku/>
        <w:wordWrap w:val="0"/>
        <w:overflowPunct/>
        <w:topLinePunct w:val="0"/>
        <w:bidi w:val="0"/>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注：</w:t>
      </w:r>
    </w:p>
    <w:p>
      <w:pPr>
        <w:keepNext w:val="0"/>
        <w:keepLines w:val="0"/>
        <w:pageBreakBefore w:val="0"/>
        <w:widowControl w:val="0"/>
        <w:kinsoku/>
        <w:wordWrap w:val="0"/>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lang w:val="zh-CN"/>
        </w:rPr>
        <w:t>供应商必须仔细阅读文件中技术规格及要求的所有条款，并在“技术服务响</w:t>
      </w:r>
      <w:r>
        <w:rPr>
          <w:rFonts w:hint="eastAsia" w:ascii="宋体" w:hAnsi="宋体" w:eastAsia="宋体" w:cs="宋体"/>
          <w:color w:val="auto"/>
          <w:sz w:val="24"/>
          <w:szCs w:val="24"/>
          <w:highlight w:val="none"/>
          <w:lang w:val="zh-CN"/>
        </w:rPr>
        <w:t>应及偏离表”中如实填写</w:t>
      </w:r>
      <w:r>
        <w:rPr>
          <w:rFonts w:hint="eastAsia" w:ascii="宋体" w:hAnsi="宋体" w:eastAsia="宋体" w:cs="宋体"/>
          <w:color w:val="auto"/>
          <w:sz w:val="24"/>
          <w:szCs w:val="24"/>
          <w:highlight w:val="none"/>
          <w:lang w:val="zh-CN" w:eastAsia="zh-CN"/>
        </w:rPr>
        <w:t>。</w:t>
      </w:r>
    </w:p>
    <w:p>
      <w:pPr>
        <w:keepNext w:val="0"/>
        <w:keepLines w:val="0"/>
        <w:pageBreakBefore w:val="0"/>
        <w:widowControl w:val="0"/>
        <w:kinsoku/>
        <w:wordWrap w:val="0"/>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按照招标文件要求提供相关的</w:t>
      </w:r>
      <w:r>
        <w:rPr>
          <w:rFonts w:hint="eastAsia" w:ascii="宋体" w:hAnsi="宋体" w:eastAsia="宋体" w:cs="宋体"/>
          <w:color w:val="auto"/>
          <w:sz w:val="24"/>
          <w:szCs w:val="24"/>
          <w:highlight w:val="none"/>
        </w:rPr>
        <w:t>证明材料（或证明文件）</w:t>
      </w:r>
      <w:r>
        <w:rPr>
          <w:rFonts w:hint="eastAsia" w:ascii="宋体" w:hAnsi="宋体" w:eastAsia="宋体" w:cs="宋体"/>
          <w:color w:val="auto"/>
          <w:sz w:val="24"/>
          <w:szCs w:val="24"/>
          <w:highlight w:val="none"/>
          <w:lang w:eastAsia="zh-CN"/>
        </w:rPr>
        <w:t>。</w:t>
      </w:r>
      <w:bookmarkStart w:id="209" w:name="_Toc492451853"/>
      <w:bookmarkStart w:id="210" w:name="_Toc28556"/>
      <w:bookmarkStart w:id="211" w:name="_Toc16666404"/>
      <w:bookmarkStart w:id="212" w:name="_Toc15199"/>
      <w:bookmarkStart w:id="213" w:name="_Toc545"/>
      <w:bookmarkStart w:id="214" w:name="_Toc8639"/>
      <w:bookmarkStart w:id="215" w:name="_Toc22204"/>
      <w:bookmarkStart w:id="216" w:name="_Toc16858237"/>
      <w:bookmarkStart w:id="217" w:name="_Toc420593298"/>
    </w:p>
    <w:p>
      <w:pPr>
        <w:keepNext w:val="0"/>
        <w:keepLines w:val="0"/>
        <w:pageBreakBefore w:val="0"/>
        <w:widowControl/>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360" w:lineRule="auto"/>
        <w:ind w:left="390" w:leftChars="0" w:right="0" w:rightChars="0"/>
        <w:jc w:val="left"/>
        <w:outlineLvl w:val="9"/>
        <w:rPr>
          <w:rFonts w:hint="eastAsia" w:ascii="Times New Roman"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此表可根据需要自行拉长加宽（或格式自拟）</w:t>
      </w:r>
      <w:bookmarkEnd w:id="209"/>
      <w:bookmarkEnd w:id="210"/>
      <w:bookmarkEnd w:id="211"/>
      <w:bookmarkEnd w:id="212"/>
      <w:bookmarkEnd w:id="213"/>
      <w:bookmarkEnd w:id="214"/>
      <w:bookmarkEnd w:id="215"/>
      <w:bookmarkEnd w:id="216"/>
      <w:bookmarkEnd w:id="217"/>
      <w:r>
        <w:rPr>
          <w:rFonts w:hint="eastAsia" w:ascii="宋体" w:hAnsi="宋体" w:eastAsia="宋体" w:cs="宋体"/>
          <w:color w:val="auto"/>
          <w:sz w:val="24"/>
          <w:szCs w:val="24"/>
          <w:highlight w:val="none"/>
          <w:lang w:eastAsia="zh-CN"/>
        </w:rPr>
        <w:t>。</w:t>
      </w:r>
    </w:p>
    <w:p>
      <w:pPr>
        <w:keepNext w:val="0"/>
        <w:keepLines w:val="0"/>
        <w:pageBreakBefore w:val="0"/>
        <w:widowControl/>
        <w:numPr>
          <w:ilvl w:val="-1"/>
          <w:numId w:val="0"/>
        </w:numPr>
        <w:suppressLineNumbers w:val="0"/>
        <w:suppressAutoHyphens/>
        <w:kinsoku/>
        <w:wordWrap/>
        <w:overflowPunct/>
        <w:topLinePunct w:val="0"/>
        <w:autoSpaceDE/>
        <w:autoSpaceDN/>
        <w:bidi w:val="0"/>
        <w:adjustRightInd/>
        <w:snapToGrid/>
        <w:spacing w:before="0" w:beforeAutospacing="0" w:after="0" w:afterAutospacing="0" w:line="240" w:lineRule="auto"/>
        <w:ind w:left="0" w:leftChars="0" w:right="0" w:rightChars="0"/>
        <w:jc w:val="left"/>
        <w:outlineLvl w:val="9"/>
        <w:rPr>
          <w:rFonts w:hint="eastAsia" w:ascii="Times New Roman" w:hAnsi="宋体" w:eastAsia="宋体" w:cs="宋体"/>
          <w:b w:val="0"/>
          <w:bCs w:val="0"/>
          <w:caps w:val="0"/>
          <w:color w:val="auto"/>
          <w:kern w:val="0"/>
          <w:sz w:val="21"/>
          <w:szCs w:val="21"/>
          <w:highlight w:val="none"/>
          <w:vertAlign w:val="baseline"/>
          <w:lang w:val="en-US" w:eastAsia="zh-CN" w:bidi="ar"/>
        </w:rPr>
      </w:pPr>
      <w:r>
        <w:rPr>
          <w:rFonts w:hint="eastAsia" w:ascii="Times New Roman" w:hAnsi="宋体" w:eastAsia="宋体" w:cs="宋体"/>
          <w:b w:val="0"/>
          <w:bCs w:val="0"/>
          <w:caps w:val="0"/>
          <w:color w:val="auto"/>
          <w:kern w:val="0"/>
          <w:sz w:val="21"/>
          <w:szCs w:val="21"/>
          <w:highlight w:val="none"/>
          <w:vertAlign w:val="baseline"/>
          <w:lang w:val="en-US" w:eastAsia="zh-CN" w:bidi="ar"/>
        </w:rPr>
        <w:br w:type="page"/>
      </w:r>
    </w:p>
    <w:p>
      <w:pPr>
        <w:keepNext w:val="0"/>
        <w:keepLines w:val="0"/>
        <w:pageBreakBefore w:val="0"/>
        <w:widowControl w:val="0"/>
        <w:numPr>
          <w:ilvl w:val="-1"/>
          <w:numId w:val="0"/>
        </w:numPr>
        <w:suppressLineNumbers w:val="0"/>
        <w:tabs>
          <w:tab w:val="left" w:pos="1365"/>
        </w:tabs>
        <w:suppressAutoHyphens/>
        <w:kinsoku/>
        <w:wordWrap w:val="0"/>
        <w:overflowPunct/>
        <w:topLinePunct w:val="0"/>
        <w:autoSpaceDE/>
        <w:autoSpaceDN/>
        <w:bidi w:val="0"/>
        <w:adjustRightInd/>
        <w:snapToGrid/>
        <w:spacing w:before="0" w:beforeAutospacing="0" w:after="0" w:afterAutospacing="0" w:line="360" w:lineRule="auto"/>
        <w:ind w:left="0" w:leftChars="0" w:right="0" w:rightChars="0"/>
        <w:jc w:val="center"/>
        <w:outlineLvl w:val="9"/>
        <w:rPr>
          <w:rFonts w:hint="eastAsia" w:ascii="宋体" w:hAnsi="宋体" w:eastAsia="宋体" w:cs="宋体"/>
          <w:b/>
          <w:bCs w:val="0"/>
          <w:caps w:val="0"/>
          <w:color w:val="auto"/>
          <w:kern w:val="2"/>
          <w:sz w:val="32"/>
          <w:szCs w:val="32"/>
          <w:highlight w:val="none"/>
          <w:vertAlign w:val="baseline"/>
          <w:lang w:val="en-US" w:eastAsia="zh-CN" w:bidi="ar"/>
        </w:rPr>
      </w:pPr>
      <w:r>
        <w:rPr>
          <w:rFonts w:hint="eastAsia" w:ascii="宋体" w:hAnsi="宋体" w:eastAsia="宋体" w:cs="宋体"/>
          <w:b/>
          <w:bCs w:val="0"/>
          <w:caps w:val="0"/>
          <w:color w:val="auto"/>
          <w:kern w:val="2"/>
          <w:sz w:val="32"/>
          <w:szCs w:val="32"/>
          <w:highlight w:val="none"/>
          <w:vertAlign w:val="baseline"/>
          <w:lang w:val="en-US" w:eastAsia="zh-CN" w:bidi="ar"/>
        </w:rPr>
        <w:t>十二、其他材料</w:t>
      </w:r>
    </w:p>
    <w:p>
      <w:pPr>
        <w:keepNext w:val="0"/>
        <w:keepLines w:val="0"/>
        <w:pageBreakBefore w:val="0"/>
        <w:widowControl w:val="0"/>
        <w:numPr>
          <w:ilvl w:val="-1"/>
          <w:numId w:val="0"/>
        </w:numPr>
        <w:suppressLineNumbers w:val="0"/>
        <w:tabs>
          <w:tab w:val="left" w:pos="1365"/>
        </w:tabs>
        <w:suppressAutoHyphens/>
        <w:kinsoku/>
        <w:wordWrap w:val="0"/>
        <w:overflowPunct/>
        <w:topLinePunct w:val="0"/>
        <w:autoSpaceDE/>
        <w:autoSpaceDN/>
        <w:bidi w:val="0"/>
        <w:adjustRightInd/>
        <w:snapToGrid/>
        <w:spacing w:before="0" w:beforeAutospacing="0" w:after="0" w:afterAutospacing="0" w:line="360" w:lineRule="auto"/>
        <w:ind w:left="0" w:leftChars="0" w:right="0" w:rightChars="0" w:firstLine="281" w:firstLineChars="100"/>
        <w:jc w:val="both"/>
        <w:outlineLvl w:val="9"/>
        <w:rPr>
          <w:rFonts w:hint="eastAsia" w:ascii="宋体" w:hAnsi="宋体" w:eastAsia="宋体" w:cs="宋体"/>
          <w:b/>
          <w:bCs w:val="0"/>
          <w:caps w:val="0"/>
          <w:color w:val="auto"/>
          <w:kern w:val="2"/>
          <w:sz w:val="28"/>
          <w:szCs w:val="28"/>
          <w:highlight w:val="none"/>
          <w:vertAlign w:val="baseline"/>
          <w:lang w:val="en-US" w:eastAsia="zh-CN" w:bidi="ar"/>
        </w:rPr>
      </w:pPr>
    </w:p>
    <w:p>
      <w:pPr>
        <w:keepNext w:val="0"/>
        <w:keepLines w:val="0"/>
        <w:pageBreakBefore w:val="0"/>
        <w:widowControl w:val="0"/>
        <w:numPr>
          <w:ilvl w:val="-1"/>
          <w:numId w:val="0"/>
        </w:numPr>
        <w:suppressLineNumbers w:val="0"/>
        <w:tabs>
          <w:tab w:val="left" w:pos="1365"/>
        </w:tabs>
        <w:suppressAutoHyphens/>
        <w:kinsoku/>
        <w:wordWrap w:val="0"/>
        <w:overflowPunct/>
        <w:topLinePunct w:val="0"/>
        <w:autoSpaceDE/>
        <w:autoSpaceDN/>
        <w:bidi w:val="0"/>
        <w:adjustRightInd/>
        <w:snapToGrid/>
        <w:spacing w:before="0" w:beforeAutospacing="0" w:after="0" w:afterAutospacing="0" w:line="360" w:lineRule="auto"/>
        <w:ind w:left="0" w:leftChars="0" w:right="0" w:rightChars="0" w:firstLine="281" w:firstLineChars="100"/>
        <w:jc w:val="both"/>
        <w:outlineLvl w:val="9"/>
        <w:rPr>
          <w:rFonts w:hint="eastAsia" w:ascii="宋体" w:hAnsi="宋体" w:eastAsia="宋体" w:cs="宋体"/>
          <w:b/>
          <w:bCs w:val="0"/>
          <w:caps w:val="0"/>
          <w:color w:val="auto"/>
          <w:kern w:val="2"/>
          <w:sz w:val="28"/>
          <w:szCs w:val="28"/>
          <w:highlight w:val="none"/>
          <w:vertAlign w:val="baseline"/>
          <w:lang w:val="en-US" w:eastAsia="zh-CN" w:bidi="ar"/>
        </w:rPr>
      </w:pPr>
      <w:r>
        <w:rPr>
          <w:rFonts w:hint="eastAsia" w:ascii="宋体" w:hAnsi="宋体" w:eastAsia="宋体" w:cs="宋体"/>
          <w:b/>
          <w:bCs w:val="0"/>
          <w:caps w:val="0"/>
          <w:color w:val="auto"/>
          <w:kern w:val="2"/>
          <w:sz w:val="28"/>
          <w:szCs w:val="28"/>
          <w:highlight w:val="none"/>
          <w:vertAlign w:val="baseline"/>
          <w:lang w:val="en-US" w:eastAsia="zh-CN" w:bidi="ar"/>
        </w:rPr>
        <w:t>服务方案（格式自拟）</w:t>
      </w:r>
    </w:p>
    <w:p>
      <w:pPr>
        <w:rPr>
          <w:highlight w:val="none"/>
        </w:rPr>
      </w:pPr>
    </w:p>
    <w:sectPr>
      <w:pgSz w:w="11906" w:h="16838"/>
      <w:pgMar w:top="1440" w:right="1800" w:bottom="1440" w:left="1800" w:header="851" w:footer="992" w:gutter="0"/>
      <w:pgBorders w:offsetFrom="page">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Century">
    <w:altName w:val="Times New Roman"/>
    <w:panose1 w:val="02040604050505020304"/>
    <w:charset w:val="00"/>
    <w:family w:val="auto"/>
    <w:pitch w:val="default"/>
    <w:sig w:usb0="00000000" w:usb1="00000000" w:usb2="00000000" w:usb3="00000000" w:csb0="2000009F" w:csb1="DFD70000"/>
  </w:font>
  <w:font w:name="长城楷体">
    <w:altName w:val="宋体"/>
    <w:panose1 w:val="00000000000000000000"/>
    <w:charset w:val="86"/>
    <w:family w:val="modern"/>
    <w:pitch w:val="default"/>
    <w:sig w:usb0="00000000" w:usb1="00000000" w:usb2="00000010" w:usb3="00000000" w:csb0="00040000" w:csb1="00000000"/>
  </w:font>
  <w:font w:name="华文行楷">
    <w:altName w:val="微软雅黑"/>
    <w:panose1 w:val="02010800040101010101"/>
    <w:charset w:val="86"/>
    <w:family w:val="auto"/>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MS Sans 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99AC53"/>
    <w:multiLevelType w:val="multilevel"/>
    <w:tmpl w:val="FC99AC53"/>
    <w:lvl w:ilvl="0" w:tentative="0">
      <w:start w:val="1"/>
      <w:numFmt w:val="bullet"/>
      <w:pStyle w:val="2"/>
      <w:lvlText w:val="l"/>
      <w:lvlJc w:val="left"/>
      <w:pPr>
        <w:tabs>
          <w:tab w:val="left" w:pos="540"/>
        </w:tabs>
        <w:ind w:left="540" w:firstLine="0"/>
      </w:pPr>
      <w:rPr>
        <w:rFonts w:hint="default" w:ascii="Wingdings" w:hAnsi="Wingdings" w:cs="Wingdings"/>
        <w:caps w:val="0"/>
        <w:sz w:val="16"/>
      </w:rPr>
    </w:lvl>
    <w:lvl w:ilvl="1" w:tentative="0">
      <w:start w:val="1"/>
      <w:numFmt w:val="bullet"/>
      <w:lvlText w:val="n"/>
      <w:lvlJc w:val="left"/>
      <w:pPr>
        <w:tabs>
          <w:tab w:val="left" w:pos="1940"/>
        </w:tabs>
        <w:ind w:left="1940" w:hanging="420"/>
      </w:pPr>
      <w:rPr>
        <w:rFonts w:hint="default" w:ascii="Wingdings" w:hAnsi="Wingdings" w:cs="Wingdings"/>
        <w:caps w:val="0"/>
      </w:rPr>
    </w:lvl>
    <w:lvl w:ilvl="2" w:tentative="0">
      <w:start w:val="1"/>
      <w:numFmt w:val="bullet"/>
      <w:lvlText w:val="u"/>
      <w:lvlJc w:val="left"/>
      <w:pPr>
        <w:tabs>
          <w:tab w:val="left" w:pos="2360"/>
        </w:tabs>
        <w:ind w:left="2360" w:hanging="420"/>
      </w:pPr>
      <w:rPr>
        <w:rFonts w:hint="default" w:ascii="Wingdings" w:hAnsi="Wingdings" w:cs="Wingdings"/>
        <w:caps w:val="0"/>
      </w:rPr>
    </w:lvl>
    <w:lvl w:ilvl="3" w:tentative="0">
      <w:start w:val="1"/>
      <w:numFmt w:val="bullet"/>
      <w:lvlText w:val="l"/>
      <w:lvlJc w:val="left"/>
      <w:pPr>
        <w:tabs>
          <w:tab w:val="left" w:pos="2780"/>
        </w:tabs>
        <w:ind w:left="2780" w:hanging="420"/>
      </w:pPr>
      <w:rPr>
        <w:rFonts w:hint="default" w:ascii="Wingdings" w:hAnsi="Wingdings" w:cs="Wingdings"/>
        <w:caps w:val="0"/>
      </w:rPr>
    </w:lvl>
    <w:lvl w:ilvl="4" w:tentative="0">
      <w:start w:val="1"/>
      <w:numFmt w:val="bullet"/>
      <w:lvlText w:val="n"/>
      <w:lvlJc w:val="left"/>
      <w:pPr>
        <w:tabs>
          <w:tab w:val="left" w:pos="3200"/>
        </w:tabs>
        <w:ind w:left="3200" w:hanging="420"/>
      </w:pPr>
      <w:rPr>
        <w:rFonts w:hint="default" w:ascii="Wingdings" w:hAnsi="Wingdings" w:cs="Wingdings"/>
        <w:caps w:val="0"/>
      </w:rPr>
    </w:lvl>
    <w:lvl w:ilvl="5" w:tentative="0">
      <w:start w:val="1"/>
      <w:numFmt w:val="bullet"/>
      <w:lvlText w:val="u"/>
      <w:lvlJc w:val="left"/>
      <w:pPr>
        <w:tabs>
          <w:tab w:val="left" w:pos="3620"/>
        </w:tabs>
        <w:ind w:left="3620" w:hanging="420"/>
      </w:pPr>
      <w:rPr>
        <w:rFonts w:hint="default" w:ascii="Wingdings" w:hAnsi="Wingdings" w:cs="Wingdings"/>
        <w:caps w:val="0"/>
      </w:rPr>
    </w:lvl>
    <w:lvl w:ilvl="6" w:tentative="0">
      <w:start w:val="1"/>
      <w:numFmt w:val="bullet"/>
      <w:lvlText w:val="l"/>
      <w:lvlJc w:val="left"/>
      <w:pPr>
        <w:tabs>
          <w:tab w:val="left" w:pos="4040"/>
        </w:tabs>
        <w:ind w:left="4040" w:hanging="420"/>
      </w:pPr>
      <w:rPr>
        <w:rFonts w:hint="default" w:ascii="Wingdings" w:hAnsi="Wingdings" w:cs="Wingdings"/>
        <w:caps w:val="0"/>
      </w:rPr>
    </w:lvl>
    <w:lvl w:ilvl="7" w:tentative="0">
      <w:start w:val="1"/>
      <w:numFmt w:val="bullet"/>
      <w:lvlText w:val="n"/>
      <w:lvlJc w:val="left"/>
      <w:pPr>
        <w:tabs>
          <w:tab w:val="left" w:pos="4460"/>
        </w:tabs>
        <w:ind w:left="4460" w:hanging="420"/>
      </w:pPr>
      <w:rPr>
        <w:rFonts w:hint="default" w:ascii="Wingdings" w:hAnsi="Wingdings" w:cs="Wingdings"/>
        <w:caps w:val="0"/>
      </w:rPr>
    </w:lvl>
    <w:lvl w:ilvl="8" w:tentative="0">
      <w:start w:val="1"/>
      <w:numFmt w:val="bullet"/>
      <w:lvlText w:val="u"/>
      <w:lvlJc w:val="left"/>
      <w:pPr>
        <w:tabs>
          <w:tab w:val="left" w:pos="4880"/>
        </w:tabs>
        <w:ind w:left="4880" w:hanging="420"/>
      </w:pPr>
      <w:rPr>
        <w:rFonts w:hint="default" w:ascii="Wingdings" w:hAnsi="Wingdings" w:cs="Wingdings"/>
        <w:caps w:val="0"/>
      </w:rPr>
    </w:lvl>
  </w:abstractNum>
  <w:abstractNum w:abstractNumId="1">
    <w:nsid w:val="1051B345"/>
    <w:multiLevelType w:val="multilevel"/>
    <w:tmpl w:val="1051B345"/>
    <w:lvl w:ilvl="0" w:tentative="0">
      <w:start w:val="1"/>
      <w:numFmt w:val="decimal"/>
      <w:suff w:val="space"/>
      <w:lvlText w:val="%1."/>
      <w:lvlJc w:val="left"/>
      <w:pPr>
        <w:tabs>
          <w:tab w:val="left" w:pos="0"/>
        </w:tabs>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2">
    <w:nsid w:val="3E30A96F"/>
    <w:multiLevelType w:val="multilevel"/>
    <w:tmpl w:val="3E30A96F"/>
    <w:lvl w:ilvl="0" w:tentative="0">
      <w:start w:val="1"/>
      <w:numFmt w:val="decimal"/>
      <w:lvlText w:val="（%1）"/>
      <w:lvlJc w:val="left"/>
      <w:pPr>
        <w:ind w:left="1050" w:hanging="63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
    <w:nsid w:val="4363A68D"/>
    <w:multiLevelType w:val="multilevel"/>
    <w:tmpl w:val="4363A68D"/>
    <w:lvl w:ilvl="0" w:tentative="0">
      <w:start w:val="3"/>
      <w:numFmt w:val="japaneseCounting"/>
      <w:lvlText w:val="%1、"/>
      <w:lvlJc w:val="left"/>
      <w:pPr>
        <w:tabs>
          <w:tab w:val="left" w:pos="0"/>
        </w:tabs>
        <w:ind w:left="880" w:hanging="720"/>
      </w:pPr>
      <w:rPr>
        <w:caps w:val="0"/>
      </w:rPr>
    </w:lvl>
    <w:lvl w:ilvl="1" w:tentative="0">
      <w:start w:val="1"/>
      <w:numFmt w:val="lowerLetter"/>
      <w:lvlText w:val="%2)"/>
      <w:lvlJc w:val="left"/>
      <w:pPr>
        <w:tabs>
          <w:tab w:val="left" w:pos="0"/>
        </w:tabs>
        <w:ind w:left="1000" w:hanging="420"/>
      </w:pPr>
    </w:lvl>
    <w:lvl w:ilvl="2" w:tentative="0">
      <w:start w:val="1"/>
      <w:numFmt w:val="lowerRoman"/>
      <w:lvlText w:val="%3."/>
      <w:lvlJc w:val="right"/>
      <w:pPr>
        <w:tabs>
          <w:tab w:val="left" w:pos="0"/>
        </w:tabs>
        <w:ind w:left="1420" w:hanging="420"/>
      </w:pPr>
    </w:lvl>
    <w:lvl w:ilvl="3" w:tentative="0">
      <w:start w:val="1"/>
      <w:numFmt w:val="decimal"/>
      <w:lvlText w:val="%4."/>
      <w:lvlJc w:val="left"/>
      <w:pPr>
        <w:tabs>
          <w:tab w:val="left" w:pos="0"/>
        </w:tabs>
        <w:ind w:left="1840" w:hanging="420"/>
      </w:pPr>
    </w:lvl>
    <w:lvl w:ilvl="4" w:tentative="0">
      <w:start w:val="1"/>
      <w:numFmt w:val="lowerLetter"/>
      <w:lvlText w:val="%5)"/>
      <w:lvlJc w:val="left"/>
      <w:pPr>
        <w:tabs>
          <w:tab w:val="left" w:pos="0"/>
        </w:tabs>
        <w:ind w:left="2260" w:hanging="420"/>
      </w:pPr>
    </w:lvl>
    <w:lvl w:ilvl="5" w:tentative="0">
      <w:start w:val="1"/>
      <w:numFmt w:val="lowerRoman"/>
      <w:lvlText w:val="%6."/>
      <w:lvlJc w:val="right"/>
      <w:pPr>
        <w:tabs>
          <w:tab w:val="left" w:pos="0"/>
        </w:tabs>
        <w:ind w:left="2680" w:hanging="420"/>
      </w:pPr>
    </w:lvl>
    <w:lvl w:ilvl="6" w:tentative="0">
      <w:start w:val="1"/>
      <w:numFmt w:val="decimal"/>
      <w:lvlText w:val="%7."/>
      <w:lvlJc w:val="left"/>
      <w:pPr>
        <w:tabs>
          <w:tab w:val="left" w:pos="0"/>
        </w:tabs>
        <w:ind w:left="3100" w:hanging="420"/>
      </w:pPr>
    </w:lvl>
    <w:lvl w:ilvl="7" w:tentative="0">
      <w:start w:val="1"/>
      <w:numFmt w:val="lowerLetter"/>
      <w:lvlText w:val="%8)"/>
      <w:lvlJc w:val="left"/>
      <w:pPr>
        <w:tabs>
          <w:tab w:val="left" w:pos="0"/>
        </w:tabs>
        <w:ind w:left="3520" w:hanging="420"/>
      </w:pPr>
    </w:lvl>
    <w:lvl w:ilvl="8" w:tentative="0">
      <w:start w:val="1"/>
      <w:numFmt w:val="lowerRoman"/>
      <w:lvlText w:val="%9."/>
      <w:lvlJc w:val="right"/>
      <w:pPr>
        <w:tabs>
          <w:tab w:val="left" w:pos="0"/>
        </w:tabs>
        <w:ind w:left="3940" w:hanging="420"/>
      </w:pPr>
    </w:lvl>
  </w:abstractNum>
  <w:abstractNum w:abstractNumId="4">
    <w:nsid w:val="551A03D7"/>
    <w:multiLevelType w:val="multilevel"/>
    <w:tmpl w:val="551A03D7"/>
    <w:lvl w:ilvl="0" w:tentative="0">
      <w:start w:val="1"/>
      <w:numFmt w:val="decimal"/>
      <w:lvlText w:val="（%1）"/>
      <w:lvlJc w:val="left"/>
      <w:pPr>
        <w:ind w:left="945" w:hanging="525"/>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7013A3A9"/>
    <w:multiLevelType w:val="multilevel"/>
    <w:tmpl w:val="7013A3A9"/>
    <w:lvl w:ilvl="0" w:tentative="0">
      <w:start w:val="19"/>
      <w:numFmt w:val="decimal"/>
      <w:lvlText w:val="%1."/>
      <w:lvlJc w:val="left"/>
      <w:pPr>
        <w:tabs>
          <w:tab w:val="left" w:pos="0"/>
        </w:tabs>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num w:numId="1">
    <w:abstractNumId w:val="0"/>
  </w:num>
  <w:num w:numId="2">
    <w:abstractNumId w:val="2"/>
  </w:num>
  <w:num w:numId="3">
    <w:abstractNumId w:val="5"/>
  </w:num>
  <w:num w:numId="4">
    <w:abstractNumId w:val="4"/>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trackRevisions w:val="1"/>
  <w:documentProtection w:edit="comments" w:enforcement="0"/>
  <w:defaultTabStop w:val="420"/>
  <w:drawingGridVerticalSpacing w:val="156"/>
  <w:displayHorizontalDrawingGridEvery w:val="1"/>
  <w:displayVerticalDrawingGridEvery w:val="1"/>
  <w:noPunctuationKerning w:val="1"/>
  <w:characterSpacingControl w:val="doNotCompress"/>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E2NWE2NmViMTBkNGNkYWUxZTIwMjhhNTBhN2NjYmIifQ=="/>
  </w:docVars>
  <w:rsids>
    <w:rsidRoot w:val="00D42F0A"/>
    <w:rsid w:val="003E0634"/>
    <w:rsid w:val="00876DDF"/>
    <w:rsid w:val="00C96768"/>
    <w:rsid w:val="00D37EA1"/>
    <w:rsid w:val="00D42F0A"/>
    <w:rsid w:val="044E4FAE"/>
    <w:rsid w:val="09EE3A13"/>
    <w:rsid w:val="0AE94C61"/>
    <w:rsid w:val="0C195674"/>
    <w:rsid w:val="0C4E72FF"/>
    <w:rsid w:val="0DD04DF2"/>
    <w:rsid w:val="0E151768"/>
    <w:rsid w:val="128F6144"/>
    <w:rsid w:val="132316DC"/>
    <w:rsid w:val="13A438DA"/>
    <w:rsid w:val="13BC45D3"/>
    <w:rsid w:val="15564C26"/>
    <w:rsid w:val="15D40978"/>
    <w:rsid w:val="18133C71"/>
    <w:rsid w:val="18A60090"/>
    <w:rsid w:val="1BC35730"/>
    <w:rsid w:val="1DA9694D"/>
    <w:rsid w:val="1E236A34"/>
    <w:rsid w:val="21550D0C"/>
    <w:rsid w:val="23125EB0"/>
    <w:rsid w:val="239267CD"/>
    <w:rsid w:val="26444950"/>
    <w:rsid w:val="264F7FEB"/>
    <w:rsid w:val="27607F5B"/>
    <w:rsid w:val="2C514FC0"/>
    <w:rsid w:val="2F7663DD"/>
    <w:rsid w:val="30354AD0"/>
    <w:rsid w:val="31723B02"/>
    <w:rsid w:val="3255188E"/>
    <w:rsid w:val="32864681"/>
    <w:rsid w:val="32DA6D31"/>
    <w:rsid w:val="36C544B5"/>
    <w:rsid w:val="39B0489A"/>
    <w:rsid w:val="3AAE75DE"/>
    <w:rsid w:val="3D377196"/>
    <w:rsid w:val="3D421897"/>
    <w:rsid w:val="3F1955BD"/>
    <w:rsid w:val="3FCC4EFF"/>
    <w:rsid w:val="40C8729B"/>
    <w:rsid w:val="41814547"/>
    <w:rsid w:val="4291705F"/>
    <w:rsid w:val="42BF5DAE"/>
    <w:rsid w:val="4A310799"/>
    <w:rsid w:val="522D3CF8"/>
    <w:rsid w:val="53ED173E"/>
    <w:rsid w:val="53F22846"/>
    <w:rsid w:val="56B16A0A"/>
    <w:rsid w:val="592320A4"/>
    <w:rsid w:val="59BA00E0"/>
    <w:rsid w:val="5D0C4045"/>
    <w:rsid w:val="5F885631"/>
    <w:rsid w:val="65992506"/>
    <w:rsid w:val="65BF216B"/>
    <w:rsid w:val="662809AB"/>
    <w:rsid w:val="68D8422A"/>
    <w:rsid w:val="6B641B15"/>
    <w:rsid w:val="6B6562FA"/>
    <w:rsid w:val="6CC50BBE"/>
    <w:rsid w:val="6D725612"/>
    <w:rsid w:val="6E194E6B"/>
    <w:rsid w:val="7840090F"/>
    <w:rsid w:val="7874009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name="Normal Indent"/>
    <w:lsdException w:uiPriority="99" w:name="footnote text"/>
    <w:lsdException w:qFormat="1"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qFormat="1" w:unhideWhenUsed="0" w:uiPriority="0" w:semiHidden="0" w:name="Body Text First Indent 2"/>
    <w:lsdException w:uiPriority="99" w:name="Note Heading"/>
    <w:lsdException w:uiPriority="99" w:name="Body Text 2"/>
    <w:lsdException w:qFormat="1"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9"/>
    <w:pPr>
      <w:keepNext/>
      <w:keepLines/>
      <w:widowControl/>
      <w:suppressLineNumbers w:val="0"/>
      <w:spacing w:before="340" w:beforeAutospacing="0" w:after="330" w:afterAutospacing="0" w:line="578" w:lineRule="auto"/>
      <w:ind w:left="0" w:firstLine="0"/>
      <w:jc w:val="left"/>
      <w:outlineLvl w:val="0"/>
    </w:pPr>
    <w:rPr>
      <w:rFonts w:hint="default" w:ascii="Times New Roman" w:hAnsi="Times New Roman" w:eastAsia="宋体" w:cs="Times New Roman"/>
      <w:b/>
      <w:kern w:val="44"/>
      <w:sz w:val="44"/>
      <w:szCs w:val="20"/>
      <w:lang w:val="en-US" w:eastAsia="zh-CN" w:bidi="ar"/>
    </w:rPr>
  </w:style>
  <w:style w:type="paragraph" w:styleId="4">
    <w:name w:val="heading 2"/>
    <w:basedOn w:val="1"/>
    <w:semiHidden/>
    <w:unhideWhenUsed/>
    <w:qFormat/>
    <w:uiPriority w:val="9"/>
    <w:pPr>
      <w:keepNext/>
      <w:keepLines/>
      <w:widowControl/>
      <w:suppressLineNumbers w:val="0"/>
      <w:spacing w:before="260" w:beforeAutospacing="0" w:after="260" w:afterAutospacing="0" w:line="415" w:lineRule="auto"/>
      <w:ind w:left="0" w:firstLine="0"/>
      <w:jc w:val="left"/>
      <w:outlineLvl w:val="1"/>
    </w:pPr>
    <w:rPr>
      <w:rFonts w:ascii="Arial" w:hAnsi="Arial" w:eastAsia="黑体" w:cs="Arial"/>
      <w:b/>
      <w:kern w:val="0"/>
      <w:sz w:val="32"/>
      <w:szCs w:val="20"/>
      <w:lang w:val="en-US" w:eastAsia="zh-CN" w:bidi="ar"/>
    </w:rPr>
  </w:style>
  <w:style w:type="paragraph" w:styleId="5">
    <w:name w:val="heading 3"/>
    <w:basedOn w:val="1"/>
    <w:semiHidden/>
    <w:unhideWhenUsed/>
    <w:qFormat/>
    <w:uiPriority w:val="9"/>
    <w:pPr>
      <w:keepNext/>
      <w:keepLines/>
      <w:widowControl/>
      <w:suppressLineNumbers w:val="0"/>
      <w:spacing w:before="260" w:beforeAutospacing="0" w:after="260" w:afterAutospacing="0" w:line="415" w:lineRule="auto"/>
      <w:ind w:left="0" w:firstLine="0"/>
      <w:jc w:val="left"/>
      <w:outlineLvl w:val="2"/>
    </w:pPr>
    <w:rPr>
      <w:rFonts w:hint="default" w:ascii="Times New Roman" w:hAnsi="Times New Roman" w:eastAsia="宋体" w:cs="Times New Roman"/>
      <w:b/>
      <w:kern w:val="0"/>
      <w:sz w:val="32"/>
      <w:szCs w:val="20"/>
      <w:lang w:val="en-US" w:eastAsia="zh-CN" w:bidi="ar"/>
    </w:rPr>
  </w:style>
  <w:style w:type="paragraph" w:styleId="6">
    <w:name w:val="heading 4"/>
    <w:basedOn w:val="1"/>
    <w:next w:val="7"/>
    <w:semiHidden/>
    <w:unhideWhenUsed/>
    <w:qFormat/>
    <w:uiPriority w:val="9"/>
    <w:pPr>
      <w:keepNext/>
      <w:keepLines w:val="0"/>
      <w:widowControl/>
      <w:suppressLineNumbers w:val="0"/>
      <w:spacing w:before="0" w:beforeAutospacing="0" w:after="0" w:afterAutospacing="0" w:line="460" w:lineRule="exact"/>
      <w:ind w:left="0" w:firstLine="0"/>
      <w:jc w:val="both"/>
      <w:outlineLvl w:val="3"/>
    </w:pPr>
    <w:rPr>
      <w:rFonts w:hint="eastAsia" w:ascii="宋体" w:hAnsi="宋体" w:eastAsia="宋体" w:cs="宋体"/>
      <w:kern w:val="0"/>
      <w:sz w:val="24"/>
      <w:szCs w:val="20"/>
      <w:lang w:val="en-US" w:eastAsia="zh-CN" w:bidi="ar"/>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customStyle="1" w:styleId="2">
    <w:name w:val="首行缩进"/>
    <w:basedOn w:val="1"/>
    <w:qFormat/>
    <w:uiPriority w:val="0"/>
    <w:pPr>
      <w:keepNext w:val="0"/>
      <w:keepLines w:val="0"/>
      <w:widowControl w:val="0"/>
      <w:numPr>
        <w:ilvl w:val="0"/>
        <w:numId w:val="1"/>
      </w:numPr>
      <w:suppressLineNumbers w:val="0"/>
      <w:spacing w:before="0" w:beforeAutospacing="0" w:after="0" w:afterAutospacing="0" w:line="360" w:lineRule="auto"/>
      <w:ind w:left="540" w:firstLine="0"/>
      <w:jc w:val="both"/>
    </w:pPr>
    <w:rPr>
      <w:rFonts w:hint="default" w:ascii="Times New Roman" w:hAnsi="Times New Roman" w:eastAsia="仿宋_GB2312" w:cs="Times New Roman"/>
      <w:kern w:val="2"/>
      <w:sz w:val="21"/>
      <w:szCs w:val="24"/>
      <w:lang w:val="en-US" w:eastAsia="zh-CN" w:bidi="ar"/>
    </w:rPr>
  </w:style>
  <w:style w:type="paragraph" w:styleId="7">
    <w:name w:val="Normal Indent"/>
    <w:basedOn w:val="1"/>
    <w:semiHidden/>
    <w:unhideWhenUsed/>
    <w:qFormat/>
    <w:uiPriority w:val="99"/>
    <w:pPr>
      <w:keepNext w:val="0"/>
      <w:keepLines w:val="0"/>
      <w:widowControl/>
      <w:suppressLineNumbers w:val="0"/>
      <w:spacing w:before="0" w:beforeAutospacing="0" w:after="0" w:afterAutospacing="0" w:line="240" w:lineRule="auto"/>
      <w:ind w:left="0" w:firstLine="420"/>
      <w:jc w:val="left"/>
    </w:pPr>
    <w:rPr>
      <w:rFonts w:hint="default" w:ascii="Times New Roman" w:hAnsi="Times New Roman" w:eastAsia="宋体" w:cs="Times New Roman"/>
      <w:kern w:val="0"/>
      <w:sz w:val="20"/>
      <w:szCs w:val="20"/>
      <w:lang w:val="en-US" w:eastAsia="zh-CN" w:bidi="ar"/>
    </w:rPr>
  </w:style>
  <w:style w:type="paragraph" w:styleId="8">
    <w:name w:val="annotation text"/>
    <w:basedOn w:val="1"/>
    <w:link w:val="39"/>
    <w:semiHidden/>
    <w:unhideWhenUsed/>
    <w:qFormat/>
    <w:uiPriority w:val="99"/>
    <w:pPr>
      <w:keepNext w:val="0"/>
      <w:keepLines w:val="0"/>
      <w:widowControl w:val="0"/>
      <w:suppressLineNumbers w:val="0"/>
      <w:spacing w:before="0" w:beforeAutospacing="0" w:after="0" w:afterAutospacing="0" w:line="240" w:lineRule="auto"/>
      <w:ind w:left="0" w:firstLine="0"/>
      <w:jc w:val="left"/>
    </w:pPr>
    <w:rPr>
      <w:rFonts w:hint="default" w:ascii="Times New Roman" w:hAnsi="Times New Roman" w:eastAsia="宋体" w:cs="Times New Roman"/>
      <w:kern w:val="2"/>
      <w:sz w:val="24"/>
      <w:szCs w:val="24"/>
      <w:lang w:val="en-US" w:eastAsia="zh-CN" w:bidi="ar"/>
    </w:rPr>
  </w:style>
  <w:style w:type="paragraph" w:styleId="9">
    <w:name w:val="Body Text 3"/>
    <w:basedOn w:val="1"/>
    <w:semiHidden/>
    <w:unhideWhenUsed/>
    <w:qFormat/>
    <w:uiPriority w:val="99"/>
    <w:pPr>
      <w:keepNext w:val="0"/>
      <w:keepLines w:val="0"/>
      <w:widowControl/>
      <w:suppressLineNumbers w:val="0"/>
      <w:spacing w:before="0" w:beforeAutospacing="0" w:after="120" w:afterAutospacing="0" w:line="240" w:lineRule="auto"/>
      <w:ind w:left="0" w:firstLine="0"/>
      <w:jc w:val="left"/>
    </w:pPr>
    <w:rPr>
      <w:rFonts w:hint="default" w:ascii="Times New Roman" w:hAnsi="Times New Roman" w:eastAsia="宋体" w:cs="Times New Roman"/>
      <w:kern w:val="0"/>
      <w:sz w:val="16"/>
      <w:szCs w:val="16"/>
      <w:lang w:val="en-US" w:eastAsia="zh-CN" w:bidi="ar"/>
    </w:rPr>
  </w:style>
  <w:style w:type="paragraph" w:styleId="10">
    <w:name w:val="Body Text"/>
    <w:basedOn w:val="1"/>
    <w:semiHidden/>
    <w:unhideWhenUsed/>
    <w:qFormat/>
    <w:uiPriority w:val="99"/>
    <w:pPr>
      <w:spacing w:after="120" w:afterLines="0" w:afterAutospacing="0"/>
    </w:pPr>
  </w:style>
  <w:style w:type="paragraph" w:styleId="11">
    <w:name w:val="Body Text Indent"/>
    <w:basedOn w:val="1"/>
    <w:next w:val="12"/>
    <w:qFormat/>
    <w:uiPriority w:val="0"/>
    <w:pPr>
      <w:spacing w:after="120" w:afterLines="0"/>
      <w:ind w:left="420" w:leftChars="200"/>
    </w:pPr>
  </w:style>
  <w:style w:type="paragraph" w:styleId="12">
    <w:name w:val="Body Text First Indent 2"/>
    <w:basedOn w:val="11"/>
    <w:next w:val="1"/>
    <w:qFormat/>
    <w:uiPriority w:val="0"/>
    <w:pPr>
      <w:spacing w:after="0" w:line="220" w:lineRule="atLeast"/>
      <w:ind w:left="0" w:leftChars="0" w:firstLine="210" w:firstLineChars="150"/>
    </w:pPr>
    <w:rPr>
      <w:rFonts w:ascii="宋体" w:hAnsi="宋体"/>
      <w:szCs w:val="26"/>
    </w:rPr>
  </w:style>
  <w:style w:type="paragraph" w:styleId="13">
    <w:name w:val="Plain Text"/>
    <w:basedOn w:val="1"/>
    <w:semiHidden/>
    <w:unhideWhenUsed/>
    <w:qFormat/>
    <w:uiPriority w:val="99"/>
    <w:pPr>
      <w:keepNext w:val="0"/>
      <w:keepLines w:val="0"/>
      <w:widowControl/>
      <w:suppressLineNumbers w:val="0"/>
      <w:spacing w:before="0" w:beforeAutospacing="0" w:after="0" w:afterAutospacing="0" w:line="240" w:lineRule="auto"/>
      <w:ind w:left="0" w:firstLine="0"/>
      <w:jc w:val="left"/>
    </w:pPr>
    <w:rPr>
      <w:rFonts w:hint="eastAsia" w:ascii="宋体" w:hAnsi="宋体" w:eastAsia="宋体" w:cs="Century"/>
      <w:kern w:val="0"/>
      <w:sz w:val="21"/>
      <w:szCs w:val="21"/>
      <w:lang w:val="en-US" w:eastAsia="zh-CN" w:bidi="ar"/>
    </w:rPr>
  </w:style>
  <w:style w:type="paragraph" w:styleId="14">
    <w:name w:val="Date"/>
    <w:basedOn w:val="1"/>
    <w:next w:val="1"/>
    <w:qFormat/>
    <w:uiPriority w:val="0"/>
    <w:rPr>
      <w:rFonts w:eastAsia="长城楷体"/>
      <w:kern w:val="0"/>
      <w:sz w:val="36"/>
    </w:rPr>
  </w:style>
  <w:style w:type="paragraph" w:styleId="15">
    <w:name w:val="footer"/>
    <w:basedOn w:val="1"/>
    <w:semiHidden/>
    <w:unhideWhenUsed/>
    <w:qFormat/>
    <w:uiPriority w:val="99"/>
    <w:pPr>
      <w:keepNext w:val="0"/>
      <w:keepLines w:val="0"/>
      <w:widowControl/>
      <w:suppressLineNumbers w:val="0"/>
      <w:tabs>
        <w:tab w:val="center" w:pos="4153"/>
        <w:tab w:val="right" w:pos="8306"/>
      </w:tabs>
      <w:snapToGrid w:val="0"/>
      <w:spacing w:before="0" w:beforeAutospacing="0" w:after="0" w:afterAutospacing="0" w:line="240" w:lineRule="auto"/>
      <w:ind w:left="0" w:firstLine="0"/>
      <w:jc w:val="left"/>
    </w:pPr>
    <w:rPr>
      <w:rFonts w:hint="default" w:ascii="Times New Roman" w:hAnsi="Times New Roman" w:eastAsia="宋体" w:cs="Times New Roman"/>
      <w:kern w:val="0"/>
      <w:sz w:val="18"/>
      <w:szCs w:val="20"/>
      <w:lang w:val="en-US" w:eastAsia="zh-CN" w:bidi="ar"/>
    </w:rPr>
  </w:style>
  <w:style w:type="paragraph" w:styleId="16">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7">
    <w:name w:val="toc 1"/>
    <w:basedOn w:val="1"/>
    <w:next w:val="1"/>
    <w:semiHidden/>
    <w:unhideWhenUsed/>
    <w:qFormat/>
    <w:uiPriority w:val="39"/>
    <w:pPr>
      <w:keepNext w:val="0"/>
      <w:keepLines w:val="0"/>
      <w:widowControl/>
      <w:suppressLineNumbers w:val="0"/>
      <w:spacing w:before="120" w:beforeAutospacing="0" w:after="120" w:afterAutospacing="0" w:line="240" w:lineRule="auto"/>
      <w:ind w:left="0" w:firstLine="0"/>
      <w:jc w:val="left"/>
    </w:pPr>
    <w:rPr>
      <w:rFonts w:ascii="Calibri" w:hAnsi="Calibri" w:eastAsia="宋体" w:cs="Calibri"/>
      <w:b/>
      <w:bCs/>
      <w:caps/>
      <w:kern w:val="0"/>
      <w:sz w:val="20"/>
      <w:szCs w:val="20"/>
      <w:lang w:val="en-US" w:eastAsia="zh-CN" w:bidi="ar"/>
    </w:rPr>
  </w:style>
  <w:style w:type="paragraph" w:styleId="18">
    <w:name w:val="Normal (Web)"/>
    <w:basedOn w:val="1"/>
    <w:semiHidden/>
    <w:unhideWhenUsed/>
    <w:qFormat/>
    <w:uiPriority w:val="99"/>
    <w:pPr>
      <w:keepNext w:val="0"/>
      <w:keepLines w:val="0"/>
      <w:widowControl/>
      <w:suppressLineNumbers w:val="0"/>
      <w:spacing w:before="0" w:beforeAutospacing="0" w:after="0" w:afterAutospacing="0" w:line="240" w:lineRule="auto"/>
      <w:ind w:left="0" w:right="0" w:firstLine="0"/>
      <w:jc w:val="left"/>
    </w:pPr>
    <w:rPr>
      <w:rFonts w:hint="default" w:ascii="Times New Roman" w:hAnsi="Times New Roman" w:eastAsia="宋体" w:cs="Times New Roman"/>
      <w:kern w:val="0"/>
      <w:sz w:val="24"/>
      <w:szCs w:val="24"/>
      <w:lang w:val="en-US" w:eastAsia="zh-CN" w:bidi="ar"/>
    </w:rPr>
  </w:style>
  <w:style w:type="paragraph" w:styleId="19">
    <w:name w:val="Title"/>
    <w:basedOn w:val="1"/>
    <w:next w:val="1"/>
    <w:qFormat/>
    <w:uiPriority w:val="10"/>
    <w:pPr>
      <w:keepNext w:val="0"/>
      <w:keepLines w:val="0"/>
      <w:widowControl w:val="0"/>
      <w:suppressLineNumbers w:val="0"/>
      <w:tabs>
        <w:tab w:val="left" w:pos="738"/>
      </w:tabs>
      <w:spacing w:before="240" w:beforeAutospacing="0" w:after="60" w:afterAutospacing="0" w:line="240" w:lineRule="auto"/>
      <w:ind w:left="738" w:hanging="454"/>
      <w:jc w:val="center"/>
      <w:outlineLvl w:val="0"/>
    </w:pPr>
    <w:rPr>
      <w:rFonts w:hint="default" w:ascii="Arial" w:hAnsi="Arial" w:eastAsia="宋体" w:cs="Arial"/>
      <w:b/>
      <w:bCs/>
      <w:kern w:val="2"/>
      <w:sz w:val="32"/>
      <w:szCs w:val="32"/>
      <w:lang w:val="en-US" w:eastAsia="zh-CN" w:bidi="ar"/>
    </w:rPr>
  </w:style>
  <w:style w:type="paragraph" w:styleId="20">
    <w:name w:val="annotation subject"/>
    <w:basedOn w:val="8"/>
    <w:next w:val="8"/>
    <w:link w:val="38"/>
    <w:semiHidden/>
    <w:unhideWhenUsed/>
    <w:qFormat/>
    <w:uiPriority w:val="99"/>
    <w:rPr>
      <w:b/>
    </w:rPr>
  </w:style>
  <w:style w:type="paragraph" w:styleId="21">
    <w:name w:val="Body Text First Indent"/>
    <w:basedOn w:val="10"/>
    <w:semiHidden/>
    <w:unhideWhenUsed/>
    <w:qFormat/>
    <w:uiPriority w:val="99"/>
    <w:pPr>
      <w:keepNext w:val="0"/>
      <w:keepLines w:val="0"/>
      <w:widowControl w:val="0"/>
      <w:suppressLineNumbers w:val="0"/>
      <w:adjustRightInd w:val="0"/>
      <w:spacing w:before="0" w:beforeAutospacing="0" w:after="0" w:afterAutospacing="0" w:line="312" w:lineRule="auto"/>
      <w:ind w:left="0" w:firstLine="567"/>
      <w:jc w:val="both"/>
      <w:textAlignment w:val="baseline"/>
    </w:pPr>
    <w:rPr>
      <w:rFonts w:hint="default" w:ascii="Times New Roman" w:hAnsi="Times New Roman" w:eastAsia="宋体" w:cs="Times New Roman"/>
      <w:kern w:val="0"/>
      <w:sz w:val="28"/>
      <w:szCs w:val="20"/>
      <w:lang w:val="en-US" w:eastAsia="zh-CN" w:bidi="ar"/>
    </w:rPr>
  </w:style>
  <w:style w:type="table" w:styleId="23">
    <w:name w:val="Table Grid"/>
    <w:basedOn w:val="2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22"/>
    <w:rPr>
      <w:rFonts w:cs="Times New Roman"/>
      <w:b/>
      <w:bCs/>
      <w:lang w:bidi="ar"/>
    </w:rPr>
  </w:style>
  <w:style w:type="character" w:styleId="26">
    <w:name w:val="FollowedHyperlink"/>
    <w:basedOn w:val="24"/>
    <w:semiHidden/>
    <w:unhideWhenUsed/>
    <w:qFormat/>
    <w:uiPriority w:val="99"/>
    <w:rPr>
      <w:color w:val="800080"/>
      <w:u w:val="single"/>
    </w:rPr>
  </w:style>
  <w:style w:type="character" w:styleId="27">
    <w:name w:val="Hyperlink"/>
    <w:basedOn w:val="24"/>
    <w:semiHidden/>
    <w:unhideWhenUsed/>
    <w:qFormat/>
    <w:uiPriority w:val="99"/>
    <w:rPr>
      <w:color w:val="0000FF"/>
      <w:u w:val="single"/>
    </w:rPr>
  </w:style>
  <w:style w:type="character" w:customStyle="1" w:styleId="28">
    <w:name w:val="text"/>
    <w:basedOn w:val="24"/>
    <w:qFormat/>
    <w:uiPriority w:val="0"/>
  </w:style>
  <w:style w:type="paragraph" w:customStyle="1" w:styleId="29">
    <w:name w:val="Blockquote"/>
    <w:basedOn w:val="1"/>
    <w:qFormat/>
    <w:uiPriority w:val="0"/>
    <w:pPr>
      <w:keepNext w:val="0"/>
      <w:keepLines w:val="0"/>
      <w:widowControl w:val="0"/>
      <w:suppressLineNumbers w:val="0"/>
      <w:autoSpaceDE w:val="0"/>
      <w:autoSpaceDN w:val="0"/>
      <w:adjustRightInd w:val="0"/>
      <w:spacing w:before="100" w:beforeAutospacing="0" w:after="100" w:afterAutospacing="0" w:line="240" w:lineRule="auto"/>
      <w:ind w:left="360" w:right="360" w:firstLine="0"/>
      <w:jc w:val="left"/>
    </w:pPr>
    <w:rPr>
      <w:rFonts w:hint="default" w:ascii="Times New Roman" w:hAnsi="Times New Roman" w:eastAsia="宋体" w:cs="Times New Roman"/>
      <w:kern w:val="0"/>
      <w:sz w:val="24"/>
      <w:szCs w:val="24"/>
      <w:lang w:val="en-US" w:eastAsia="zh-CN" w:bidi="ar"/>
    </w:rPr>
  </w:style>
  <w:style w:type="paragraph" w:customStyle="1" w:styleId="30">
    <w:name w:val="_Style 17"/>
    <w:basedOn w:val="1"/>
    <w:next w:val="18"/>
    <w:qFormat/>
    <w:uiPriority w:val="0"/>
    <w:pPr>
      <w:keepNext w:val="0"/>
      <w:keepLines w:val="0"/>
      <w:widowControl/>
      <w:suppressLineNumbers w:val="0"/>
      <w:spacing w:before="0" w:beforeAutospacing="1" w:after="0" w:afterAutospacing="1" w:line="240" w:lineRule="auto"/>
      <w:ind w:left="0" w:firstLine="0"/>
      <w:jc w:val="left"/>
    </w:pPr>
    <w:rPr>
      <w:rFonts w:hint="eastAsia" w:ascii="宋体" w:hAnsi="宋体" w:eastAsia="宋体" w:cs="黑体"/>
      <w:kern w:val="0"/>
      <w:sz w:val="24"/>
      <w:szCs w:val="24"/>
      <w:lang w:val="en-US" w:eastAsia="zh-CN" w:bidi="ar"/>
    </w:rPr>
  </w:style>
  <w:style w:type="character" w:customStyle="1" w:styleId="31">
    <w:name w:val="titlestyle10831"/>
    <w:basedOn w:val="24"/>
    <w:qFormat/>
    <w:uiPriority w:val="0"/>
    <w:rPr>
      <w:rFonts w:ascii="黑体" w:eastAsia="黑体"/>
      <w:b/>
      <w:bCs/>
      <w:sz w:val="36"/>
      <w:szCs w:val="36"/>
    </w:rPr>
  </w:style>
  <w:style w:type="paragraph" w:customStyle="1" w:styleId="32">
    <w:name w:val="样式2"/>
    <w:basedOn w:val="1"/>
    <w:qFormat/>
    <w:uiPriority w:val="0"/>
    <w:pPr>
      <w:keepNext w:val="0"/>
      <w:keepLines w:val="0"/>
      <w:widowControl w:val="0"/>
      <w:suppressLineNumbers w:val="0"/>
      <w:spacing w:before="0" w:beforeAutospacing="0" w:after="0" w:afterAutospacing="0" w:line="240" w:lineRule="auto"/>
      <w:ind w:left="0" w:firstLine="0"/>
      <w:jc w:val="both"/>
    </w:pPr>
    <w:rPr>
      <w:rFonts w:ascii="仿宋_GB2312" w:hAnsi="宋体" w:eastAsia="仿宋_GB2312" w:cs="仿宋_GB2312"/>
      <w:kern w:val="2"/>
      <w:sz w:val="32"/>
      <w:szCs w:val="20"/>
      <w:lang w:val="en-US" w:eastAsia="zh-CN" w:bidi="ar"/>
    </w:rPr>
  </w:style>
  <w:style w:type="character" w:customStyle="1" w:styleId="33">
    <w:name w:val="普通文字 Char Char"/>
    <w:basedOn w:val="24"/>
    <w:qFormat/>
    <w:uiPriority w:val="0"/>
    <w:rPr>
      <w:rFonts w:ascii="宋体" w:eastAsia="宋体" w:cs="Century"/>
      <w:sz w:val="21"/>
      <w:szCs w:val="21"/>
      <w:lang w:val="en-US" w:eastAsia="zh-CN" w:bidi="ar"/>
    </w:rPr>
  </w:style>
  <w:style w:type="character" w:customStyle="1" w:styleId="34">
    <w:name w:val="font11"/>
    <w:basedOn w:val="24"/>
    <w:qFormat/>
    <w:uiPriority w:val="0"/>
    <w:rPr>
      <w:rFonts w:ascii="宋体" w:eastAsia="宋体" w:cs="宋体"/>
      <w:color w:val="000000"/>
      <w:sz w:val="22"/>
      <w:szCs w:val="22"/>
      <w:u w:val="none"/>
      <w:lang w:bidi="ar"/>
    </w:rPr>
  </w:style>
  <w:style w:type="character" w:customStyle="1" w:styleId="35">
    <w:name w:val="正文文本 Char"/>
    <w:basedOn w:val="24"/>
    <w:qFormat/>
    <w:uiPriority w:val="0"/>
    <w:rPr>
      <w:rFonts w:eastAsia="宋体"/>
      <w:lang w:val="en-US" w:eastAsia="zh-CN" w:bidi="ar"/>
    </w:rPr>
  </w:style>
  <w:style w:type="character" w:customStyle="1" w:styleId="36">
    <w:name w:val="apple-tab-span"/>
    <w:basedOn w:val="24"/>
    <w:qFormat/>
    <w:uiPriority w:val="0"/>
  </w:style>
  <w:style w:type="character" w:customStyle="1" w:styleId="37">
    <w:name w:val="Char Char Char"/>
    <w:basedOn w:val="24"/>
    <w:qFormat/>
    <w:uiPriority w:val="0"/>
    <w:rPr>
      <w:rFonts w:ascii="宋体" w:eastAsia="宋体"/>
      <w:kern w:val="2"/>
      <w:sz w:val="24"/>
      <w:lang w:val="en-US" w:eastAsia="zh-CN" w:bidi="ar"/>
    </w:rPr>
  </w:style>
  <w:style w:type="character" w:customStyle="1" w:styleId="38">
    <w:name w:val="批注主题 Char"/>
    <w:basedOn w:val="39"/>
    <w:link w:val="20"/>
    <w:qFormat/>
    <w:uiPriority w:val="0"/>
    <w:rPr>
      <w:rFonts w:hint="default" w:ascii="Times New Roman" w:hAnsi="Times New Roman" w:eastAsia="宋体" w:cs="Times New Roman"/>
      <w:b/>
      <w:bCs/>
      <w:kern w:val="2"/>
      <w:sz w:val="24"/>
      <w:szCs w:val="24"/>
    </w:rPr>
  </w:style>
  <w:style w:type="character" w:customStyle="1" w:styleId="39">
    <w:name w:val="批注文字 Char"/>
    <w:basedOn w:val="24"/>
    <w:link w:val="8"/>
    <w:qFormat/>
    <w:uiPriority w:val="0"/>
    <w:rPr>
      <w:rFonts w:hint="default" w:ascii="Times New Roman" w:hAnsi="Times New Roman" w:eastAsia="宋体" w:cs="Times New Roman"/>
      <w:kern w:val="2"/>
      <w:sz w:val="24"/>
      <w:szCs w:val="24"/>
    </w:rPr>
  </w:style>
  <w:style w:type="paragraph" w:customStyle="1" w:styleId="40">
    <w:name w:val="正文1"/>
    <w:qFormat/>
    <w:uiPriority w:val="0"/>
    <w:pPr>
      <w:widowControl w:val="0"/>
      <w:suppressAutoHyphens w:val="0"/>
      <w:bidi w:val="0"/>
      <w:spacing w:before="0" w:beforeAutospacing="0" w:after="0" w:afterAutospacing="0"/>
      <w:jc w:val="both"/>
    </w:pPr>
    <w:rPr>
      <w:rFonts w:ascii="Times New Roman" w:hAnsi="Times New Roman" w:eastAsia="宋体" w:cs="Times New Roman"/>
      <w:color w:val="auto"/>
      <w:kern w:val="2"/>
      <w:sz w:val="21"/>
      <w:szCs w:val="24"/>
      <w:lang w:val="en-US" w:eastAsia="zh-CN" w:bidi="ar-SA"/>
    </w:rPr>
  </w:style>
  <w:style w:type="paragraph" w:customStyle="1" w:styleId="41">
    <w:name w:val="页眉1"/>
    <w:basedOn w:val="40"/>
    <w:qFormat/>
    <w:uiPriority w:val="0"/>
    <w:pPr>
      <w:tabs>
        <w:tab w:val="center" w:pos="4153"/>
        <w:tab w:val="right" w:pos="8306"/>
      </w:tabs>
      <w:snapToGrid w:val="0"/>
      <w:spacing w:beforeAutospacing="0" w:afterAutospacing="0" w:line="240" w:lineRule="auto"/>
      <w:jc w:val="both"/>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Yozosoft</Company>
  <Pages>1</Pages>
  <Words>36083</Words>
  <Characters>40032</Characters>
  <Lines>0</Lines>
  <Paragraphs>0</Paragraphs>
  <TotalTime>18</TotalTime>
  <ScaleCrop>false</ScaleCrop>
  <LinksUpToDate>false</LinksUpToDate>
  <CharactersWithSpaces>42153</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2021-05-08T07:28:00Z</dcterms:created>
  <dc:creator>User274</dc:creator>
  <cp:lastModifiedBy>花祁。</cp:lastModifiedBy>
  <dcterms:modified xsi:type="dcterms:W3CDTF">2023-12-07T01:05:34Z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F55507B72766425E964B42ECB0980FA7_13</vt:lpwstr>
  </property>
</Properties>
</file>